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0"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2719705</wp:posOffset>
            </wp:positionH>
            <wp:positionV relativeFrom="paragraph">
              <wp:posOffset>85725</wp:posOffset>
            </wp:positionV>
            <wp:extent cx="1824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4990" cy="8255"/>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ind w:left="720" w:hanging="690"/>
        <w:spacing w:after="0"/>
        <w:tabs>
          <w:tab w:leader="none" w:pos="720" w:val="left"/>
        </w:tabs>
        <w:numPr>
          <w:ilvl w:val="0"/>
          <w:numId w:val="1"/>
        </w:numPr>
        <w:rPr>
          <w:rFonts w:ascii="MS PGothic" w:cs="MS PGothic" w:eastAsia="MS PGothic" w:hAnsi="MS PGothic"/>
          <w:sz w:val="42"/>
          <w:szCs w:val="42"/>
          <w:color w:val="auto"/>
          <w:vertAlign w:val="subscript"/>
        </w:rPr>
      </w:pPr>
      <w:r>
        <w:rPr>
          <w:rFonts w:ascii="Arial" w:cs="Arial" w:eastAsia="Arial" w:hAnsi="Arial"/>
          <w:sz w:val="16"/>
          <w:szCs w:val="16"/>
          <w:b w:val="1"/>
          <w:bCs w:val="1"/>
          <w:color w:val="auto"/>
        </w:rPr>
        <w:t>ANNUAL REPORT PURSUANT TO THE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2719705</wp:posOffset>
            </wp:positionH>
            <wp:positionV relativeFrom="paragraph">
              <wp:posOffset>-227330</wp:posOffset>
            </wp:positionV>
            <wp:extent cx="1824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4990" cy="8255"/>
                    </a:xfrm>
                    <a:prstGeom prst="rect">
                      <a:avLst/>
                    </a:prstGeom>
                    <a:noFill/>
                  </pic:spPr>
                </pic:pic>
              </a:graphicData>
            </a:graphic>
          </wp:anchor>
        </w:drawing>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fiscal year ended December 31, 2012</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ind w:left="720" w:hanging="690"/>
        <w:spacing w:after="0" w:line="211" w:lineRule="auto"/>
        <w:tabs>
          <w:tab w:leader="none" w:pos="720" w:val="left"/>
        </w:tabs>
        <w:numPr>
          <w:ilvl w:val="0"/>
          <w:numId w:val="2"/>
        </w:numPr>
        <w:rPr>
          <w:rFonts w:ascii="MS PGothic" w:cs="MS PGothic" w:eastAsia="MS PGothic" w:hAnsi="MS PGothic"/>
          <w:sz w:val="42"/>
          <w:szCs w:val="42"/>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94" w:lineRule="exact"/>
        <w:rPr>
          <w:sz w:val="24"/>
          <w:szCs w:val="24"/>
          <w:color w:val="auto"/>
        </w:rPr>
      </w:pPr>
    </w:p>
    <w:p>
      <w:pPr>
        <w:ind w:left="394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number: 1-07533</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3"/>
          <w:szCs w:val="33"/>
          <w:b w:val="1"/>
          <w:bCs w:val="1"/>
          <w:color w:val="auto"/>
        </w:rPr>
        <w:t>FEDERAL REALTY INVESTMENT TRUST</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132" w:lineRule="exact"/>
        <w:rPr>
          <w:sz w:val="24"/>
          <w:szCs w:val="24"/>
          <w:color w:val="auto"/>
        </w:rPr>
      </w:pPr>
    </w:p>
    <w:tbl>
      <w:tblPr>
        <w:tblLayout w:type="fixed"/>
        <w:tblInd w:w="860" w:type="dxa"/>
        <w:tblCellMar>
          <w:top w:w="0" w:type="dxa"/>
          <w:left w:w="0" w:type="dxa"/>
          <w:bottom w:w="0" w:type="dxa"/>
          <w:right w:w="0" w:type="dxa"/>
        </w:tblCellMar>
      </w:tblPr>
      <w:tr>
        <w:trPr>
          <w:trHeight w:val="226"/>
        </w:trPr>
        <w:tc>
          <w:tcPr>
            <w:tcW w:w="3920" w:type="dxa"/>
            <w:vAlign w:val="bottom"/>
          </w:tcPr>
          <w:p>
            <w:pPr>
              <w:jc w:val="center"/>
              <w:ind w:right="302"/>
              <w:spacing w:after="0"/>
              <w:rPr>
                <w:sz w:val="20"/>
                <w:szCs w:val="20"/>
                <w:color w:val="auto"/>
              </w:rPr>
            </w:pPr>
            <w:r>
              <w:rPr>
                <w:rFonts w:ascii="Arial" w:cs="Arial" w:eastAsia="Arial" w:hAnsi="Arial"/>
                <w:sz w:val="17"/>
                <w:szCs w:val="17"/>
                <w:b w:val="1"/>
                <w:bCs w:val="1"/>
                <w:color w:val="auto"/>
                <w:w w:val="99"/>
              </w:rPr>
              <w:t>Maryland</w:t>
            </w:r>
          </w:p>
        </w:tc>
        <w:tc>
          <w:tcPr>
            <w:tcW w:w="4800" w:type="dxa"/>
            <w:vAlign w:val="bottom"/>
          </w:tcPr>
          <w:p>
            <w:pPr>
              <w:jc w:val="right"/>
              <w:ind w:right="520"/>
              <w:spacing w:after="0"/>
              <w:rPr>
                <w:sz w:val="20"/>
                <w:szCs w:val="20"/>
                <w:color w:val="auto"/>
              </w:rPr>
            </w:pPr>
            <w:r>
              <w:rPr>
                <w:rFonts w:ascii="Arial" w:cs="Arial" w:eastAsia="Arial" w:hAnsi="Arial"/>
                <w:sz w:val="17"/>
                <w:szCs w:val="17"/>
                <w:b w:val="1"/>
                <w:bCs w:val="1"/>
                <w:color w:val="auto"/>
              </w:rPr>
              <w:t>52-0782497</w:t>
            </w:r>
          </w:p>
        </w:tc>
      </w:tr>
      <w:tr>
        <w:trPr>
          <w:trHeight w:val="209"/>
        </w:trPr>
        <w:tc>
          <w:tcPr>
            <w:tcW w:w="3920" w:type="dxa"/>
            <w:vAlign w:val="bottom"/>
          </w:tcPr>
          <w:p>
            <w:pPr>
              <w:jc w:val="center"/>
              <w:ind w:right="282"/>
              <w:spacing w:after="0"/>
              <w:rPr>
                <w:sz w:val="20"/>
                <w:szCs w:val="20"/>
                <w:color w:val="auto"/>
              </w:rPr>
            </w:pPr>
            <w:r>
              <w:rPr>
                <w:rFonts w:ascii="Arial" w:cs="Arial" w:eastAsia="Arial" w:hAnsi="Arial"/>
                <w:sz w:val="14"/>
                <w:szCs w:val="14"/>
                <w:b w:val="1"/>
                <w:bCs w:val="1"/>
                <w:color w:val="auto"/>
                <w:w w:val="90"/>
              </w:rPr>
              <w:t>(State of Organization)</w:t>
            </w:r>
          </w:p>
        </w:tc>
        <w:tc>
          <w:tcPr>
            <w:tcW w:w="4800" w:type="dxa"/>
            <w:vAlign w:val="bottom"/>
          </w:tcPr>
          <w:p>
            <w:pPr>
              <w:jc w:val="center"/>
              <w:ind w:left="2700"/>
              <w:spacing w:after="0"/>
              <w:rPr>
                <w:sz w:val="20"/>
                <w:szCs w:val="20"/>
                <w:color w:val="auto"/>
              </w:rPr>
            </w:pPr>
            <w:r>
              <w:rPr>
                <w:rFonts w:ascii="Arial" w:cs="Arial" w:eastAsia="Arial" w:hAnsi="Arial"/>
                <w:sz w:val="14"/>
                <w:szCs w:val="14"/>
                <w:b w:val="1"/>
                <w:bCs w:val="1"/>
                <w:color w:val="auto"/>
                <w:w w:val="92"/>
              </w:rPr>
              <w:t>(IRS Employer Identification No.)</w:t>
            </w:r>
          </w:p>
        </w:tc>
      </w:tr>
      <w:tr>
        <w:trPr>
          <w:trHeight w:val="363"/>
        </w:trPr>
        <w:tc>
          <w:tcPr>
            <w:tcW w:w="3920" w:type="dxa"/>
            <w:vAlign w:val="bottom"/>
          </w:tcPr>
          <w:p>
            <w:pPr>
              <w:jc w:val="center"/>
              <w:ind w:right="302"/>
              <w:spacing w:after="0"/>
              <w:rPr>
                <w:sz w:val="20"/>
                <w:szCs w:val="20"/>
                <w:color w:val="auto"/>
              </w:rPr>
            </w:pPr>
            <w:r>
              <w:rPr>
                <w:rFonts w:ascii="Arial" w:cs="Arial" w:eastAsia="Arial" w:hAnsi="Arial"/>
                <w:sz w:val="17"/>
                <w:szCs w:val="17"/>
                <w:b w:val="1"/>
                <w:bCs w:val="1"/>
                <w:color w:val="auto"/>
                <w:w w:val="92"/>
              </w:rPr>
              <w:t>1626 East Jefferson Street, Rockville, Maryland</w:t>
            </w:r>
          </w:p>
        </w:tc>
        <w:tc>
          <w:tcPr>
            <w:tcW w:w="4800" w:type="dxa"/>
            <w:vAlign w:val="bottom"/>
          </w:tcPr>
          <w:p>
            <w:pPr>
              <w:jc w:val="right"/>
              <w:ind w:right="720"/>
              <w:spacing w:after="0"/>
              <w:rPr>
                <w:sz w:val="20"/>
                <w:szCs w:val="20"/>
                <w:color w:val="auto"/>
              </w:rPr>
            </w:pPr>
            <w:r>
              <w:rPr>
                <w:rFonts w:ascii="Arial" w:cs="Arial" w:eastAsia="Arial" w:hAnsi="Arial"/>
                <w:sz w:val="17"/>
                <w:szCs w:val="17"/>
                <w:b w:val="1"/>
                <w:bCs w:val="1"/>
                <w:color w:val="auto"/>
              </w:rPr>
              <w:t>20852</w:t>
            </w:r>
          </w:p>
        </w:tc>
      </w:tr>
      <w:tr>
        <w:trPr>
          <w:trHeight w:val="209"/>
        </w:trPr>
        <w:tc>
          <w:tcPr>
            <w:tcW w:w="3920" w:type="dxa"/>
            <w:vAlign w:val="bottom"/>
          </w:tcPr>
          <w:p>
            <w:pPr>
              <w:jc w:val="center"/>
              <w:ind w:right="302"/>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4800" w:type="dxa"/>
            <w:vAlign w:val="bottom"/>
          </w:tcPr>
          <w:p>
            <w:pPr>
              <w:jc w:val="center"/>
              <w:ind w:left="2700"/>
              <w:spacing w:after="0"/>
              <w:rPr>
                <w:sz w:val="20"/>
                <w:szCs w:val="20"/>
                <w:color w:val="auto"/>
              </w:rPr>
            </w:pPr>
            <w:r>
              <w:rPr>
                <w:rFonts w:ascii="Arial" w:cs="Arial" w:eastAsia="Arial" w:hAnsi="Arial"/>
                <w:sz w:val="14"/>
                <w:szCs w:val="14"/>
                <w:b w:val="1"/>
                <w:bCs w:val="1"/>
                <w:color w:val="auto"/>
                <w:w w:val="95"/>
              </w:rPr>
              <w:t>(Zip Code)</w:t>
            </w:r>
          </w:p>
        </w:tc>
      </w:tr>
      <w:tr>
        <w:trPr>
          <w:trHeight w:val="272"/>
        </w:trPr>
        <w:tc>
          <w:tcPr>
            <w:tcW w:w="3920" w:type="dxa"/>
            <w:vAlign w:val="bottom"/>
          </w:tcPr>
          <w:p>
            <w:pPr>
              <w:spacing w:after="0"/>
              <w:rPr>
                <w:sz w:val="23"/>
                <w:szCs w:val="23"/>
                <w:color w:val="auto"/>
              </w:rPr>
            </w:pPr>
          </w:p>
        </w:tc>
        <w:tc>
          <w:tcPr>
            <w:tcW w:w="4800" w:type="dxa"/>
            <w:vAlign w:val="bottom"/>
          </w:tcPr>
          <w:p>
            <w:pPr>
              <w:jc w:val="right"/>
              <w:ind w:right="3240"/>
              <w:spacing w:after="0"/>
              <w:rPr>
                <w:sz w:val="20"/>
                <w:szCs w:val="20"/>
                <w:color w:val="auto"/>
              </w:rPr>
            </w:pPr>
            <w:r>
              <w:rPr>
                <w:rFonts w:ascii="Arial" w:cs="Arial" w:eastAsia="Arial" w:hAnsi="Arial"/>
                <w:sz w:val="17"/>
                <w:szCs w:val="17"/>
                <w:b w:val="1"/>
                <w:bCs w:val="1"/>
                <w:color w:val="auto"/>
              </w:rPr>
              <w:t>(301) 998-8100</w:t>
            </w:r>
          </w:p>
        </w:tc>
      </w:tr>
    </w:tbl>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3"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060" w:type="dxa"/>
            <w:vAlign w:val="bottom"/>
          </w:tcPr>
          <w:p>
            <w:pPr>
              <w:spacing w:after="0"/>
              <w:rPr>
                <w:sz w:val="16"/>
                <w:szCs w:val="16"/>
                <w:color w:val="auto"/>
              </w:rPr>
            </w:pPr>
          </w:p>
        </w:tc>
        <w:tc>
          <w:tcPr>
            <w:tcW w:w="4000" w:type="dxa"/>
            <w:vAlign w:val="bottom"/>
            <w:gridSpan w:val="2"/>
          </w:tcPr>
          <w:p>
            <w:pPr>
              <w:jc w:val="center"/>
              <w:ind w:right="2620"/>
              <w:spacing w:after="0"/>
              <w:rPr>
                <w:sz w:val="20"/>
                <w:szCs w:val="20"/>
                <w:color w:val="auto"/>
              </w:rPr>
            </w:pPr>
            <w:r>
              <w:rPr>
                <w:rFonts w:ascii="Arial" w:cs="Arial" w:eastAsia="Arial" w:hAnsi="Arial"/>
                <w:sz w:val="17"/>
                <w:szCs w:val="17"/>
                <w:b w:val="1"/>
                <w:bCs w:val="1"/>
                <w:color w:val="auto"/>
                <w:w w:val="91"/>
              </w:rPr>
              <w:t>Title of Each Class</w:t>
            </w:r>
          </w:p>
        </w:tc>
        <w:tc>
          <w:tcPr>
            <w:tcW w:w="4340" w:type="dxa"/>
            <w:vAlign w:val="bottom"/>
            <w:gridSpan w:val="3"/>
          </w:tcPr>
          <w:p>
            <w:pPr>
              <w:jc w:val="center"/>
              <w:ind w:left="813"/>
              <w:spacing w:after="0"/>
              <w:rPr>
                <w:sz w:val="20"/>
                <w:szCs w:val="20"/>
                <w:color w:val="auto"/>
              </w:rPr>
            </w:pPr>
            <w:r>
              <w:rPr>
                <w:rFonts w:ascii="Arial" w:cs="Arial" w:eastAsia="Arial" w:hAnsi="Arial"/>
                <w:sz w:val="17"/>
                <w:szCs w:val="17"/>
                <w:b w:val="1"/>
                <w:bCs w:val="1"/>
                <w:color w:val="auto"/>
                <w:w w:val="91"/>
              </w:rPr>
              <w:t>Name of Each Exchange On Which Registered</w:t>
            </w:r>
          </w:p>
        </w:tc>
      </w:tr>
      <w:tr>
        <w:trPr>
          <w:trHeight w:val="20"/>
        </w:trPr>
        <w:tc>
          <w:tcPr>
            <w:tcW w:w="20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40" w:type="dxa"/>
            <w:vAlign w:val="bottom"/>
            <w:gridSpan w:val="2"/>
            <w:shd w:val="clear" w:color="auto" w:fill="000000"/>
          </w:tcPr>
          <w:p>
            <w:pPr>
              <w:spacing w:after="0" w:line="20" w:lineRule="exact"/>
              <w:rPr>
                <w:sz w:val="1"/>
                <w:szCs w:val="1"/>
                <w:color w:val="auto"/>
              </w:rPr>
            </w:pPr>
          </w:p>
        </w:tc>
      </w:tr>
      <w:tr>
        <w:trPr>
          <w:trHeight w:val="267"/>
        </w:trPr>
        <w:tc>
          <w:tcPr>
            <w:tcW w:w="6060" w:type="dxa"/>
            <w:vAlign w:val="bottom"/>
            <w:gridSpan w:val="3"/>
          </w:tcPr>
          <w:p>
            <w:pPr>
              <w:jc w:val="center"/>
              <w:ind w:right="580"/>
              <w:spacing w:after="0"/>
              <w:rPr>
                <w:sz w:val="20"/>
                <w:szCs w:val="20"/>
                <w:color w:val="auto"/>
              </w:rPr>
            </w:pPr>
            <w:r>
              <w:rPr>
                <w:rFonts w:ascii="Arial" w:cs="Arial" w:eastAsia="Arial" w:hAnsi="Arial"/>
                <w:sz w:val="17"/>
                <w:szCs w:val="17"/>
                <w:color w:val="auto"/>
                <w:w w:val="92"/>
              </w:rPr>
              <w:t>Common Shares of Beneficial Interest, $.01 par value per share, with</w:t>
            </w:r>
          </w:p>
        </w:tc>
        <w:tc>
          <w:tcPr>
            <w:tcW w:w="900" w:type="dxa"/>
            <w:vAlign w:val="bottom"/>
          </w:tcPr>
          <w:p>
            <w:pPr>
              <w:spacing w:after="0"/>
              <w:rPr>
                <w:sz w:val="23"/>
                <w:szCs w:val="23"/>
                <w:color w:val="auto"/>
              </w:rPr>
            </w:pPr>
          </w:p>
        </w:tc>
        <w:tc>
          <w:tcPr>
            <w:tcW w:w="3440" w:type="dxa"/>
            <w:vAlign w:val="bottom"/>
            <w:gridSpan w:val="2"/>
          </w:tcPr>
          <w:p>
            <w:pPr>
              <w:jc w:val="center"/>
              <w:spacing w:after="0"/>
              <w:rPr>
                <w:sz w:val="20"/>
                <w:szCs w:val="20"/>
                <w:color w:val="auto"/>
              </w:rPr>
            </w:pPr>
            <w:r>
              <w:rPr>
                <w:rFonts w:ascii="Arial" w:cs="Arial" w:eastAsia="Arial" w:hAnsi="Arial"/>
                <w:sz w:val="17"/>
                <w:szCs w:val="17"/>
                <w:color w:val="auto"/>
                <w:w w:val="93"/>
              </w:rPr>
              <w:t>New York Stock Exchange</w:t>
            </w:r>
          </w:p>
        </w:tc>
      </w:tr>
      <w:tr>
        <w:trPr>
          <w:trHeight w:val="220"/>
        </w:trPr>
        <w:tc>
          <w:tcPr>
            <w:tcW w:w="6060" w:type="dxa"/>
            <w:vAlign w:val="bottom"/>
            <w:gridSpan w:val="3"/>
          </w:tcPr>
          <w:p>
            <w:pPr>
              <w:jc w:val="center"/>
              <w:ind w:right="560"/>
              <w:spacing w:after="0"/>
              <w:rPr>
                <w:sz w:val="20"/>
                <w:szCs w:val="20"/>
                <w:color w:val="auto"/>
              </w:rPr>
            </w:pPr>
            <w:r>
              <w:rPr>
                <w:rFonts w:ascii="Arial" w:cs="Arial" w:eastAsia="Arial" w:hAnsi="Arial"/>
                <w:sz w:val="17"/>
                <w:szCs w:val="17"/>
                <w:color w:val="auto"/>
                <w:w w:val="90"/>
              </w:rPr>
              <w:t>associated Common Share Purchase Rights</w:t>
            </w:r>
          </w:p>
        </w:tc>
        <w:tc>
          <w:tcPr>
            <w:tcW w:w="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86"/>
        </w:trPr>
        <w:tc>
          <w:tcPr>
            <w:tcW w:w="6060" w:type="dxa"/>
            <w:vAlign w:val="bottom"/>
            <w:gridSpan w:val="3"/>
          </w:tcPr>
          <w:p>
            <w:pPr>
              <w:spacing w:after="0"/>
              <w:rPr>
                <w:sz w:val="20"/>
                <w:szCs w:val="20"/>
                <w:color w:val="auto"/>
              </w:rPr>
            </w:pPr>
            <w:r>
              <w:rPr>
                <w:rFonts w:ascii="Arial" w:cs="Arial" w:eastAsia="Arial" w:hAnsi="Arial"/>
                <w:sz w:val="17"/>
                <w:szCs w:val="17"/>
                <w:color w:val="auto"/>
              </w:rPr>
              <w:t>Securities registered pursuant to Section 12(g) of the Act: None</w:t>
            </w: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67"/>
        </w:trPr>
        <w:tc>
          <w:tcPr>
            <w:tcW w:w="8900" w:type="dxa"/>
            <w:vAlign w:val="bottom"/>
            <w:gridSpan w:val="5"/>
          </w:tcPr>
          <w:p>
            <w:pPr>
              <w:spacing w:after="0" w:line="196" w:lineRule="exact"/>
              <w:rPr>
                <w:sz w:val="20"/>
                <w:szCs w:val="20"/>
                <w:color w:val="auto"/>
              </w:rPr>
            </w:pPr>
            <w:r>
              <w:rPr>
                <w:rFonts w:ascii="Arial" w:cs="Arial" w:eastAsia="Arial" w:hAnsi="Arial"/>
                <w:sz w:val="17"/>
                <w:szCs w:val="17"/>
                <w:color w:val="auto"/>
                <w:w w:val="94"/>
              </w:rPr>
              <w:t xml:space="preserve">Indicate by check mark if the Registrant is a well-known seasoned issuer, as defined in Rule 405 of the Securities Act. </w:t>
            </w:r>
            <w:r>
              <w:rPr>
                <w:rFonts w:ascii="MS PGothic" w:cs="MS PGothic" w:eastAsia="MS PGothic" w:hAnsi="MS PGothic"/>
                <w:sz w:val="17"/>
                <w:szCs w:val="17"/>
                <w:color w:val="auto"/>
                <w:w w:val="94"/>
              </w:rPr>
              <w:t>☒</w:t>
            </w:r>
            <w:r>
              <w:rPr>
                <w:rFonts w:ascii="Arial" w:cs="Arial" w:eastAsia="Arial" w:hAnsi="Arial"/>
                <w:sz w:val="17"/>
                <w:szCs w:val="17"/>
                <w:color w:val="auto"/>
                <w:w w:val="94"/>
              </w:rPr>
              <w:t xml:space="preserve"> Yes</w:t>
            </w:r>
          </w:p>
        </w:tc>
        <w:tc>
          <w:tcPr>
            <w:tcW w:w="1500" w:type="dxa"/>
            <w:vAlign w:val="bottom"/>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r>
      <w:tr>
        <w:trPr>
          <w:trHeight w:val="271"/>
        </w:trPr>
        <w:tc>
          <w:tcPr>
            <w:tcW w:w="8900" w:type="dxa"/>
            <w:vAlign w:val="bottom"/>
            <w:gridSpan w:val="5"/>
          </w:tcPr>
          <w:p>
            <w:pPr>
              <w:spacing w:after="0" w:line="196" w:lineRule="exact"/>
              <w:rPr>
                <w:sz w:val="20"/>
                <w:szCs w:val="20"/>
                <w:color w:val="auto"/>
              </w:rPr>
            </w:pPr>
            <w:r>
              <w:rPr>
                <w:rFonts w:ascii="Arial" w:cs="Arial" w:eastAsia="Arial" w:hAnsi="Arial"/>
                <w:sz w:val="17"/>
                <w:szCs w:val="17"/>
                <w:color w:val="auto"/>
                <w:w w:val="93"/>
              </w:rPr>
              <w:t xml:space="preserve">Indicate by check mark if the Registrant is not required to file reports pursuant to Section 13 or Section 15(d) of the Act. </w:t>
            </w:r>
            <w:r>
              <w:rPr>
                <w:rFonts w:ascii="MS PGothic" w:cs="MS PGothic" w:eastAsia="MS PGothic" w:hAnsi="MS PGothic"/>
                <w:sz w:val="17"/>
                <w:szCs w:val="17"/>
                <w:color w:val="auto"/>
                <w:w w:val="93"/>
              </w:rPr>
              <w:t>☐</w:t>
            </w:r>
            <w:r>
              <w:rPr>
                <w:rFonts w:ascii="Arial" w:cs="Arial" w:eastAsia="Arial" w:hAnsi="Arial"/>
                <w:sz w:val="17"/>
                <w:szCs w:val="17"/>
                <w:color w:val="auto"/>
                <w:w w:val="93"/>
              </w:rPr>
              <w:t xml:space="preserve"> Yes</w:t>
            </w:r>
          </w:p>
        </w:tc>
        <w:tc>
          <w:tcPr>
            <w:tcW w:w="1500" w:type="dxa"/>
            <w:vAlign w:val="bottom"/>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r>
    </w:tbl>
    <w:p>
      <w:pPr>
        <w:spacing w:after="0" w:line="22" w:lineRule="exact"/>
        <w:rPr>
          <w:sz w:val="24"/>
          <w:szCs w:val="24"/>
          <w:color w:val="auto"/>
        </w:rPr>
      </w:pPr>
    </w:p>
    <w:p>
      <w:pPr>
        <w:ind w:right="6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4" w:lineRule="exact"/>
        <w:rPr>
          <w:sz w:val="24"/>
          <w:szCs w:val="24"/>
          <w:color w:val="auto"/>
        </w:rPr>
      </w:pPr>
    </w:p>
    <w:p>
      <w:pPr>
        <w:jc w:val="both"/>
        <w:ind w:right="160"/>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4" w:lineRule="exact"/>
        <w:rPr>
          <w:sz w:val="24"/>
          <w:szCs w:val="24"/>
          <w:color w:val="auto"/>
        </w:rPr>
      </w:pPr>
    </w:p>
    <w:p>
      <w:pPr>
        <w:ind w:right="100"/>
        <w:spacing w:after="0" w:line="294"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83"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06"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6" w:lineRule="exact"/>
        <w:rPr>
          <w:sz w:val="24"/>
          <w:szCs w:val="24"/>
          <w:color w:val="auto"/>
        </w:rPr>
      </w:pPr>
    </w:p>
    <w:p>
      <w:pPr>
        <w:sectPr>
          <w:pgSz w:w="11900" w:h="16838" w:orient="portrait"/>
          <w:cols w:equalWidth="0" w:num="4">
            <w:col w:w="1720" w:space="720"/>
            <w:col w:w="3960" w:space="720"/>
            <w:col w:w="3280" w:space="720"/>
            <w:col w:w="300"/>
          </w:cols>
          <w:pgMar w:left="240" w:top="230"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1720" w:space="720"/>
            <w:col w:w="3960" w:space="720"/>
            <w:col w:w="3280" w:space="720"/>
            <w:col w:w="300"/>
          </w:cols>
          <w:pgMar w:left="240" w:top="230" w:right="23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43" w:lineRule="exact"/>
        <w:rPr>
          <w:sz w:val="24"/>
          <w:szCs w:val="24"/>
          <w:color w:val="auto"/>
        </w:rPr>
      </w:pPr>
    </w:p>
    <w:p>
      <w:pPr>
        <w:sectPr>
          <w:pgSz w:w="11900" w:h="16838" w:orient="portrait"/>
          <w:cols w:equalWidth="0" w:num="5">
            <w:col w:w="7940" w:space="220"/>
            <w:col w:w="140" w:space="100"/>
            <w:col w:w="240" w:space="180"/>
            <w:col w:w="160" w:space="80"/>
            <w:col w:w="2360"/>
          </w:cols>
          <w:pgMar w:left="240" w:top="230" w:right="239" w:bottom="1440" w:gutter="0" w:footer="0" w:header="0"/>
          <w:type w:val="continuous"/>
        </w:sectPr>
      </w:pPr>
    </w:p>
    <w:p>
      <w:pPr>
        <w:ind w:right="600"/>
        <w:spacing w:after="0" w:line="280" w:lineRule="auto"/>
        <w:rPr>
          <w:sz w:val="20"/>
          <w:szCs w:val="20"/>
          <w:color w:val="auto"/>
        </w:rPr>
      </w:pPr>
      <w:r>
        <w:rPr>
          <w:rFonts w:ascii="Arial" w:cs="Arial" w:eastAsia="Arial" w:hAnsi="Arial"/>
          <w:sz w:val="17"/>
          <w:szCs w:val="17"/>
          <w:color w:val="auto"/>
        </w:rPr>
        <w:t>The aggregate market value of the Registrant's common shares held by non-affiliates of the Registrant, based upon the closing sales price of the Registrant's common shares on June 30, 2012 was $6.7 billion.</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auto"/>
        </w:rPr>
        <w:t>The number of Registrant’s common shares outstanding on February 8, 2013 was 64,924,837.</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FEDERAL REALTY INVESTMENT TRUST</w:t>
      </w:r>
    </w:p>
    <w:p>
      <w:pPr>
        <w:spacing w:after="0" w:line="169"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ANNUAL REPORT ON FORM 10-K</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FISCAL YEAR ENDED DECEMBER 31, 2012</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DOCUMENTS INCORPORATED BY REFERENCE</w:t>
      </w:r>
    </w:p>
    <w:p>
      <w:pPr>
        <w:spacing w:after="0" w:line="35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Portions of the Registrant’s Proxy Statement to be filed with the Securities and Exchange Commission for the Registrant’s 2012 annual meeting of shareholders to be held in May 2013 will be incorporated by reference into Part III hereof.</w:t>
      </w:r>
    </w:p>
    <w:p>
      <w:pPr>
        <w:spacing w:after="0" w:line="200" w:lineRule="exact"/>
        <w:rPr>
          <w:sz w:val="20"/>
          <w:szCs w:val="20"/>
          <w:color w:val="auto"/>
        </w:rPr>
      </w:pP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1200" w:type="dxa"/>
            <w:vAlign w:val="bottom"/>
          </w:tcPr>
          <w:p>
            <w:pPr>
              <w:spacing w:after="0"/>
              <w:rPr>
                <w:sz w:val="19"/>
                <w:szCs w:val="19"/>
                <w:color w:val="auto"/>
              </w:rPr>
            </w:pPr>
          </w:p>
        </w:tc>
        <w:tc>
          <w:tcPr>
            <w:tcW w:w="9300" w:type="dxa"/>
            <w:vAlign w:val="bottom"/>
          </w:tcPr>
          <w:p>
            <w:pPr>
              <w:ind w:left="3540"/>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2"/>
        </w:trPr>
        <w:tc>
          <w:tcPr>
            <w:tcW w:w="1200" w:type="dxa"/>
            <w:vAlign w:val="bottom"/>
          </w:tcPr>
          <w:p>
            <w:pPr>
              <w:spacing w:after="0"/>
              <w:rPr>
                <w:sz w:val="20"/>
                <w:szCs w:val="20"/>
                <w:color w:val="auto"/>
              </w:rPr>
            </w:pPr>
            <w:r>
              <w:rPr>
                <w:rFonts w:ascii="Arial" w:cs="Arial" w:eastAsia="Arial" w:hAnsi="Arial"/>
                <w:sz w:val="17"/>
                <w:szCs w:val="17"/>
                <w:color w:val="auto"/>
              </w:rPr>
              <w:t>PART I</w:t>
            </w:r>
          </w:p>
        </w:tc>
        <w:tc>
          <w:tcPr>
            <w:tcW w:w="9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1200" w:type="dxa"/>
            <w:vAlign w:val="bottom"/>
          </w:tcPr>
          <w:p>
            <w:pPr>
              <w:spacing w:after="0"/>
              <w:rPr>
                <w:sz w:val="20"/>
                <w:szCs w:val="20"/>
                <w:color w:val="auto"/>
              </w:rPr>
            </w:pPr>
            <w:r>
              <w:rPr>
                <w:rFonts w:ascii="Arial" w:cs="Arial" w:eastAsia="Arial" w:hAnsi="Arial"/>
                <w:sz w:val="17"/>
                <w:szCs w:val="17"/>
                <w:color w:val="auto"/>
              </w:rPr>
              <w:t>Item 1.</w:t>
            </w:r>
          </w:p>
        </w:tc>
        <w:tc>
          <w:tcPr>
            <w:tcW w:w="9300" w:type="dxa"/>
            <w:vAlign w:val="bottom"/>
          </w:tcPr>
          <w:p>
            <w:pPr>
              <w:ind w:left="160"/>
              <w:spacing w:after="0"/>
              <w:rPr>
                <w:sz w:val="20"/>
                <w:szCs w:val="20"/>
                <w:color w:val="auto"/>
              </w:rPr>
            </w:pPr>
            <w:r>
              <w:rPr>
                <w:rFonts w:ascii="Arial" w:cs="Arial" w:eastAsia="Arial" w:hAnsi="Arial"/>
                <w:sz w:val="17"/>
                <w:szCs w:val="17"/>
                <w:color w:val="auto"/>
              </w:rPr>
              <w:t>Business</w:t>
            </w: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c>
          <w:tcPr>
            <w:tcW w:w="100" w:type="dxa"/>
            <w:vAlign w:val="bottom"/>
          </w:tcPr>
          <w:p>
            <w:pPr>
              <w:spacing w:after="0"/>
              <w:rPr>
                <w:sz w:val="19"/>
                <w:szCs w:val="19"/>
                <w:color w:val="auto"/>
              </w:rPr>
            </w:pPr>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1A.</w:t>
            </w:r>
          </w:p>
        </w:tc>
        <w:tc>
          <w:tcPr>
            <w:tcW w:w="9300" w:type="dxa"/>
            <w:vAlign w:val="bottom"/>
          </w:tcPr>
          <w:p>
            <w:pPr>
              <w:ind w:left="160"/>
              <w:spacing w:after="0"/>
              <w:rPr>
                <w:sz w:val="20"/>
                <w:szCs w:val="20"/>
                <w:color w:val="auto"/>
              </w:rPr>
            </w:pPr>
            <w:r>
              <w:rPr>
                <w:rFonts w:ascii="Arial" w:cs="Arial" w:eastAsia="Arial" w:hAnsi="Arial"/>
                <w:sz w:val="17"/>
                <w:szCs w:val="17"/>
                <w:color w:val="auto"/>
              </w:rPr>
              <w:t>Risk Factors</w:t>
            </w: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100" w:type="dxa"/>
            <w:vAlign w:val="bottom"/>
          </w:tcPr>
          <w:p>
            <w:pPr>
              <w:spacing w:after="0"/>
              <w:rPr>
                <w:sz w:val="20"/>
                <w:szCs w:val="20"/>
                <w:color w:val="auto"/>
              </w:rPr>
            </w:pPr>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1B.</w:t>
            </w:r>
          </w:p>
        </w:tc>
        <w:tc>
          <w:tcPr>
            <w:tcW w:w="9300" w:type="dxa"/>
            <w:vAlign w:val="bottom"/>
          </w:tcPr>
          <w:p>
            <w:pPr>
              <w:ind w:left="160"/>
              <w:spacing w:after="0"/>
              <w:rPr>
                <w:sz w:val="20"/>
                <w:szCs w:val="20"/>
                <w:color w:val="auto"/>
              </w:rPr>
            </w:pPr>
            <w:r>
              <w:rPr>
                <w:rFonts w:ascii="Arial" w:cs="Arial" w:eastAsia="Arial" w:hAnsi="Arial"/>
                <w:sz w:val="17"/>
                <w:szCs w:val="17"/>
                <w:color w:val="auto"/>
              </w:rPr>
              <w:t>Unresolved Staff Comments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15">
              <w:r>
                <w:rPr>
                  <w:rFonts w:ascii="Arial" w:cs="Arial" w:eastAsia="Arial" w:hAnsi="Arial"/>
                  <w:sz w:val="17"/>
                  <w:szCs w:val="17"/>
                  <w:color w:val="0000FF"/>
                  <w:w w:val="84"/>
                </w:rPr>
                <w:t>15</w:t>
              </w:r>
            </w:hyperlink>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2.</w:t>
            </w:r>
          </w:p>
        </w:tc>
        <w:tc>
          <w:tcPr>
            <w:tcW w:w="9300" w:type="dxa"/>
            <w:vAlign w:val="bottom"/>
          </w:tcPr>
          <w:p>
            <w:pPr>
              <w:ind w:left="160"/>
              <w:spacing w:after="0"/>
              <w:rPr>
                <w:sz w:val="20"/>
                <w:szCs w:val="20"/>
                <w:color w:val="auto"/>
              </w:rPr>
            </w:pPr>
            <w:r>
              <w:rPr>
                <w:rFonts w:ascii="Arial" w:cs="Arial" w:eastAsia="Arial" w:hAnsi="Arial"/>
                <w:sz w:val="17"/>
                <w:szCs w:val="17"/>
                <w:color w:val="auto"/>
              </w:rPr>
              <w:t>Properties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15">
              <w:r>
                <w:rPr>
                  <w:rFonts w:ascii="Arial" w:cs="Arial" w:eastAsia="Arial" w:hAnsi="Arial"/>
                  <w:sz w:val="17"/>
                  <w:szCs w:val="17"/>
                  <w:color w:val="0000FF"/>
                  <w:w w:val="84"/>
                </w:rPr>
                <w:t>15</w:t>
              </w:r>
            </w:hyperlink>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3.</w:t>
            </w:r>
          </w:p>
        </w:tc>
        <w:tc>
          <w:tcPr>
            <w:tcW w:w="9300" w:type="dxa"/>
            <w:vAlign w:val="bottom"/>
          </w:tcPr>
          <w:p>
            <w:pPr>
              <w:ind w:left="160"/>
              <w:spacing w:after="0"/>
              <w:rPr>
                <w:sz w:val="20"/>
                <w:szCs w:val="20"/>
                <w:color w:val="auto"/>
              </w:rPr>
            </w:pPr>
            <w:r>
              <w:rPr>
                <w:rFonts w:ascii="Arial" w:cs="Arial" w:eastAsia="Arial" w:hAnsi="Arial"/>
                <w:sz w:val="17"/>
                <w:szCs w:val="17"/>
                <w:color w:val="auto"/>
              </w:rPr>
              <w:t>Legal Proceedings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23">
              <w:r>
                <w:rPr>
                  <w:rFonts w:ascii="Arial" w:cs="Arial" w:eastAsia="Arial" w:hAnsi="Arial"/>
                  <w:sz w:val="17"/>
                  <w:szCs w:val="17"/>
                  <w:color w:val="0000FF"/>
                  <w:w w:val="84"/>
                </w:rPr>
                <w:t>23</w:t>
              </w:r>
            </w:hyperlink>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4.</w:t>
            </w:r>
          </w:p>
        </w:tc>
        <w:tc>
          <w:tcPr>
            <w:tcW w:w="9300" w:type="dxa"/>
            <w:vAlign w:val="bottom"/>
          </w:tcPr>
          <w:p>
            <w:pPr>
              <w:ind w:left="160"/>
              <w:spacing w:after="0"/>
              <w:rPr>
                <w:sz w:val="20"/>
                <w:szCs w:val="20"/>
                <w:color w:val="auto"/>
              </w:rPr>
            </w:pPr>
            <w:r>
              <w:rPr>
                <w:rFonts w:ascii="Arial" w:cs="Arial" w:eastAsia="Arial" w:hAnsi="Arial"/>
                <w:sz w:val="17"/>
                <w:szCs w:val="17"/>
                <w:color w:val="auto"/>
              </w:rPr>
              <w:t>Mine Safety Disclosures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23">
              <w:r>
                <w:rPr>
                  <w:rFonts w:ascii="Arial" w:cs="Arial" w:eastAsia="Arial" w:hAnsi="Arial"/>
                  <w:sz w:val="17"/>
                  <w:szCs w:val="17"/>
                  <w:color w:val="0000FF"/>
                  <w:w w:val="84"/>
                </w:rPr>
                <w:t>23</w:t>
              </w:r>
            </w:hyperlink>
          </w:p>
        </w:tc>
      </w:tr>
      <w:tr>
        <w:trPr>
          <w:trHeight w:val="591"/>
        </w:trPr>
        <w:tc>
          <w:tcPr>
            <w:tcW w:w="1200" w:type="dxa"/>
            <w:vAlign w:val="bottom"/>
          </w:tcPr>
          <w:p>
            <w:pPr>
              <w:spacing w:after="0"/>
              <w:rPr>
                <w:sz w:val="20"/>
                <w:szCs w:val="20"/>
                <w:color w:val="auto"/>
              </w:rPr>
            </w:pPr>
            <w:r>
              <w:rPr>
                <w:rFonts w:ascii="Arial" w:cs="Arial" w:eastAsia="Arial" w:hAnsi="Arial"/>
                <w:sz w:val="17"/>
                <w:szCs w:val="17"/>
                <w:color w:val="auto"/>
              </w:rPr>
              <w:t>PART II</w:t>
            </w:r>
          </w:p>
        </w:tc>
        <w:tc>
          <w:tcPr>
            <w:tcW w:w="9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1200" w:type="dxa"/>
            <w:vAlign w:val="bottom"/>
          </w:tcPr>
          <w:p>
            <w:pPr>
              <w:spacing w:after="0"/>
              <w:rPr>
                <w:sz w:val="20"/>
                <w:szCs w:val="20"/>
                <w:color w:val="auto"/>
              </w:rPr>
            </w:pPr>
            <w:r>
              <w:rPr>
                <w:rFonts w:ascii="Arial" w:cs="Arial" w:eastAsia="Arial" w:hAnsi="Arial"/>
                <w:sz w:val="17"/>
                <w:szCs w:val="17"/>
                <w:color w:val="auto"/>
              </w:rPr>
              <w:t>Item 5.</w:t>
            </w:r>
          </w:p>
        </w:tc>
        <w:tc>
          <w:tcPr>
            <w:tcW w:w="9300" w:type="dxa"/>
            <w:vAlign w:val="bottom"/>
          </w:tcPr>
          <w:p>
            <w:pPr>
              <w:ind w:left="160"/>
              <w:spacing w:after="0"/>
              <w:rPr>
                <w:sz w:val="20"/>
                <w:szCs w:val="20"/>
                <w:color w:val="auto"/>
              </w:rPr>
            </w:pPr>
            <w:r>
              <w:rPr>
                <w:rFonts w:ascii="Arial" w:cs="Arial" w:eastAsia="Arial" w:hAnsi="Arial"/>
                <w:sz w:val="17"/>
                <w:szCs w:val="17"/>
                <w:color w:val="auto"/>
              </w:rPr>
              <w:t>Market for Our Common Equity and Related Shareholder Matters and Issuer Purchases of Equity Securities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24">
              <w:r>
                <w:rPr>
                  <w:rFonts w:ascii="Arial" w:cs="Arial" w:eastAsia="Arial" w:hAnsi="Arial"/>
                  <w:sz w:val="17"/>
                  <w:szCs w:val="17"/>
                  <w:color w:val="0000FF"/>
                  <w:w w:val="84"/>
                </w:rPr>
                <w:t>24</w:t>
              </w:r>
            </w:hyperlink>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6.</w:t>
            </w:r>
          </w:p>
        </w:tc>
        <w:tc>
          <w:tcPr>
            <w:tcW w:w="9300" w:type="dxa"/>
            <w:vAlign w:val="bottom"/>
          </w:tcPr>
          <w:p>
            <w:pPr>
              <w:ind w:left="160"/>
              <w:spacing w:after="0"/>
              <w:rPr>
                <w:sz w:val="20"/>
                <w:szCs w:val="20"/>
                <w:color w:val="auto"/>
              </w:rPr>
            </w:pPr>
            <w:r>
              <w:rPr>
                <w:rFonts w:ascii="Arial" w:cs="Arial" w:eastAsia="Arial" w:hAnsi="Arial"/>
                <w:sz w:val="17"/>
                <w:szCs w:val="17"/>
                <w:color w:val="auto"/>
              </w:rPr>
              <w:t>Selected Financial Data</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25">
              <w:r>
                <w:rPr>
                  <w:rFonts w:ascii="Arial" w:cs="Arial" w:eastAsia="Arial" w:hAnsi="Arial"/>
                  <w:sz w:val="17"/>
                  <w:szCs w:val="17"/>
                  <w:color w:val="0000FF"/>
                  <w:w w:val="84"/>
                </w:rPr>
                <w:t>26</w:t>
              </w:r>
            </w:hyperlink>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7.</w:t>
            </w:r>
          </w:p>
        </w:tc>
        <w:tc>
          <w:tcPr>
            <w:tcW w:w="9300" w:type="dxa"/>
            <w:vAlign w:val="bottom"/>
          </w:tcPr>
          <w:p>
            <w:pPr>
              <w:ind w:left="16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28">
              <w:r>
                <w:rPr>
                  <w:rFonts w:ascii="Arial" w:cs="Arial" w:eastAsia="Arial" w:hAnsi="Arial"/>
                  <w:sz w:val="17"/>
                  <w:szCs w:val="17"/>
                  <w:color w:val="0000FF"/>
                  <w:w w:val="84"/>
                </w:rPr>
                <w:t>28</w:t>
              </w:r>
            </w:hyperlink>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7A.</w:t>
            </w:r>
          </w:p>
        </w:tc>
        <w:tc>
          <w:tcPr>
            <w:tcW w:w="9300" w:type="dxa"/>
            <w:vAlign w:val="bottom"/>
          </w:tcPr>
          <w:p>
            <w:pPr>
              <w:ind w:left="160"/>
              <w:spacing w:after="0"/>
              <w:rPr>
                <w:sz w:val="20"/>
                <w:szCs w:val="20"/>
                <w:color w:val="auto"/>
              </w:rPr>
            </w:pPr>
            <w:r>
              <w:rPr>
                <w:rFonts w:ascii="Arial" w:cs="Arial" w:eastAsia="Arial" w:hAnsi="Arial"/>
                <w:sz w:val="17"/>
                <w:szCs w:val="17"/>
                <w:color w:val="auto"/>
              </w:rPr>
              <w:t>Quantitative and Qualitative Disclosures about Market Risk</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47">
              <w:r>
                <w:rPr>
                  <w:rFonts w:ascii="Arial" w:cs="Arial" w:eastAsia="Arial" w:hAnsi="Arial"/>
                  <w:sz w:val="17"/>
                  <w:szCs w:val="17"/>
                  <w:color w:val="0000FF"/>
                  <w:w w:val="84"/>
                </w:rPr>
                <w:t>47</w:t>
              </w:r>
            </w:hyperlink>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8.</w:t>
            </w:r>
          </w:p>
        </w:tc>
        <w:tc>
          <w:tcPr>
            <w:tcW w:w="9300" w:type="dxa"/>
            <w:vAlign w:val="bottom"/>
          </w:tcPr>
          <w:p>
            <w:pPr>
              <w:ind w:left="160"/>
              <w:spacing w:after="0"/>
              <w:rPr>
                <w:sz w:val="20"/>
                <w:szCs w:val="20"/>
                <w:color w:val="auto"/>
              </w:rPr>
            </w:pPr>
            <w:r>
              <w:rPr>
                <w:rFonts w:ascii="Arial" w:cs="Arial" w:eastAsia="Arial" w:hAnsi="Arial"/>
                <w:sz w:val="17"/>
                <w:szCs w:val="17"/>
                <w:color w:val="auto"/>
              </w:rPr>
              <w:t>Financial Statements and Supplementary Data</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48">
              <w:r>
                <w:rPr>
                  <w:rFonts w:ascii="Arial" w:cs="Arial" w:eastAsia="Arial" w:hAnsi="Arial"/>
                  <w:sz w:val="17"/>
                  <w:szCs w:val="17"/>
                  <w:color w:val="0000FF"/>
                  <w:w w:val="84"/>
                </w:rPr>
                <w:t>48</w:t>
              </w:r>
            </w:hyperlink>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9.</w:t>
            </w:r>
          </w:p>
        </w:tc>
        <w:tc>
          <w:tcPr>
            <w:tcW w:w="9300" w:type="dxa"/>
            <w:vAlign w:val="bottom"/>
          </w:tcPr>
          <w:p>
            <w:pPr>
              <w:ind w:left="160"/>
              <w:spacing w:after="0"/>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48">
              <w:r>
                <w:rPr>
                  <w:rFonts w:ascii="Arial" w:cs="Arial" w:eastAsia="Arial" w:hAnsi="Arial"/>
                  <w:sz w:val="17"/>
                  <w:szCs w:val="17"/>
                  <w:color w:val="0000FF"/>
                  <w:w w:val="84"/>
                </w:rPr>
                <w:t>48</w:t>
              </w:r>
            </w:hyperlink>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9A.</w:t>
            </w:r>
          </w:p>
        </w:tc>
        <w:tc>
          <w:tcPr>
            <w:tcW w:w="9300" w:type="dxa"/>
            <w:vAlign w:val="bottom"/>
          </w:tcPr>
          <w:p>
            <w:pPr>
              <w:ind w:left="160"/>
              <w:spacing w:after="0"/>
              <w:rPr>
                <w:sz w:val="20"/>
                <w:szCs w:val="20"/>
                <w:color w:val="auto"/>
              </w:rPr>
            </w:pPr>
            <w:r>
              <w:rPr>
                <w:rFonts w:ascii="Arial" w:cs="Arial" w:eastAsia="Arial" w:hAnsi="Arial"/>
                <w:sz w:val="17"/>
                <w:szCs w:val="17"/>
                <w:color w:val="auto"/>
              </w:rPr>
              <w:t>Controls and Procedures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48">
              <w:r>
                <w:rPr>
                  <w:rFonts w:ascii="Arial" w:cs="Arial" w:eastAsia="Arial" w:hAnsi="Arial"/>
                  <w:sz w:val="17"/>
                  <w:szCs w:val="17"/>
                  <w:color w:val="0000FF"/>
                  <w:w w:val="84"/>
                </w:rPr>
                <w:t>48</w:t>
              </w:r>
            </w:hyperlink>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9B.</w:t>
            </w:r>
          </w:p>
        </w:tc>
        <w:tc>
          <w:tcPr>
            <w:tcW w:w="9300" w:type="dxa"/>
            <w:vAlign w:val="bottom"/>
          </w:tcPr>
          <w:p>
            <w:pPr>
              <w:ind w:left="160"/>
              <w:spacing w:after="0"/>
              <w:rPr>
                <w:sz w:val="20"/>
                <w:szCs w:val="20"/>
                <w:color w:val="auto"/>
              </w:rPr>
            </w:pPr>
            <w:r>
              <w:rPr>
                <w:rFonts w:ascii="Arial" w:cs="Arial" w:eastAsia="Arial" w:hAnsi="Arial"/>
                <w:sz w:val="17"/>
                <w:szCs w:val="17"/>
                <w:color w:val="auto"/>
              </w:rPr>
              <w:t>Other Information</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0">
              <w:r>
                <w:rPr>
                  <w:rFonts w:ascii="Arial" w:cs="Arial" w:eastAsia="Arial" w:hAnsi="Arial"/>
                  <w:sz w:val="17"/>
                  <w:szCs w:val="17"/>
                  <w:color w:val="0000FF"/>
                  <w:w w:val="84"/>
                </w:rPr>
                <w:t>50</w:t>
              </w:r>
            </w:hyperlink>
          </w:p>
        </w:tc>
      </w:tr>
      <w:tr>
        <w:trPr>
          <w:trHeight w:val="591"/>
        </w:trPr>
        <w:tc>
          <w:tcPr>
            <w:tcW w:w="1200" w:type="dxa"/>
            <w:vAlign w:val="bottom"/>
          </w:tcPr>
          <w:p>
            <w:pPr>
              <w:spacing w:after="0"/>
              <w:rPr>
                <w:sz w:val="20"/>
                <w:szCs w:val="20"/>
                <w:color w:val="auto"/>
              </w:rPr>
            </w:pPr>
            <w:r>
              <w:rPr>
                <w:rFonts w:ascii="Arial" w:cs="Arial" w:eastAsia="Arial" w:hAnsi="Arial"/>
                <w:sz w:val="17"/>
                <w:szCs w:val="17"/>
                <w:color w:val="auto"/>
              </w:rPr>
              <w:t>PART III</w:t>
            </w:r>
          </w:p>
        </w:tc>
        <w:tc>
          <w:tcPr>
            <w:tcW w:w="9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1200" w:type="dxa"/>
            <w:vAlign w:val="bottom"/>
          </w:tcPr>
          <w:p>
            <w:pPr>
              <w:spacing w:after="0"/>
              <w:rPr>
                <w:sz w:val="20"/>
                <w:szCs w:val="20"/>
                <w:color w:val="auto"/>
              </w:rPr>
            </w:pPr>
            <w:r>
              <w:rPr>
                <w:rFonts w:ascii="Arial" w:cs="Arial" w:eastAsia="Arial" w:hAnsi="Arial"/>
                <w:sz w:val="17"/>
                <w:szCs w:val="17"/>
                <w:color w:val="auto"/>
              </w:rPr>
              <w:t>Item 10.</w:t>
            </w:r>
          </w:p>
        </w:tc>
        <w:tc>
          <w:tcPr>
            <w:tcW w:w="9300" w:type="dxa"/>
            <w:vAlign w:val="bottom"/>
          </w:tcPr>
          <w:p>
            <w:pPr>
              <w:ind w:left="160"/>
              <w:spacing w:after="0"/>
              <w:rPr>
                <w:sz w:val="20"/>
                <w:szCs w:val="20"/>
                <w:color w:val="auto"/>
              </w:rPr>
            </w:pPr>
            <w:r>
              <w:rPr>
                <w:rFonts w:ascii="Arial" w:cs="Arial" w:eastAsia="Arial" w:hAnsi="Arial"/>
                <w:sz w:val="17"/>
                <w:szCs w:val="17"/>
                <w:color w:val="auto"/>
              </w:rPr>
              <w:t>Trustees, Executive Officers and Corporate Governance</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1">
              <w:r>
                <w:rPr>
                  <w:rFonts w:ascii="Arial" w:cs="Arial" w:eastAsia="Arial" w:hAnsi="Arial"/>
                  <w:sz w:val="17"/>
                  <w:szCs w:val="17"/>
                  <w:color w:val="0000FF"/>
                  <w:w w:val="84"/>
                </w:rPr>
                <w:t>51</w:t>
              </w:r>
            </w:hyperlink>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11.</w:t>
            </w:r>
          </w:p>
        </w:tc>
        <w:tc>
          <w:tcPr>
            <w:tcW w:w="9300" w:type="dxa"/>
            <w:vAlign w:val="bottom"/>
          </w:tcPr>
          <w:p>
            <w:pPr>
              <w:ind w:left="160"/>
              <w:spacing w:after="0"/>
              <w:rPr>
                <w:sz w:val="20"/>
                <w:szCs w:val="20"/>
                <w:color w:val="auto"/>
              </w:rPr>
            </w:pPr>
            <w:r>
              <w:rPr>
                <w:rFonts w:ascii="Arial" w:cs="Arial" w:eastAsia="Arial" w:hAnsi="Arial"/>
                <w:sz w:val="17"/>
                <w:szCs w:val="17"/>
                <w:color w:val="auto"/>
              </w:rPr>
              <w:t>Executive Compensation</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1">
              <w:r>
                <w:rPr>
                  <w:rFonts w:ascii="Arial" w:cs="Arial" w:eastAsia="Arial" w:hAnsi="Arial"/>
                  <w:sz w:val="17"/>
                  <w:szCs w:val="17"/>
                  <w:color w:val="0000FF"/>
                  <w:w w:val="84"/>
                </w:rPr>
                <w:t>51</w:t>
              </w:r>
            </w:hyperlink>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12.</w:t>
            </w:r>
          </w:p>
        </w:tc>
        <w:tc>
          <w:tcPr>
            <w:tcW w:w="9300" w:type="dxa"/>
            <w:vAlign w:val="bottom"/>
          </w:tcPr>
          <w:p>
            <w:pPr>
              <w:ind w:left="160"/>
              <w:spacing w:after="0"/>
              <w:rPr>
                <w:sz w:val="20"/>
                <w:szCs w:val="20"/>
                <w:color w:val="auto"/>
              </w:rPr>
            </w:pPr>
            <w:r>
              <w:rPr>
                <w:rFonts w:ascii="Arial" w:cs="Arial" w:eastAsia="Arial" w:hAnsi="Arial"/>
                <w:sz w:val="17"/>
                <w:szCs w:val="17"/>
                <w:color w:val="auto"/>
              </w:rPr>
              <w:t>Security Ownership of Certain Beneficial Owners and Management and Related Shareholder Matters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1">
              <w:r>
                <w:rPr>
                  <w:rFonts w:ascii="Arial" w:cs="Arial" w:eastAsia="Arial" w:hAnsi="Arial"/>
                  <w:sz w:val="17"/>
                  <w:szCs w:val="17"/>
                  <w:color w:val="0000FF"/>
                  <w:w w:val="84"/>
                </w:rPr>
                <w:t>51</w:t>
              </w:r>
            </w:hyperlink>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13.</w:t>
            </w:r>
          </w:p>
        </w:tc>
        <w:tc>
          <w:tcPr>
            <w:tcW w:w="9300" w:type="dxa"/>
            <w:vAlign w:val="bottom"/>
          </w:tcPr>
          <w:p>
            <w:pPr>
              <w:ind w:left="160"/>
              <w:spacing w:after="0"/>
              <w:rPr>
                <w:sz w:val="20"/>
                <w:szCs w:val="20"/>
                <w:color w:val="auto"/>
              </w:rPr>
            </w:pPr>
            <w:r>
              <w:rPr>
                <w:rFonts w:ascii="Arial" w:cs="Arial" w:eastAsia="Arial" w:hAnsi="Arial"/>
                <w:sz w:val="17"/>
                <w:szCs w:val="17"/>
                <w:color w:val="auto"/>
              </w:rPr>
              <w:t>Certain Relationships and Related Transactions, and Trustee Independence</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1">
              <w:r>
                <w:rPr>
                  <w:rFonts w:ascii="Arial" w:cs="Arial" w:eastAsia="Arial" w:hAnsi="Arial"/>
                  <w:sz w:val="17"/>
                  <w:szCs w:val="17"/>
                  <w:color w:val="0000FF"/>
                  <w:w w:val="84"/>
                </w:rPr>
                <w:t>51</w:t>
              </w:r>
            </w:hyperlink>
          </w:p>
        </w:tc>
      </w:tr>
      <w:tr>
        <w:trPr>
          <w:trHeight w:val="240"/>
        </w:trPr>
        <w:tc>
          <w:tcPr>
            <w:tcW w:w="1200" w:type="dxa"/>
            <w:vAlign w:val="bottom"/>
          </w:tcPr>
          <w:p>
            <w:pPr>
              <w:spacing w:after="0"/>
              <w:rPr>
                <w:sz w:val="20"/>
                <w:szCs w:val="20"/>
                <w:color w:val="auto"/>
              </w:rPr>
            </w:pPr>
            <w:r>
              <w:rPr>
                <w:rFonts w:ascii="Arial" w:cs="Arial" w:eastAsia="Arial" w:hAnsi="Arial"/>
                <w:sz w:val="17"/>
                <w:szCs w:val="17"/>
                <w:color w:val="auto"/>
              </w:rPr>
              <w:t>Item 14.</w:t>
            </w:r>
          </w:p>
        </w:tc>
        <w:tc>
          <w:tcPr>
            <w:tcW w:w="9300" w:type="dxa"/>
            <w:vAlign w:val="bottom"/>
          </w:tcPr>
          <w:p>
            <w:pPr>
              <w:ind w:left="160"/>
              <w:spacing w:after="0"/>
              <w:rPr>
                <w:sz w:val="20"/>
                <w:szCs w:val="20"/>
                <w:color w:val="auto"/>
              </w:rPr>
            </w:pPr>
            <w:r>
              <w:rPr>
                <w:rFonts w:ascii="Arial" w:cs="Arial" w:eastAsia="Arial" w:hAnsi="Arial"/>
                <w:sz w:val="17"/>
                <w:szCs w:val="17"/>
                <w:color w:val="auto"/>
              </w:rPr>
              <w:t>Principal Accountant Fees and Services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1">
              <w:r>
                <w:rPr>
                  <w:rFonts w:ascii="Arial" w:cs="Arial" w:eastAsia="Arial" w:hAnsi="Arial"/>
                  <w:sz w:val="17"/>
                  <w:szCs w:val="17"/>
                  <w:color w:val="0000FF"/>
                  <w:w w:val="84"/>
                </w:rPr>
                <w:t>51</w:t>
              </w:r>
            </w:hyperlink>
          </w:p>
        </w:tc>
      </w:tr>
      <w:tr>
        <w:trPr>
          <w:trHeight w:val="591"/>
        </w:trPr>
        <w:tc>
          <w:tcPr>
            <w:tcW w:w="1200" w:type="dxa"/>
            <w:vAlign w:val="bottom"/>
          </w:tcPr>
          <w:p>
            <w:pPr>
              <w:spacing w:after="0"/>
              <w:rPr>
                <w:sz w:val="20"/>
                <w:szCs w:val="20"/>
                <w:color w:val="auto"/>
              </w:rPr>
            </w:pPr>
            <w:r>
              <w:rPr>
                <w:rFonts w:ascii="Arial" w:cs="Arial" w:eastAsia="Arial" w:hAnsi="Arial"/>
                <w:sz w:val="17"/>
                <w:szCs w:val="17"/>
                <w:color w:val="auto"/>
              </w:rPr>
              <w:t>PART IV</w:t>
            </w:r>
          </w:p>
        </w:tc>
        <w:tc>
          <w:tcPr>
            <w:tcW w:w="9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1200" w:type="dxa"/>
            <w:vAlign w:val="bottom"/>
          </w:tcPr>
          <w:p>
            <w:pPr>
              <w:spacing w:after="0"/>
              <w:rPr>
                <w:sz w:val="20"/>
                <w:szCs w:val="20"/>
                <w:color w:val="auto"/>
              </w:rPr>
            </w:pPr>
            <w:r>
              <w:rPr>
                <w:rFonts w:ascii="Arial" w:cs="Arial" w:eastAsia="Arial" w:hAnsi="Arial"/>
                <w:sz w:val="17"/>
                <w:szCs w:val="17"/>
                <w:color w:val="auto"/>
              </w:rPr>
              <w:t>Item 15.</w:t>
            </w:r>
          </w:p>
        </w:tc>
        <w:tc>
          <w:tcPr>
            <w:tcW w:w="9300" w:type="dxa"/>
            <w:vAlign w:val="bottom"/>
          </w:tcPr>
          <w:p>
            <w:pPr>
              <w:ind w:left="160"/>
              <w:spacing w:after="0"/>
              <w:rPr>
                <w:sz w:val="20"/>
                <w:szCs w:val="20"/>
                <w:color w:val="auto"/>
              </w:rPr>
            </w:pPr>
            <w:r>
              <w:rPr>
                <w:rFonts w:ascii="Arial" w:cs="Arial" w:eastAsia="Arial" w:hAnsi="Arial"/>
                <w:sz w:val="17"/>
                <w:szCs w:val="17"/>
                <w:color w:val="auto"/>
              </w:rPr>
              <w:t>Exhibits and Financial Statement Schedules</w:t>
            </w: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1">
              <w:r>
                <w:rPr>
                  <w:rFonts w:ascii="Arial" w:cs="Arial" w:eastAsia="Arial" w:hAnsi="Arial"/>
                  <w:sz w:val="17"/>
                  <w:szCs w:val="17"/>
                  <w:color w:val="0000FF"/>
                  <w:w w:val="84"/>
                </w:rPr>
                <w:t>51</w:t>
              </w:r>
            </w:hyperlink>
          </w:p>
        </w:tc>
      </w:tr>
      <w:tr>
        <w:trPr>
          <w:trHeight w:val="552"/>
        </w:trPr>
        <w:tc>
          <w:tcPr>
            <w:tcW w:w="1200" w:type="dxa"/>
            <w:vAlign w:val="bottom"/>
          </w:tcPr>
          <w:p>
            <w:pPr>
              <w:spacing w:after="0"/>
              <w:rPr>
                <w:sz w:val="20"/>
                <w:szCs w:val="20"/>
                <w:color w:val="auto"/>
              </w:rPr>
            </w:pPr>
            <w:r>
              <w:rPr>
                <w:rFonts w:ascii="Arial" w:cs="Arial" w:eastAsia="Arial" w:hAnsi="Arial"/>
                <w:sz w:val="17"/>
                <w:szCs w:val="17"/>
                <w:color w:val="auto"/>
              </w:rPr>
              <w:t>SIGNATURES</w:t>
            </w:r>
          </w:p>
        </w:tc>
        <w:tc>
          <w:tcPr>
            <w:tcW w:w="9300" w:type="dxa"/>
            <w:vAlign w:val="bottom"/>
          </w:tcPr>
          <w:p>
            <w:pPr>
              <w:spacing w:after="0"/>
              <w:rPr>
                <w:sz w:val="24"/>
                <w:szCs w:val="24"/>
                <w:color w:val="auto"/>
              </w:rPr>
            </w:pPr>
          </w:p>
        </w:tc>
        <w:tc>
          <w:tcPr>
            <w:tcW w:w="180" w:type="dxa"/>
            <w:vAlign w:val="bottom"/>
            <w:tcBorders>
              <w:bottom w:val="single" w:sz="8" w:color="0000FF"/>
            </w:tcBorders>
            <w:gridSpan w:val="2"/>
          </w:tcPr>
          <w:p>
            <w:pPr>
              <w:spacing w:after="0"/>
              <w:rPr>
                <w:rFonts w:ascii="Arial" w:cs="Arial" w:eastAsia="Arial" w:hAnsi="Arial"/>
                <w:sz w:val="17"/>
                <w:szCs w:val="17"/>
                <w:color w:val="0000FF"/>
                <w:w w:val="84"/>
              </w:rPr>
            </w:pPr>
            <w:hyperlink w:anchor="page51">
              <w:r>
                <w:rPr>
                  <w:rFonts w:ascii="Arial" w:cs="Arial" w:eastAsia="Arial" w:hAnsi="Arial"/>
                  <w:sz w:val="17"/>
                  <w:szCs w:val="17"/>
                  <w:color w:val="0000FF"/>
                  <w:w w:val="84"/>
                </w:rPr>
                <w:t>52</w:t>
              </w:r>
            </w:hyperlink>
          </w:p>
        </w:tc>
      </w:tr>
      <w:tr>
        <w:trPr>
          <w:trHeight w:val="903"/>
        </w:trPr>
        <w:tc>
          <w:tcPr>
            <w:tcW w:w="1200" w:type="dxa"/>
            <w:vAlign w:val="bottom"/>
          </w:tcPr>
          <w:p>
            <w:pPr>
              <w:spacing w:after="0"/>
              <w:rPr>
                <w:sz w:val="24"/>
                <w:szCs w:val="24"/>
                <w:color w:val="auto"/>
              </w:rPr>
            </w:pPr>
          </w:p>
        </w:tc>
        <w:tc>
          <w:tcPr>
            <w:tcW w:w="9300" w:type="dxa"/>
            <w:vAlign w:val="bottom"/>
          </w:tcPr>
          <w:p>
            <w:pPr>
              <w:ind w:left="444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60"/>
          </w:cols>
          <w:pgMar w:left="240" w:top="126" w:right="399" w:bottom="1440" w:gutter="0" w:footer="0" w:header="0"/>
        </w:sectPr>
      </w:pPr>
    </w:p>
    <w:bookmarkStart w:id="2" w:name="page3"/>
    <w:bookmarkEnd w:id="2"/>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38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i w:val="1"/>
          <w:iCs w:val="1"/>
          <w:color w:val="auto"/>
        </w:rPr>
        <w:t>References to “we,” “us,” “our” or the “Trust” refer to Federal Realty Investment Trust and our business and operations conducted through our directly or indirectly owned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9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2012, we owned or had a majority interest in community and neighborhood shopping centers and mixed-use properties which are operated as 88 predominantly retail real estate projects comprising approximately 19.6 million square feet. In total, the real estate projects were 95.3% leased and 94.9% occupied at December 31, 2012. A joint venture in which we own a 30% interest owned seven retail real estate projects totaling approximately 1.0 million square feet as of December 31, 2012. In total, the joint venture properties in which we own an interest were 86.3% leased and 86.1% occupied at December 31, 2012. We have paid quarterly dividends to our shareholders continuously since our founding in 1962 and have increased our dividends per common share for 45 consecutive years.</w:t>
      </w:r>
    </w:p>
    <w:p>
      <w:pPr>
        <w:spacing w:after="0" w:line="133"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 and is not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Objectives and Strategies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Our primary business objective is to own, manage, acquire and redevelop a portfolio of high quality retail focused properties that will:</w:t>
      </w:r>
    </w:p>
    <w:p>
      <w:pPr>
        <w:spacing w:after="0" w:line="25" w:lineRule="exact"/>
        <w:rPr>
          <w:sz w:val="20"/>
          <w:szCs w:val="20"/>
          <w:color w:val="auto"/>
        </w:rPr>
      </w:pPr>
    </w:p>
    <w:p>
      <w:pPr>
        <w:ind w:left="620" w:hanging="304"/>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protect investor capital;</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provide increasing cash flow for distribution to shareholders;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generate higher internal growth than our peers; and</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provide potential for capital appreciation.</w:t>
      </w:r>
    </w:p>
    <w:p>
      <w:pPr>
        <w:spacing w:after="0" w:line="1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portfolio includes, and we continue to acquire and redevelop, high quality retail in many formats ranging from regional community and neighborhood shopping centers that generally are anchored by grocery stores to mixed-use properties that are typically centered around a retail component but may also include office, residential and/or hotel components.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Strategies</w:t>
      </w:r>
    </w:p>
    <w:p>
      <w:pPr>
        <w:spacing w:after="0" w:line="91"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Our core operating strategy is to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enabled us to maintain higher occupancy rates, charge higher rental rates, and maintain steady rent growth, all of which increase the value of our portfolio. Our operating strategies also include:</w:t>
      </w:r>
    </w:p>
    <w:p>
      <w:pPr>
        <w:spacing w:after="0" w:line="3" w:lineRule="exact"/>
        <w:rPr>
          <w:sz w:val="20"/>
          <w:szCs w:val="20"/>
          <w:color w:val="auto"/>
        </w:rPr>
      </w:pPr>
    </w:p>
    <w:p>
      <w:pPr>
        <w:ind w:left="620" w:right="60" w:hanging="304"/>
        <w:spacing w:after="0" w:line="255"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increasing rental rates through the renewal of expiring leases or the leasing of space to new tenants at higher rental rates while limiting vacancy and down-time;</w:t>
      </w:r>
    </w:p>
    <w:p>
      <w:pPr>
        <w:ind w:left="620" w:hanging="304"/>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maintaining a diversified tenant base, thereby limiting exposure to any one tenant’s financial or operating difficulties;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monitoring the merchandising mix of our tenant base to achieve a balance of strong national and regional tenants with local specialty tenants;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minimizing overhead and operating costs;</w:t>
      </w:r>
    </w:p>
    <w:p>
      <w:pPr>
        <w:spacing w:after="0" w:line="12" w:lineRule="exact"/>
        <w:rPr>
          <w:rFonts w:ascii="Arial" w:cs="Arial" w:eastAsia="Arial" w:hAnsi="Arial"/>
          <w:sz w:val="17"/>
          <w:szCs w:val="17"/>
          <w:color w:val="auto"/>
        </w:rPr>
      </w:pPr>
    </w:p>
    <w:p>
      <w:pPr>
        <w:ind w:left="620" w:hanging="304"/>
        <w:spacing w:after="0" w:line="255"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ind w:left="620" w:hanging="304"/>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developing local and regional market expertise in order to capitalize on market and retailing trends;</w:t>
      </w:r>
    </w:p>
    <w:p>
      <w:pPr>
        <w:spacing w:after="0" w:line="12" w:lineRule="exact"/>
        <w:rPr>
          <w:rFonts w:ascii="Arial" w:cs="Arial" w:eastAsia="Arial" w:hAnsi="Arial"/>
          <w:sz w:val="17"/>
          <w:szCs w:val="17"/>
          <w:color w:val="auto"/>
        </w:rPr>
      </w:pPr>
    </w:p>
    <w:p>
      <w:pPr>
        <w:ind w:left="620" w:right="560" w:hanging="304"/>
        <w:spacing w:after="0" w:line="271"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leveraging the contacts and experience of our management team to build and maintain long-term relationships with tenants, investors and financing sources;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6"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34" w:lineRule="exact"/>
        <w:rPr>
          <w:sz w:val="20"/>
          <w:szCs w:val="20"/>
          <w:color w:val="auto"/>
        </w:rPr>
      </w:pPr>
    </w:p>
    <w:p>
      <w:pPr>
        <w:ind w:left="620" w:hanging="304"/>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providing exceptional customer service; and</w:t>
      </w:r>
    </w:p>
    <w:p>
      <w:pPr>
        <w:spacing w:after="0" w:line="25" w:lineRule="exact"/>
        <w:rPr>
          <w:rFonts w:ascii="Arial" w:cs="Arial" w:eastAsia="Arial" w:hAnsi="Arial"/>
          <w:sz w:val="17"/>
          <w:szCs w:val="17"/>
          <w:color w:val="auto"/>
        </w:rPr>
      </w:pPr>
    </w:p>
    <w:p>
      <w:pPr>
        <w:ind w:left="620" w:right="200" w:hanging="304"/>
        <w:spacing w:after="0" w:line="271"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creating an experience at many of our properties that is identifiable, unique and serves the surrounding communities to help insulate these properties and the tenants at these properties from the impact of on-line retailing.</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Strategies</w:t>
      </w:r>
    </w:p>
    <w:p>
      <w:pPr>
        <w:spacing w:after="0" w:line="9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ind w:left="620" w:right="480" w:hanging="304"/>
        <w:spacing w:after="0" w:line="25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renovating, expanding, reconfiguring and/or retenanting our existing properties to take advantage of under-utilized land or existing square footage to increase revenue;</w:t>
      </w:r>
    </w:p>
    <w:p>
      <w:pPr>
        <w:ind w:left="620" w:hanging="30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renovating or expanding tenant spaces for tenants capable of producing higher sales, and therefore, paying higher rents;</w:t>
      </w:r>
    </w:p>
    <w:p>
      <w:pPr>
        <w:spacing w:after="0" w:line="12" w:lineRule="exact"/>
        <w:rPr>
          <w:rFonts w:ascii="Arial" w:cs="Arial" w:eastAsia="Arial" w:hAnsi="Arial"/>
          <w:sz w:val="17"/>
          <w:szCs w:val="17"/>
          <w:color w:val="auto"/>
        </w:rPr>
      </w:pPr>
    </w:p>
    <w:p>
      <w:pPr>
        <w:ind w:left="620" w:hanging="304"/>
        <w:spacing w:after="0" w:line="255"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spacing w:after="0" w:line="1" w:lineRule="exact"/>
        <w:rPr>
          <w:rFonts w:ascii="Arial" w:cs="Arial" w:eastAsia="Arial" w:hAnsi="Arial"/>
          <w:sz w:val="17"/>
          <w:szCs w:val="17"/>
          <w:color w:val="auto"/>
        </w:rPr>
      </w:pPr>
    </w:p>
    <w:p>
      <w:pPr>
        <w:ind w:left="620" w:right="40" w:hanging="304"/>
        <w:spacing w:after="0" w:line="271"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developing the retail portions of mixed-use properties and developing or otherwise investing in non-retail portions of mixed-use properties we already own in order to capitalize on the overall value created in these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Criteria</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When we evaluate potential redevelopment, retenanting, expansion, acquisition and development opportunities, we consider such factors as:</w:t>
      </w:r>
    </w:p>
    <w:p>
      <w:pPr>
        <w:spacing w:after="0" w:line="25" w:lineRule="exact"/>
        <w:rPr>
          <w:sz w:val="20"/>
          <w:szCs w:val="20"/>
          <w:color w:val="auto"/>
        </w:rPr>
      </w:pPr>
    </w:p>
    <w:p>
      <w:pPr>
        <w:ind w:left="620" w:hanging="304"/>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returns in relation to our short and long-term cost of capital as well as the anticipated risk we will face in achieving the expected returns;</w:t>
      </w:r>
    </w:p>
    <w:p>
      <w:pPr>
        <w:spacing w:after="0" w:line="24" w:lineRule="exact"/>
        <w:rPr>
          <w:rFonts w:ascii="Arial" w:cs="Arial" w:eastAsia="Arial" w:hAnsi="Arial"/>
          <w:sz w:val="16"/>
          <w:szCs w:val="16"/>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anticipated growth rate of operating income generated by the property;</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tenant mix at the property, tenant sales performance and the creditworthiness of those tenants;</w:t>
      </w:r>
    </w:p>
    <w:p>
      <w:pPr>
        <w:spacing w:after="0" w:line="12" w:lineRule="exact"/>
        <w:rPr>
          <w:rFonts w:ascii="Arial" w:cs="Arial" w:eastAsia="Arial" w:hAnsi="Arial"/>
          <w:sz w:val="17"/>
          <w:szCs w:val="17"/>
          <w:color w:val="auto"/>
        </w:rPr>
      </w:pPr>
    </w:p>
    <w:p>
      <w:pPr>
        <w:ind w:left="620" w:right="80" w:hanging="304"/>
        <w:spacing w:after="0" w:line="255"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geographic area in which the property is located, including the population density and household incomes, as well as the population and income trends in that geographic area;</w:t>
      </w:r>
    </w:p>
    <w:p>
      <w:pPr>
        <w:ind w:left="620" w:right="320" w:hanging="304"/>
        <w:spacing w:after="0" w:line="255"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competitive conditions in the vicinity of the property, including competition for tenants and the ability of others to create competing properties through redevelopment, new construction or renovation;</w:t>
      </w:r>
    </w:p>
    <w:p>
      <w:pPr>
        <w:ind w:left="620" w:right="140" w:hanging="304"/>
        <w:spacing w:after="0" w:line="255"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access to and visibility of the property from existing roadways and the potential for new, widened or realigned, roadways within the property’s trade area, which may affect access and commuting and shopping patterns;</w:t>
      </w: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level and success of our existing investments in the market area;</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current market value of the land, buildings and other improvements and the potential for increasing those market values; and</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physical condition of the land, buildings and other improvements, including the structural and environmental condition.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Strategies</w:t>
      </w:r>
    </w:p>
    <w:p>
      <w:pPr>
        <w:spacing w:after="0" w:line="91"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ind w:left="620" w:hanging="304"/>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maintaining a prudent level of overall leverage and an appropriate pool of unencumbered properties that is sufficient to support our unsecured borrowings;</w:t>
      </w:r>
    </w:p>
    <w:p>
      <w:pPr>
        <w:spacing w:after="0" w:line="35" w:lineRule="exact"/>
        <w:rPr>
          <w:rFonts w:ascii="Arial" w:cs="Arial" w:eastAsia="Arial" w:hAnsi="Arial"/>
          <w:sz w:val="15"/>
          <w:szCs w:val="15"/>
          <w:color w:val="auto"/>
        </w:rPr>
      </w:pPr>
    </w:p>
    <w:p>
      <w:pPr>
        <w:ind w:left="620" w:hanging="304"/>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managing our exposure to variable-rate debt;</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maintaining an available line of credit to fund operating and investing needs on a short-term basis;</w:t>
      </w:r>
    </w:p>
    <w:p>
      <w:pPr>
        <w:spacing w:after="0" w:line="12" w:lineRule="exact"/>
        <w:rPr>
          <w:rFonts w:ascii="Arial" w:cs="Arial" w:eastAsia="Arial" w:hAnsi="Arial"/>
          <w:sz w:val="17"/>
          <w:szCs w:val="17"/>
          <w:color w:val="auto"/>
        </w:rPr>
      </w:pPr>
    </w:p>
    <w:p>
      <w:pPr>
        <w:ind w:left="620" w:right="480" w:hanging="304"/>
        <w:spacing w:after="0" w:line="255"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taking advantage of market opportunities to refinance existing debt, reduce interest costs and manage our debt maturity schedule so that a significant portion of our debt does not mature in any one year;</w:t>
      </w:r>
    </w:p>
    <w:p>
      <w:pPr>
        <w:ind w:left="620" w:right="580" w:hanging="304"/>
        <w:spacing w:after="0" w:line="255"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ind w:left="620" w:hanging="304"/>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utilizing the most advantageous long-term source of capital available to us to finance redevelopment and acquisition opportunities, which may include:</w:t>
      </w:r>
    </w:p>
    <w:p>
      <w:pPr>
        <w:spacing w:after="0" w:line="24" w:lineRule="exact"/>
        <w:rPr>
          <w:rFonts w:ascii="Arial" w:cs="Arial" w:eastAsia="Arial" w:hAnsi="Arial"/>
          <w:sz w:val="16"/>
          <w:szCs w:val="16"/>
          <w:color w:val="auto"/>
        </w:rPr>
      </w:pPr>
    </w:p>
    <w:p>
      <w:pPr>
        <w:ind w:left="1260" w:right="40" w:hanging="319"/>
        <w:spacing w:after="0" w:line="255" w:lineRule="auto"/>
        <w:tabs>
          <w:tab w:leader="none" w:pos="126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sale of our equity or debt securities through public offerings, including our at the market ("ATM") equity program in which we may from time to time offer and sell common shares, or private placements,</w:t>
      </w:r>
    </w:p>
    <w:p>
      <w:pPr>
        <w:ind w:left="1260" w:hanging="319"/>
        <w:spacing w:after="0"/>
        <w:tabs>
          <w:tab w:leader="none" w:pos="126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incurrence of indebtedness through unsecured or secured borrowings,</w:t>
      </w:r>
    </w:p>
    <w:p>
      <w:pPr>
        <w:spacing w:after="0" w:line="12" w:lineRule="exact"/>
        <w:rPr>
          <w:rFonts w:ascii="Arial" w:cs="Arial" w:eastAsia="Arial" w:hAnsi="Arial"/>
          <w:sz w:val="17"/>
          <w:szCs w:val="17"/>
          <w:color w:val="auto"/>
        </w:rPr>
      </w:pPr>
    </w:p>
    <w:p>
      <w:pPr>
        <w:ind w:left="1260" w:right="460" w:hanging="319"/>
        <w:spacing w:after="0" w:line="271" w:lineRule="auto"/>
        <w:tabs>
          <w:tab w:leader="none" w:pos="126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issuance of operating partnership units in a new or existing “downREIT partnership” that is controlled and consolidated by us (generally operating partnership units in a “downREIT” partnership are issued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60" w:lineRule="exact"/>
        <w:rPr>
          <w:sz w:val="20"/>
          <w:szCs w:val="20"/>
          <w:color w:val="auto"/>
        </w:rPr>
      </w:pPr>
    </w:p>
    <w:p>
      <w:pPr>
        <w:ind w:left="1260" w:right="340"/>
        <w:spacing w:after="0" w:line="287" w:lineRule="auto"/>
        <w:rPr>
          <w:sz w:val="20"/>
          <w:szCs w:val="20"/>
          <w:color w:val="auto"/>
        </w:rPr>
      </w:pPr>
      <w:r>
        <w:rPr>
          <w:rFonts w:ascii="Arial" w:cs="Arial" w:eastAsia="Arial" w:hAnsi="Arial"/>
          <w:sz w:val="17"/>
          <w:szCs w:val="17"/>
          <w:color w:val="auto"/>
        </w:rPr>
        <w:t>exchange for a tax deferred contribution of property; these units receive the same distributions as our common shares and the holders of these units have the right to exchange their units for cash or the same number of our common shares, at our option), or</w:t>
      </w:r>
    </w:p>
    <w:p>
      <w:pPr>
        <w:spacing w:after="0" w:line="1" w:lineRule="exact"/>
        <w:rPr>
          <w:sz w:val="20"/>
          <w:szCs w:val="20"/>
          <w:color w:val="auto"/>
        </w:rPr>
      </w:pPr>
    </w:p>
    <w:p>
      <w:pPr>
        <w:ind w:left="1260" w:hanging="319"/>
        <w:spacing w:after="0"/>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use of joint venture arrangements.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9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At February 8, 2013, we had 256 full-time employees and 165 part-time employees. None of our employees are represented by a collective bargaining unit. We believe that our relationship with our employees is good.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Status</w:t>
      </w:r>
    </w:p>
    <w:p>
      <w:pPr>
        <w:spacing w:after="0" w:line="9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1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Governmental Regulations Affecting Our Properties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We and our properties are subject to a variety of federal, state and local environmental, health, safety and similar laws, including without limitation:</w:t>
      </w:r>
    </w:p>
    <w:p>
      <w:pPr>
        <w:spacing w:after="0" w:line="25" w:lineRule="exact"/>
        <w:rPr>
          <w:sz w:val="20"/>
          <w:szCs w:val="20"/>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Comprehensive Environmental Response, Compensation, and Liability Act of 1980, as amended, which we refer to as CERCLA;</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Resource Conservation &amp; Recovery Act;</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Federal Clean Water Act;</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Federal Clean Air Act;</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Toxic Substances Control Act;</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Occupational Safety &amp; Health Act; and</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Americans with Disabilities Act.</w:t>
      </w:r>
    </w:p>
    <w:p>
      <w:pPr>
        <w:spacing w:after="0" w:line="15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such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18"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97"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1" w:lineRule="exact"/>
        <w:rPr>
          <w:sz w:val="20"/>
          <w:szCs w:val="20"/>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reduce the number of properties available for acquisition;</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 the cost of properties available for acquisition;</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interfere with our ability to attract and retain tenants, leading to increased vacancy rates and/or reduced rents; and</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adversely affect our ability to minimize expenses of operation.</w:t>
      </w:r>
    </w:p>
    <w:p>
      <w:pPr>
        <w:spacing w:after="0" w:line="156" w:lineRule="exact"/>
        <w:rPr>
          <w:sz w:val="20"/>
          <w:szCs w:val="20"/>
          <w:color w:val="auto"/>
        </w:rPr>
      </w:pPr>
    </w:p>
    <w:p>
      <w:pPr>
        <w:ind w:right="380"/>
        <w:spacing w:after="0" w:line="319" w:lineRule="auto"/>
        <w:rPr>
          <w:sz w:val="20"/>
          <w:szCs w:val="20"/>
          <w:color w:val="auto"/>
        </w:rPr>
      </w:pPr>
      <w:r>
        <w:rPr>
          <w:rFonts w:ascii="Arial" w:cs="Arial" w:eastAsia="Arial" w:hAnsi="Arial"/>
          <w:sz w:val="16"/>
          <w:szCs w:val="16"/>
          <w:color w:val="auto"/>
        </w:rPr>
        <w:t>Retailers at our properties also face increasing competition from outlet stores, discount shopping clubs, superstores, and other forms of marketing of goods and services, such as direct mail, internet marketing and telemarketing. This competition could contribute to lease defaults and insolvency of tenants.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97"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Arial" w:cs="Arial" w:eastAsia="Arial" w:hAnsi="Arial"/>
          <w:sz w:val="17"/>
          <w:szCs w:val="17"/>
          <w:i w:val="1"/>
          <w:iCs w:val="1"/>
          <w:color w:val="auto"/>
        </w:rPr>
        <w:t>www.federalrealty.com</w:t>
      </w:r>
      <w:r>
        <w:rPr>
          <w:rFonts w:ascii="Arial" w:cs="Arial" w:eastAsia="Arial" w:hAnsi="Arial"/>
          <w:sz w:val="17"/>
          <w:szCs w:val="17"/>
          <w:color w:val="auto"/>
        </w:rPr>
        <w:t xml:space="preserve"> as soon as reasonably practicable after we electronically file the material with, or furnish the material to, the Securities and Exchange Commission, or the SEC.</w:t>
      </w:r>
    </w:p>
    <w:p>
      <w:pPr>
        <w:spacing w:after="0" w:line="125" w:lineRule="exact"/>
        <w:rPr>
          <w:sz w:val="20"/>
          <w:szCs w:val="20"/>
          <w:color w:val="auto"/>
        </w:rPr>
      </w:pPr>
    </w:p>
    <w:p>
      <w:pPr>
        <w:ind w:right="500"/>
        <w:spacing w:after="0" w:line="270" w:lineRule="auto"/>
        <w:rPr>
          <w:sz w:val="20"/>
          <w:szCs w:val="20"/>
          <w:color w:val="auto"/>
        </w:rPr>
      </w:pPr>
      <w:r>
        <w:rPr>
          <w:rFonts w:ascii="Arial" w:cs="Arial" w:eastAsia="Arial" w:hAnsi="Arial"/>
          <w:sz w:val="17"/>
          <w:szCs w:val="17"/>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Investors section of our website.</w:t>
      </w:r>
    </w:p>
    <w:p>
      <w:pPr>
        <w:spacing w:after="0" w:line="121"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Amendments to the Code of Ethics or Code of Business Conduct or waivers that apply to any of our executive officers or our senior financial officers will be disclosed in that section of our website as well.</w:t>
      </w:r>
    </w:p>
    <w:p>
      <w:pPr>
        <w:spacing w:after="0" w:line="10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You may obtain a printed copy of any of the foregoing materials from us by writing to us at Investor Relations, Federal Realty Investment Trust, 1626 East Jefferson Street, Rockville, Maryland 20852.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6"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1A.</w:t>
        <w:tab/>
        <w:t>RISK FACTORS</w:t>
      </w:r>
    </w:p>
    <w:p>
      <w:pPr>
        <w:spacing w:after="0" w:line="97"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from our properties may be reduced or limited if the retail operations of our tenants are not successful.</w:t>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The current economic conditions, including pending changes to tax laws, may impact the success of our tenants’ retail operations and therefore the amount of rent and expense reimbursements we receive from our tenants. While we have seen positive signs of improvement for many of our tenants over the past two years, we have seen some tenants experiencing declining sales, vacating early, failing to pay rent on a timely basis or filing for bankruptcy, as well as seeking rent relief from us as landlord. Any reduction in our tenants’ abilities to pay base rent, percentage rent or other charges on a timely basis, including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net income depends on the success and continued presence of our “anchor” tenants.</w:t>
      </w:r>
    </w:p>
    <w:p>
      <w:pPr>
        <w:spacing w:after="0" w:line="9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As a result of the economic conditions over the last few years, we have seen a decrease in the number of tenants available to fill anchor spaces. Therefore, tenant demand for certain of our anchor spaces may decrease and as a result, we may see an increase in vacancy and/or a decrease in rents for those spaces that could have a negative impact to our net income.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collect balances due from tenants that file for bankruptcy protection.</w:t>
      </w:r>
    </w:p>
    <w:p>
      <w:pPr>
        <w:spacing w:after="0" w:line="9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difficulty or delay in renewing leases or re-leasing space.</w:t>
      </w:r>
    </w:p>
    <w:p>
      <w:pPr>
        <w:spacing w:after="0" w:line="97"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results of operations and our net income could be reduced.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amount of debt we have and the restrictions imposed by that debt could adversely affect our business and financial condition.</w:t>
      </w:r>
    </w:p>
    <w:p>
      <w:pPr>
        <w:spacing w:after="0" w:line="97" w:lineRule="exact"/>
        <w:rPr>
          <w:sz w:val="20"/>
          <w:szCs w:val="20"/>
          <w:color w:val="auto"/>
        </w:rPr>
      </w:pPr>
    </w:p>
    <w:p>
      <w:pPr>
        <w:ind w:right="140"/>
        <w:spacing w:after="0" w:line="322" w:lineRule="auto"/>
        <w:rPr>
          <w:sz w:val="20"/>
          <w:szCs w:val="20"/>
          <w:color w:val="auto"/>
        </w:rPr>
      </w:pPr>
      <w:r>
        <w:rPr>
          <w:rFonts w:ascii="Arial" w:cs="Arial" w:eastAsia="Arial" w:hAnsi="Arial"/>
          <w:sz w:val="15"/>
          <w:szCs w:val="15"/>
          <w:color w:val="auto"/>
        </w:rPr>
        <w:t>As of December 31, 2012, we had approximately $2.2 billion of debt outstanding. Of that outstanding debt, approximately $739.4 million was secured by all or a portion of 19 of our real estate projects and approximately $71.7 million represented capital lease obligations on four of our properties. In addition, we own a 30% interest in a joint venture that had $57.2 million of debt secured by four properties as of December 31, 2012. Approximately $2.2 billion (99.6%) of our debt as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1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December 31, 2012 is fixed rate debt, which includes all of our property secured debt, our capital lease obligations and our $275.0 million term loan as the rate is effectively fixed by two interest rate swap agreements. Our unconsolidated joint venture’s debt of $57.2 million is also fixed rate debt. Our organizational documents do not limit the level or amount of debt that we may incur. The amount of our debt outstanding from time to time could have important consequences to our shareholders. For example, it could:</w:t>
      </w:r>
    </w:p>
    <w:p>
      <w:pPr>
        <w:spacing w:after="0" w:line="1" w:lineRule="exact"/>
        <w:rPr>
          <w:sz w:val="20"/>
          <w:szCs w:val="20"/>
          <w:color w:val="auto"/>
        </w:rPr>
      </w:pPr>
    </w:p>
    <w:p>
      <w:pPr>
        <w:ind w:left="620" w:right="380" w:hanging="304"/>
        <w:spacing w:after="0" w:line="255"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 our ability to make distributions on our outstanding common shares and preferred shares;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make it difficult to satisfy our debt service requirements;</w:t>
      </w:r>
    </w:p>
    <w:p>
      <w:pPr>
        <w:spacing w:after="0" w:line="12" w:lineRule="exact"/>
        <w:rPr>
          <w:rFonts w:ascii="Arial" w:cs="Arial" w:eastAsia="Arial" w:hAnsi="Arial"/>
          <w:sz w:val="17"/>
          <w:szCs w:val="17"/>
          <w:color w:val="auto"/>
        </w:rPr>
      </w:pPr>
    </w:p>
    <w:p>
      <w:pPr>
        <w:ind w:left="620" w:right="80" w:hanging="304"/>
        <w:spacing w:after="0" w:line="255"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require us to dedicate increased amounts of our cash flow from operations to payments on debt upon refinancing or on our variable rate, unhedged debt, if interest rates rise;</w:t>
      </w:r>
    </w:p>
    <w:p>
      <w:pPr>
        <w:ind w:left="620" w:hanging="304"/>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factors that affect the profitability of our business;</w:t>
      </w:r>
    </w:p>
    <w:p>
      <w:pPr>
        <w:spacing w:after="0" w:line="12" w:lineRule="exact"/>
        <w:rPr>
          <w:rFonts w:ascii="Arial" w:cs="Arial" w:eastAsia="Arial" w:hAnsi="Arial"/>
          <w:sz w:val="17"/>
          <w:szCs w:val="17"/>
          <w:color w:val="auto"/>
        </w:rPr>
      </w:pPr>
    </w:p>
    <w:p>
      <w:pPr>
        <w:ind w:left="620" w:right="340" w:hanging="304"/>
        <w:spacing w:after="0" w:line="255"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ind w:left="620" w:right="160" w:hanging="304"/>
        <w:spacing w:after="0" w:line="271"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 our flexibility in conducting our business, which may place us at a disadvantage compared to competitors with less debt or debt with less restrictive terms.</w:t>
      </w:r>
    </w:p>
    <w:p>
      <w:pPr>
        <w:spacing w:after="0" w:line="118"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7"/>
          <w:szCs w:val="17"/>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w:t>
      </w:r>
    </w:p>
    <w:p>
      <w:pPr>
        <w:spacing w:after="0" w:line="23"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color w:val="auto"/>
        </w:rPr>
        <w:t>Our revolving credit facility, term loan and certain series of notes include financial covenants that may limit our operating activities in the future. We are also required to comply with additional covenants that include, among other things, provisions:</w:t>
      </w: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relating to the maintenance of property securing a mortgage;</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pledge assets or create liens;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incur additional debt;</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amend or modify existing leases at properties securing a mortgage;</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enter into transactions with affiliates; and</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consolidate, merge or sell all or substantially all of our assets.</w:t>
      </w:r>
    </w:p>
    <w:p>
      <w:pPr>
        <w:spacing w:after="0" w:line="15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As of December 31, 2012, we were in compliance with all of our financial covenants. If we were to breach any of our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development activities have inherent risks.</w:t>
      </w:r>
    </w:p>
    <w:p>
      <w:pPr>
        <w:spacing w:after="0" w:line="9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such as Santana Row in San Jose, California, Assembly Row in Somerville, Massachusetts, and Pike &amp; Rose (Mid-Pike Plaza) in Rockville, Maryland.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1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exceed the book value, an impairment of the project may be required. If additional phases of any of our existing projects or if any new projects are not successful, it may adversely affect our financial condition and results of operations.</w:t>
      </w:r>
    </w:p>
    <w:p>
      <w:pPr>
        <w:spacing w:after="0" w:line="10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2012, we began construction on Phase I of Assembly Row, Phase I of Pike &amp; Rose and a new residential building at Santana Row and anticipate investing approximately $425 million in these projects over the next few years. There are a number of risks associated with these projects, including the size of the overall aggregate investment in these projects. At Assembly Row, we are dependent on the performance of third parties to deliver significant aspects of the project that are critical to our success. In addition at this project, our projected investment assumes that we will receive public funding which has been committed but has not been entirely funded. At both Assembly Row and Pike &amp; Rose, a substantial amount of our investment is related to infrastructure, the value of which may be negatively impacted if we do not complete subsequent phases. Furthermore, with respect to residential development at Pike &amp; Rose and Santana Row, we will be delivering these units into a residential environment in 2014-2016 that is uncertain.</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addition to the risks associated with real estate investment in general, as described elsewhere and the specific risks above, the risks associated with our remaining development activities include:</w:t>
      </w: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contractor changes may delay the completion of development projects and increase overall costs;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significant time lag between commencement and stabilization subjects us to greater risks due to fluctuations in the general economy;</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or inability to obtain construction or permanent financing on favorable terms;</w:t>
      </w:r>
    </w:p>
    <w:p>
      <w:pPr>
        <w:spacing w:after="0" w:line="12" w:lineRule="exact"/>
        <w:rPr>
          <w:rFonts w:ascii="Arial" w:cs="Arial" w:eastAsia="Arial" w:hAnsi="Arial"/>
          <w:sz w:val="17"/>
          <w:szCs w:val="17"/>
          <w:color w:val="auto"/>
        </w:rPr>
      </w:pPr>
    </w:p>
    <w:p>
      <w:pPr>
        <w:ind w:left="620" w:right="200" w:hanging="304"/>
        <w:spacing w:after="0" w:line="255"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or inability to obtain public funding from governmental agencies to fund infrastructure projects, including expected public funding in connection with our development at Assembly Row;</w:t>
      </w: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expenditure of money and time on projects that may never be completed;</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third-party developer of residential buildings may not deliver or may encounter delays in delivering residential space as planned;</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difficulty securing key anchor or other tenants may impact occupancy rates and projected revenue;</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inability to achieve projected rental rates or anticipated pace of lease-up;</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higher than estimated construction or operating costs, including labor and material costs; and</w:t>
      </w:r>
    </w:p>
    <w:p>
      <w:pPr>
        <w:spacing w:after="0" w:line="12" w:lineRule="exact"/>
        <w:rPr>
          <w:rFonts w:ascii="Arial" w:cs="Arial" w:eastAsia="Arial" w:hAnsi="Arial"/>
          <w:sz w:val="17"/>
          <w:szCs w:val="17"/>
          <w:color w:val="auto"/>
        </w:rPr>
      </w:pPr>
    </w:p>
    <w:p>
      <w:pPr>
        <w:ind w:left="620" w:right="180" w:hanging="304"/>
        <w:spacing w:after="0" w:line="302"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possible delay in completion of a project because of a number of factors, including weather, labor disruptions, construction delays or delays in receipt of zoning or other regulatory approvals, acts of terror or other acts of violence, or acts of God (such as fires, earthquakes or floods).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Redevelopments and acquisitions may fail to perform as expected.</w:t>
      </w:r>
    </w:p>
    <w:p>
      <w:pPr>
        <w:spacing w:after="0" w:line="97" w:lineRule="exact"/>
        <w:rPr>
          <w:sz w:val="20"/>
          <w:szCs w:val="20"/>
          <w:color w:val="auto"/>
        </w:rPr>
      </w:pPr>
    </w:p>
    <w:p>
      <w:pPr>
        <w:ind w:right="580"/>
        <w:spacing w:after="0" w:line="260" w:lineRule="auto"/>
        <w:rPr>
          <w:sz w:val="20"/>
          <w:szCs w:val="20"/>
          <w:color w:val="auto"/>
        </w:rPr>
      </w:pPr>
      <w:r>
        <w:rPr>
          <w:rFonts w:ascii="Arial" w:cs="Arial" w:eastAsia="Arial" w:hAnsi="Arial"/>
          <w:sz w:val="17"/>
          <w:szCs w:val="17"/>
          <w:color w:val="auto"/>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spacing w:after="0" w:line="1" w:lineRule="exact"/>
        <w:rPr>
          <w:sz w:val="20"/>
          <w:szCs w:val="20"/>
          <w:color w:val="auto"/>
        </w:rPr>
      </w:pPr>
    </w:p>
    <w:p>
      <w:pPr>
        <w:jc w:val="both"/>
        <w:ind w:left="620" w:right="280" w:hanging="304"/>
        <w:spacing w:after="0" w:line="255"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spacing w:after="0" w:line="1"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not be able to identify suitable properties to acquire or may be unable to complete the acquisition of the properties we identify;</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not be able to integrate an acquisition into our existing operations successfully;</w:t>
      </w:r>
    </w:p>
    <w:p>
      <w:pPr>
        <w:spacing w:after="0" w:line="12" w:lineRule="exact"/>
        <w:rPr>
          <w:rFonts w:ascii="Arial" w:cs="Arial" w:eastAsia="Arial" w:hAnsi="Arial"/>
          <w:sz w:val="17"/>
          <w:szCs w:val="17"/>
          <w:color w:val="auto"/>
        </w:rPr>
      </w:pPr>
    </w:p>
    <w:p>
      <w:pPr>
        <w:ind w:left="620" w:right="20" w:hanging="304"/>
        <w:spacing w:after="0" w:line="255"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ind w:left="620" w:right="140" w:hanging="304"/>
        <w:spacing w:after="0" w:line="255"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ind w:left="620" w:right="260" w:hanging="304"/>
        <w:spacing w:after="0" w:line="271"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grow will be limited if we cannot obtain additional capital.</w:t>
      </w:r>
    </w:p>
    <w:p>
      <w:pPr>
        <w:spacing w:after="0" w:line="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1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and mortgage loans from third parties. While we have been able to consummate financings in recent years at favorable rates, if economic conditions and conditions in the capital markets are not favorable at the time we need to raise capital, we may need to obtain capital on less favorable terms than in recent years for debt financings.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Rising interest rates could adversely affect our cash flow and the market price of our outstanding debt and preferred shares.</w:t>
      </w:r>
    </w:p>
    <w:p>
      <w:pPr>
        <w:spacing w:after="0" w:line="9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Of our approximately $2.2 billion of debt outstanding as of December 31, 2012, approximately $284.4 million bears interest at variable rates of which $275.0 million is effectively fixed through two interest rate swap agreements. We have a $400.0 million revolving credit facility, of which no balance is outstanding at December 31, 2012, that bears interest at LIBOR plus 115 basis points.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The interest rate on our $275.0 million term loan is currently fixed at 3.17% as a result of two interest rate swap agreements. We may enter into this type of hedging arrangements or other transactions for all or a portion of our variable rate debt to limit our exposure to rising interest rates. However, the amounts we are required to pay under the term loan and any other variable rate debt to which hedging or similar arrangements relate may increase in the event of non-performance by the counterparties to any of our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market value of our debt and equity securities is subject to various factors that may cause significant fluctuations or volatility.</w:t>
      </w:r>
    </w:p>
    <w:p>
      <w:pPr>
        <w:spacing w:after="0" w:line="97"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spacing w:after="0" w:line="1" w:lineRule="exact"/>
        <w:rPr>
          <w:sz w:val="20"/>
          <w:szCs w:val="20"/>
          <w:color w:val="auto"/>
        </w:rPr>
      </w:pPr>
    </w:p>
    <w:p>
      <w:pPr>
        <w:ind w:left="620" w:hanging="30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general economic and financial market conditions;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level and trend of interest rates;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access the capital markets to raise additional capital;</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issuance of additional equity or debt securities;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our funds from operations (“FFO”) or earnings estimates;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our debt or analyst ratings;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financial condition and performance;</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market perception of our business compared to other REITs; and/or</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market perception of REITs, in general, compared to other investment alternatives.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Loss of our key management could adversely affect performance and the value of our common shares.</w:t>
      </w:r>
    </w:p>
    <w:p>
      <w:pPr>
        <w:spacing w:after="0" w:line="9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performance and value are subject to general risks associated with the real estate industry.</w:t>
      </w:r>
    </w:p>
    <w:p>
      <w:pPr>
        <w:spacing w:after="0" w:line="9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2" w:lineRule="exact"/>
        <w:rPr>
          <w:sz w:val="20"/>
          <w:szCs w:val="20"/>
          <w:color w:val="auto"/>
        </w:rPr>
      </w:pPr>
    </w:p>
    <w:p>
      <w:pPr>
        <w:ind w:left="620" w:hanging="304"/>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economic downturns in general, or in the areas where our properties are located;</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adverse changes in local real estate market conditions, such as an oversupply or reduction in demand;</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tenant preferences that reduce the attractiveness of our properties to tenants;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zoning or regulatory restrictions;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decreases in market rental rates;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weather conditions that may increase or decrease energy costs and other weather-related expenses;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34" w:lineRule="exact"/>
        <w:rPr>
          <w:sz w:val="20"/>
          <w:szCs w:val="20"/>
          <w:color w:val="auto"/>
        </w:rPr>
      </w:pPr>
    </w:p>
    <w:p>
      <w:pPr>
        <w:ind w:left="620" w:hanging="304"/>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costs associated with the need to periodically repair, renovate and re-lease space; and</w:t>
      </w:r>
    </w:p>
    <w:p>
      <w:pPr>
        <w:spacing w:after="0" w:line="25" w:lineRule="exact"/>
        <w:rPr>
          <w:rFonts w:ascii="Arial" w:cs="Arial" w:eastAsia="Arial" w:hAnsi="Arial"/>
          <w:sz w:val="17"/>
          <w:szCs w:val="17"/>
          <w:color w:val="auto"/>
        </w:rPr>
      </w:pPr>
    </w:p>
    <w:p>
      <w:pPr>
        <w:ind w:left="620" w:right="260" w:hanging="304"/>
        <w:spacing w:after="0" w:line="263"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Each of these risks could result in decreases in market rental rates and increases in vacancy rates, which could adversely affect our financial condition and results of operation.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Many real estate costs are fixed, even if income from our properties decreases.</w:t>
      </w:r>
    </w:p>
    <w:p>
      <w:pPr>
        <w:spacing w:after="0" w:line="97"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 may limit our ability to purchase new properties and generate sufficient income from tenants.</w:t>
      </w:r>
    </w:p>
    <w:p>
      <w:pPr>
        <w:spacing w:after="0" w:line="97" w:lineRule="exact"/>
        <w:rPr>
          <w:sz w:val="20"/>
          <w:szCs w:val="20"/>
          <w:color w:val="auto"/>
        </w:rPr>
      </w:pPr>
    </w:p>
    <w:p>
      <w:pPr>
        <w:ind w:right="440"/>
        <w:spacing w:after="0" w:line="263" w:lineRule="auto"/>
        <w:rPr>
          <w:sz w:val="20"/>
          <w:szCs w:val="20"/>
          <w:color w:val="auto"/>
        </w:rPr>
      </w:pPr>
      <w:r>
        <w:rPr>
          <w:rFonts w:ascii="Arial" w:cs="Arial" w:eastAsia="Arial" w:hAnsi="Arial"/>
          <w:sz w:val="17"/>
          <w:szCs w:val="17"/>
          <w:color w:val="auto"/>
        </w:rPr>
        <w:t>Numerous commercial developers and real estate companies compete with us in seeking tenants for our existing properties and properties for acquisition. This competition may:</w:t>
      </w: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 properties available for acquisition;</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 the cost of properties available for acquisition;</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 rents payable to us;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interfere with our ability to attract and retain tenants;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lead to increased vacancy rates at our properties; and</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adversely affect our ability to minimize expenses of operation.</w:t>
      </w:r>
    </w:p>
    <w:p>
      <w:pPr>
        <w:spacing w:after="0" w:line="156"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Retailers at our properties also face increasing competition from outlet stores, discount shopping clubs, and other forms of marketing of goods, such as direct mail and internet 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sell properties when appropriate because real estate investments are illiquid.</w:t>
      </w:r>
    </w:p>
    <w:p>
      <w:pPr>
        <w:spacing w:after="0" w:line="97" w:lineRule="exact"/>
        <w:rPr>
          <w:sz w:val="20"/>
          <w:szCs w:val="20"/>
          <w:color w:val="auto"/>
        </w:rPr>
      </w:pPr>
    </w:p>
    <w:p>
      <w:pPr>
        <w:ind w:right="20"/>
        <w:spacing w:after="0" w:line="311" w:lineRule="auto"/>
        <w:rPr>
          <w:sz w:val="20"/>
          <w:szCs w:val="20"/>
          <w:color w:val="auto"/>
        </w:rPr>
      </w:pPr>
      <w:r>
        <w:rPr>
          <w:rFonts w:ascii="Arial" w:cs="Arial" w:eastAsia="Arial" w:hAnsi="Arial"/>
          <w:sz w:val="15"/>
          <w:szCs w:val="15"/>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insurance coverage on our properties may be inadequate.</w:t>
      </w:r>
    </w:p>
    <w:p>
      <w:pPr>
        <w:spacing w:after="0" w:line="97"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25"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disrupt seriously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limited flexibility in dealing with our jointly owned investments.</w:t>
      </w:r>
    </w:p>
    <w:p>
      <w:pPr>
        <w:spacing w:after="0" w:line="97"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Our organizational documents do not limit the amount of funds that we may invest in properties and assets owned jointly with other persons or entities. As of December 31, 2012, we held five predominantly retail real estate projects jointly with other persons in addition to our joint venture with affiliates of a discretionary fund created and advised by ING Clarion Partners (“Clarion”) and properties owned in a “downREIT” structure.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2012, we held the managing general partnership or membership interest in all of our existing co-investments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On July 1, 2004, we entered into a joint venture with Clarion for purposes of acquiring properties. Although we are the managing general partner of that entity, we have only a 30% ownership interest in that entity.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stream. Pursuant to the terms of our partnership, we must obtain our partner’s consent to do the following:</w:t>
      </w:r>
    </w:p>
    <w:p>
      <w:pPr>
        <w:spacing w:after="0" w:line="1" w:lineRule="exact"/>
        <w:rPr>
          <w:sz w:val="20"/>
          <w:szCs w:val="20"/>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enter into new anchor tenant leases, modify existing anchor tenant leases or enforce remedies against anchor tenants;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make certain repairs, renovations or other changes or improvements to properties; and</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sell or finance the property with secured debt.</w:t>
      </w:r>
    </w:p>
    <w:p>
      <w:pPr>
        <w:spacing w:after="0" w:line="156"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Our joint venture with Clarion is subject to a buy-sell provision which is customary for real estate joint venture agreements and the industry. Either partner may initiate these provisions at any time, which could result in either the sale of our interest or the use of available cash or borrowings to acquire Clarion’s interest. Our investment in this joint venture is also subject to the risks described above for jointly owned investments. As of December 31, 2012, this joint venture owned seven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laws and regulations could reduce the value or profitability of our properties.</w:t>
      </w:r>
    </w:p>
    <w:p>
      <w:pPr>
        <w:spacing w:after="0" w:line="97"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10" w:lineRule="exact"/>
        <w:rPr>
          <w:sz w:val="20"/>
          <w:szCs w:val="20"/>
          <w:color w:val="auto"/>
        </w:rPr>
      </w:pPr>
    </w:p>
    <w:p>
      <w:pPr>
        <w:jc w:val="both"/>
        <w:ind w:right="140"/>
        <w:spacing w:after="0" w:line="265" w:lineRule="auto"/>
        <w:rPr>
          <w:sz w:val="20"/>
          <w:szCs w:val="20"/>
          <w:color w:val="auto"/>
        </w:rPr>
      </w:pPr>
      <w:r>
        <w:rPr>
          <w:rFonts w:ascii="Arial" w:cs="Arial" w:eastAsia="Arial" w:hAnsi="Arial"/>
          <w:sz w:val="17"/>
          <w:szCs w:val="17"/>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expenditures and other costs associated with complying with these laws and regulations, which will adversely affect their potential profitability.</w:t>
      </w:r>
    </w:p>
    <w:p>
      <w:pPr>
        <w:spacing w:after="0" w:line="18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97"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97"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98" w:lineRule="exact"/>
        <w:rPr>
          <w:sz w:val="20"/>
          <w:szCs w:val="20"/>
          <w:color w:val="auto"/>
        </w:rPr>
      </w:pPr>
    </w:p>
    <w:p>
      <w:pPr>
        <w:ind w:right="640"/>
        <w:spacing w:after="0" w:line="293" w:lineRule="auto"/>
        <w:rPr>
          <w:sz w:val="20"/>
          <w:szCs w:val="20"/>
          <w:color w:val="auto"/>
        </w:rPr>
      </w:pPr>
      <w:r>
        <w:rPr>
          <w:rFonts w:ascii="Arial" w:cs="Arial" w:eastAsia="Arial" w:hAnsi="Arial"/>
          <w:sz w:val="17"/>
          <w:szCs w:val="17"/>
          <w:b w:val="1"/>
          <w:bCs w:val="1"/>
          <w:color w:val="auto"/>
        </w:rPr>
        <w:t>Failure to qualify as a REIT for federal income tax purposes would cause us to be taxed as a corporation, which would substantially reduce funds available for payment of distributions.</w:t>
      </w:r>
    </w:p>
    <w:p>
      <w:pPr>
        <w:spacing w:after="0" w:line="2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106"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If we fail to qualify as a REIT:</w:t>
      </w:r>
    </w:p>
    <w:p>
      <w:pPr>
        <w:spacing w:after="0" w:line="25" w:lineRule="exact"/>
        <w:rPr>
          <w:sz w:val="20"/>
          <w:szCs w:val="20"/>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would not be allowed a deduction for distributions to shareholders in computing taxable income;</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would be subject to federal income tax at regular corporate rates;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could be subject to the federal alternative minimum tax;</w:t>
      </w:r>
    </w:p>
    <w:p>
      <w:pPr>
        <w:spacing w:after="0" w:line="12" w:lineRule="exact"/>
        <w:rPr>
          <w:rFonts w:ascii="Arial" w:cs="Arial" w:eastAsia="Arial" w:hAnsi="Arial"/>
          <w:sz w:val="17"/>
          <w:szCs w:val="17"/>
          <w:color w:val="auto"/>
        </w:rPr>
      </w:pPr>
    </w:p>
    <w:p>
      <w:pPr>
        <w:ind w:left="620" w:hanging="304"/>
        <w:spacing w:after="0" w:line="255"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unless we are entitled to relief under specific statutory provisions, we could not elect to be taxed as a REIT for four taxable years following the year during which we were disqualified;</w:t>
      </w:r>
    </w:p>
    <w:p>
      <w:pPr>
        <w:ind w:left="620" w:right="560" w:hanging="304"/>
        <w:spacing w:after="0" w:line="255"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could be required to pay significant income taxes, which would substantially reduce the funds available for investment or for distribution to our shareholders for each year in which we failed or were not permitted to qualify; and</w:t>
      </w:r>
    </w:p>
    <w:p>
      <w:pPr>
        <w:ind w:left="620" w:hanging="304"/>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would no longer be required by law to make any distributions to our shareholders.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required to incur additional debt to qualify as a REIT.</w:t>
      </w:r>
    </w:p>
    <w:p>
      <w:pPr>
        <w:spacing w:after="0" w:line="9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12"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aggregate undistributed income from prior years. We intend to make distributions to shareholders to comply with the Code’s distribution provisions and to avoid federal income and excise tax. We may need to borrow funds to meet our distribution requirements because:</w:t>
      </w:r>
    </w:p>
    <w:p>
      <w:pPr>
        <w:ind w:left="620" w:hanging="304"/>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income may not be matched by our related expenses at the time the income is considered received for purposes of determining taxable income; and</w:t>
      </w:r>
    </w:p>
    <w:p>
      <w:pPr>
        <w:spacing w:after="0" w:line="24" w:lineRule="exact"/>
        <w:rPr>
          <w:rFonts w:ascii="Arial" w:cs="Arial" w:eastAsia="Arial" w:hAnsi="Arial"/>
          <w:sz w:val="16"/>
          <w:szCs w:val="16"/>
          <w:color w:val="auto"/>
        </w:rPr>
      </w:pPr>
    </w:p>
    <w:p>
      <w:pPr>
        <w:ind w:left="620" w:hanging="304"/>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156" w:lineRule="exact"/>
        <w:rPr>
          <w:sz w:val="20"/>
          <w:szCs w:val="20"/>
          <w:color w:val="auto"/>
        </w:rPr>
      </w:pPr>
    </w:p>
    <w:p>
      <w:pPr>
        <w:ind w:right="20"/>
        <w:spacing w:after="0" w:line="356" w:lineRule="auto"/>
        <w:rPr>
          <w:sz w:val="20"/>
          <w:szCs w:val="20"/>
          <w:color w:val="auto"/>
        </w:rPr>
      </w:pPr>
      <w:r>
        <w:rPr>
          <w:rFonts w:ascii="Arial" w:cs="Arial" w:eastAsia="Arial" w:hAnsi="Arial"/>
          <w:sz w:val="15"/>
          <w:szCs w:val="15"/>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maintain our status as a REIT, we limit the amount of shares any one shareholder can own.</w:t>
      </w:r>
    </w:p>
    <w:p>
      <w:pPr>
        <w:spacing w:after="0" w:line="97"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w:t>
      </w:r>
    </w:p>
    <w:p>
      <w:pPr>
        <w:ind w:right="120"/>
        <w:spacing w:after="0" w:line="260" w:lineRule="auto"/>
        <w:rPr>
          <w:sz w:val="20"/>
          <w:szCs w:val="20"/>
          <w:color w:val="auto"/>
        </w:rPr>
      </w:pPr>
      <w:r>
        <w:rPr>
          <w:rFonts w:ascii="Arial" w:cs="Arial" w:eastAsia="Arial" w:hAnsi="Arial"/>
          <w:sz w:val="17"/>
          <w:szCs w:val="17"/>
          <w:color w:val="auto"/>
        </w:rPr>
        <w:t>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happened, either the transfer or ownership would be void or the shares would be transferred to a charitable trust and then sold to someone who can own those shares without violating the 9.8% ownership limit.</w:t>
      </w:r>
    </w:p>
    <w:p>
      <w:pPr>
        <w:spacing w:after="0" w:line="129" w:lineRule="exact"/>
        <w:rPr>
          <w:sz w:val="20"/>
          <w:szCs w:val="20"/>
          <w:color w:val="auto"/>
        </w:rPr>
      </w:pPr>
    </w:p>
    <w:p>
      <w:pPr>
        <w:jc w:val="both"/>
        <w:ind w:right="100"/>
        <w:spacing w:after="0" w:line="265" w:lineRule="auto"/>
        <w:rPr>
          <w:sz w:val="20"/>
          <w:szCs w:val="20"/>
          <w:color w:val="auto"/>
        </w:rPr>
      </w:pPr>
      <w:r>
        <w:rPr>
          <w:rFonts w:ascii="Arial" w:cs="Arial" w:eastAsia="Arial" w:hAnsi="Arial"/>
          <w:sz w:val="17"/>
          <w:szCs w:val="17"/>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cannot assure you we will continue to pay dividends at historical rates.</w:t>
      </w:r>
    </w:p>
    <w:p>
      <w:pPr>
        <w:spacing w:after="0" w:line="97"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financial condition and results of future operations;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performance of lease terms by tenants;</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terms of our loan covenants; and</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acquire, finance, develop or redevelop and lease additional properties at attractive rates.</w:t>
      </w:r>
    </w:p>
    <w:p>
      <w:pPr>
        <w:spacing w:after="0" w:line="15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If we do not maintain or increase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tax and anti-takeover provisions of our declaration of trust and bylaws may inhibit a change of our control.</w:t>
      </w:r>
    </w:p>
    <w:p>
      <w:pPr>
        <w:spacing w:after="0" w:line="9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1" w:lineRule="exact"/>
        <w:rPr>
          <w:sz w:val="20"/>
          <w:szCs w:val="20"/>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REIT ownership limit described above;</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authorization of the issuance of our preferred shares with powers, preferences or rights to be determined by the Board of Trustees;</w:t>
      </w:r>
    </w:p>
    <w:p>
      <w:pPr>
        <w:spacing w:after="0" w:line="12" w:lineRule="exact"/>
        <w:rPr>
          <w:rFonts w:ascii="Arial" w:cs="Arial" w:eastAsia="Arial" w:hAnsi="Arial"/>
          <w:sz w:val="17"/>
          <w:szCs w:val="17"/>
          <w:color w:val="auto"/>
        </w:rPr>
      </w:pPr>
    </w:p>
    <w:p>
      <w:pPr>
        <w:ind w:left="620" w:right="40" w:hanging="304"/>
        <w:spacing w:after="0" w:line="271"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34" w:lineRule="exact"/>
        <w:rPr>
          <w:sz w:val="20"/>
          <w:szCs w:val="20"/>
          <w:color w:val="auto"/>
        </w:rPr>
      </w:pPr>
    </w:p>
    <w:p>
      <w:pPr>
        <w:ind w:left="620" w:right="40" w:hanging="304"/>
        <w:spacing w:after="0" w:line="263"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Board of Trustees, without a shareholder vote, can classify or reclassify unissued shares of beneficial interest, including the reclassification of common shares into preferred shares and vice-versa;</w:t>
      </w: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two-thirds shareholder vote is required to approve some amendments to the declaration of trust; and</w:t>
      </w:r>
    </w:p>
    <w:p>
      <w:pPr>
        <w:spacing w:after="0" w:line="12" w:lineRule="exact"/>
        <w:rPr>
          <w:rFonts w:ascii="Arial" w:cs="Arial" w:eastAsia="Arial" w:hAnsi="Arial"/>
          <w:sz w:val="17"/>
          <w:szCs w:val="17"/>
          <w:color w:val="auto"/>
        </w:rPr>
      </w:pPr>
    </w:p>
    <w:p>
      <w:pPr>
        <w:ind w:left="620" w:hanging="304"/>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advance-notice requirements for proposals to be presented at shareholder meetings.</w:t>
      </w:r>
    </w:p>
    <w:p>
      <w:pPr>
        <w:spacing w:after="0" w:line="15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1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amend or revise our business policies without your approval.</w:t>
      </w:r>
    </w:p>
    <w:p>
      <w:pPr>
        <w:spacing w:after="0" w:line="97"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25" w:lineRule="exact"/>
        <w:rPr>
          <w:sz w:val="20"/>
          <w:szCs w:val="20"/>
          <w:color w:val="auto"/>
        </w:rPr>
      </w:pPr>
    </w:p>
    <w:p>
      <w:pPr>
        <w:jc w:val="both"/>
        <w:ind w:right="220"/>
        <w:spacing w:after="0" w:line="270" w:lineRule="auto"/>
        <w:rPr>
          <w:sz w:val="20"/>
          <w:szCs w:val="20"/>
          <w:color w:val="auto"/>
        </w:rPr>
      </w:pPr>
      <w:r>
        <w:rPr>
          <w:rFonts w:ascii="Arial" w:cs="Arial" w:eastAsia="Arial" w:hAnsi="Arial"/>
          <w:sz w:val="17"/>
          <w:szCs w:val="17"/>
          <w:color w:val="auto"/>
        </w:rPr>
        <w:t>The current business plan adopted by our Board of Trustees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Natural disasters and severe weather conditions could have an adverse impact on our cash flow and operating results.</w:t>
      </w:r>
    </w:p>
    <w:p>
      <w:pPr>
        <w:spacing w:after="0" w:line="97"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Changing weather patterns and climatic conditions, such as global warming, may have added to the unpredictability and frequency of natural disasters and severe weather conditions and created additional uncertainty as to future trends and exposures. Our operations are located in areas that are subject to natural disasters and severe weather conditions such as hurricanes, earthquakes, droughts, snow storms, floods and fires. The occurrence of natural disasters or severe weather conditions can delay new development projects, increase investment costs to repair or replace damaged properties, increase operation costs, increase future property insurance costs, and negatively impact the tenant demand for lease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accounting standards may adversely impact our financial results.</w:t>
      </w:r>
    </w:p>
    <w:p>
      <w:pPr>
        <w:spacing w:after="0" w:line="97"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The Financial Accounting Standards Board ("FASB"), in conjunction with the SEC, has several key projects on their agenda that could impact how we currently account for our material transactions, including lease accounting and other convergence projects with the International Accounting Standards Board. At this time, we are unable to predict with certainty which, if any, proposals may be passed or what level of impact any such proposal could have on the presentation of our consolidated financial statements, our results of operations and our financial ratios required by our debt covenants.</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2.</w:t>
        <w:tab/>
        <w:t>PROPERTIES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12"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As of December 31, 2012, we owned or had a majority ownership interest in community and neighborhood shopping centers and mixed-used properties which are operated as 88 predominantly retail real estate projects comprising approximately 19.6 million square feet. These properties are located primarily in densely populated and affluent communities in strategic metropolitan markets in the Northeast and Mid-Atlantic regions of the United States, as well as California. No single property accounted for over 10% of our 2012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 Diversification</w:t>
      </w:r>
    </w:p>
    <w:p>
      <w:pPr>
        <w:spacing w:after="0" w:line="9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As of December 31, 2012, we had approximately 2,500 leases, with tenants ranging from sole proprietors to major national and international retailers. No one tenant or affiliated group of tenants accounted for more than 3.2% of our annualized base rent as of December 31, 2012. As a result of our tenant diversification, we believe our exposure to any one bankruptcy filing in the retail sector has not been and will not be significant, however, multiple filings by a number of retailers could have a significant impact.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Geographic Diversification</w:t>
      </w:r>
    </w:p>
    <w:p>
      <w:pPr>
        <w:spacing w:after="0" w:line="97"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Our 88 real estate projects are located in 13 states and the District of Columbia. The following table shows the number of projects, the gross leasable area (“GLA”) of commercial space and the percentage of total portfolio gross leasable area of commercial space in each state as of December 31, 2012.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3"/>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ind w:left="291"/>
              <w:spacing w:after="0"/>
              <w:rPr>
                <w:sz w:val="20"/>
                <w:szCs w:val="20"/>
                <w:color w:val="auto"/>
              </w:rPr>
            </w:pPr>
            <w:r>
              <w:rPr>
                <w:rFonts w:ascii="Arial" w:cs="Arial" w:eastAsia="Arial" w:hAnsi="Arial"/>
                <w:sz w:val="14"/>
                <w:szCs w:val="14"/>
                <w:b w:val="1"/>
                <w:bCs w:val="1"/>
                <w:color w:val="auto"/>
                <w:w w:val="91"/>
              </w:rPr>
              <w:t>Number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6"/>
              </w:rPr>
              <w:t>Gross Leasable</w:t>
            </w:r>
          </w:p>
        </w:tc>
        <w:tc>
          <w:tcPr>
            <w:tcW w:w="1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3"/>
              </w:rPr>
              <w:t>of Gross</w:t>
            </w:r>
          </w:p>
        </w:tc>
        <w:tc>
          <w:tcPr>
            <w:tcW w:w="0" w:type="dxa"/>
            <w:vAlign w:val="bottom"/>
          </w:tcPr>
          <w:p>
            <w:pPr>
              <w:spacing w:after="0"/>
              <w:rPr>
                <w:sz w:val="1"/>
                <w:szCs w:val="1"/>
                <w:color w:val="auto"/>
              </w:rPr>
            </w:pPr>
          </w:p>
        </w:tc>
      </w:tr>
      <w:tr>
        <w:trPr>
          <w:trHeight w:val="143"/>
        </w:trPr>
        <w:tc>
          <w:tcPr>
            <w:tcW w:w="6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2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Leasable</w:t>
            </w:r>
          </w:p>
        </w:tc>
        <w:tc>
          <w:tcPr>
            <w:tcW w:w="0" w:type="dxa"/>
            <w:vAlign w:val="bottom"/>
          </w:tcPr>
          <w:p>
            <w:pPr>
              <w:spacing w:after="0"/>
              <w:rPr>
                <w:sz w:val="1"/>
                <w:szCs w:val="1"/>
                <w:color w:val="auto"/>
              </w:rPr>
            </w:pPr>
          </w:p>
        </w:tc>
      </w:tr>
      <w:tr>
        <w:trPr>
          <w:trHeight w:val="186"/>
        </w:trPr>
        <w:tc>
          <w:tcPr>
            <w:tcW w:w="6360" w:type="dxa"/>
            <w:vAlign w:val="bottom"/>
            <w:gridSpan w:val="2"/>
            <w:vMerge w:val="continue"/>
          </w:tcPr>
          <w:p>
            <w:pPr>
              <w:spacing w:after="0"/>
              <w:rPr>
                <w:sz w:val="16"/>
                <w:szCs w:val="16"/>
                <w:color w:val="auto"/>
              </w:rPr>
            </w:pPr>
          </w:p>
        </w:tc>
        <w:tc>
          <w:tcPr>
            <w:tcW w:w="1200" w:type="dxa"/>
            <w:vAlign w:val="bottom"/>
          </w:tcPr>
          <w:p>
            <w:pPr>
              <w:jc w:val="center"/>
              <w:ind w:left="291"/>
              <w:spacing w:after="0"/>
              <w:rPr>
                <w:sz w:val="20"/>
                <w:szCs w:val="20"/>
                <w:color w:val="auto"/>
              </w:rPr>
            </w:pPr>
            <w:r>
              <w:rPr>
                <w:rFonts w:ascii="Arial" w:cs="Arial" w:eastAsia="Arial" w:hAnsi="Arial"/>
                <w:sz w:val="14"/>
                <w:szCs w:val="14"/>
                <w:b w:val="1"/>
                <w:bCs w:val="1"/>
                <w:color w:val="auto"/>
                <w:w w:val="86"/>
              </w:rPr>
              <w:t>Projects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Area</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Area</w:t>
            </w:r>
          </w:p>
        </w:tc>
        <w:tc>
          <w:tcPr>
            <w:tcW w:w="0" w:type="dxa"/>
            <w:vAlign w:val="bottom"/>
          </w:tcPr>
          <w:p>
            <w:pPr>
              <w:spacing w:after="0"/>
              <w:rPr>
                <w:sz w:val="1"/>
                <w:szCs w:val="1"/>
                <w:color w:val="auto"/>
              </w:rPr>
            </w:pPr>
          </w:p>
        </w:tc>
      </w:tr>
      <w:tr>
        <w:trPr>
          <w:trHeight w:val="240"/>
        </w:trPr>
        <w:tc>
          <w:tcPr>
            <w:tcW w:w="6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 square feet)</w:t>
            </w:r>
          </w:p>
        </w:tc>
        <w:tc>
          <w:tcPr>
            <w:tcW w:w="16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Maryland</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3,882,000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34"/>
        </w:trPr>
        <w:tc>
          <w:tcPr>
            <w:tcW w:w="6360" w:type="dxa"/>
            <w:vAlign w:val="bottom"/>
            <w:gridSpan w:val="2"/>
          </w:tcPr>
          <w:p>
            <w:pPr>
              <w:ind w:left="40"/>
              <w:spacing w:after="0"/>
              <w:rPr>
                <w:sz w:val="20"/>
                <w:szCs w:val="20"/>
                <w:color w:val="auto"/>
              </w:rPr>
            </w:pPr>
            <w:r>
              <w:rPr>
                <w:rFonts w:ascii="Arial" w:cs="Arial" w:eastAsia="Arial" w:hAnsi="Arial"/>
                <w:sz w:val="17"/>
                <w:szCs w:val="17"/>
                <w:color w:val="auto"/>
              </w:rPr>
              <w:t>Virginia</w:t>
            </w:r>
          </w:p>
        </w:tc>
        <w:tc>
          <w:tcPr>
            <w:tcW w:w="1200" w:type="dxa"/>
            <w:vAlign w:val="bottom"/>
          </w:tcPr>
          <w:p>
            <w:pPr>
              <w:spacing w:after="0"/>
              <w:rPr>
                <w:sz w:val="20"/>
                <w:szCs w:val="20"/>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3,581,000</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California</w:t>
            </w: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3,378,000</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34"/>
        </w:trPr>
        <w:tc>
          <w:tcPr>
            <w:tcW w:w="6360" w:type="dxa"/>
            <w:vAlign w:val="bottom"/>
            <w:gridSpan w:val="2"/>
          </w:tcPr>
          <w:p>
            <w:pPr>
              <w:ind w:left="40"/>
              <w:spacing w:after="0"/>
              <w:rPr>
                <w:sz w:val="20"/>
                <w:szCs w:val="20"/>
                <w:color w:val="auto"/>
              </w:rPr>
            </w:pPr>
            <w:r>
              <w:rPr>
                <w:rFonts w:ascii="Arial" w:cs="Arial" w:eastAsia="Arial" w:hAnsi="Arial"/>
                <w:sz w:val="17"/>
                <w:szCs w:val="17"/>
                <w:color w:val="auto"/>
              </w:rPr>
              <w:t>Pennsylvania(1)</w:t>
            </w:r>
          </w:p>
        </w:tc>
        <w:tc>
          <w:tcPr>
            <w:tcW w:w="1200" w:type="dxa"/>
            <w:vAlign w:val="bottom"/>
          </w:tcPr>
          <w:p>
            <w:pPr>
              <w:spacing w:after="0"/>
              <w:rPr>
                <w:sz w:val="20"/>
                <w:szCs w:val="20"/>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2,298,000</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New Jersey</w:t>
            </w: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1,388,000</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34"/>
        </w:trPr>
        <w:tc>
          <w:tcPr>
            <w:tcW w:w="6360" w:type="dxa"/>
            <w:vAlign w:val="bottom"/>
            <w:gridSpan w:val="2"/>
          </w:tcPr>
          <w:p>
            <w:pPr>
              <w:ind w:left="40"/>
              <w:spacing w:after="0"/>
              <w:rPr>
                <w:sz w:val="20"/>
                <w:szCs w:val="20"/>
                <w:color w:val="auto"/>
              </w:rPr>
            </w:pPr>
            <w:r>
              <w:rPr>
                <w:rFonts w:ascii="Arial" w:cs="Arial" w:eastAsia="Arial" w:hAnsi="Arial"/>
                <w:sz w:val="17"/>
                <w:szCs w:val="17"/>
                <w:color w:val="auto"/>
              </w:rPr>
              <w:t>Massachusetts</w:t>
            </w:r>
          </w:p>
        </w:tc>
        <w:tc>
          <w:tcPr>
            <w:tcW w:w="1200" w:type="dxa"/>
            <w:vAlign w:val="bottom"/>
          </w:tcPr>
          <w:p>
            <w:pPr>
              <w:spacing w:after="0"/>
              <w:rPr>
                <w:sz w:val="20"/>
                <w:szCs w:val="20"/>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1,388,000</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New York</w:t>
            </w: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1,187,000</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34"/>
        </w:trPr>
        <w:tc>
          <w:tcPr>
            <w:tcW w:w="6360" w:type="dxa"/>
            <w:vAlign w:val="bottom"/>
            <w:gridSpan w:val="2"/>
          </w:tcPr>
          <w:p>
            <w:pPr>
              <w:ind w:left="40"/>
              <w:spacing w:after="0"/>
              <w:rPr>
                <w:sz w:val="20"/>
                <w:szCs w:val="20"/>
                <w:color w:val="auto"/>
              </w:rPr>
            </w:pPr>
            <w:r>
              <w:rPr>
                <w:rFonts w:ascii="Arial" w:cs="Arial" w:eastAsia="Arial" w:hAnsi="Arial"/>
                <w:sz w:val="17"/>
                <w:szCs w:val="17"/>
                <w:color w:val="auto"/>
              </w:rPr>
              <w:t>Illinois</w:t>
            </w:r>
          </w:p>
        </w:tc>
        <w:tc>
          <w:tcPr>
            <w:tcW w:w="1200" w:type="dxa"/>
            <w:vAlign w:val="bottom"/>
          </w:tcPr>
          <w:p>
            <w:pPr>
              <w:spacing w:after="0"/>
              <w:rPr>
                <w:sz w:val="20"/>
                <w:szCs w:val="20"/>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751,000</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Florida</w:t>
            </w: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678,000</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34"/>
        </w:trPr>
        <w:tc>
          <w:tcPr>
            <w:tcW w:w="6360" w:type="dxa"/>
            <w:vAlign w:val="bottom"/>
            <w:gridSpan w:val="2"/>
          </w:tcPr>
          <w:p>
            <w:pPr>
              <w:ind w:left="40"/>
              <w:spacing w:after="0"/>
              <w:rPr>
                <w:sz w:val="20"/>
                <w:szCs w:val="20"/>
                <w:color w:val="auto"/>
              </w:rPr>
            </w:pPr>
            <w:r>
              <w:rPr>
                <w:rFonts w:ascii="Arial" w:cs="Arial" w:eastAsia="Arial" w:hAnsi="Arial"/>
                <w:sz w:val="17"/>
                <w:szCs w:val="17"/>
                <w:color w:val="auto"/>
              </w:rPr>
              <w:t>Connecticut(1)</w:t>
            </w:r>
          </w:p>
        </w:tc>
        <w:tc>
          <w:tcPr>
            <w:tcW w:w="1200" w:type="dxa"/>
            <w:vAlign w:val="bottom"/>
          </w:tcPr>
          <w:p>
            <w:pPr>
              <w:spacing w:after="0"/>
              <w:rPr>
                <w:sz w:val="20"/>
                <w:szCs w:val="20"/>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302,000</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Michigan</w:t>
            </w: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217,000</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4"/>
        </w:trPr>
        <w:tc>
          <w:tcPr>
            <w:tcW w:w="6360" w:type="dxa"/>
            <w:vAlign w:val="bottom"/>
            <w:gridSpan w:val="2"/>
          </w:tcPr>
          <w:p>
            <w:pPr>
              <w:ind w:left="40"/>
              <w:spacing w:after="0"/>
              <w:rPr>
                <w:sz w:val="20"/>
                <w:szCs w:val="20"/>
                <w:color w:val="auto"/>
              </w:rPr>
            </w:pPr>
            <w:r>
              <w:rPr>
                <w:rFonts w:ascii="Arial" w:cs="Arial" w:eastAsia="Arial" w:hAnsi="Arial"/>
                <w:sz w:val="17"/>
                <w:szCs w:val="17"/>
                <w:color w:val="auto"/>
              </w:rPr>
              <w:t>Texas</w:t>
            </w:r>
          </w:p>
        </w:tc>
        <w:tc>
          <w:tcPr>
            <w:tcW w:w="1200" w:type="dxa"/>
            <w:vAlign w:val="bottom"/>
          </w:tcPr>
          <w:p>
            <w:pPr>
              <w:spacing w:after="0"/>
              <w:rPr>
                <w:sz w:val="20"/>
                <w:szCs w:val="20"/>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183,000</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District of Columbia</w:t>
            </w:r>
          </w:p>
        </w:tc>
        <w:tc>
          <w:tcPr>
            <w:tcW w:w="1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168,000</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34"/>
        </w:trPr>
        <w:tc>
          <w:tcPr>
            <w:tcW w:w="6360" w:type="dxa"/>
            <w:vAlign w:val="bottom"/>
            <w:gridSpan w:val="2"/>
          </w:tcPr>
          <w:p>
            <w:pPr>
              <w:ind w:left="40"/>
              <w:spacing w:after="0"/>
              <w:rPr>
                <w:sz w:val="20"/>
                <w:szCs w:val="20"/>
                <w:color w:val="auto"/>
              </w:rPr>
            </w:pPr>
            <w:r>
              <w:rPr>
                <w:rFonts w:ascii="Arial" w:cs="Arial" w:eastAsia="Arial" w:hAnsi="Arial"/>
                <w:sz w:val="17"/>
                <w:szCs w:val="17"/>
                <w:color w:val="auto"/>
              </w:rPr>
              <w:t>North Carolina</w:t>
            </w:r>
          </w:p>
        </w:tc>
        <w:tc>
          <w:tcPr>
            <w:tcW w:w="1200" w:type="dxa"/>
            <w:vAlign w:val="bottom"/>
          </w:tcPr>
          <w:p>
            <w:pPr>
              <w:spacing w:after="0"/>
              <w:rPr>
                <w:sz w:val="20"/>
                <w:szCs w:val="20"/>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153,000</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6"/>
        </w:trPr>
        <w:tc>
          <w:tcPr>
            <w:tcW w:w="6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Total</w:t>
            </w:r>
          </w:p>
        </w:tc>
        <w:tc>
          <w:tcPr>
            <w:tcW w:w="1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19,554,000</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20" w:right="100" w:hanging="304"/>
        <w:spacing w:after="0" w:line="286"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Additionally, we own two participating mortgages totaling approximately $29.5 million secured by multiple buildings in Manayunk, Pennsylvania, and an $11.7 million mortgage secured by a shopping center in Norwalk, Connecticut.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 Lease Terms and Lease Expirations</w:t>
      </w:r>
    </w:p>
    <w:p>
      <w:pPr>
        <w:spacing w:after="0" w:line="9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102"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2012, represented approximately 4.7% of total rental income.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following table sets forth the schedule of lease expirations for our commercial leases in place as of December 31, 2012 for each of the 10 years beginning with 2013 and after 2022 in the aggregate assuming that none of the tenants exercise future renewal options. Annualized base rents reflect in-place contractual rents as of December 31, 2012.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Leased</w:t>
            </w: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Percentage of</w:t>
            </w: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Annualized</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Percentage of Annualized</w:t>
            </w:r>
          </w:p>
        </w:tc>
        <w:tc>
          <w:tcPr>
            <w:tcW w:w="0" w:type="dxa"/>
            <w:vAlign w:val="bottom"/>
          </w:tcPr>
          <w:p>
            <w:pPr>
              <w:spacing w:after="0"/>
              <w:rPr>
                <w:sz w:val="1"/>
                <w:szCs w:val="1"/>
                <w:color w:val="auto"/>
              </w:rPr>
            </w:pPr>
          </w:p>
        </w:tc>
      </w:tr>
      <w:tr>
        <w:trPr>
          <w:trHeight w:val="143"/>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88"/>
              </w:rPr>
              <w:t>Square</w:t>
            </w:r>
          </w:p>
        </w:tc>
        <w:tc>
          <w:tcPr>
            <w:tcW w:w="17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6"/>
              </w:rPr>
              <w:t>Leased Square</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7"/>
              </w:rPr>
              <w:t>Base Rent</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of Lease Expiration</w:t>
            </w:r>
          </w:p>
        </w:tc>
        <w:tc>
          <w:tcPr>
            <w:tcW w:w="17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8"/>
              </w:rPr>
              <w:t>Footage</w:t>
            </w:r>
          </w:p>
        </w:tc>
        <w:tc>
          <w:tcPr>
            <w:tcW w:w="17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4"/>
              </w:rPr>
              <w:t>Footage</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7"/>
              </w:rPr>
              <w:t>Represented by</w:t>
            </w:r>
          </w:p>
        </w:tc>
        <w:tc>
          <w:tcPr>
            <w:tcW w:w="1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Base Rent Represented by</w:t>
            </w:r>
          </w:p>
        </w:tc>
        <w:tc>
          <w:tcPr>
            <w:tcW w:w="0" w:type="dxa"/>
            <w:vAlign w:val="bottom"/>
          </w:tcPr>
          <w:p>
            <w:pPr>
              <w:spacing w:after="0"/>
              <w:rPr>
                <w:sz w:val="1"/>
                <w:szCs w:val="1"/>
                <w:color w:val="auto"/>
              </w:rPr>
            </w:pPr>
          </w:p>
        </w:tc>
      </w:tr>
      <w:tr>
        <w:trPr>
          <w:trHeight w:val="186"/>
        </w:trPr>
        <w:tc>
          <w:tcPr>
            <w:tcW w:w="4600" w:type="dxa"/>
            <w:vAlign w:val="bottom"/>
            <w:gridSpan w:val="2"/>
            <w:vMerge w:val="continue"/>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Expiring</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Expiring</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Expiring Leases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7"/>
              </w:rPr>
              <w:t>Expiring Leases</w:t>
            </w:r>
          </w:p>
        </w:tc>
        <w:tc>
          <w:tcPr>
            <w:tcW w:w="0" w:type="dxa"/>
            <w:vAlign w:val="bottom"/>
          </w:tcPr>
          <w:p>
            <w:pPr>
              <w:spacing w:after="0"/>
              <w:rPr>
                <w:sz w:val="1"/>
                <w:szCs w:val="1"/>
                <w:color w:val="auto"/>
              </w:rPr>
            </w:pPr>
          </w:p>
        </w:tc>
      </w:tr>
      <w:tr>
        <w:trPr>
          <w:trHeight w:val="239"/>
        </w:trPr>
        <w:tc>
          <w:tcPr>
            <w:tcW w:w="4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1,188,000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30,182,000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34"/>
        </w:trPr>
        <w:tc>
          <w:tcPr>
            <w:tcW w:w="4500" w:type="dxa"/>
            <w:vAlign w:val="bottom"/>
          </w:tcPr>
          <w:p>
            <w:pPr>
              <w:ind w:left="40"/>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20"/>
                <w:szCs w:val="20"/>
                <w:color w:val="auto"/>
              </w:rPr>
            </w:pPr>
          </w:p>
        </w:tc>
        <w:tc>
          <w:tcPr>
            <w:tcW w:w="1600" w:type="dxa"/>
            <w:vAlign w:val="bottom"/>
          </w:tcPr>
          <w:p>
            <w:pPr>
              <w:jc w:val="right"/>
              <w:ind w:right="18"/>
              <w:spacing w:after="0"/>
              <w:rPr>
                <w:sz w:val="20"/>
                <w:szCs w:val="20"/>
                <w:color w:val="auto"/>
              </w:rPr>
            </w:pPr>
            <w:r>
              <w:rPr>
                <w:rFonts w:ascii="Arial" w:cs="Arial" w:eastAsia="Arial" w:hAnsi="Arial"/>
                <w:sz w:val="17"/>
                <w:szCs w:val="17"/>
                <w:color w:val="auto"/>
              </w:rPr>
              <w:t>2,368,000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8"/>
              <w:spacing w:after="0"/>
              <w:rPr>
                <w:sz w:val="20"/>
                <w:szCs w:val="20"/>
                <w:color w:val="auto"/>
              </w:rPr>
            </w:pPr>
            <w:r>
              <w:rPr>
                <w:rFonts w:ascii="Arial" w:cs="Arial" w:eastAsia="Arial" w:hAnsi="Arial"/>
                <w:sz w:val="17"/>
                <w:szCs w:val="17"/>
                <w:color w:val="auto"/>
              </w:rPr>
              <w:t>53,683,000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1,824,000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44,034,000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4"/>
        </w:trPr>
        <w:tc>
          <w:tcPr>
            <w:tcW w:w="4500" w:type="dxa"/>
            <w:vAlign w:val="bottom"/>
          </w:tcPr>
          <w:p>
            <w:pPr>
              <w:ind w:left="40"/>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20"/>
                <w:szCs w:val="20"/>
                <w:color w:val="auto"/>
              </w:rPr>
            </w:pPr>
          </w:p>
        </w:tc>
        <w:tc>
          <w:tcPr>
            <w:tcW w:w="1600" w:type="dxa"/>
            <w:vAlign w:val="bottom"/>
          </w:tcPr>
          <w:p>
            <w:pPr>
              <w:jc w:val="right"/>
              <w:ind w:right="18"/>
              <w:spacing w:after="0"/>
              <w:rPr>
                <w:sz w:val="20"/>
                <w:szCs w:val="20"/>
                <w:color w:val="auto"/>
              </w:rPr>
            </w:pPr>
            <w:r>
              <w:rPr>
                <w:rFonts w:ascii="Arial" w:cs="Arial" w:eastAsia="Arial" w:hAnsi="Arial"/>
                <w:sz w:val="17"/>
                <w:szCs w:val="17"/>
                <w:color w:val="auto"/>
              </w:rPr>
              <w:t>1,982,000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8"/>
              <w:spacing w:after="0"/>
              <w:rPr>
                <w:sz w:val="20"/>
                <w:szCs w:val="20"/>
                <w:color w:val="auto"/>
              </w:rPr>
            </w:pPr>
            <w:r>
              <w:rPr>
                <w:rFonts w:ascii="Arial" w:cs="Arial" w:eastAsia="Arial" w:hAnsi="Arial"/>
                <w:sz w:val="17"/>
                <w:szCs w:val="17"/>
                <w:color w:val="auto"/>
              </w:rPr>
              <w:t>51,753,000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2017</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2,611,000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63,516,000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4"/>
        </w:trPr>
        <w:tc>
          <w:tcPr>
            <w:tcW w:w="4500" w:type="dxa"/>
            <w:vAlign w:val="bottom"/>
          </w:tcPr>
          <w:p>
            <w:pPr>
              <w:ind w:left="4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20"/>
                <w:szCs w:val="20"/>
                <w:color w:val="auto"/>
              </w:rPr>
            </w:pPr>
          </w:p>
        </w:tc>
        <w:tc>
          <w:tcPr>
            <w:tcW w:w="1600" w:type="dxa"/>
            <w:vAlign w:val="bottom"/>
          </w:tcPr>
          <w:p>
            <w:pPr>
              <w:jc w:val="right"/>
              <w:ind w:right="18"/>
              <w:spacing w:after="0"/>
              <w:rPr>
                <w:sz w:val="20"/>
                <w:szCs w:val="20"/>
                <w:color w:val="auto"/>
              </w:rPr>
            </w:pPr>
            <w:r>
              <w:rPr>
                <w:rFonts w:ascii="Arial" w:cs="Arial" w:eastAsia="Arial" w:hAnsi="Arial"/>
                <w:sz w:val="17"/>
                <w:szCs w:val="17"/>
                <w:color w:val="auto"/>
              </w:rPr>
              <w:t>2,017,000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8"/>
              <w:spacing w:after="0"/>
              <w:rPr>
                <w:sz w:val="20"/>
                <w:szCs w:val="20"/>
                <w:color w:val="auto"/>
              </w:rPr>
            </w:pPr>
            <w:r>
              <w:rPr>
                <w:rFonts w:ascii="Arial" w:cs="Arial" w:eastAsia="Arial" w:hAnsi="Arial"/>
                <w:sz w:val="17"/>
                <w:szCs w:val="17"/>
                <w:color w:val="auto"/>
              </w:rPr>
              <w:t>42,232,000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2019</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1,097,000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25,521,000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4"/>
        </w:trPr>
        <w:tc>
          <w:tcPr>
            <w:tcW w:w="4500" w:type="dxa"/>
            <w:vAlign w:val="bottom"/>
          </w:tcPr>
          <w:p>
            <w:pPr>
              <w:ind w:left="40"/>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20"/>
                <w:szCs w:val="20"/>
                <w:color w:val="auto"/>
              </w:rPr>
            </w:pPr>
          </w:p>
        </w:tc>
        <w:tc>
          <w:tcPr>
            <w:tcW w:w="1600" w:type="dxa"/>
            <w:vAlign w:val="bottom"/>
          </w:tcPr>
          <w:p>
            <w:pPr>
              <w:jc w:val="right"/>
              <w:ind w:right="18"/>
              <w:spacing w:after="0"/>
              <w:rPr>
                <w:sz w:val="20"/>
                <w:szCs w:val="20"/>
                <w:color w:val="auto"/>
              </w:rPr>
            </w:pPr>
            <w:r>
              <w:rPr>
                <w:rFonts w:ascii="Arial" w:cs="Arial" w:eastAsia="Arial" w:hAnsi="Arial"/>
                <w:sz w:val="17"/>
                <w:szCs w:val="17"/>
                <w:color w:val="auto"/>
              </w:rPr>
              <w:t>854,000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8"/>
              <w:spacing w:after="0"/>
              <w:rPr>
                <w:sz w:val="20"/>
                <w:szCs w:val="20"/>
                <w:color w:val="auto"/>
              </w:rPr>
            </w:pPr>
            <w:r>
              <w:rPr>
                <w:rFonts w:ascii="Arial" w:cs="Arial" w:eastAsia="Arial" w:hAnsi="Arial"/>
                <w:sz w:val="17"/>
                <w:szCs w:val="17"/>
                <w:color w:val="auto"/>
              </w:rPr>
              <w:t>20,940,000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974,000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27,674,000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4"/>
        </w:trPr>
        <w:tc>
          <w:tcPr>
            <w:tcW w:w="4500" w:type="dxa"/>
            <w:vAlign w:val="bottom"/>
          </w:tcPr>
          <w:p>
            <w:pPr>
              <w:ind w:left="4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20"/>
                <w:szCs w:val="20"/>
                <w:color w:val="auto"/>
              </w:rPr>
            </w:pPr>
          </w:p>
        </w:tc>
        <w:tc>
          <w:tcPr>
            <w:tcW w:w="1600" w:type="dxa"/>
            <w:vAlign w:val="bottom"/>
          </w:tcPr>
          <w:p>
            <w:pPr>
              <w:jc w:val="right"/>
              <w:ind w:right="18"/>
              <w:spacing w:after="0"/>
              <w:rPr>
                <w:sz w:val="20"/>
                <w:szCs w:val="20"/>
                <w:color w:val="auto"/>
              </w:rPr>
            </w:pPr>
            <w:r>
              <w:rPr>
                <w:rFonts w:ascii="Arial" w:cs="Arial" w:eastAsia="Arial" w:hAnsi="Arial"/>
                <w:sz w:val="17"/>
                <w:szCs w:val="17"/>
                <w:color w:val="auto"/>
              </w:rPr>
              <w:t>1,200,000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8"/>
              <w:spacing w:after="0"/>
              <w:rPr>
                <w:sz w:val="20"/>
                <w:szCs w:val="20"/>
                <w:color w:val="auto"/>
              </w:rPr>
            </w:pPr>
            <w:r>
              <w:rPr>
                <w:rFonts w:ascii="Arial" w:cs="Arial" w:eastAsia="Arial" w:hAnsi="Arial"/>
                <w:sz w:val="17"/>
                <w:szCs w:val="17"/>
                <w:color w:val="auto"/>
              </w:rPr>
              <w:t>29,630,000</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Thereafter</w:t>
            </w: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2,390,000</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51,886,000</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7"/>
        </w:trPr>
        <w:tc>
          <w:tcPr>
            <w:tcW w:w="4600" w:type="dxa"/>
            <w:vAlign w:val="bottom"/>
            <w:gridSpan w:val="2"/>
          </w:tcPr>
          <w:p>
            <w:pPr>
              <w:ind w:left="360"/>
              <w:spacing w:after="0"/>
              <w:rPr>
                <w:sz w:val="20"/>
                <w:szCs w:val="20"/>
                <w:color w:val="auto"/>
              </w:rPr>
            </w:pPr>
            <w:r>
              <w:rPr>
                <w:rFonts w:ascii="Arial" w:cs="Arial" w:eastAsia="Arial" w:hAnsi="Arial"/>
                <w:sz w:val="17"/>
                <w:szCs w:val="17"/>
                <w:color w:val="auto"/>
              </w:rPr>
              <w:t>Total</w:t>
            </w:r>
          </w:p>
        </w:tc>
        <w:tc>
          <w:tcPr>
            <w:tcW w:w="16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18,505,000</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441,051,000</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Rollovers</w:t>
      </w:r>
    </w:p>
    <w:p>
      <w:pPr>
        <w:spacing w:after="0" w:line="9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For 2012, we signed leases for a total of 1,965,000 square feet of retail space including 1,800,000 square feet of comparable space leases (leases for which there was a prior tenant) at an average rental increase of 13% on a cash basis and 23% on a straight-line basis. New leases for comparable spaces were signed for 882,000 square feet at an average rental increase of 23% on a cash basis and 32% on a straight-line basis. Renewals for comparable spaces were signed for 918,000 square feet at an average rental increase of 4% on a cash basis and 14% on a straight-line basis.</w:t>
      </w:r>
    </w:p>
    <w:p>
      <w:pPr>
        <w:spacing w:after="0" w:line="4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For 2011, we signed leases for a total of 1,417,000 square feet of retail space including 1,294,000 square feet of comparable space leases (leases for which there was a prior tenant) at an average rental increase of 9% on a cash basis and 20% on a straight-line basis. New leases for comparable spaces were signed for 534,000 square feet at an average rental increase of 11% on a cash basis and 21% on a straight-line basis. Renewals for comparable spaces were signed for 760,000 square feet at an average rental increase of 7% on a cash basis and 19% on a straight-line basis.</w:t>
      </w:r>
    </w:p>
    <w:p>
      <w:pPr>
        <w:spacing w:after="0" w:line="12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17"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The leases signed in 2012 generally become effective over the following two years though some may not become effective until 2015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25"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Historically, we have executed around 300 comparable space leases a year for between 1.2 to 1.5 million square feet of retail space. However, in 2012, we executed approximately 400 comparable space leases for 1.8 million square feet leading to occupancy at December 31, 2012 of 94.9% versus 92.4% at December 31,</w:t>
      </w:r>
    </w:p>
    <w:p>
      <w:pPr>
        <w:ind w:right="40"/>
        <w:spacing w:after="0" w:line="263" w:lineRule="auto"/>
        <w:rPr>
          <w:sz w:val="20"/>
          <w:szCs w:val="20"/>
          <w:color w:val="auto"/>
        </w:rPr>
      </w:pPr>
      <w:r>
        <w:rPr>
          <w:rFonts w:ascii="Arial" w:cs="Arial" w:eastAsia="Arial" w:hAnsi="Arial"/>
          <w:sz w:val="17"/>
          <w:szCs w:val="17"/>
          <w:color w:val="auto"/>
        </w:rPr>
        <w:t>2011. We believe our leasing volume for 2013 will be more inline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and Residential Properties</w:t>
      </w:r>
    </w:p>
    <w:p>
      <w:pPr>
        <w:spacing w:after="0" w:line="97"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otherwise controlled and are consolidated as of December 31, 2012. Except as otherwise noted, we are the sole owner of our retail real estate projects. Principal tenants are the largest tenants in the project based on square feet leased or are tenants important to a project’s success due to their ability to attract retail customers.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Square Feet(1)</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Average Rent</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4"/>
              </w:rPr>
              <w:t>/Apartment</w:t>
            </w:r>
          </w:p>
        </w:tc>
        <w:tc>
          <w:tcPr>
            <w:tcW w:w="13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Per Square</w:t>
            </w:r>
          </w:p>
        </w:tc>
        <w:tc>
          <w:tcPr>
            <w:tcW w:w="112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9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Completed</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Acquired</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Leased(3)</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5"/>
        </w:trPr>
        <w:tc>
          <w:tcPr>
            <w:tcW w:w="3100" w:type="dxa"/>
            <w:vAlign w:val="bottom"/>
            <w:gridSpan w:val="5"/>
            <w:shd w:val="clear" w:color="auto" w:fill="CCEEFF"/>
          </w:tcPr>
          <w:p>
            <w:pPr>
              <w:ind w:left="40"/>
              <w:spacing w:after="0" w:line="155" w:lineRule="exact"/>
              <w:rPr>
                <w:sz w:val="20"/>
                <w:szCs w:val="20"/>
                <w:color w:val="auto"/>
              </w:rPr>
            </w:pPr>
            <w:r>
              <w:rPr>
                <w:rFonts w:ascii="Arial" w:cs="Arial" w:eastAsia="Arial" w:hAnsi="Arial"/>
                <w:sz w:val="14"/>
                <w:szCs w:val="14"/>
                <w:b w:val="1"/>
                <w:bCs w:val="1"/>
                <w:color w:val="auto"/>
              </w:rPr>
              <w:t>California</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150 Post Street</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1"/>
              </w:rPr>
              <w:t>1908, 1965</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102,000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$42.51</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Brooks Brothers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4"/>
          </w:tcPr>
          <w:p>
            <w:pPr>
              <w:ind w:left="120"/>
              <w:spacing w:after="0"/>
              <w:rPr>
                <w:sz w:val="20"/>
                <w:szCs w:val="20"/>
                <w:color w:val="auto"/>
              </w:rPr>
            </w:pPr>
            <w:r>
              <w:rPr>
                <w:rFonts w:ascii="Arial" w:cs="Arial" w:eastAsia="Arial" w:hAnsi="Arial"/>
                <w:sz w:val="14"/>
                <w:szCs w:val="14"/>
                <w:color w:val="auto"/>
              </w:rPr>
              <w:t>San Francisco, CA 94108</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H &amp; M</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Colorado Blvd</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1905-1988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1996/1998</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69,000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$38.11</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Pasadena, CA 91103(4)</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Crow Canyon Commons</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1980-2006</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0"/>
              </w:rPr>
              <w:t>2005/2007</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242,000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$19.81</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Lucky</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San Ramon, CA 94583(11)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Loehmann’s Dress Shop</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East Bay Bridge</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1"/>
              </w:rPr>
              <w:t>1994-1995, 2010,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2012</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438,000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$15.37</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w w:val="96"/>
              </w:rPr>
              <w:t>Home Depot Michaels Pak-N-Save</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Emeryville &amp; Oakland, CA(11)</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2012</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Escondido Promenade</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1987</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0"/>
              </w:rPr>
              <w:t>1996/2010</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297,000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$21.99</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Escondido, CA 92029(5)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Fifth Avenue</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1888-1998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1996</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17,000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$47.66</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Urban Outfitters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San Diego, CA 92101</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Hermosa Avenue</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1922</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22,000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$35.73</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4"/>
          </w:tcPr>
          <w:p>
            <w:pPr>
              <w:ind w:left="120"/>
              <w:spacing w:after="0"/>
              <w:rPr>
                <w:sz w:val="20"/>
                <w:szCs w:val="20"/>
                <w:color w:val="auto"/>
              </w:rPr>
            </w:pPr>
            <w:r>
              <w:rPr>
                <w:rFonts w:ascii="Arial" w:cs="Arial" w:eastAsia="Arial" w:hAnsi="Arial"/>
                <w:sz w:val="14"/>
                <w:szCs w:val="14"/>
                <w:color w:val="auto"/>
              </w:rPr>
              <w:t>Hermosa Beach, CA 90254</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Hollywood Blvd</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1"/>
              </w:rPr>
              <w:t>1929, 1991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1999</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140,000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$30.69</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91%</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20"/>
              <w:spacing w:after="0" w:line="143" w:lineRule="exact"/>
              <w:rPr>
                <w:sz w:val="20"/>
                <w:szCs w:val="20"/>
                <w:color w:val="auto"/>
              </w:rPr>
            </w:pPr>
            <w:r>
              <w:rPr>
                <w:rFonts w:ascii="Arial" w:cs="Arial" w:eastAsia="Arial" w:hAnsi="Arial"/>
                <w:sz w:val="14"/>
                <w:szCs w:val="14"/>
                <w:color w:val="auto"/>
              </w:rPr>
              <w:t>Hollywood, CA 90028(6)</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Fresh &amp; Easy</w:t>
            </w: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Kings Court</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78,000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$29.30</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Lunardi’s Supermarket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4"/>
          </w:tcPr>
          <w:p>
            <w:pPr>
              <w:ind w:left="120"/>
              <w:spacing w:after="0"/>
              <w:rPr>
                <w:sz w:val="20"/>
                <w:szCs w:val="20"/>
                <w:color w:val="auto"/>
              </w:rPr>
            </w:pPr>
            <w:r>
              <w:rPr>
                <w:rFonts w:ascii="Arial" w:cs="Arial" w:eastAsia="Arial" w:hAnsi="Arial"/>
                <w:sz w:val="14"/>
                <w:szCs w:val="14"/>
                <w:color w:val="auto"/>
              </w:rPr>
              <w:t>Los Gatos, CA 95032(4)(7)</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Old Town Center</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1"/>
              </w:rPr>
              <w:t>1962, 1998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96,000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$34.56</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89%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Los Gatos, CA 95030</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Banana Republic Anthropologie</w:t>
            </w: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Plaza El Segundo</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2006-2007</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381,000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$37.06</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H&amp;M</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El Segundo, CA 90245 (5)(11)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Dick's Sporting Goods Container</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Store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Santana Row—Retail</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1"/>
              </w:rPr>
              <w:t>2002, 2009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647,000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$47.34</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H&amp;M Crate &amp; Barrel</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20"/>
              <w:spacing w:after="0" w:line="143" w:lineRule="exact"/>
              <w:rPr>
                <w:sz w:val="20"/>
                <w:szCs w:val="20"/>
                <w:color w:val="auto"/>
              </w:rPr>
            </w:pPr>
            <w:r>
              <w:rPr>
                <w:rFonts w:ascii="Arial" w:cs="Arial" w:eastAsia="Arial" w:hAnsi="Arial"/>
                <w:sz w:val="14"/>
                <w:szCs w:val="14"/>
                <w:color w:val="auto"/>
              </w:rPr>
              <w:t>San Jose, CA 95128</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CineArts Theatre</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Santana Row—Residential</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0"/>
              </w:rPr>
              <w:t>1999-2009, 2011</w:t>
            </w:r>
          </w:p>
        </w:tc>
        <w:tc>
          <w:tcPr>
            <w:tcW w:w="120" w:type="dxa"/>
            <w:vAlign w:val="bottom"/>
          </w:tcPr>
          <w:p>
            <w:pPr>
              <w:spacing w:after="0"/>
              <w:rPr>
                <w:sz w:val="13"/>
                <w:szCs w:val="13"/>
                <w:color w:val="auto"/>
              </w:rPr>
            </w:pPr>
          </w:p>
        </w:tc>
        <w:tc>
          <w:tcPr>
            <w:tcW w:w="1040" w:type="dxa"/>
            <w:vAlign w:val="bottom"/>
          </w:tcPr>
          <w:p>
            <w:pPr>
              <w:ind w:left="380"/>
              <w:spacing w:after="0" w:line="151" w:lineRule="exact"/>
              <w:rPr>
                <w:sz w:val="20"/>
                <w:szCs w:val="20"/>
                <w:color w:val="auto"/>
              </w:rPr>
            </w:pPr>
            <w:r>
              <w:rPr>
                <w:rFonts w:ascii="Arial" w:cs="Arial" w:eastAsia="Arial" w:hAnsi="Arial"/>
                <w:sz w:val="14"/>
                <w:szCs w:val="14"/>
                <w:color w:val="auto"/>
                <w:w w:val="91"/>
              </w:rPr>
              <w:t>1997, 2012</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1" w:lineRule="exact"/>
              <w:rPr>
                <w:sz w:val="20"/>
                <w:szCs w:val="20"/>
                <w:color w:val="auto"/>
              </w:rPr>
            </w:pPr>
            <w:r>
              <w:rPr>
                <w:rFonts w:ascii="Arial" w:cs="Arial" w:eastAsia="Arial" w:hAnsi="Arial"/>
                <w:sz w:val="14"/>
                <w:szCs w:val="14"/>
                <w:color w:val="auto"/>
                <w:w w:val="91"/>
              </w:rPr>
              <w:t>450 units</w:t>
            </w:r>
          </w:p>
        </w:tc>
        <w:tc>
          <w:tcPr>
            <w:tcW w:w="1360" w:type="dxa"/>
            <w:vAlign w:val="bottom"/>
            <w:gridSpan w:val="2"/>
          </w:tcPr>
          <w:p>
            <w:pPr>
              <w:jc w:val="center"/>
              <w:ind w:right="120"/>
              <w:spacing w:after="0" w:line="151" w:lineRule="exact"/>
              <w:rPr>
                <w:sz w:val="20"/>
                <w:szCs w:val="20"/>
                <w:color w:val="auto"/>
              </w:rPr>
            </w:pPr>
            <w:r>
              <w:rPr>
                <w:rFonts w:ascii="Arial" w:cs="Arial" w:eastAsia="Arial" w:hAnsi="Arial"/>
                <w:sz w:val="14"/>
                <w:szCs w:val="14"/>
                <w:color w:val="auto"/>
              </w:rPr>
              <w:t>N/A</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4"/>
          </w:tcPr>
          <w:p>
            <w:pPr>
              <w:ind w:left="120"/>
              <w:spacing w:after="0"/>
              <w:rPr>
                <w:sz w:val="20"/>
                <w:szCs w:val="20"/>
                <w:color w:val="auto"/>
              </w:rPr>
            </w:pPr>
            <w:r>
              <w:rPr>
                <w:rFonts w:ascii="Arial" w:cs="Arial" w:eastAsia="Arial" w:hAnsi="Arial"/>
                <w:sz w:val="14"/>
                <w:szCs w:val="14"/>
                <w:color w:val="auto"/>
              </w:rPr>
              <w:t>San Jose, CA 95128</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Third Street Promenade</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1888-2000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1996-2000</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210,000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$64.92</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Abercrombie &amp; Fitch</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20"/>
              <w:spacing w:after="0" w:line="143" w:lineRule="exact"/>
              <w:rPr>
                <w:sz w:val="20"/>
                <w:szCs w:val="20"/>
                <w:color w:val="auto"/>
              </w:rPr>
            </w:pPr>
            <w:r>
              <w:rPr>
                <w:rFonts w:ascii="Arial" w:cs="Arial" w:eastAsia="Arial" w:hAnsi="Arial"/>
                <w:sz w:val="14"/>
                <w:szCs w:val="14"/>
                <w:color w:val="auto"/>
              </w:rPr>
              <w:t>Santa Monica, CA 90401</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J. Crew</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Westgate</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1960-1966</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639,000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$12.83</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92%</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Target Walmart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San Jose, CA 95129</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Michaels Nordstrom Rack</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100" w:type="dxa"/>
            <w:vAlign w:val="bottom"/>
            <w:gridSpan w:val="5"/>
            <w:shd w:val="clear" w:color="auto" w:fill="CCEEFF"/>
          </w:tcPr>
          <w:p>
            <w:pPr>
              <w:ind w:left="40"/>
              <w:spacing w:after="0" w:line="156" w:lineRule="exact"/>
              <w:rPr>
                <w:sz w:val="20"/>
                <w:szCs w:val="20"/>
                <w:color w:val="auto"/>
              </w:rPr>
            </w:pPr>
            <w:r>
              <w:rPr>
                <w:rFonts w:ascii="Arial" w:cs="Arial" w:eastAsia="Arial" w:hAnsi="Arial"/>
                <w:sz w:val="14"/>
                <w:szCs w:val="14"/>
                <w:b w:val="1"/>
                <w:bCs w:val="1"/>
                <w:color w:val="auto"/>
              </w:rPr>
              <w:t>Connecticut</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2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Bristol</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266,000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$12.35</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4"/>
          </w:tcPr>
          <w:p>
            <w:pPr>
              <w:ind w:left="120"/>
              <w:spacing w:after="0"/>
              <w:rPr>
                <w:sz w:val="20"/>
                <w:szCs w:val="20"/>
                <w:color w:val="auto"/>
              </w:rPr>
            </w:pPr>
            <w:r>
              <w:rPr>
                <w:rFonts w:ascii="Arial" w:cs="Arial" w:eastAsia="Arial" w:hAnsi="Arial"/>
                <w:sz w:val="14"/>
                <w:szCs w:val="14"/>
                <w:color w:val="auto"/>
              </w:rPr>
              <w:t>Bristol, CT 06010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Greenwich Avenue</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36,000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$61.00</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0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Greenwich Avenue, CT 06830</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Square Feet(1)</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Average Rent</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4"/>
              </w:rPr>
              <w:t>/Apartment</w:t>
            </w:r>
          </w:p>
        </w:tc>
        <w:tc>
          <w:tcPr>
            <w:tcW w:w="13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Per Square</w:t>
            </w:r>
          </w:p>
        </w:tc>
        <w:tc>
          <w:tcPr>
            <w:tcW w:w="112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9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Completed</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Leased(3)</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5"/>
        </w:trPr>
        <w:tc>
          <w:tcPr>
            <w:tcW w:w="3060" w:type="dxa"/>
            <w:vAlign w:val="bottom"/>
            <w:gridSpan w:val="7"/>
            <w:shd w:val="clear" w:color="auto" w:fill="CCEEFF"/>
          </w:tcPr>
          <w:p>
            <w:pPr>
              <w:ind w:left="40"/>
              <w:spacing w:after="0" w:line="155" w:lineRule="exact"/>
              <w:rPr>
                <w:sz w:val="20"/>
                <w:szCs w:val="20"/>
                <w:color w:val="auto"/>
              </w:rPr>
            </w:pPr>
            <w:r>
              <w:rPr>
                <w:rFonts w:ascii="Arial" w:cs="Arial" w:eastAsia="Arial" w:hAnsi="Arial"/>
                <w:sz w:val="14"/>
                <w:szCs w:val="14"/>
                <w:b w:val="1"/>
                <w:bCs w:val="1"/>
                <w:color w:val="auto"/>
              </w:rPr>
              <w:t>District of Columbia</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7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060" w:type="dxa"/>
            <w:vAlign w:val="bottom"/>
            <w:gridSpan w:val="7"/>
          </w:tcPr>
          <w:p>
            <w:pPr>
              <w:ind w:left="40"/>
              <w:spacing w:after="0" w:line="151" w:lineRule="exact"/>
              <w:rPr>
                <w:sz w:val="20"/>
                <w:szCs w:val="20"/>
                <w:color w:val="auto"/>
              </w:rPr>
            </w:pPr>
            <w:r>
              <w:rPr>
                <w:rFonts w:ascii="Arial" w:cs="Arial" w:eastAsia="Arial" w:hAnsi="Arial"/>
                <w:sz w:val="14"/>
                <w:szCs w:val="14"/>
                <w:color w:val="auto"/>
              </w:rPr>
              <w:t>Friendship Center</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1998</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3"/>
              </w:rPr>
              <w:t>2001</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119,000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$28.92</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DSW Maggiano’s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20" w:type="dxa"/>
            <w:vAlign w:val="bottom"/>
            <w:gridSpan w:val="6"/>
          </w:tcPr>
          <w:p>
            <w:pPr>
              <w:ind w:left="120"/>
              <w:spacing w:after="0"/>
              <w:rPr>
                <w:sz w:val="20"/>
                <w:szCs w:val="20"/>
                <w:color w:val="auto"/>
              </w:rPr>
            </w:pPr>
            <w:r>
              <w:rPr>
                <w:rFonts w:ascii="Arial" w:cs="Arial" w:eastAsia="Arial" w:hAnsi="Arial"/>
                <w:sz w:val="14"/>
                <w:szCs w:val="14"/>
                <w:color w:val="auto"/>
              </w:rPr>
              <w:t>Washington, DC 20015</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060" w:type="dxa"/>
            <w:vAlign w:val="bottom"/>
            <w:gridSpan w:val="7"/>
            <w:shd w:val="clear" w:color="auto" w:fill="CCEEFF"/>
          </w:tcPr>
          <w:p>
            <w:pPr>
              <w:ind w:left="40"/>
              <w:spacing w:after="0" w:line="151" w:lineRule="exact"/>
              <w:rPr>
                <w:sz w:val="20"/>
                <w:szCs w:val="20"/>
                <w:color w:val="auto"/>
              </w:rPr>
            </w:pPr>
            <w:r>
              <w:rPr>
                <w:rFonts w:ascii="Arial" w:cs="Arial" w:eastAsia="Arial" w:hAnsi="Arial"/>
                <w:sz w:val="14"/>
                <w:szCs w:val="14"/>
                <w:color w:val="auto"/>
              </w:rPr>
              <w:t>Sam’s Park &amp; Shop</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1930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3"/>
              </w:rPr>
              <w:t>1995</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49,000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$41.08</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4"/>
                <w:szCs w:val="14"/>
                <w:color w:val="auto"/>
              </w:rPr>
              <w:t>Washington, DC 20008</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060" w:type="dxa"/>
            <w:vAlign w:val="bottom"/>
            <w:gridSpan w:val="7"/>
          </w:tcPr>
          <w:p>
            <w:pPr>
              <w:ind w:left="40"/>
              <w:spacing w:after="0" w:line="156" w:lineRule="exact"/>
              <w:rPr>
                <w:sz w:val="20"/>
                <w:szCs w:val="20"/>
                <w:color w:val="auto"/>
              </w:rPr>
            </w:pPr>
            <w:r>
              <w:rPr>
                <w:rFonts w:ascii="Arial" w:cs="Arial" w:eastAsia="Arial" w:hAnsi="Arial"/>
                <w:sz w:val="14"/>
                <w:szCs w:val="14"/>
                <w:b w:val="1"/>
                <w:bCs w:val="1"/>
                <w:color w:val="auto"/>
              </w:rPr>
              <w:t>Florida</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060" w:type="dxa"/>
            <w:vAlign w:val="bottom"/>
            <w:gridSpan w:val="7"/>
            <w:shd w:val="clear" w:color="auto" w:fill="CCEEFF"/>
          </w:tcPr>
          <w:p>
            <w:pPr>
              <w:ind w:left="40"/>
              <w:spacing w:after="0" w:line="151" w:lineRule="exact"/>
              <w:rPr>
                <w:sz w:val="20"/>
                <w:szCs w:val="20"/>
                <w:color w:val="auto"/>
              </w:rPr>
            </w:pPr>
            <w:r>
              <w:rPr>
                <w:rFonts w:ascii="Arial" w:cs="Arial" w:eastAsia="Arial" w:hAnsi="Arial"/>
                <w:sz w:val="14"/>
                <w:szCs w:val="14"/>
                <w:color w:val="auto"/>
              </w:rPr>
              <w:t>Courtyard Shops</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1990, 1998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3"/>
              </w:rPr>
              <w:t>2008</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130,000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$20.26</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89%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Publix</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4"/>
                <w:szCs w:val="14"/>
                <w:color w:val="auto"/>
              </w:rPr>
              <w:t>Wellington, FL 33414</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060" w:type="dxa"/>
            <w:vAlign w:val="bottom"/>
            <w:gridSpan w:val="7"/>
          </w:tcPr>
          <w:p>
            <w:pPr>
              <w:ind w:left="40"/>
              <w:spacing w:after="0" w:line="151" w:lineRule="exact"/>
              <w:rPr>
                <w:sz w:val="20"/>
                <w:szCs w:val="20"/>
                <w:color w:val="auto"/>
              </w:rPr>
            </w:pPr>
            <w:r>
              <w:rPr>
                <w:rFonts w:ascii="Arial" w:cs="Arial" w:eastAsia="Arial" w:hAnsi="Arial"/>
                <w:sz w:val="14"/>
                <w:szCs w:val="14"/>
                <w:color w:val="auto"/>
              </w:rPr>
              <w:t>Del Mar Village</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91"/>
              </w:rPr>
              <w:t>1982, 1994 &amp; 2007</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3"/>
              </w:rPr>
              <w:t>2008</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179,000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$15.55</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85%</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Winn Dixie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20" w:type="dxa"/>
            <w:vAlign w:val="bottom"/>
            <w:gridSpan w:val="6"/>
          </w:tcPr>
          <w:p>
            <w:pPr>
              <w:ind w:left="120"/>
              <w:spacing w:after="0"/>
              <w:rPr>
                <w:sz w:val="20"/>
                <w:szCs w:val="20"/>
                <w:color w:val="auto"/>
              </w:rPr>
            </w:pPr>
            <w:r>
              <w:rPr>
                <w:rFonts w:ascii="Arial" w:cs="Arial" w:eastAsia="Arial" w:hAnsi="Arial"/>
                <w:sz w:val="14"/>
                <w:szCs w:val="14"/>
                <w:color w:val="auto"/>
              </w:rPr>
              <w:t>Boca Raton, FL 33433</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060" w:type="dxa"/>
            <w:vAlign w:val="bottom"/>
            <w:gridSpan w:val="7"/>
            <w:shd w:val="clear" w:color="auto" w:fill="CCEEFF"/>
          </w:tcPr>
          <w:p>
            <w:pPr>
              <w:ind w:left="40"/>
              <w:spacing w:after="0" w:line="151" w:lineRule="exact"/>
              <w:rPr>
                <w:sz w:val="20"/>
                <w:szCs w:val="20"/>
                <w:color w:val="auto"/>
              </w:rPr>
            </w:pPr>
            <w:r>
              <w:rPr>
                <w:rFonts w:ascii="Arial" w:cs="Arial" w:eastAsia="Arial" w:hAnsi="Arial"/>
                <w:sz w:val="14"/>
                <w:szCs w:val="14"/>
                <w:color w:val="auto"/>
              </w:rPr>
              <w:t>Tower Shops</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1989</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3"/>
              </w:rPr>
              <w:t>2011</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369,000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$16.49</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Ulta Best Buy</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20" w:type="dxa"/>
            <w:vAlign w:val="bottom"/>
            <w:gridSpan w:val="6"/>
            <w:shd w:val="clear" w:color="auto" w:fill="CCEEFF"/>
          </w:tcPr>
          <w:p>
            <w:pPr>
              <w:ind w:left="120"/>
              <w:spacing w:after="0" w:line="143" w:lineRule="exact"/>
              <w:rPr>
                <w:sz w:val="20"/>
                <w:szCs w:val="20"/>
                <w:color w:val="auto"/>
              </w:rPr>
            </w:pPr>
            <w:r>
              <w:rPr>
                <w:rFonts w:ascii="Arial" w:cs="Arial" w:eastAsia="Arial" w:hAnsi="Arial"/>
                <w:sz w:val="14"/>
                <w:szCs w:val="14"/>
                <w:color w:val="auto"/>
              </w:rPr>
              <w:t>Davie, FL 33324</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6"/>
        </w:trPr>
        <w:tc>
          <w:tcPr>
            <w:tcW w:w="3060" w:type="dxa"/>
            <w:vAlign w:val="bottom"/>
            <w:gridSpan w:val="7"/>
          </w:tcPr>
          <w:p>
            <w:pPr>
              <w:ind w:left="40"/>
              <w:spacing w:after="0" w:line="156" w:lineRule="exact"/>
              <w:rPr>
                <w:sz w:val="20"/>
                <w:szCs w:val="20"/>
                <w:color w:val="auto"/>
              </w:rPr>
            </w:pPr>
            <w:r>
              <w:rPr>
                <w:rFonts w:ascii="Arial" w:cs="Arial" w:eastAsia="Arial" w:hAnsi="Arial"/>
                <w:sz w:val="14"/>
                <w:szCs w:val="14"/>
                <w:b w:val="1"/>
                <w:bCs w:val="1"/>
                <w:color w:val="auto"/>
              </w:rPr>
              <w:t>Illinois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060" w:type="dxa"/>
            <w:vAlign w:val="bottom"/>
            <w:gridSpan w:val="7"/>
            <w:shd w:val="clear" w:color="auto" w:fill="CCEEFF"/>
          </w:tcPr>
          <w:p>
            <w:pPr>
              <w:ind w:left="40"/>
              <w:spacing w:after="0" w:line="151" w:lineRule="exact"/>
              <w:rPr>
                <w:sz w:val="20"/>
                <w:szCs w:val="20"/>
                <w:color w:val="auto"/>
              </w:rPr>
            </w:pPr>
            <w:r>
              <w:rPr>
                <w:rFonts w:ascii="Arial" w:cs="Arial" w:eastAsia="Arial" w:hAnsi="Arial"/>
                <w:sz w:val="14"/>
                <w:szCs w:val="14"/>
                <w:color w:val="auto"/>
              </w:rPr>
              <w:t>Crossroads</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1959</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3"/>
              </w:rPr>
              <w:t>1993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168,000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$20.76</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93%</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Golfsmith</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20" w:type="dxa"/>
            <w:vAlign w:val="bottom"/>
            <w:gridSpan w:val="6"/>
            <w:shd w:val="clear" w:color="auto" w:fill="CCEEFF"/>
          </w:tcPr>
          <w:p>
            <w:pPr>
              <w:ind w:left="120"/>
              <w:spacing w:after="0" w:line="143" w:lineRule="exact"/>
              <w:rPr>
                <w:sz w:val="20"/>
                <w:szCs w:val="20"/>
                <w:color w:val="auto"/>
              </w:rPr>
            </w:pPr>
            <w:r>
              <w:rPr>
                <w:rFonts w:ascii="Arial" w:cs="Arial" w:eastAsia="Arial" w:hAnsi="Arial"/>
                <w:sz w:val="14"/>
                <w:szCs w:val="14"/>
                <w:color w:val="auto"/>
              </w:rPr>
              <w:t>Highland Park, IL 60035</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Guitar Center</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51"/>
        </w:trPr>
        <w:tc>
          <w:tcPr>
            <w:tcW w:w="3060" w:type="dxa"/>
            <w:vAlign w:val="bottom"/>
            <w:gridSpan w:val="7"/>
          </w:tcPr>
          <w:p>
            <w:pPr>
              <w:ind w:left="40"/>
              <w:spacing w:after="0" w:line="151" w:lineRule="exact"/>
              <w:rPr>
                <w:sz w:val="20"/>
                <w:szCs w:val="20"/>
                <w:color w:val="auto"/>
              </w:rPr>
            </w:pPr>
            <w:r>
              <w:rPr>
                <w:rFonts w:ascii="Arial" w:cs="Arial" w:eastAsia="Arial" w:hAnsi="Arial"/>
                <w:sz w:val="14"/>
                <w:szCs w:val="14"/>
                <w:color w:val="auto"/>
              </w:rPr>
              <w:t>Finley Square</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1974</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3"/>
              </w:rPr>
              <w:t>1995</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314,000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$10.50</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20" w:type="dxa"/>
            <w:vAlign w:val="bottom"/>
            <w:gridSpan w:val="6"/>
          </w:tcPr>
          <w:p>
            <w:pPr>
              <w:ind w:left="120"/>
              <w:spacing w:after="0" w:line="143" w:lineRule="exact"/>
              <w:rPr>
                <w:sz w:val="20"/>
                <w:szCs w:val="20"/>
                <w:color w:val="auto"/>
              </w:rPr>
            </w:pPr>
            <w:r>
              <w:rPr>
                <w:rFonts w:ascii="Arial" w:cs="Arial" w:eastAsia="Arial" w:hAnsi="Arial"/>
                <w:sz w:val="14"/>
                <w:szCs w:val="14"/>
                <w:color w:val="auto"/>
              </w:rPr>
              <w:t>Downers Grove, IL 60515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060" w:type="dxa"/>
            <w:vAlign w:val="bottom"/>
            <w:gridSpan w:val="7"/>
            <w:shd w:val="clear" w:color="auto" w:fill="CCEEFF"/>
          </w:tcPr>
          <w:p>
            <w:pPr>
              <w:ind w:left="40"/>
              <w:spacing w:after="0" w:line="151" w:lineRule="exact"/>
              <w:rPr>
                <w:sz w:val="20"/>
                <w:szCs w:val="20"/>
                <w:color w:val="auto"/>
              </w:rPr>
            </w:pPr>
            <w:r>
              <w:rPr>
                <w:rFonts w:ascii="Arial" w:cs="Arial" w:eastAsia="Arial" w:hAnsi="Arial"/>
                <w:sz w:val="14"/>
                <w:szCs w:val="14"/>
                <w:color w:val="auto"/>
              </w:rPr>
              <w:t>Garden Market</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3"/>
              </w:rPr>
              <w:t>1994</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140,000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$12.40</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Dominick’s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4"/>
                <w:szCs w:val="14"/>
                <w:color w:val="auto"/>
              </w:rPr>
              <w:t>Western Springs, IL 60558</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51"/>
        </w:trPr>
        <w:tc>
          <w:tcPr>
            <w:tcW w:w="3060" w:type="dxa"/>
            <w:vAlign w:val="bottom"/>
            <w:gridSpan w:val="7"/>
          </w:tcPr>
          <w:p>
            <w:pPr>
              <w:ind w:left="40"/>
              <w:spacing w:after="0" w:line="151" w:lineRule="exact"/>
              <w:rPr>
                <w:sz w:val="20"/>
                <w:szCs w:val="20"/>
                <w:color w:val="auto"/>
              </w:rPr>
            </w:pPr>
            <w:r>
              <w:rPr>
                <w:rFonts w:ascii="Arial" w:cs="Arial" w:eastAsia="Arial" w:hAnsi="Arial"/>
                <w:sz w:val="14"/>
                <w:szCs w:val="14"/>
                <w:color w:val="auto"/>
              </w:rPr>
              <w:t>North Lake Commons</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1989</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3"/>
              </w:rPr>
              <w:t>1994</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129,000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$12.03</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89%</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Dominick’s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20" w:type="dxa"/>
            <w:vAlign w:val="bottom"/>
            <w:gridSpan w:val="6"/>
          </w:tcPr>
          <w:p>
            <w:pPr>
              <w:ind w:left="120"/>
              <w:spacing w:after="0"/>
              <w:rPr>
                <w:sz w:val="20"/>
                <w:szCs w:val="20"/>
                <w:color w:val="auto"/>
              </w:rPr>
            </w:pPr>
            <w:r>
              <w:rPr>
                <w:rFonts w:ascii="Arial" w:cs="Arial" w:eastAsia="Arial" w:hAnsi="Arial"/>
                <w:sz w:val="14"/>
                <w:szCs w:val="14"/>
                <w:color w:val="auto"/>
              </w:rPr>
              <w:t>Lake Zurich, IL 60047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060" w:type="dxa"/>
            <w:vAlign w:val="bottom"/>
            <w:gridSpan w:val="7"/>
            <w:shd w:val="clear" w:color="auto" w:fill="CCEEFF"/>
          </w:tcPr>
          <w:p>
            <w:pPr>
              <w:ind w:left="40"/>
              <w:spacing w:after="0" w:line="156" w:lineRule="exact"/>
              <w:rPr>
                <w:sz w:val="20"/>
                <w:szCs w:val="20"/>
                <w:color w:val="auto"/>
              </w:rPr>
            </w:pPr>
            <w:r>
              <w:rPr>
                <w:rFonts w:ascii="Arial" w:cs="Arial" w:eastAsia="Arial" w:hAnsi="Arial"/>
                <w:sz w:val="14"/>
                <w:szCs w:val="14"/>
                <w:b w:val="1"/>
                <w:bCs w:val="1"/>
                <w:color w:val="auto"/>
              </w:rPr>
              <w:t>Maryland</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17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060" w:type="dxa"/>
            <w:vAlign w:val="bottom"/>
            <w:gridSpan w:val="7"/>
          </w:tcPr>
          <w:p>
            <w:pPr>
              <w:ind w:left="40"/>
              <w:spacing w:after="0" w:line="151" w:lineRule="exact"/>
              <w:rPr>
                <w:sz w:val="20"/>
                <w:szCs w:val="20"/>
                <w:color w:val="auto"/>
              </w:rPr>
            </w:pPr>
            <w:r>
              <w:rPr>
                <w:rFonts w:ascii="Arial" w:cs="Arial" w:eastAsia="Arial" w:hAnsi="Arial"/>
                <w:sz w:val="14"/>
                <w:szCs w:val="14"/>
                <w:color w:val="auto"/>
              </w:rPr>
              <w:t>Bethesda Row</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1945-1991</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7"/>
              </w:rPr>
              <w:t>1993/2006</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531,000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$45.55</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Apple Computer</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20" w:type="dxa"/>
            <w:vAlign w:val="bottom"/>
            <w:gridSpan w:val="6"/>
          </w:tcPr>
          <w:p>
            <w:pPr>
              <w:ind w:left="120"/>
              <w:spacing w:after="0" w:line="143" w:lineRule="exact"/>
              <w:rPr>
                <w:sz w:val="20"/>
                <w:szCs w:val="20"/>
                <w:color w:val="auto"/>
              </w:rPr>
            </w:pPr>
            <w:r>
              <w:rPr>
                <w:rFonts w:ascii="Arial" w:cs="Arial" w:eastAsia="Arial" w:hAnsi="Arial"/>
                <w:sz w:val="14"/>
                <w:szCs w:val="14"/>
                <w:color w:val="auto"/>
              </w:rPr>
              <w:t>Bethesda, MD 20814(4)</w:t>
            </w:r>
          </w:p>
        </w:tc>
        <w:tc>
          <w:tcPr>
            <w:tcW w:w="1140" w:type="dxa"/>
            <w:vAlign w:val="bottom"/>
          </w:tcPr>
          <w:p>
            <w:pPr>
              <w:jc w:val="center"/>
              <w:spacing w:after="0" w:line="143" w:lineRule="exact"/>
              <w:rPr>
                <w:sz w:val="20"/>
                <w:szCs w:val="20"/>
                <w:color w:val="auto"/>
              </w:rPr>
            </w:pPr>
            <w:r>
              <w:rPr>
                <w:rFonts w:ascii="Arial" w:cs="Arial" w:eastAsia="Arial" w:hAnsi="Arial"/>
                <w:sz w:val="14"/>
                <w:szCs w:val="14"/>
                <w:color w:val="auto"/>
                <w:w w:val="89"/>
              </w:rPr>
              <w:t>2001</w:t>
            </w:r>
          </w:p>
        </w:tc>
        <w:tc>
          <w:tcPr>
            <w:tcW w:w="1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color w:val="auto"/>
                <w:w w:val="87"/>
              </w:rPr>
              <w:t>2008/2010</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Equinox Giant Food</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Landmark Theater</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060" w:type="dxa"/>
            <w:vAlign w:val="bottom"/>
            <w:gridSpan w:val="7"/>
            <w:shd w:val="clear" w:color="auto" w:fill="CCEEFF"/>
          </w:tcPr>
          <w:p>
            <w:pPr>
              <w:ind w:left="40"/>
              <w:spacing w:after="0" w:line="151" w:lineRule="exact"/>
              <w:rPr>
                <w:sz w:val="20"/>
                <w:szCs w:val="20"/>
                <w:color w:val="auto"/>
              </w:rPr>
            </w:pPr>
            <w:r>
              <w:rPr>
                <w:rFonts w:ascii="Arial" w:cs="Arial" w:eastAsia="Arial" w:hAnsi="Arial"/>
                <w:sz w:val="14"/>
                <w:szCs w:val="14"/>
                <w:color w:val="auto"/>
              </w:rPr>
              <w:t>Bethesda Row Residential</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3"/>
              </w:rPr>
              <w:t>1993</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00"/>
              <w:spacing w:after="0" w:line="151" w:lineRule="exact"/>
              <w:rPr>
                <w:sz w:val="20"/>
                <w:szCs w:val="20"/>
                <w:color w:val="auto"/>
              </w:rPr>
            </w:pPr>
            <w:r>
              <w:rPr>
                <w:rFonts w:ascii="Arial" w:cs="Arial" w:eastAsia="Arial" w:hAnsi="Arial"/>
                <w:sz w:val="14"/>
                <w:szCs w:val="14"/>
                <w:color w:val="auto"/>
                <w:w w:val="87"/>
              </w:rPr>
              <w:t>180 units</w:t>
            </w:r>
          </w:p>
        </w:tc>
        <w:tc>
          <w:tcPr>
            <w:tcW w:w="136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4"/>
                <w:szCs w:val="14"/>
                <w:color w:val="auto"/>
              </w:rPr>
              <w:t>Bethesda, MD 20814</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060" w:type="dxa"/>
            <w:vAlign w:val="bottom"/>
            <w:gridSpan w:val="7"/>
          </w:tcPr>
          <w:p>
            <w:pPr>
              <w:ind w:left="40"/>
              <w:spacing w:after="0" w:line="151" w:lineRule="exact"/>
              <w:rPr>
                <w:sz w:val="20"/>
                <w:szCs w:val="20"/>
                <w:color w:val="auto"/>
              </w:rPr>
            </w:pPr>
            <w:r>
              <w:rPr>
                <w:rFonts w:ascii="Arial" w:cs="Arial" w:eastAsia="Arial" w:hAnsi="Arial"/>
                <w:sz w:val="14"/>
                <w:szCs w:val="14"/>
                <w:color w:val="auto"/>
              </w:rPr>
              <w:t>Congressional Plaza</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1965</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3"/>
              </w:rPr>
              <w:t>1965</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329,000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$34.31</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20" w:type="dxa"/>
            <w:vAlign w:val="bottom"/>
            <w:gridSpan w:val="6"/>
          </w:tcPr>
          <w:p>
            <w:pPr>
              <w:ind w:left="120"/>
              <w:spacing w:after="0" w:line="143" w:lineRule="exact"/>
              <w:rPr>
                <w:sz w:val="20"/>
                <w:szCs w:val="20"/>
                <w:color w:val="auto"/>
              </w:rPr>
            </w:pPr>
            <w:r>
              <w:rPr>
                <w:rFonts w:ascii="Arial" w:cs="Arial" w:eastAsia="Arial" w:hAnsi="Arial"/>
                <w:sz w:val="14"/>
                <w:szCs w:val="14"/>
                <w:color w:val="auto"/>
              </w:rPr>
              <w:t>Rockville, MD 20852(5)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w w:val="96"/>
              </w:rPr>
              <w:t>Last Call Studio by Neiman Marcus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w w:val="98"/>
              </w:rPr>
              <w:t>Container Store The Fresh Market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060" w:type="dxa"/>
            <w:vAlign w:val="bottom"/>
            <w:gridSpan w:val="7"/>
            <w:shd w:val="clear" w:color="auto" w:fill="CCEEFF"/>
          </w:tcPr>
          <w:p>
            <w:pPr>
              <w:ind w:left="40"/>
              <w:spacing w:after="0" w:line="151" w:lineRule="exact"/>
              <w:rPr>
                <w:sz w:val="20"/>
                <w:szCs w:val="20"/>
                <w:color w:val="auto"/>
              </w:rPr>
            </w:pPr>
            <w:r>
              <w:rPr>
                <w:rFonts w:ascii="Arial" w:cs="Arial" w:eastAsia="Arial" w:hAnsi="Arial"/>
                <w:sz w:val="14"/>
                <w:szCs w:val="14"/>
                <w:color w:val="auto"/>
              </w:rPr>
              <w:t>Congressional Plaza Residential</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2003</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3"/>
              </w:rPr>
              <w:t>1965</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00"/>
              <w:spacing w:after="0" w:line="151" w:lineRule="exact"/>
              <w:rPr>
                <w:sz w:val="20"/>
                <w:szCs w:val="20"/>
                <w:color w:val="auto"/>
              </w:rPr>
            </w:pPr>
            <w:r>
              <w:rPr>
                <w:rFonts w:ascii="Arial" w:cs="Arial" w:eastAsia="Arial" w:hAnsi="Arial"/>
                <w:sz w:val="14"/>
                <w:szCs w:val="14"/>
                <w:color w:val="auto"/>
                <w:w w:val="87"/>
              </w:rPr>
              <w:t>146 units</w:t>
            </w:r>
          </w:p>
        </w:tc>
        <w:tc>
          <w:tcPr>
            <w:tcW w:w="136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4"/>
                <w:szCs w:val="14"/>
                <w:color w:val="auto"/>
              </w:rPr>
              <w:t>Rockville, MD 20852(5)</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060" w:type="dxa"/>
            <w:vAlign w:val="bottom"/>
            <w:gridSpan w:val="7"/>
          </w:tcPr>
          <w:p>
            <w:pPr>
              <w:ind w:left="40"/>
              <w:spacing w:after="0" w:line="151" w:lineRule="exact"/>
              <w:rPr>
                <w:sz w:val="20"/>
                <w:szCs w:val="20"/>
                <w:color w:val="auto"/>
              </w:rPr>
            </w:pPr>
            <w:r>
              <w:rPr>
                <w:rFonts w:ascii="Arial" w:cs="Arial" w:eastAsia="Arial" w:hAnsi="Arial"/>
                <w:sz w:val="14"/>
                <w:szCs w:val="14"/>
                <w:color w:val="auto"/>
              </w:rPr>
              <w:t>Courthouse Center</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1975</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3"/>
              </w:rPr>
              <w:t>1997</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36,000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$18.40</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87%</w:t>
            </w: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20" w:type="dxa"/>
            <w:vAlign w:val="bottom"/>
            <w:gridSpan w:val="6"/>
          </w:tcPr>
          <w:p>
            <w:pPr>
              <w:ind w:left="120"/>
              <w:spacing w:after="0"/>
              <w:rPr>
                <w:sz w:val="20"/>
                <w:szCs w:val="20"/>
                <w:color w:val="auto"/>
              </w:rPr>
            </w:pPr>
            <w:r>
              <w:rPr>
                <w:rFonts w:ascii="Arial" w:cs="Arial" w:eastAsia="Arial" w:hAnsi="Arial"/>
                <w:sz w:val="14"/>
                <w:szCs w:val="14"/>
                <w:color w:val="auto"/>
              </w:rPr>
              <w:t>Rockville, MD 20852</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060" w:type="dxa"/>
            <w:vAlign w:val="bottom"/>
            <w:gridSpan w:val="7"/>
            <w:shd w:val="clear" w:color="auto" w:fill="CCEEFF"/>
          </w:tcPr>
          <w:p>
            <w:pPr>
              <w:ind w:left="40"/>
              <w:spacing w:after="0" w:line="151" w:lineRule="exact"/>
              <w:rPr>
                <w:sz w:val="20"/>
                <w:szCs w:val="20"/>
                <w:color w:val="auto"/>
              </w:rPr>
            </w:pPr>
            <w:r>
              <w:rPr>
                <w:rFonts w:ascii="Arial" w:cs="Arial" w:eastAsia="Arial" w:hAnsi="Arial"/>
                <w:sz w:val="14"/>
                <w:szCs w:val="14"/>
                <w:color w:val="auto"/>
              </w:rPr>
              <w:t>Federal Plaza</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3"/>
              </w:rPr>
              <w:t>1989</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248,000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$32.48</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20" w:type="dxa"/>
            <w:vAlign w:val="bottom"/>
            <w:gridSpan w:val="6"/>
            <w:shd w:val="clear" w:color="auto" w:fill="CCEEFF"/>
          </w:tcPr>
          <w:p>
            <w:pPr>
              <w:ind w:left="120"/>
              <w:spacing w:after="0" w:line="143" w:lineRule="exact"/>
              <w:rPr>
                <w:sz w:val="20"/>
                <w:szCs w:val="20"/>
                <w:color w:val="auto"/>
              </w:rPr>
            </w:pPr>
            <w:r>
              <w:rPr>
                <w:rFonts w:ascii="Arial" w:cs="Arial" w:eastAsia="Arial" w:hAnsi="Arial"/>
                <w:sz w:val="14"/>
                <w:szCs w:val="14"/>
                <w:color w:val="auto"/>
              </w:rPr>
              <w:t>Rockville, MD 20852</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51"/>
        </w:trPr>
        <w:tc>
          <w:tcPr>
            <w:tcW w:w="3060" w:type="dxa"/>
            <w:vAlign w:val="bottom"/>
            <w:gridSpan w:val="7"/>
          </w:tcPr>
          <w:p>
            <w:pPr>
              <w:ind w:left="40"/>
              <w:spacing w:after="0" w:line="151" w:lineRule="exact"/>
              <w:rPr>
                <w:sz w:val="20"/>
                <w:szCs w:val="20"/>
                <w:color w:val="auto"/>
              </w:rPr>
            </w:pPr>
            <w:r>
              <w:rPr>
                <w:rFonts w:ascii="Arial" w:cs="Arial" w:eastAsia="Arial" w:hAnsi="Arial"/>
                <w:sz w:val="14"/>
                <w:szCs w:val="14"/>
                <w:color w:val="auto"/>
              </w:rPr>
              <w:t>Free State Shopping Center</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1970</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3"/>
              </w:rPr>
              <w:t>2007</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279,000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$16.18</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86%</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20" w:type="dxa"/>
            <w:vAlign w:val="bottom"/>
            <w:gridSpan w:val="6"/>
          </w:tcPr>
          <w:p>
            <w:pPr>
              <w:ind w:left="120"/>
              <w:spacing w:after="0" w:line="143" w:lineRule="exact"/>
              <w:rPr>
                <w:sz w:val="20"/>
                <w:szCs w:val="20"/>
                <w:color w:val="auto"/>
              </w:rPr>
            </w:pPr>
            <w:r>
              <w:rPr>
                <w:rFonts w:ascii="Arial" w:cs="Arial" w:eastAsia="Arial" w:hAnsi="Arial"/>
                <w:sz w:val="14"/>
                <w:szCs w:val="14"/>
                <w:color w:val="auto"/>
              </w:rPr>
              <w:t>Bowie, MD 20715(9)</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060" w:type="dxa"/>
            <w:vAlign w:val="bottom"/>
            <w:gridSpan w:val="7"/>
            <w:shd w:val="clear" w:color="auto" w:fill="CCEEFF"/>
          </w:tcPr>
          <w:p>
            <w:pPr>
              <w:ind w:left="40"/>
              <w:spacing w:after="0" w:line="151" w:lineRule="exact"/>
              <w:rPr>
                <w:sz w:val="20"/>
                <w:szCs w:val="20"/>
                <w:color w:val="auto"/>
              </w:rPr>
            </w:pPr>
            <w:r>
              <w:rPr>
                <w:rFonts w:ascii="Arial" w:cs="Arial" w:eastAsia="Arial" w:hAnsi="Arial"/>
                <w:sz w:val="14"/>
                <w:szCs w:val="14"/>
                <w:color w:val="auto"/>
              </w:rPr>
              <w:t>Gaithersburg Square</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3"/>
              </w:rPr>
              <w:t>1993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207,000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$25.44</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78%</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4"/>
                <w:szCs w:val="14"/>
                <w:color w:val="auto"/>
              </w:rPr>
              <w:t>Gaithersburg, MD 20878</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51"/>
        </w:trPr>
        <w:tc>
          <w:tcPr>
            <w:tcW w:w="3060" w:type="dxa"/>
            <w:vAlign w:val="bottom"/>
            <w:gridSpan w:val="7"/>
          </w:tcPr>
          <w:p>
            <w:pPr>
              <w:ind w:left="40"/>
              <w:spacing w:after="0" w:line="151" w:lineRule="exact"/>
              <w:rPr>
                <w:sz w:val="20"/>
                <w:szCs w:val="20"/>
                <w:color w:val="auto"/>
              </w:rPr>
            </w:pPr>
            <w:r>
              <w:rPr>
                <w:rFonts w:ascii="Arial" w:cs="Arial" w:eastAsia="Arial" w:hAnsi="Arial"/>
                <w:sz w:val="14"/>
                <w:szCs w:val="14"/>
                <w:color w:val="auto"/>
              </w:rPr>
              <w:t>Governor Plaza</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1963</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3"/>
              </w:rPr>
              <w:t>1985</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267,000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$17.47</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20" w:type="dxa"/>
            <w:vAlign w:val="bottom"/>
            <w:gridSpan w:val="6"/>
          </w:tcPr>
          <w:p>
            <w:pPr>
              <w:ind w:left="120"/>
              <w:spacing w:after="0" w:line="143" w:lineRule="exact"/>
              <w:rPr>
                <w:sz w:val="20"/>
                <w:szCs w:val="20"/>
                <w:color w:val="auto"/>
              </w:rPr>
            </w:pPr>
            <w:r>
              <w:rPr>
                <w:rFonts w:ascii="Arial" w:cs="Arial" w:eastAsia="Arial" w:hAnsi="Arial"/>
                <w:sz w:val="14"/>
                <w:szCs w:val="14"/>
                <w:color w:val="auto"/>
              </w:rPr>
              <w:t>Glen Burnie, MD 21961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57"/>
        </w:trPr>
        <w:tc>
          <w:tcPr>
            <w:tcW w:w="306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Laurel Centre</w:t>
            </w:r>
          </w:p>
        </w:tc>
        <w:tc>
          <w:tcPr>
            <w:tcW w:w="11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3"/>
              </w:rPr>
              <w:t>1986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388,000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$20.88</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84%</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L.A. Fitness Giant Food</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4"/>
                <w:szCs w:val="14"/>
                <w:color w:val="auto"/>
              </w:rPr>
              <w:t>Laurel, MD 20707</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51"/>
        </w:trPr>
        <w:tc>
          <w:tcPr>
            <w:tcW w:w="3060" w:type="dxa"/>
            <w:vAlign w:val="bottom"/>
            <w:gridSpan w:val="7"/>
          </w:tcPr>
          <w:p>
            <w:pPr>
              <w:ind w:left="40"/>
              <w:spacing w:after="0" w:line="151" w:lineRule="exact"/>
              <w:rPr>
                <w:sz w:val="20"/>
                <w:szCs w:val="20"/>
                <w:color w:val="auto"/>
              </w:rPr>
            </w:pPr>
            <w:r>
              <w:rPr>
                <w:rFonts w:ascii="Arial" w:cs="Arial" w:eastAsia="Arial" w:hAnsi="Arial"/>
                <w:sz w:val="14"/>
                <w:szCs w:val="14"/>
                <w:color w:val="auto"/>
              </w:rPr>
              <w:t>Mid-Pike Plaza/Pike &amp; Rose</w:t>
            </w:r>
          </w:p>
        </w:tc>
        <w:tc>
          <w:tcPr>
            <w:tcW w:w="11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1963</w:t>
            </w:r>
          </w:p>
        </w:tc>
        <w:tc>
          <w:tcPr>
            <w:tcW w:w="10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7"/>
              </w:rPr>
              <w:t>1982/2007</w:t>
            </w:r>
          </w:p>
        </w:tc>
        <w:tc>
          <w:tcPr>
            <w:tcW w:w="10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119,000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$30.50</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20" w:type="dxa"/>
            <w:vAlign w:val="bottom"/>
            <w:gridSpan w:val="6"/>
          </w:tcPr>
          <w:p>
            <w:pPr>
              <w:ind w:left="120"/>
              <w:spacing w:after="0"/>
              <w:rPr>
                <w:sz w:val="20"/>
                <w:szCs w:val="20"/>
                <w:color w:val="auto"/>
              </w:rPr>
            </w:pPr>
            <w:r>
              <w:rPr>
                <w:rFonts w:ascii="Arial" w:cs="Arial" w:eastAsia="Arial" w:hAnsi="Arial"/>
                <w:sz w:val="14"/>
                <w:szCs w:val="14"/>
                <w:color w:val="auto"/>
              </w:rPr>
              <w:t>Rockville, MD 20852</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060" w:type="dxa"/>
            <w:vAlign w:val="bottom"/>
            <w:gridSpan w:val="7"/>
            <w:shd w:val="clear" w:color="auto" w:fill="CCEEFF"/>
          </w:tcPr>
          <w:p>
            <w:pPr>
              <w:ind w:left="40"/>
              <w:spacing w:after="0" w:line="151" w:lineRule="exact"/>
              <w:rPr>
                <w:sz w:val="20"/>
                <w:szCs w:val="20"/>
                <w:color w:val="auto"/>
              </w:rPr>
            </w:pPr>
            <w:r>
              <w:rPr>
                <w:rFonts w:ascii="Arial" w:cs="Arial" w:eastAsia="Arial" w:hAnsi="Arial"/>
                <w:sz w:val="14"/>
                <w:szCs w:val="14"/>
                <w:color w:val="auto"/>
              </w:rPr>
              <w:t>Montrose Crossing</w:t>
            </w:r>
          </w:p>
        </w:tc>
        <w:tc>
          <w:tcPr>
            <w:tcW w:w="11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1960-1979, 1996,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3"/>
              </w:rPr>
              <w:t>2011</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357,000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$22.55</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A.C. Moore Giant Food</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20" w:type="dxa"/>
            <w:vAlign w:val="bottom"/>
            <w:gridSpan w:val="6"/>
            <w:shd w:val="clear" w:color="auto" w:fill="CCEEFF"/>
          </w:tcPr>
          <w:p>
            <w:pPr>
              <w:ind w:left="120"/>
              <w:spacing w:after="0" w:line="143" w:lineRule="exact"/>
              <w:rPr>
                <w:sz w:val="20"/>
                <w:szCs w:val="20"/>
                <w:color w:val="auto"/>
              </w:rPr>
            </w:pPr>
            <w:r>
              <w:rPr>
                <w:rFonts w:ascii="Arial" w:cs="Arial" w:eastAsia="Arial" w:hAnsi="Arial"/>
                <w:sz w:val="14"/>
                <w:szCs w:val="14"/>
                <w:color w:val="auto"/>
              </w:rPr>
              <w:t>Rockville, MD 20852 (5)(11)</w:t>
            </w:r>
          </w:p>
        </w:tc>
        <w:tc>
          <w:tcPr>
            <w:tcW w:w="11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3"/>
              </w:rPr>
              <w:t>2011</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68"/>
        </w:trPr>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Square Feet(1)</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Average Rent</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4"/>
              </w:rPr>
              <w:t>/Apartment</w:t>
            </w:r>
          </w:p>
        </w:tc>
        <w:tc>
          <w:tcPr>
            <w:tcW w:w="13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Per Square</w:t>
            </w:r>
          </w:p>
        </w:tc>
        <w:tc>
          <w:tcPr>
            <w:tcW w:w="112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9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Completed</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Leased(3)</w:t>
            </w:r>
          </w:p>
        </w:tc>
        <w:tc>
          <w:tcPr>
            <w:tcW w:w="100" w:type="dxa"/>
            <w:vAlign w:val="bottom"/>
          </w:tcPr>
          <w:p>
            <w:pPr>
              <w:spacing w:after="0"/>
              <w:rPr>
                <w:sz w:val="17"/>
                <w:szCs w:val="17"/>
                <w:color w:val="auto"/>
              </w:rPr>
            </w:pPr>
          </w:p>
        </w:tc>
        <w:tc>
          <w:tcPr>
            <w:tcW w:w="21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0"/>
        </w:trPr>
        <w:tc>
          <w:tcPr>
            <w:tcW w:w="3100" w:type="dxa"/>
            <w:vAlign w:val="bottom"/>
            <w:gridSpan w:val="6"/>
          </w:tcPr>
          <w:p>
            <w:pPr>
              <w:ind w:left="40"/>
              <w:spacing w:after="0" w:line="150" w:lineRule="exact"/>
              <w:rPr>
                <w:sz w:val="20"/>
                <w:szCs w:val="20"/>
                <w:color w:val="auto"/>
              </w:rPr>
            </w:pPr>
            <w:r>
              <w:rPr>
                <w:rFonts w:ascii="Arial" w:cs="Arial" w:eastAsia="Arial" w:hAnsi="Arial"/>
                <w:sz w:val="14"/>
                <w:szCs w:val="14"/>
                <w:color w:val="auto"/>
              </w:rPr>
              <w:t>Perring Plaza</w:t>
            </w:r>
          </w:p>
        </w:tc>
        <w:tc>
          <w:tcPr>
            <w:tcW w:w="1040" w:type="dxa"/>
            <w:vAlign w:val="bottom"/>
          </w:tcPr>
          <w:p>
            <w:pPr>
              <w:jc w:val="center"/>
              <w:spacing w:after="0" w:line="150"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1040" w:type="dxa"/>
            <w:vAlign w:val="bottom"/>
          </w:tcPr>
          <w:p>
            <w:pPr>
              <w:jc w:val="center"/>
              <w:spacing w:after="0" w:line="150" w:lineRule="exact"/>
              <w:rPr>
                <w:sz w:val="20"/>
                <w:szCs w:val="20"/>
                <w:color w:val="auto"/>
              </w:rPr>
            </w:pPr>
            <w:r>
              <w:rPr>
                <w:rFonts w:ascii="Arial" w:cs="Arial" w:eastAsia="Arial" w:hAnsi="Arial"/>
                <w:sz w:val="14"/>
                <w:szCs w:val="14"/>
                <w:color w:val="auto"/>
                <w:w w:val="89"/>
              </w:rPr>
              <w:t>1985</w:t>
            </w:r>
          </w:p>
        </w:tc>
        <w:tc>
          <w:tcPr>
            <w:tcW w:w="120" w:type="dxa"/>
            <w:vAlign w:val="bottom"/>
          </w:tcPr>
          <w:p>
            <w:pPr>
              <w:spacing w:after="0"/>
              <w:rPr>
                <w:sz w:val="13"/>
                <w:szCs w:val="13"/>
                <w:color w:val="auto"/>
              </w:rPr>
            </w:pPr>
          </w:p>
        </w:tc>
        <w:tc>
          <w:tcPr>
            <w:tcW w:w="1260" w:type="dxa"/>
            <w:vAlign w:val="bottom"/>
          </w:tcPr>
          <w:p>
            <w:pPr>
              <w:jc w:val="center"/>
              <w:spacing w:after="0" w:line="150" w:lineRule="exact"/>
              <w:rPr>
                <w:sz w:val="20"/>
                <w:szCs w:val="20"/>
                <w:color w:val="auto"/>
              </w:rPr>
            </w:pPr>
            <w:r>
              <w:rPr>
                <w:rFonts w:ascii="Arial" w:cs="Arial" w:eastAsia="Arial" w:hAnsi="Arial"/>
                <w:sz w:val="14"/>
                <w:szCs w:val="14"/>
                <w:color w:val="auto"/>
                <w:w w:val="90"/>
              </w:rPr>
              <w:t>395,000</w:t>
            </w:r>
          </w:p>
        </w:tc>
        <w:tc>
          <w:tcPr>
            <w:tcW w:w="100" w:type="dxa"/>
            <w:vAlign w:val="bottom"/>
          </w:tcPr>
          <w:p>
            <w:pPr>
              <w:spacing w:after="0"/>
              <w:rPr>
                <w:sz w:val="13"/>
                <w:szCs w:val="13"/>
                <w:color w:val="auto"/>
              </w:rPr>
            </w:pPr>
          </w:p>
        </w:tc>
        <w:tc>
          <w:tcPr>
            <w:tcW w:w="1240" w:type="dxa"/>
            <w:vAlign w:val="bottom"/>
          </w:tcPr>
          <w:p>
            <w:pPr>
              <w:jc w:val="center"/>
              <w:spacing w:after="0" w:line="150" w:lineRule="exact"/>
              <w:rPr>
                <w:sz w:val="20"/>
                <w:szCs w:val="20"/>
                <w:color w:val="auto"/>
              </w:rPr>
            </w:pPr>
            <w:r>
              <w:rPr>
                <w:rFonts w:ascii="Arial" w:cs="Arial" w:eastAsia="Arial" w:hAnsi="Arial"/>
                <w:sz w:val="14"/>
                <w:szCs w:val="14"/>
                <w:color w:val="auto"/>
                <w:w w:val="88"/>
              </w:rPr>
              <w:t>$12.87</w:t>
            </w:r>
          </w:p>
        </w:tc>
        <w:tc>
          <w:tcPr>
            <w:tcW w:w="120" w:type="dxa"/>
            <w:vAlign w:val="bottom"/>
          </w:tcPr>
          <w:p>
            <w:pPr>
              <w:spacing w:after="0"/>
              <w:rPr>
                <w:sz w:val="13"/>
                <w:szCs w:val="13"/>
                <w:color w:val="auto"/>
              </w:rPr>
            </w:pPr>
          </w:p>
        </w:tc>
        <w:tc>
          <w:tcPr>
            <w:tcW w:w="1020" w:type="dxa"/>
            <w:vAlign w:val="bottom"/>
          </w:tcPr>
          <w:p>
            <w:pPr>
              <w:jc w:val="center"/>
              <w:spacing w:after="0" w:line="150"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2160" w:type="dxa"/>
            <w:vAlign w:val="bottom"/>
          </w:tcPr>
          <w:p>
            <w:pPr>
              <w:ind w:left="40"/>
              <w:spacing w:after="0" w:line="150" w:lineRule="exact"/>
              <w:rPr>
                <w:sz w:val="20"/>
                <w:szCs w:val="20"/>
                <w:color w:val="auto"/>
              </w:rPr>
            </w:pPr>
            <w:r>
              <w:rPr>
                <w:rFonts w:ascii="Arial" w:cs="Arial" w:eastAsia="Arial" w:hAnsi="Arial"/>
                <w:sz w:val="14"/>
                <w:szCs w:val="14"/>
                <w:color w:val="auto"/>
              </w:rPr>
              <w:t>Micro Center Burlington Coat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Baltimore, MD 21134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Factory</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Jo-Ann Stores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Plaza Del Mercado</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2004</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96,000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$26.32</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64%</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Silver Spring, MD 20906(9)(11)</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Quince Orchard</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1975</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261,000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$19.16</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79%</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L.A. Fitness Staples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Gaithersburg, MD 20877(4)</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Rockville Town Square</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2006-2007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2006-2007</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181,000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$32.10</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Dawson's Market CVS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Rockville, MD 20852 (8)</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Rollingwood Apartments</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1971</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1" w:lineRule="exact"/>
              <w:rPr>
                <w:sz w:val="20"/>
                <w:szCs w:val="20"/>
                <w:color w:val="auto"/>
              </w:rPr>
            </w:pPr>
            <w:r>
              <w:rPr>
                <w:rFonts w:ascii="Arial" w:cs="Arial" w:eastAsia="Arial" w:hAnsi="Arial"/>
                <w:sz w:val="14"/>
                <w:szCs w:val="14"/>
                <w:color w:val="auto"/>
                <w:w w:val="91"/>
              </w:rPr>
              <w:t>282 units</w:t>
            </w:r>
          </w:p>
        </w:tc>
        <w:tc>
          <w:tcPr>
            <w:tcW w:w="1360" w:type="dxa"/>
            <w:vAlign w:val="bottom"/>
            <w:gridSpan w:val="2"/>
          </w:tcPr>
          <w:p>
            <w:pPr>
              <w:jc w:val="center"/>
              <w:ind w:right="120"/>
              <w:spacing w:after="0" w:line="151" w:lineRule="exact"/>
              <w:rPr>
                <w:sz w:val="20"/>
                <w:szCs w:val="20"/>
                <w:color w:val="auto"/>
              </w:rPr>
            </w:pPr>
            <w:r>
              <w:rPr>
                <w:rFonts w:ascii="Arial" w:cs="Arial" w:eastAsia="Arial" w:hAnsi="Arial"/>
                <w:sz w:val="14"/>
                <w:szCs w:val="14"/>
                <w:color w:val="auto"/>
              </w:rPr>
              <w:t>N/A</w:t>
            </w: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Silver Spring, MD 20910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9 three-story buildings(11)</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THE AVENUE at White Marsh</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2007</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297,000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$21.63</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5"/>
            <w:shd w:val="clear" w:color="auto" w:fill="CCEEFF"/>
          </w:tcPr>
          <w:p>
            <w:pPr>
              <w:ind w:left="120"/>
              <w:spacing w:after="0" w:line="143" w:lineRule="exact"/>
              <w:rPr>
                <w:sz w:val="20"/>
                <w:szCs w:val="20"/>
                <w:color w:val="auto"/>
              </w:rPr>
            </w:pPr>
            <w:r>
              <w:rPr>
                <w:rFonts w:ascii="Arial" w:cs="Arial" w:eastAsia="Arial" w:hAnsi="Arial"/>
                <w:sz w:val="14"/>
                <w:szCs w:val="14"/>
                <w:color w:val="auto"/>
              </w:rPr>
              <w:t>Baltimore, MD 21236(7)(11)</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The Shoppes at Nottingham Square</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2005-2006</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2007</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32,000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$45.00</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Baltimore, MD 21236</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White Marsh Other</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2007</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70,000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$29.98</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Baltimore, MD 21236</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White Marsh Plaza</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1987</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2007</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80,000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$20.47</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Baltimore, MD 21236(11)</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Wildwood</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1969</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84,000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$85.73</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Bethesda, MD 20814(11)</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Balducci’s</w:t>
            </w:r>
          </w:p>
        </w:tc>
        <w:tc>
          <w:tcPr>
            <w:tcW w:w="0" w:type="dxa"/>
            <w:vAlign w:val="bottom"/>
          </w:tcPr>
          <w:p>
            <w:pPr>
              <w:spacing w:after="0"/>
              <w:rPr>
                <w:sz w:val="1"/>
                <w:szCs w:val="1"/>
                <w:color w:val="auto"/>
              </w:rPr>
            </w:pPr>
          </w:p>
        </w:tc>
      </w:tr>
      <w:tr>
        <w:trPr>
          <w:trHeight w:val="156"/>
        </w:trPr>
        <w:tc>
          <w:tcPr>
            <w:tcW w:w="3100" w:type="dxa"/>
            <w:vAlign w:val="bottom"/>
            <w:gridSpan w:val="6"/>
          </w:tcPr>
          <w:p>
            <w:pPr>
              <w:ind w:left="40"/>
              <w:spacing w:after="0" w:line="156" w:lineRule="exact"/>
              <w:rPr>
                <w:sz w:val="20"/>
                <w:szCs w:val="20"/>
                <w:color w:val="auto"/>
              </w:rPr>
            </w:pPr>
            <w:r>
              <w:rPr>
                <w:rFonts w:ascii="Arial" w:cs="Arial" w:eastAsia="Arial" w:hAnsi="Arial"/>
                <w:sz w:val="14"/>
                <w:szCs w:val="14"/>
                <w:b w:val="1"/>
                <w:bCs w:val="1"/>
                <w:color w:val="auto"/>
              </w:rPr>
              <w:t>Massachusetts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Assembly Square Marketplace/ Assembly Row</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2005-2011</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334,000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$17.38</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5"/>
            <w:shd w:val="clear" w:color="auto" w:fill="CCEEFF"/>
          </w:tcPr>
          <w:p>
            <w:pPr>
              <w:ind w:left="120"/>
              <w:spacing w:after="0" w:line="143" w:lineRule="exact"/>
              <w:rPr>
                <w:sz w:val="20"/>
                <w:szCs w:val="20"/>
                <w:color w:val="auto"/>
              </w:rPr>
            </w:pPr>
            <w:r>
              <w:rPr>
                <w:rFonts w:ascii="Arial" w:cs="Arial" w:eastAsia="Arial" w:hAnsi="Arial"/>
                <w:sz w:val="14"/>
                <w:szCs w:val="14"/>
                <w:color w:val="auto"/>
              </w:rPr>
              <w:t>Somerville, MA 02145</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Christmas Tree Shops</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Atlantic Plaza</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123,000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$16.83</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73%</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North Reading, MA 01864(9)(11)</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Campus Plaza</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2004</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6"/>
              </w:rPr>
              <w:t>116,000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$13.69</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Roche Brothers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Bridgewater, MA 02324(9)</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Chelsea Commons</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0"/>
              </w:rPr>
              <w:t>1962-1969, 2008</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2006-2008</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222,000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$11.10</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Sav-A-Lot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Chelsea, MA 02150(11)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Dedham</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242,000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$15.14</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Star Market</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Dedham, MA 02026</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Linden Square</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1"/>
              </w:rPr>
              <w:t>1960, 2008</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223,000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$43.79</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Roche Brothers Supermarket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Wellesley, MA 02481</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North Dartmouth</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2004</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2006</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48,000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$15.71</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North Dartmouth, MA 02747</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Pleasant Shops</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1974</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130,000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$13.84</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93%</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Weymouth, MA 02190(9)</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Queen Anne Plaza</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1994</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149,000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$16.09</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5"/>
            <w:shd w:val="clear" w:color="auto" w:fill="CCEEFF"/>
          </w:tcPr>
          <w:p>
            <w:pPr>
              <w:ind w:left="120"/>
              <w:spacing w:after="0" w:line="143" w:lineRule="exact"/>
              <w:rPr>
                <w:sz w:val="20"/>
                <w:szCs w:val="20"/>
                <w:color w:val="auto"/>
              </w:rPr>
            </w:pPr>
            <w:r>
              <w:rPr>
                <w:rFonts w:ascii="Arial" w:cs="Arial" w:eastAsia="Arial" w:hAnsi="Arial"/>
                <w:sz w:val="14"/>
                <w:szCs w:val="14"/>
                <w:color w:val="auto"/>
              </w:rPr>
              <w:t>Norwell, MA 02061</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Hannaford</w:t>
            </w: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Saugus Plaza</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1976</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170,000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$11.41</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Saugus, MA 01906</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Super Stop &amp; Shop</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100" w:type="dxa"/>
            <w:vAlign w:val="bottom"/>
            <w:gridSpan w:val="6"/>
            <w:shd w:val="clear" w:color="auto" w:fill="CCEEFF"/>
          </w:tcPr>
          <w:p>
            <w:pPr>
              <w:ind w:left="40"/>
              <w:spacing w:after="0" w:line="156" w:lineRule="exact"/>
              <w:rPr>
                <w:sz w:val="20"/>
                <w:szCs w:val="20"/>
                <w:color w:val="auto"/>
              </w:rPr>
            </w:pPr>
            <w:r>
              <w:rPr>
                <w:rFonts w:ascii="Arial" w:cs="Arial" w:eastAsia="Arial" w:hAnsi="Arial"/>
                <w:sz w:val="14"/>
                <w:szCs w:val="14"/>
                <w:b w:val="1"/>
                <w:bCs w:val="1"/>
                <w:color w:val="auto"/>
              </w:rPr>
              <w:t>Michigan</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Gratiot Plaza</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1964</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1973</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217,000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$11.80</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Roseville, MI 48066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100" w:type="dxa"/>
            <w:vAlign w:val="bottom"/>
            <w:gridSpan w:val="6"/>
            <w:shd w:val="clear" w:color="auto" w:fill="CCEEFF"/>
          </w:tcPr>
          <w:p>
            <w:pPr>
              <w:ind w:left="40"/>
              <w:spacing w:after="0" w:line="156" w:lineRule="exact"/>
              <w:rPr>
                <w:sz w:val="20"/>
                <w:szCs w:val="20"/>
                <w:color w:val="auto"/>
              </w:rPr>
            </w:pPr>
            <w:r>
              <w:rPr>
                <w:rFonts w:ascii="Arial" w:cs="Arial" w:eastAsia="Arial" w:hAnsi="Arial"/>
                <w:sz w:val="14"/>
                <w:szCs w:val="14"/>
                <w:b w:val="1"/>
                <w:bCs w:val="1"/>
                <w:color w:val="auto"/>
              </w:rPr>
              <w:t>North Carolina</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2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Eastgate</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1986</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153,000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$22.59</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Chapel Hill, NC 27514</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Square Feet(1)</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Average Rent</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4"/>
              </w:rPr>
              <w:t>/Apartment</w:t>
            </w:r>
          </w:p>
        </w:tc>
        <w:tc>
          <w:tcPr>
            <w:tcW w:w="13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Per Square</w:t>
            </w:r>
          </w:p>
        </w:tc>
        <w:tc>
          <w:tcPr>
            <w:tcW w:w="112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9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Completed</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Leased(3)</w:t>
            </w:r>
          </w:p>
        </w:tc>
        <w:tc>
          <w:tcPr>
            <w:tcW w:w="100" w:type="dxa"/>
            <w:vAlign w:val="bottom"/>
          </w:tcPr>
          <w:p>
            <w:pPr>
              <w:spacing w:after="0"/>
              <w:rPr>
                <w:sz w:val="17"/>
                <w:szCs w:val="17"/>
                <w:color w:val="auto"/>
              </w:rPr>
            </w:pPr>
          </w:p>
        </w:tc>
        <w:tc>
          <w:tcPr>
            <w:tcW w:w="21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5"/>
        </w:trPr>
        <w:tc>
          <w:tcPr>
            <w:tcW w:w="310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New Jersey</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Brick Plaza</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1989</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414,000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$15.60</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91%</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A&amp;P Supermarket</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5"/>
            <w:shd w:val="clear" w:color="auto" w:fill="CCEEFF"/>
          </w:tcPr>
          <w:p>
            <w:pPr>
              <w:ind w:left="120"/>
              <w:spacing w:after="0" w:line="143" w:lineRule="exact"/>
              <w:rPr>
                <w:sz w:val="20"/>
                <w:szCs w:val="20"/>
                <w:color w:val="auto"/>
              </w:rPr>
            </w:pPr>
            <w:r>
              <w:rPr>
                <w:rFonts w:ascii="Arial" w:cs="Arial" w:eastAsia="Arial" w:hAnsi="Arial"/>
                <w:sz w:val="14"/>
                <w:szCs w:val="14"/>
                <w:color w:val="auto"/>
              </w:rPr>
              <w:t>Brick Township, NJ 08723(4)(11)</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Ellisburg Circle</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1992</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267,000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$13.74</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74%</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Cherry Hill, NJ 08034</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Mercer Mall</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2003</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500,000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$20.95</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Raymour &amp; Flanigan</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5"/>
            <w:shd w:val="clear" w:color="auto" w:fill="CCEEFF"/>
          </w:tcPr>
          <w:p>
            <w:pPr>
              <w:ind w:left="120"/>
              <w:spacing w:after="0" w:line="143" w:lineRule="exact"/>
              <w:rPr>
                <w:sz w:val="20"/>
                <w:szCs w:val="20"/>
                <w:color w:val="auto"/>
              </w:rPr>
            </w:pPr>
            <w:r>
              <w:rPr>
                <w:rFonts w:ascii="Arial" w:cs="Arial" w:eastAsia="Arial" w:hAnsi="Arial"/>
                <w:sz w:val="14"/>
                <w:szCs w:val="14"/>
                <w:color w:val="auto"/>
              </w:rPr>
              <w:t>Lawrenceville, NJ 08648(4)(8)</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Troy</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1966</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1980</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207,000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$20.32</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Pathmark</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Parsippany-Troy, NJ 07054</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100" w:type="dxa"/>
            <w:vAlign w:val="bottom"/>
            <w:gridSpan w:val="6"/>
            <w:shd w:val="clear" w:color="auto" w:fill="CCEEFF"/>
          </w:tcPr>
          <w:p>
            <w:pPr>
              <w:ind w:left="40"/>
              <w:spacing w:after="0" w:line="156" w:lineRule="exact"/>
              <w:rPr>
                <w:sz w:val="20"/>
                <w:szCs w:val="20"/>
                <w:color w:val="auto"/>
              </w:rPr>
            </w:pPr>
            <w:r>
              <w:rPr>
                <w:rFonts w:ascii="Arial" w:cs="Arial" w:eastAsia="Arial" w:hAnsi="Arial"/>
                <w:sz w:val="14"/>
                <w:szCs w:val="14"/>
                <w:b w:val="1"/>
                <w:bCs w:val="1"/>
                <w:color w:val="auto"/>
              </w:rPr>
              <w:t>New York</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Forest Hills</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1937-1987</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8"/>
              </w:rPr>
              <w:t>48,000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$21.63</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Midway Theatre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Forest Hills, NY 11375</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Fresh Meadows</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1949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407,000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$27.90</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Modell's AMC Loews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Queens, NY 11365</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Kohl’s Michaels</w:t>
            </w: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Greenlawn Plaza</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1"/>
              </w:rPr>
              <w:t>1975, 2004</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106,000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$16.75</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Waldbaum’s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Greenlawn, NY 11743(9)(11)</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Tuesday Morning</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Hauppauge</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1998</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133,000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$25.50</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Hauppauge, NY 11788(11)</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Huntington</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1962</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0"/>
              </w:rPr>
              <w:t>1988/2007</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279,000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$24.65</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Nordstrom Rack Bed, Bath &amp;</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Huntington, NY 11746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Beyond</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Huntington Square</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1"/>
              </w:rPr>
              <w:t>1980, 2007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2010</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74,000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$26.10</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93%</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East Northport, NY 11731(4)</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Melville Mall</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1974</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246,000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$18.74</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Huntington, NY 11747(10)(11)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Waldbaum's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100" w:type="dxa"/>
            <w:vAlign w:val="bottom"/>
            <w:gridSpan w:val="6"/>
            <w:shd w:val="clear" w:color="auto" w:fill="CCEEFF"/>
          </w:tcPr>
          <w:p>
            <w:pPr>
              <w:ind w:left="40"/>
              <w:spacing w:after="0" w:line="156" w:lineRule="exact"/>
              <w:rPr>
                <w:sz w:val="20"/>
                <w:szCs w:val="20"/>
                <w:color w:val="auto"/>
              </w:rPr>
            </w:pPr>
            <w:r>
              <w:rPr>
                <w:rFonts w:ascii="Arial" w:cs="Arial" w:eastAsia="Arial" w:hAnsi="Arial"/>
                <w:sz w:val="14"/>
                <w:szCs w:val="14"/>
                <w:b w:val="1"/>
                <w:bCs w:val="1"/>
                <w:color w:val="auto"/>
              </w:rPr>
              <w:t>Pennsylvania</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Andorra</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1953</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1988</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267,000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$15.12</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93%</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Philadelphia, PA 19128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Bala Cynwyd</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296,000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$22.18</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5"/>
            <w:shd w:val="clear" w:color="auto" w:fill="CCEEFF"/>
          </w:tcPr>
          <w:p>
            <w:pPr>
              <w:ind w:left="120"/>
              <w:spacing w:after="0" w:line="143" w:lineRule="exact"/>
              <w:rPr>
                <w:sz w:val="20"/>
                <w:szCs w:val="20"/>
                <w:color w:val="auto"/>
              </w:rPr>
            </w:pPr>
            <w:r>
              <w:rPr>
                <w:rFonts w:ascii="Arial" w:cs="Arial" w:eastAsia="Arial" w:hAnsi="Arial"/>
                <w:sz w:val="14"/>
                <w:szCs w:val="14"/>
                <w:color w:val="auto"/>
              </w:rPr>
              <w:t>Bala Cynwyd, PA 19004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Lord &amp; Taylor</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Flourtown</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1957</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1980</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160,000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$16.38</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Flourtown, PA 19031</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Lancaster</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1980</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127,000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$16.77</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Lancaster, PA 17601(8)</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Langhorne Square</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1966</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1985</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219,000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$14.96</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93%</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Levittown, PA 19056</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Redner’s Warehouse Market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Lawrence Park</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1972</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1980</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353,000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$18.27</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5"/>
            <w:shd w:val="clear" w:color="auto" w:fill="CCEEFF"/>
          </w:tcPr>
          <w:p>
            <w:pPr>
              <w:ind w:left="120"/>
              <w:spacing w:after="0" w:line="143" w:lineRule="exact"/>
              <w:rPr>
                <w:sz w:val="20"/>
                <w:szCs w:val="20"/>
                <w:color w:val="auto"/>
              </w:rPr>
            </w:pPr>
            <w:r>
              <w:rPr>
                <w:rFonts w:ascii="Arial" w:cs="Arial" w:eastAsia="Arial" w:hAnsi="Arial"/>
                <w:sz w:val="14"/>
                <w:szCs w:val="14"/>
                <w:color w:val="auto"/>
              </w:rPr>
              <w:t>Broomall, PA 19008(11)</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3"/>
              </w:rPr>
              <w:t>HomeGoods Kaplan Career Institute</w:t>
            </w: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Northeast</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1983</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288,000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$12.15</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5"/>
          </w:tcPr>
          <w:p>
            <w:pPr>
              <w:ind w:left="120"/>
              <w:spacing w:after="0" w:line="143" w:lineRule="exact"/>
              <w:rPr>
                <w:sz w:val="20"/>
                <w:szCs w:val="20"/>
                <w:color w:val="auto"/>
              </w:rPr>
            </w:pPr>
            <w:r>
              <w:rPr>
                <w:rFonts w:ascii="Arial" w:cs="Arial" w:eastAsia="Arial" w:hAnsi="Arial"/>
                <w:sz w:val="14"/>
                <w:szCs w:val="14"/>
                <w:color w:val="auto"/>
              </w:rPr>
              <w:t>Philadelphia, PA 19114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Home Gallery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57"/>
        </w:trPr>
        <w:tc>
          <w:tcPr>
            <w:tcW w:w="3100" w:type="dxa"/>
            <w:vAlign w:val="bottom"/>
            <w:gridSpan w:val="6"/>
            <w:shd w:val="clear" w:color="auto" w:fill="CCEEFF"/>
          </w:tcPr>
          <w:p>
            <w:pPr>
              <w:ind w:left="40"/>
              <w:spacing w:after="0" w:line="157" w:lineRule="exact"/>
              <w:rPr>
                <w:sz w:val="20"/>
                <w:szCs w:val="20"/>
                <w:color w:val="auto"/>
              </w:rPr>
            </w:pPr>
            <w:r>
              <w:rPr>
                <w:rFonts w:ascii="Arial" w:cs="Arial" w:eastAsia="Arial" w:hAnsi="Arial"/>
                <w:sz w:val="14"/>
                <w:szCs w:val="14"/>
                <w:color w:val="auto"/>
              </w:rPr>
              <w:t>Town Center of New Britain</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124,000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$9.29</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89%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New Britain, PA 18901</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51"/>
        </w:trPr>
        <w:tc>
          <w:tcPr>
            <w:tcW w:w="3100" w:type="dxa"/>
            <w:vAlign w:val="bottom"/>
            <w:gridSpan w:val="6"/>
          </w:tcPr>
          <w:p>
            <w:pPr>
              <w:ind w:left="40"/>
              <w:spacing w:after="0" w:line="151" w:lineRule="exact"/>
              <w:rPr>
                <w:sz w:val="20"/>
                <w:szCs w:val="20"/>
                <w:color w:val="auto"/>
              </w:rPr>
            </w:pPr>
            <w:r>
              <w:rPr>
                <w:rFonts w:ascii="Arial" w:cs="Arial" w:eastAsia="Arial" w:hAnsi="Arial"/>
                <w:sz w:val="14"/>
                <w:szCs w:val="14"/>
                <w:color w:val="auto"/>
              </w:rPr>
              <w:t>Willow Grove</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1953</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1984</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212,000</w:t>
            </w: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Arial" w:cs="Arial" w:eastAsia="Arial" w:hAnsi="Arial"/>
                <w:sz w:val="14"/>
                <w:szCs w:val="14"/>
                <w:color w:val="auto"/>
                <w:w w:val="88"/>
              </w:rPr>
              <w:t>$18.08</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Home Goods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5"/>
          </w:tcPr>
          <w:p>
            <w:pPr>
              <w:ind w:left="120"/>
              <w:spacing w:after="0"/>
              <w:rPr>
                <w:sz w:val="20"/>
                <w:szCs w:val="20"/>
                <w:color w:val="auto"/>
              </w:rPr>
            </w:pPr>
            <w:r>
              <w:rPr>
                <w:rFonts w:ascii="Arial" w:cs="Arial" w:eastAsia="Arial" w:hAnsi="Arial"/>
                <w:sz w:val="14"/>
                <w:szCs w:val="14"/>
                <w:color w:val="auto"/>
              </w:rPr>
              <w:t>Willow Grove, PA 19090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Marshalls Barnes &amp; Noble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6"/>
            <w:shd w:val="clear" w:color="auto" w:fill="CCEEFF"/>
          </w:tcPr>
          <w:p>
            <w:pPr>
              <w:ind w:left="40"/>
              <w:spacing w:after="0" w:line="151" w:lineRule="exact"/>
              <w:rPr>
                <w:sz w:val="20"/>
                <w:szCs w:val="20"/>
                <w:color w:val="auto"/>
              </w:rPr>
            </w:pPr>
            <w:r>
              <w:rPr>
                <w:rFonts w:ascii="Arial" w:cs="Arial" w:eastAsia="Arial" w:hAnsi="Arial"/>
                <w:sz w:val="14"/>
                <w:szCs w:val="14"/>
                <w:color w:val="auto"/>
              </w:rPr>
              <w:t>Wynnewood</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1948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1996</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252,000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$25.49</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86%</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5"/>
            <w:shd w:val="clear" w:color="auto" w:fill="CCEEFF"/>
          </w:tcPr>
          <w:p>
            <w:pPr>
              <w:ind w:left="120"/>
              <w:spacing w:after="0" w:line="143" w:lineRule="exact"/>
              <w:rPr>
                <w:sz w:val="20"/>
                <w:szCs w:val="20"/>
                <w:color w:val="auto"/>
              </w:rPr>
            </w:pPr>
            <w:r>
              <w:rPr>
                <w:rFonts w:ascii="Arial" w:cs="Arial" w:eastAsia="Arial" w:hAnsi="Arial"/>
                <w:sz w:val="14"/>
                <w:szCs w:val="14"/>
                <w:color w:val="auto"/>
              </w:rPr>
              <w:t>Wynnewood, PA 19096(11)</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25"/>
        </w:trPr>
        <w:tc>
          <w:tcPr>
            <w:tcW w:w="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Square Feet(1)</w:t>
            </w:r>
          </w:p>
        </w:tc>
        <w:tc>
          <w:tcPr>
            <w:tcW w:w="1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Average Rent</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/Apartment</w:t>
            </w: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Per Square</w:t>
            </w:r>
          </w:p>
        </w:tc>
        <w:tc>
          <w:tcPr>
            <w:tcW w:w="112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9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Completed</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Leased(3)</w:t>
            </w:r>
          </w:p>
        </w:tc>
        <w:tc>
          <w:tcPr>
            <w:tcW w:w="100" w:type="dxa"/>
            <w:vAlign w:val="bottom"/>
          </w:tcPr>
          <w:p>
            <w:pPr>
              <w:spacing w:after="0"/>
              <w:rPr>
                <w:sz w:val="17"/>
                <w:szCs w:val="17"/>
                <w:color w:val="auto"/>
              </w:rPr>
            </w:pPr>
          </w:p>
        </w:tc>
        <w:tc>
          <w:tcPr>
            <w:tcW w:w="21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5"/>
        </w:trPr>
        <w:tc>
          <w:tcPr>
            <w:tcW w:w="310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Texas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Houston Street</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1890-1935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1998</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183,000</w:t>
            </w:r>
          </w:p>
        </w:tc>
        <w:tc>
          <w:tcPr>
            <w:tcW w:w="134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$23.56</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San Antonio, TX 78205</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56"/>
        </w:trPr>
        <w:tc>
          <w:tcPr>
            <w:tcW w:w="3100" w:type="dxa"/>
            <w:vAlign w:val="bottom"/>
            <w:gridSpan w:val="5"/>
          </w:tcPr>
          <w:p>
            <w:pPr>
              <w:ind w:left="40"/>
              <w:spacing w:after="0" w:line="156" w:lineRule="exact"/>
              <w:rPr>
                <w:sz w:val="20"/>
                <w:szCs w:val="20"/>
                <w:color w:val="auto"/>
              </w:rPr>
            </w:pPr>
            <w:r>
              <w:rPr>
                <w:rFonts w:ascii="Arial" w:cs="Arial" w:eastAsia="Arial" w:hAnsi="Arial"/>
                <w:sz w:val="14"/>
                <w:szCs w:val="14"/>
                <w:b w:val="1"/>
                <w:bCs w:val="1"/>
                <w:color w:val="auto"/>
              </w:rPr>
              <w:t>Virginia</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29</w:t>
            </w:r>
            <w:r>
              <w:rPr>
                <w:rFonts w:ascii="Arial" w:cs="Arial" w:eastAsia="Arial" w:hAnsi="Arial"/>
                <w:sz w:val="8"/>
                <w:szCs w:val="8"/>
                <w:color w:val="auto"/>
              </w:rPr>
              <w:t>th</w:t>
            </w:r>
            <w:r>
              <w:rPr>
                <w:rFonts w:ascii="Arial" w:cs="Arial" w:eastAsia="Arial" w:hAnsi="Arial"/>
                <w:sz w:val="14"/>
                <w:szCs w:val="14"/>
                <w:color w:val="auto"/>
              </w:rPr>
              <w:t xml:space="preserve"> Place (Shoppers’ World)</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1975-2001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2007</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169,000</w:t>
            </w:r>
          </w:p>
        </w:tc>
        <w:tc>
          <w:tcPr>
            <w:tcW w:w="134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$16.14</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DSW Stein Mart Staples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Charlottesville, VA 22091(11)</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Barcroft Plaza</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1"/>
              </w:rPr>
              <w:t>1963, 1972 &amp;</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2006-2007</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100,000</w:t>
            </w:r>
          </w:p>
        </w:tc>
        <w:tc>
          <w:tcPr>
            <w:tcW w:w="134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$22.95</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89%</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4"/>
          </w:tcPr>
          <w:p>
            <w:pPr>
              <w:ind w:left="120"/>
              <w:spacing w:after="0"/>
              <w:rPr>
                <w:sz w:val="20"/>
                <w:szCs w:val="20"/>
                <w:color w:val="auto"/>
              </w:rPr>
            </w:pPr>
            <w:r>
              <w:rPr>
                <w:rFonts w:ascii="Arial" w:cs="Arial" w:eastAsia="Arial" w:hAnsi="Arial"/>
                <w:sz w:val="14"/>
                <w:szCs w:val="14"/>
                <w:color w:val="auto"/>
              </w:rPr>
              <w:t>Falls Church, VA 22041(9)(11)</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1990</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Bank of America</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Barracks Road</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1985</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487,000</w:t>
            </w:r>
          </w:p>
        </w:tc>
        <w:tc>
          <w:tcPr>
            <w:tcW w:w="134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$22.36</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20"/>
              <w:spacing w:after="0" w:line="143" w:lineRule="exact"/>
              <w:rPr>
                <w:sz w:val="20"/>
                <w:szCs w:val="20"/>
                <w:color w:val="auto"/>
              </w:rPr>
            </w:pPr>
            <w:r>
              <w:rPr>
                <w:rFonts w:ascii="Arial" w:cs="Arial" w:eastAsia="Arial" w:hAnsi="Arial"/>
                <w:sz w:val="14"/>
                <w:szCs w:val="14"/>
                <w:color w:val="auto"/>
              </w:rPr>
              <w:t>Charlottesville, VA 22905(11)</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Falls Plaza/Falls Plaza—East</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1960-1962</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0"/>
              </w:rPr>
              <w:t>1967/1972</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144,000</w:t>
            </w:r>
          </w:p>
        </w:tc>
        <w:tc>
          <w:tcPr>
            <w:tcW w:w="134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$31.54</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Falls Church, VA 22046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Idylwood Plaza</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1994</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73,000</w:t>
            </w:r>
          </w:p>
        </w:tc>
        <w:tc>
          <w:tcPr>
            <w:tcW w:w="134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$42.34</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Falls Church, VA 22030(11)</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Leesburg Plaza</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1967</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236,000</w:t>
            </w:r>
          </w:p>
        </w:tc>
        <w:tc>
          <w:tcPr>
            <w:tcW w:w="134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$23.57</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Leesburg, VA 20176(11)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Pier 1 Imports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Loehmann’s Plaza</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1983</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258,000</w:t>
            </w:r>
          </w:p>
        </w:tc>
        <w:tc>
          <w:tcPr>
            <w:tcW w:w="134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$26.77</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93%</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20"/>
              <w:spacing w:after="0" w:line="143" w:lineRule="exact"/>
              <w:rPr>
                <w:sz w:val="20"/>
                <w:szCs w:val="20"/>
                <w:color w:val="auto"/>
              </w:rPr>
            </w:pPr>
            <w:r>
              <w:rPr>
                <w:rFonts w:ascii="Arial" w:cs="Arial" w:eastAsia="Arial" w:hAnsi="Arial"/>
                <w:sz w:val="14"/>
                <w:szCs w:val="14"/>
                <w:color w:val="auto"/>
              </w:rPr>
              <w:t>Fairfax, VA 22042(11)</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Loehmann’s Dress Shop</w:t>
            </w: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Mount Vernon/South Valley/</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7"/>
              </w:rPr>
              <w:t>1966, 1972,1987</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0"/>
              </w:rPr>
              <w:t>2003/2006</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572,000</w:t>
            </w:r>
          </w:p>
        </w:tc>
        <w:tc>
          <w:tcPr>
            <w:tcW w:w="134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$15.91</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92%</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7770 Richmond Hwy</w:t>
            </w:r>
          </w:p>
        </w:tc>
        <w:tc>
          <w:tcPr>
            <w:tcW w:w="1040" w:type="dxa"/>
            <w:vAlign w:val="bottom"/>
          </w:tcPr>
          <w:p>
            <w:pPr>
              <w:jc w:val="center"/>
              <w:spacing w:after="0" w:line="143" w:lineRule="exact"/>
              <w:rPr>
                <w:sz w:val="20"/>
                <w:szCs w:val="20"/>
                <w:color w:val="auto"/>
              </w:rPr>
            </w:pPr>
            <w:r>
              <w:rPr>
                <w:rFonts w:ascii="Arial" w:cs="Arial" w:eastAsia="Arial" w:hAnsi="Arial"/>
                <w:sz w:val="14"/>
                <w:szCs w:val="14"/>
                <w:color w:val="auto"/>
                <w:w w:val="90"/>
              </w:rPr>
              <w:t>&amp; 2001</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Alexandria, VA 22306(4)(7)</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Gold’s Gym Staples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Old Keene Mill</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1968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1976</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92,000</w:t>
            </w:r>
          </w:p>
        </w:tc>
        <w:tc>
          <w:tcPr>
            <w:tcW w:w="134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$34.20</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Springfield, VA 22152</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Pan Am</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1979</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227,000</w:t>
            </w:r>
          </w:p>
        </w:tc>
        <w:tc>
          <w:tcPr>
            <w:tcW w:w="134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$21.10</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Fairfax, VA 22031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Pentagon Row</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2001-2002</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1998/2010</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296,000</w:t>
            </w:r>
          </w:p>
        </w:tc>
        <w:tc>
          <w:tcPr>
            <w:tcW w:w="134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$35.98</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20"/>
              <w:spacing w:after="0" w:line="143" w:lineRule="exact"/>
              <w:rPr>
                <w:sz w:val="20"/>
                <w:szCs w:val="20"/>
                <w:color w:val="auto"/>
              </w:rPr>
            </w:pPr>
            <w:r>
              <w:rPr>
                <w:rFonts w:ascii="Arial" w:cs="Arial" w:eastAsia="Arial" w:hAnsi="Arial"/>
                <w:sz w:val="14"/>
                <w:szCs w:val="14"/>
                <w:color w:val="auto"/>
              </w:rPr>
              <w:t>Arlington, VA 22202(11)</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Pike 7 Plaza</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1968</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164,000</w:t>
            </w:r>
          </w:p>
        </w:tc>
        <w:tc>
          <w:tcPr>
            <w:tcW w:w="134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$40.32</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Vienna, VA 22180(7)</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Shops at Willow Lawn</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1983</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0"/>
              </w:rPr>
              <w:t>441,000</w:t>
            </w:r>
          </w:p>
        </w:tc>
        <w:tc>
          <w:tcPr>
            <w:tcW w:w="134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$16.32</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20"/>
              <w:spacing w:after="0" w:line="143" w:lineRule="exact"/>
              <w:rPr>
                <w:sz w:val="20"/>
                <w:szCs w:val="20"/>
                <w:color w:val="auto"/>
              </w:rPr>
            </w:pPr>
            <w:r>
              <w:rPr>
                <w:rFonts w:ascii="Arial" w:cs="Arial" w:eastAsia="Arial" w:hAnsi="Arial"/>
                <w:sz w:val="14"/>
                <w:szCs w:val="14"/>
                <w:color w:val="auto"/>
              </w:rPr>
              <w:t>Richmond, VA 23230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Tower Shopping Center</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86"/>
              </w:rPr>
              <w:t>112,000</w:t>
            </w:r>
          </w:p>
        </w:tc>
        <w:tc>
          <w:tcPr>
            <w:tcW w:w="134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$24.27</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90%</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60" w:type="dxa"/>
            <w:vAlign w:val="bottom"/>
            <w:gridSpan w:val="4"/>
          </w:tcPr>
          <w:p>
            <w:pPr>
              <w:ind w:left="120"/>
              <w:spacing w:after="0"/>
              <w:rPr>
                <w:sz w:val="20"/>
                <w:szCs w:val="20"/>
                <w:color w:val="auto"/>
              </w:rPr>
            </w:pPr>
            <w:r>
              <w:rPr>
                <w:rFonts w:ascii="Arial" w:cs="Arial" w:eastAsia="Arial" w:hAnsi="Arial"/>
                <w:sz w:val="14"/>
                <w:szCs w:val="14"/>
                <w:color w:val="auto"/>
              </w:rPr>
              <w:t>Springfield, VA 22150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100" w:type="dxa"/>
            <w:vAlign w:val="bottom"/>
            <w:gridSpan w:val="5"/>
            <w:shd w:val="clear" w:color="auto" w:fill="CCEEFF"/>
          </w:tcPr>
          <w:p>
            <w:pPr>
              <w:ind w:left="40"/>
              <w:spacing w:after="0" w:line="151" w:lineRule="exact"/>
              <w:rPr>
                <w:sz w:val="20"/>
                <w:szCs w:val="20"/>
                <w:color w:val="auto"/>
              </w:rPr>
            </w:pPr>
            <w:r>
              <w:rPr>
                <w:rFonts w:ascii="Arial" w:cs="Arial" w:eastAsia="Arial" w:hAnsi="Arial"/>
                <w:sz w:val="14"/>
                <w:szCs w:val="14"/>
                <w:color w:val="auto"/>
              </w:rPr>
              <w:t>Tyson’s Station</w:t>
            </w: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1954</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9"/>
              </w:rPr>
              <w:t>1978</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88"/>
              </w:rPr>
              <w:t>49,000</w:t>
            </w:r>
          </w:p>
        </w:tc>
        <w:tc>
          <w:tcPr>
            <w:tcW w:w="1340" w:type="dxa"/>
            <w:vAlign w:val="bottom"/>
            <w:gridSpan w:val="2"/>
            <w:shd w:val="clear" w:color="auto" w:fill="CCEEFF"/>
          </w:tcPr>
          <w:p>
            <w:pPr>
              <w:jc w:val="center"/>
              <w:ind w:left="51"/>
              <w:spacing w:after="0" w:line="151" w:lineRule="exact"/>
              <w:rPr>
                <w:sz w:val="20"/>
                <w:szCs w:val="20"/>
                <w:color w:val="auto"/>
              </w:rPr>
            </w:pPr>
            <w:r>
              <w:rPr>
                <w:rFonts w:ascii="Arial" w:cs="Arial" w:eastAsia="Arial" w:hAnsi="Arial"/>
                <w:sz w:val="14"/>
                <w:szCs w:val="14"/>
                <w:color w:val="auto"/>
                <w:w w:val="88"/>
              </w:rPr>
              <w:t>$40.58</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w w:val="92"/>
              </w:rPr>
              <w:t>94%</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Falls Church, VA 22043</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100" w:type="dxa"/>
            <w:vAlign w:val="bottom"/>
            <w:gridSpan w:val="5"/>
          </w:tcPr>
          <w:p>
            <w:pPr>
              <w:ind w:left="40"/>
              <w:spacing w:after="0" w:line="151" w:lineRule="exact"/>
              <w:rPr>
                <w:sz w:val="20"/>
                <w:szCs w:val="20"/>
                <w:color w:val="auto"/>
              </w:rPr>
            </w:pPr>
            <w:r>
              <w:rPr>
                <w:rFonts w:ascii="Arial" w:cs="Arial" w:eastAsia="Arial" w:hAnsi="Arial"/>
                <w:sz w:val="14"/>
                <w:szCs w:val="14"/>
                <w:color w:val="auto"/>
              </w:rPr>
              <w:t>Village at Shirlington</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0"/>
              </w:rPr>
              <w:t>1940, 2006-2009</w:t>
            </w: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Arial" w:cs="Arial" w:eastAsia="Arial" w:hAnsi="Arial"/>
                <w:sz w:val="14"/>
                <w:szCs w:val="14"/>
                <w:color w:val="auto"/>
                <w:w w:val="90"/>
              </w:rPr>
              <w:t>261,000</w:t>
            </w:r>
          </w:p>
        </w:tc>
        <w:tc>
          <w:tcPr>
            <w:tcW w:w="1340" w:type="dxa"/>
            <w:vAlign w:val="bottom"/>
            <w:gridSpan w:val="2"/>
          </w:tcPr>
          <w:p>
            <w:pPr>
              <w:jc w:val="center"/>
              <w:ind w:left="51"/>
              <w:spacing w:after="0" w:line="151" w:lineRule="exact"/>
              <w:rPr>
                <w:sz w:val="20"/>
                <w:szCs w:val="20"/>
                <w:color w:val="auto"/>
              </w:rPr>
            </w:pPr>
            <w:r>
              <w:rPr>
                <w:rFonts w:ascii="Arial" w:cs="Arial" w:eastAsia="Arial" w:hAnsi="Arial"/>
                <w:sz w:val="14"/>
                <w:szCs w:val="14"/>
                <w:color w:val="auto"/>
                <w:w w:val="88"/>
              </w:rPr>
              <w:t>$32.94</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2160" w:type="dxa"/>
            <w:vAlign w:val="bottom"/>
          </w:tcPr>
          <w:p>
            <w:pPr>
              <w:ind w:left="40"/>
              <w:spacing w:after="0" w:line="151"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60" w:type="dxa"/>
            <w:vAlign w:val="bottom"/>
            <w:gridSpan w:val="4"/>
          </w:tcPr>
          <w:p>
            <w:pPr>
              <w:ind w:left="120"/>
              <w:spacing w:after="0" w:line="143" w:lineRule="exact"/>
              <w:rPr>
                <w:sz w:val="20"/>
                <w:szCs w:val="20"/>
                <w:color w:val="auto"/>
              </w:rPr>
            </w:pPr>
            <w:r>
              <w:rPr>
                <w:rFonts w:ascii="Arial" w:cs="Arial" w:eastAsia="Arial" w:hAnsi="Arial"/>
                <w:sz w:val="14"/>
                <w:szCs w:val="14"/>
                <w:color w:val="auto"/>
              </w:rPr>
              <w:t>Arlington, VA 22206(8)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40"/>
              <w:spacing w:after="0" w:line="143" w:lineRule="exact"/>
              <w:rPr>
                <w:sz w:val="20"/>
                <w:szCs w:val="20"/>
                <w:color w:val="auto"/>
              </w:rPr>
            </w:pPr>
            <w:r>
              <w:rPr>
                <w:rFonts w:ascii="Arial" w:cs="Arial" w:eastAsia="Arial" w:hAnsi="Arial"/>
                <w:sz w:val="14"/>
                <w:szCs w:val="14"/>
                <w:color w:val="auto"/>
              </w:rPr>
              <w:t>Carlyle Grand Café</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25"/>
        </w:trPr>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Total All Regions—Retail(12)</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19,554,000</w:t>
            </w:r>
          </w:p>
        </w:tc>
        <w:tc>
          <w:tcPr>
            <w:tcW w:w="1340" w:type="dxa"/>
            <w:vAlign w:val="bottom"/>
            <w:gridSpan w:val="2"/>
            <w:vMerge w:val="restart"/>
            <w:shd w:val="clear" w:color="auto" w:fill="CCEEFF"/>
          </w:tcPr>
          <w:p>
            <w:pPr>
              <w:jc w:val="center"/>
              <w:ind w:left="51"/>
              <w:spacing w:after="0"/>
              <w:rPr>
                <w:sz w:val="20"/>
                <w:szCs w:val="20"/>
                <w:color w:val="auto"/>
              </w:rPr>
            </w:pPr>
            <w:r>
              <w:rPr>
                <w:rFonts w:ascii="Arial" w:cs="Arial" w:eastAsia="Arial" w:hAnsi="Arial"/>
                <w:sz w:val="14"/>
                <w:szCs w:val="14"/>
                <w:b w:val="1"/>
                <w:bCs w:val="1"/>
                <w:color w:val="auto"/>
                <w:w w:val="88"/>
              </w:rPr>
              <w:t>$23.83</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95%</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gridSpan w:val="5"/>
          </w:tcPr>
          <w:p>
            <w:pPr>
              <w:ind w:left="40"/>
              <w:spacing w:after="0"/>
              <w:rPr>
                <w:sz w:val="20"/>
                <w:szCs w:val="20"/>
                <w:color w:val="auto"/>
              </w:rPr>
            </w:pPr>
            <w:r>
              <w:rPr>
                <w:rFonts w:ascii="Arial" w:cs="Arial" w:eastAsia="Arial" w:hAnsi="Arial"/>
                <w:sz w:val="14"/>
                <w:szCs w:val="14"/>
                <w:b w:val="1"/>
                <w:bCs w:val="1"/>
                <w:color w:val="auto"/>
              </w:rPr>
              <w:t>Total All Regions—Residential</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1,058 units</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95%</w:t>
            </w: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_____________________</w:t>
      </w:r>
    </w:p>
    <w:p>
      <w:pPr>
        <w:spacing w:after="0" w:line="85" w:lineRule="exact"/>
        <w:rPr>
          <w:sz w:val="20"/>
          <w:szCs w:val="20"/>
          <w:color w:val="auto"/>
        </w:rPr>
      </w:pPr>
    </w:p>
    <w:p>
      <w:pPr>
        <w:ind w:left="620" w:right="480" w:hanging="304"/>
        <w:spacing w:after="0" w:line="241" w:lineRule="auto"/>
        <w:tabs>
          <w:tab w:leader="none" w:pos="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physical square footage of the commercial portion of the property, which may differ from the gross leasable square footage used to express percentage leased. Some of our properties include office space which is included in this square footage but is not material in total.</w:t>
      </w:r>
    </w:p>
    <w:p>
      <w:pPr>
        <w:ind w:left="620" w:right="160" w:hanging="304"/>
        <w:spacing w:after="0" w:line="238" w:lineRule="auto"/>
        <w:tabs>
          <w:tab w:leader="none" w:pos="6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base rent is calculated as the aggregate, annualized in-place contractual (defined as cash basis including adjustments for concessions) minimum rent for all occupied spaces divided by the aggregate GLA of all occupied spaces.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ind w:left="620" w:hanging="304"/>
        <w:spacing w:after="0" w:line="241" w:lineRule="auto"/>
        <w:tabs>
          <w:tab w:leader="none" w:pos="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Retail percentage leased is expressed as a percentage of rentable commercial square feet occupied or subject to a lease under which rent is currently payable and includes square feet covered by leases for stores not yet opened. Residential percentage leased is expressed as a percentage of units occupied or subject to a lease.</w:t>
      </w:r>
    </w:p>
    <w:p>
      <w:pPr>
        <w:ind w:left="620" w:hanging="304"/>
        <w:spacing w:after="0" w:line="232" w:lineRule="auto"/>
        <w:tabs>
          <w:tab w:leader="none" w:pos="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or a portion of this property is owned pursuant to a ground lease.</w:t>
      </w:r>
    </w:p>
    <w:p>
      <w:pPr>
        <w:ind w:left="620" w:hanging="304"/>
        <w:spacing w:after="0" w:line="232" w:lineRule="auto"/>
        <w:tabs>
          <w:tab w:leader="none" w:pos="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own the controlling interest in this center.</w:t>
      </w:r>
    </w:p>
    <w:p>
      <w:pPr>
        <w:ind w:left="620" w:hanging="304"/>
        <w:spacing w:after="0" w:line="232" w:lineRule="auto"/>
        <w:tabs>
          <w:tab w:leader="none" w:pos="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own a 90% general and limited partnership interest in these buildings.</w:t>
      </w:r>
    </w:p>
    <w:p>
      <w:pPr>
        <w:ind w:left="620" w:right="160" w:hanging="304"/>
        <w:spacing w:after="0" w:line="232" w:lineRule="auto"/>
        <w:tabs>
          <w:tab w:leader="none" w:pos="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own all or a portion of this property in a “downREIT” partnership, of which a wholly owned subsidiary of the Trust is the sole general partner, with third party partners holding operating partnership units.</w:t>
      </w:r>
    </w:p>
    <w:p>
      <w:pPr>
        <w:ind w:left="620" w:hanging="304"/>
        <w:spacing w:after="0" w:line="232" w:lineRule="auto"/>
        <w:tabs>
          <w:tab w:leader="none" w:pos="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or a portion of this property is subject to a capital lease obligation.</w:t>
      </w:r>
    </w:p>
    <w:p>
      <w:pPr>
        <w:ind w:left="620" w:hanging="304"/>
        <w:spacing w:after="0" w:line="232" w:lineRule="auto"/>
        <w:tabs>
          <w:tab w:leader="none" w:pos="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Properties acquired through a joint venture arrangement with affiliates of a discretionary fund created and advised by ING Clarion Partners.</w:t>
      </w:r>
    </w:p>
    <w:p>
      <w:pPr>
        <w:ind w:left="620" w:right="80" w:hanging="304"/>
        <w:spacing w:after="0" w:line="232" w:lineRule="auto"/>
        <w:tabs>
          <w:tab w:leader="none" w:pos="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Trust controls Melville Mall through a 20 year master lease and secondary financing to the owner. Because the Trust controls the activities that most significantly impact this property and retains substantially all of the economic benefit and risk associated with it, we consolidate this property and its operations.</w:t>
      </w:r>
    </w:p>
    <w:p>
      <w:pPr>
        <w:ind w:left="620" w:hanging="304"/>
        <w:spacing w:after="0" w:line="232" w:lineRule="auto"/>
        <w:tabs>
          <w:tab w:leader="none" w:pos="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or a portion of this property is encumbered by a mortgage loan.</w:t>
      </w:r>
    </w:p>
    <w:p>
      <w:pPr>
        <w:ind w:left="620" w:right="260" w:hanging="304"/>
        <w:spacing w:after="0" w:line="238" w:lineRule="auto"/>
        <w:tabs>
          <w:tab w:leader="none" w:pos="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Aggregate information is calculated on a GLA weighted-average basis, excluding properties acquired through a joint venture arrangement with affiliates of a discretionary fund created and advised by ING Clarion Partners.</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00"/>
          </w:cols>
          <w:pgMar w:left="240" w:top="125" w:right="35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69" w:lineRule="exact"/>
        <w:rPr>
          <w:sz w:val="20"/>
          <w:szCs w:val="20"/>
          <w:color w:val="auto"/>
        </w:rPr>
      </w:pPr>
    </w:p>
    <w:p>
      <w:pPr>
        <w:ind w:right="620"/>
        <w:spacing w:after="0" w:line="293" w:lineRule="auto"/>
        <w:rPr>
          <w:sz w:val="20"/>
          <w:szCs w:val="20"/>
          <w:color w:val="auto"/>
        </w:rPr>
      </w:pPr>
      <w:r>
        <w:rPr>
          <w:rFonts w:ascii="Arial" w:cs="Arial" w:eastAsia="Arial" w:hAnsi="Arial"/>
          <w:sz w:val="17"/>
          <w:szCs w:val="17"/>
          <w:b w:val="1"/>
          <w:bCs w:val="1"/>
          <w:color w:val="auto"/>
        </w:rPr>
        <w:t>ITEM 5. MARKET FOR OUR COMMON EQUITY AND RELATED SHAREHOLDER MATTERS AND ISSUER PURCHASES OF EQUITY SECURITIES</w:t>
      </w:r>
    </w:p>
    <w:p>
      <w:pPr>
        <w:spacing w:after="0" w:line="2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Price Per Share</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52"/>
        </w:trPr>
        <w:tc>
          <w:tcPr>
            <w:tcW w:w="7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vMerge w:val="restart"/>
          </w:tcPr>
          <w:p>
            <w:pPr>
              <w:jc w:val="center"/>
              <w:ind w:right="158"/>
              <w:spacing w:after="0" w:line="134" w:lineRule="exact"/>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62"/>
        </w:trPr>
        <w:tc>
          <w:tcPr>
            <w:tcW w:w="7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5"/>
                <w:szCs w:val="5"/>
                <w:color w:val="auto"/>
              </w:rPr>
            </w:pPr>
          </w:p>
        </w:tc>
        <w:tc>
          <w:tcPr>
            <w:tcW w:w="8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39"/>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2012</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Fourth quarter</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110.03</w:t>
            </w:r>
          </w:p>
        </w:tc>
        <w:tc>
          <w:tcPr>
            <w:tcW w:w="120" w:type="dxa"/>
            <w:vAlign w:val="bottom"/>
          </w:tcPr>
          <w:p>
            <w:pPr>
              <w:spacing w:after="0"/>
              <w:rPr>
                <w:sz w:val="20"/>
                <w:szCs w:val="20"/>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99.82</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0.730</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Third quarter</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109.49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103.57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0.730</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Second quarter</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104.09</w:t>
            </w:r>
          </w:p>
        </w:tc>
        <w:tc>
          <w:tcPr>
            <w:tcW w:w="120" w:type="dxa"/>
            <w:vAlign w:val="bottom"/>
          </w:tcPr>
          <w:p>
            <w:pPr>
              <w:spacing w:after="0"/>
              <w:rPr>
                <w:sz w:val="20"/>
                <w:szCs w:val="20"/>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94.95</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0.690</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First quarter</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97.84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89.23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0.690</w:t>
            </w:r>
          </w:p>
        </w:tc>
        <w:tc>
          <w:tcPr>
            <w:tcW w:w="0" w:type="dxa"/>
            <w:vAlign w:val="bottom"/>
          </w:tcPr>
          <w:p>
            <w:pPr>
              <w:spacing w:after="0"/>
              <w:rPr>
                <w:sz w:val="1"/>
                <w:szCs w:val="1"/>
                <w:color w:val="auto"/>
              </w:rPr>
            </w:pP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b w:val="1"/>
                <w:bCs w:val="1"/>
                <w:color w:val="auto"/>
              </w:rPr>
              <w:t>2011</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Fourth quarter</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92.45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80.15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0.690</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Third quarter</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90.55</w:t>
            </w:r>
          </w:p>
        </w:tc>
        <w:tc>
          <w:tcPr>
            <w:tcW w:w="120" w:type="dxa"/>
            <w:vAlign w:val="bottom"/>
          </w:tcPr>
          <w:p>
            <w:pPr>
              <w:spacing w:after="0"/>
              <w:rPr>
                <w:sz w:val="20"/>
                <w:szCs w:val="20"/>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75.31</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0.690</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Second quarter</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88.12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80.21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0.670</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First quarter</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84.18</w:t>
            </w:r>
          </w:p>
        </w:tc>
        <w:tc>
          <w:tcPr>
            <w:tcW w:w="120" w:type="dxa"/>
            <w:vAlign w:val="bottom"/>
          </w:tcPr>
          <w:p>
            <w:pPr>
              <w:spacing w:after="0"/>
              <w:rPr>
                <w:sz w:val="20"/>
                <w:szCs w:val="20"/>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76.14</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0.670</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February 8, 2013, there were 3,305 holders of record of our common shares.</w:t>
      </w:r>
    </w:p>
    <w:p>
      <w:pPr>
        <w:spacing w:after="0" w:line="169"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21"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45 consecutive years.</w:t>
      </w:r>
    </w:p>
    <w:p>
      <w:pPr>
        <w:spacing w:after="0" w:line="125"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Our total annual dividends paid per common share for 2012 and 2011 were $2.80 per share and $2.70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2013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income tax status of distributions per share paid to common shareholders:</w:t>
      </w:r>
    </w:p>
    <w:p>
      <w:pPr>
        <w:spacing w:after="0" w:line="33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Year Ended</w:t>
      </w:r>
    </w:p>
    <w:p>
      <w:pPr>
        <w:jc w:val="center"/>
        <w:ind w:left="8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5445125</wp:posOffset>
            </wp:positionH>
            <wp:positionV relativeFrom="paragraph">
              <wp:posOffset>9525</wp:posOffset>
            </wp:positionV>
            <wp:extent cx="1808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9"/>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Ordinary dividend</w:t>
            </w:r>
          </w:p>
        </w:tc>
        <w:tc>
          <w:tcPr>
            <w:tcW w:w="5100" w:type="dxa"/>
            <w:vAlign w:val="bottom"/>
            <w:tcBorders>
              <w:bottom w:val="single" w:sz="8" w:color="CCEEFF"/>
            </w:tcBorders>
            <w:gridSpan w:val="2"/>
            <w:shd w:val="clear" w:color="auto" w:fill="CCEEFF"/>
          </w:tcPr>
          <w:p>
            <w:pPr>
              <w:jc w:val="right"/>
              <w:ind w:right="691"/>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93"/>
              </w:rPr>
              <w:t>2.772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2.349</w:t>
            </w:r>
          </w:p>
        </w:tc>
        <w:tc>
          <w:tcPr>
            <w:tcW w:w="0" w:type="dxa"/>
            <w:vAlign w:val="bottom"/>
          </w:tcPr>
          <w:p>
            <w:pPr>
              <w:spacing w:after="0"/>
              <w:rPr>
                <w:sz w:val="1"/>
                <w:szCs w:val="1"/>
                <w:color w:val="auto"/>
              </w:rPr>
            </w:pPr>
          </w:p>
        </w:tc>
      </w:tr>
      <w:tr>
        <w:trPr>
          <w:trHeight w:val="234"/>
        </w:trPr>
        <w:tc>
          <w:tcPr>
            <w:tcW w:w="4340" w:type="dxa"/>
            <w:vAlign w:val="bottom"/>
          </w:tcPr>
          <w:p>
            <w:pPr>
              <w:ind w:left="40"/>
              <w:spacing w:after="0"/>
              <w:rPr>
                <w:sz w:val="20"/>
                <w:szCs w:val="20"/>
                <w:color w:val="auto"/>
              </w:rPr>
            </w:pPr>
            <w:r>
              <w:rPr>
                <w:rFonts w:ascii="Arial" w:cs="Arial" w:eastAsia="Arial" w:hAnsi="Arial"/>
                <w:sz w:val="17"/>
                <w:szCs w:val="17"/>
                <w:color w:val="auto"/>
              </w:rPr>
              <w:t>Ordinary dividend eligible for 15% tax rate</w:t>
            </w:r>
          </w:p>
        </w:tc>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0.027</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Return of capital</w:t>
            </w:r>
          </w:p>
        </w:tc>
        <w:tc>
          <w:tcPr>
            <w:tcW w:w="4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0.162</w:t>
            </w:r>
          </w:p>
        </w:tc>
        <w:tc>
          <w:tcPr>
            <w:tcW w:w="0" w:type="dxa"/>
            <w:vAlign w:val="bottom"/>
          </w:tcPr>
          <w:p>
            <w:pPr>
              <w:spacing w:after="0"/>
              <w:rPr>
                <w:sz w:val="1"/>
                <w:szCs w:val="1"/>
                <w:color w:val="auto"/>
              </w:rPr>
            </w:pPr>
          </w:p>
        </w:tc>
      </w:tr>
      <w:tr>
        <w:trPr>
          <w:trHeight w:val="234"/>
        </w:trPr>
        <w:tc>
          <w:tcPr>
            <w:tcW w:w="4340" w:type="dxa"/>
            <w:vAlign w:val="bottom"/>
          </w:tcPr>
          <w:p>
            <w:pPr>
              <w:ind w:left="40"/>
              <w:spacing w:after="0"/>
              <w:rPr>
                <w:sz w:val="20"/>
                <w:szCs w:val="20"/>
                <w:color w:val="auto"/>
              </w:rPr>
            </w:pPr>
            <w:r>
              <w:rPr>
                <w:rFonts w:ascii="Arial" w:cs="Arial" w:eastAsia="Arial" w:hAnsi="Arial"/>
                <w:sz w:val="17"/>
                <w:szCs w:val="17"/>
                <w:color w:val="auto"/>
              </w:rPr>
              <w:t>Capital gain</w:t>
            </w:r>
          </w:p>
        </w:tc>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w w:val="93"/>
              </w:rPr>
              <w:t>0.028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0.162</w:t>
            </w:r>
          </w:p>
        </w:tc>
        <w:tc>
          <w:tcPr>
            <w:tcW w:w="0" w:type="dxa"/>
            <w:vAlign w:val="bottom"/>
          </w:tcPr>
          <w:p>
            <w:pPr>
              <w:spacing w:after="0"/>
              <w:rPr>
                <w:sz w:val="1"/>
                <w:szCs w:val="1"/>
                <w:color w:val="auto"/>
              </w:rPr>
            </w:pPr>
          </w:p>
        </w:tc>
      </w:tr>
      <w:tr>
        <w:trPr>
          <w:trHeight w:val="26"/>
        </w:trPr>
        <w:tc>
          <w:tcPr>
            <w:tcW w:w="434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34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gridSpan w:val="2"/>
            <w:shd w:val="clear" w:color="auto" w:fill="CCEEFF"/>
          </w:tcPr>
          <w:p>
            <w:pPr>
              <w:jc w:val="right"/>
              <w:ind w:right="691"/>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93"/>
              </w:rPr>
              <w:t>2.800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jc w:val="right"/>
              <w:ind w:right="2693"/>
              <w:spacing w:after="0"/>
              <w:rPr>
                <w:sz w:val="20"/>
                <w:szCs w:val="20"/>
                <w:color w:val="auto"/>
              </w:rPr>
            </w:pPr>
            <w:r>
              <w:rPr>
                <w:rFonts w:ascii="Arial" w:cs="Arial" w:eastAsia="Arial" w:hAnsi="Arial"/>
                <w:sz w:val="17"/>
                <w:szCs w:val="17"/>
                <w:color w:val="auto"/>
              </w:rPr>
              <w:t>24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3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Distributions on our 5.417% Series 1 Cumulative Convertible Preferred Shares were paid at the rate of $1.354 per share per annum commencing on the issuance date of March 8, 2007. We do not believe that the preferential rights available to the holders of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Shares</w:t>
      </w:r>
    </w:p>
    <w:p>
      <w:pPr>
        <w:spacing w:after="0" w:line="97"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On November 14, 2012 and December 27, 2012, we redeemed 1,446 and 2,048 operating partnership units, respectively, for cash. All other equity securities sold by us during 2012 that were not registered have been previously reported in a Quarterly Report on Form 10-Q.</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No equity securities were purchased by us during the fourth quarter of 2012, and 14,522 restricted common shares were forfeited by former employees during 2012.</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6.</w:t>
        <w:tab/>
        <w:t>SELECTED FINANCIAL DATA</w:t>
      </w:r>
    </w:p>
    <w:p>
      <w:pPr>
        <w:spacing w:after="0" w:line="97" w:lineRule="exact"/>
        <w:rPr>
          <w:sz w:val="20"/>
          <w:szCs w:val="20"/>
          <w:color w:val="auto"/>
        </w:rPr>
      </w:pPr>
    </w:p>
    <w:p>
      <w:pPr>
        <w:ind w:right="520"/>
        <w:spacing w:after="0" w:line="265" w:lineRule="auto"/>
        <w:rPr>
          <w:sz w:val="20"/>
          <w:szCs w:val="20"/>
          <w:color w:val="auto"/>
        </w:rPr>
      </w:pPr>
      <w:r>
        <w:rPr>
          <w:rFonts w:ascii="Arial" w:cs="Arial" w:eastAsia="Arial" w:hAnsi="Arial"/>
          <w:sz w:val="17"/>
          <w:szCs w:val="17"/>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 Our selected operating data, other data and balance sheet data for the years ended December 31, 2008 through 2011 have been reclassified to conform to the 2012 presentation.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53"/>
        </w:trPr>
        <w:tc>
          <w:tcPr>
            <w:tcW w:w="4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2"/>
                <w:szCs w:val="22"/>
                <w:color w:val="auto"/>
              </w:rPr>
            </w:pPr>
          </w:p>
        </w:tc>
      </w:tr>
      <w:tr>
        <w:trPr>
          <w:trHeight w:val="188"/>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980" w:type="dxa"/>
            <w:vAlign w:val="bottom"/>
            <w:gridSpan w:val="5"/>
          </w:tcPr>
          <w:p>
            <w:pPr>
              <w:jc w:val="right"/>
              <w:ind w:right="735"/>
              <w:spacing w:after="0"/>
              <w:rPr>
                <w:sz w:val="20"/>
                <w:szCs w:val="20"/>
                <w:color w:val="auto"/>
              </w:rPr>
            </w:pPr>
            <w:r>
              <w:rPr>
                <w:rFonts w:ascii="Arial" w:cs="Arial" w:eastAsia="Arial" w:hAnsi="Arial"/>
                <w:sz w:val="14"/>
                <w:szCs w:val="14"/>
                <w:b w:val="1"/>
                <w:bCs w:val="1"/>
                <w:color w:val="auto"/>
                <w:w w:val="98"/>
              </w:rPr>
              <w:t>(In thousands, except per share data and ratios)</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4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Data:</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Rental income</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582,335</w:t>
            </w:r>
          </w:p>
        </w:tc>
        <w:tc>
          <w:tcPr>
            <w:tcW w:w="4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538,701</w:t>
            </w: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75"/>
              <w:spacing w:after="0"/>
              <w:rPr>
                <w:sz w:val="20"/>
                <w:szCs w:val="20"/>
                <w:color w:val="auto"/>
              </w:rPr>
            </w:pPr>
            <w:r>
              <w:rPr>
                <w:rFonts w:ascii="Arial" w:cs="Arial" w:eastAsia="Arial" w:hAnsi="Arial"/>
                <w:sz w:val="17"/>
                <w:szCs w:val="17"/>
                <w:color w:val="auto"/>
              </w:rPr>
              <w:t>522,651</w:t>
            </w:r>
          </w:p>
        </w:tc>
        <w:tc>
          <w:tcPr>
            <w:tcW w:w="3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5"/>
              <w:spacing w:after="0"/>
              <w:rPr>
                <w:sz w:val="20"/>
                <w:szCs w:val="20"/>
                <w:color w:val="auto"/>
              </w:rPr>
            </w:pPr>
            <w:r>
              <w:rPr>
                <w:rFonts w:ascii="Arial" w:cs="Arial" w:eastAsia="Arial" w:hAnsi="Arial"/>
                <w:sz w:val="17"/>
                <w:szCs w:val="17"/>
                <w:color w:val="auto"/>
              </w:rPr>
              <w:t>510,777</w:t>
            </w:r>
          </w:p>
        </w:tc>
        <w:tc>
          <w:tcPr>
            <w:tcW w:w="4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499,100</w:t>
            </w:r>
          </w:p>
        </w:tc>
        <w:tc>
          <w:tcPr>
            <w:tcW w:w="220" w:type="dxa"/>
            <w:vAlign w:val="bottom"/>
          </w:tcPr>
          <w:p>
            <w:pPr>
              <w:spacing w:after="0"/>
              <w:rPr>
                <w:sz w:val="20"/>
                <w:szCs w:val="20"/>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operating income(1)</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428,459</w:t>
            </w: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382,890</w:t>
            </w: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372,615</w:t>
            </w:r>
          </w:p>
        </w:tc>
        <w:tc>
          <w:tcPr>
            <w:tcW w:w="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362,359</w:t>
            </w:r>
          </w:p>
        </w:tc>
        <w:tc>
          <w:tcPr>
            <w:tcW w:w="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353,373</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Income from continuing operations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144,372</w:t>
            </w:r>
          </w:p>
        </w:tc>
        <w:tc>
          <w:tcPr>
            <w:tcW w:w="4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131,554</w:t>
            </w: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75"/>
              <w:spacing w:after="0"/>
              <w:rPr>
                <w:sz w:val="20"/>
                <w:szCs w:val="20"/>
                <w:color w:val="auto"/>
              </w:rPr>
            </w:pPr>
            <w:r>
              <w:rPr>
                <w:rFonts w:ascii="Arial" w:cs="Arial" w:eastAsia="Arial" w:hAnsi="Arial"/>
                <w:sz w:val="17"/>
                <w:szCs w:val="17"/>
                <w:color w:val="auto"/>
              </w:rPr>
              <w:t>125,851</w:t>
            </w:r>
          </w:p>
        </w:tc>
        <w:tc>
          <w:tcPr>
            <w:tcW w:w="3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5"/>
              <w:spacing w:after="0"/>
              <w:rPr>
                <w:sz w:val="20"/>
                <w:szCs w:val="20"/>
                <w:color w:val="auto"/>
              </w:rPr>
            </w:pPr>
            <w:r>
              <w:rPr>
                <w:rFonts w:ascii="Arial" w:cs="Arial" w:eastAsia="Arial" w:hAnsi="Arial"/>
                <w:sz w:val="17"/>
                <w:szCs w:val="17"/>
                <w:color w:val="auto"/>
              </w:rPr>
              <w:t>101,325</w:t>
            </w:r>
          </w:p>
        </w:tc>
        <w:tc>
          <w:tcPr>
            <w:tcW w:w="4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119,655</w:t>
            </w:r>
          </w:p>
        </w:tc>
        <w:tc>
          <w:tcPr>
            <w:tcW w:w="220" w:type="dxa"/>
            <w:vAlign w:val="bottom"/>
          </w:tcPr>
          <w:p>
            <w:pPr>
              <w:spacing w:after="0"/>
              <w:rPr>
                <w:sz w:val="20"/>
                <w:szCs w:val="20"/>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on sale of real estate</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11,860</w:t>
            </w: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15,075</w:t>
            </w: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1,410</w:t>
            </w:r>
          </w:p>
        </w:tc>
        <w:tc>
          <w:tcPr>
            <w:tcW w:w="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1,298</w:t>
            </w:r>
          </w:p>
        </w:tc>
        <w:tc>
          <w:tcPr>
            <w:tcW w:w="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12,572</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156,232</w:t>
            </w:r>
          </w:p>
        </w:tc>
        <w:tc>
          <w:tcPr>
            <w:tcW w:w="4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149,612</w:t>
            </w: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75"/>
              <w:spacing w:after="0"/>
              <w:rPr>
                <w:sz w:val="20"/>
                <w:szCs w:val="20"/>
                <w:color w:val="auto"/>
              </w:rPr>
            </w:pPr>
            <w:r>
              <w:rPr>
                <w:rFonts w:ascii="Arial" w:cs="Arial" w:eastAsia="Arial" w:hAnsi="Arial"/>
                <w:sz w:val="17"/>
                <w:szCs w:val="17"/>
                <w:color w:val="auto"/>
              </w:rPr>
              <w:t>128,237</w:t>
            </w:r>
          </w:p>
        </w:tc>
        <w:tc>
          <w:tcPr>
            <w:tcW w:w="3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5"/>
              <w:spacing w:after="0"/>
              <w:rPr>
                <w:sz w:val="20"/>
                <w:szCs w:val="20"/>
                <w:color w:val="auto"/>
              </w:rPr>
            </w:pPr>
            <w:r>
              <w:rPr>
                <w:rFonts w:ascii="Arial" w:cs="Arial" w:eastAsia="Arial" w:hAnsi="Arial"/>
                <w:sz w:val="17"/>
                <w:szCs w:val="17"/>
                <w:color w:val="auto"/>
              </w:rPr>
              <w:t>103,872</w:t>
            </w:r>
          </w:p>
        </w:tc>
        <w:tc>
          <w:tcPr>
            <w:tcW w:w="4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135,153</w:t>
            </w:r>
          </w:p>
        </w:tc>
        <w:tc>
          <w:tcPr>
            <w:tcW w:w="220" w:type="dxa"/>
            <w:vAlign w:val="bottom"/>
          </w:tcPr>
          <w:p>
            <w:pPr>
              <w:spacing w:after="0"/>
              <w:rPr>
                <w:sz w:val="20"/>
                <w:szCs w:val="20"/>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the Trust</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151,925</w:t>
            </w: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143,917</w:t>
            </w: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122,790</w:t>
            </w:r>
          </w:p>
        </w:tc>
        <w:tc>
          <w:tcPr>
            <w:tcW w:w="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98,304</w:t>
            </w:r>
          </w:p>
        </w:tc>
        <w:tc>
          <w:tcPr>
            <w:tcW w:w="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129,787</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Net income available for common shareholders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151,384</w:t>
            </w:r>
          </w:p>
        </w:tc>
        <w:tc>
          <w:tcPr>
            <w:tcW w:w="4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143,376</w:t>
            </w: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75"/>
              <w:spacing w:after="0"/>
              <w:rPr>
                <w:sz w:val="20"/>
                <w:szCs w:val="20"/>
                <w:color w:val="auto"/>
              </w:rPr>
            </w:pPr>
            <w:r>
              <w:rPr>
                <w:rFonts w:ascii="Arial" w:cs="Arial" w:eastAsia="Arial" w:hAnsi="Arial"/>
                <w:sz w:val="17"/>
                <w:szCs w:val="17"/>
                <w:color w:val="auto"/>
              </w:rPr>
              <w:t>122,249</w:t>
            </w:r>
          </w:p>
        </w:tc>
        <w:tc>
          <w:tcPr>
            <w:tcW w:w="3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5"/>
              <w:spacing w:after="0"/>
              <w:rPr>
                <w:sz w:val="20"/>
                <w:szCs w:val="20"/>
                <w:color w:val="auto"/>
              </w:rPr>
            </w:pPr>
            <w:r>
              <w:rPr>
                <w:rFonts w:ascii="Arial" w:cs="Arial" w:eastAsia="Arial" w:hAnsi="Arial"/>
                <w:sz w:val="17"/>
                <w:szCs w:val="17"/>
                <w:color w:val="auto"/>
              </w:rPr>
              <w:t>97,763</w:t>
            </w:r>
          </w:p>
        </w:tc>
        <w:tc>
          <w:tcPr>
            <w:tcW w:w="4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129,246</w:t>
            </w:r>
          </w:p>
        </w:tc>
        <w:tc>
          <w:tcPr>
            <w:tcW w:w="220" w:type="dxa"/>
            <w:vAlign w:val="bottom"/>
          </w:tcPr>
          <w:p>
            <w:pPr>
              <w:spacing w:after="0"/>
              <w:rPr>
                <w:sz w:val="20"/>
                <w:szCs w:val="20"/>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296,633</w:t>
            </w: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244,711</w:t>
            </w: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256,735</w:t>
            </w:r>
          </w:p>
        </w:tc>
        <w:tc>
          <w:tcPr>
            <w:tcW w:w="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256,765</w:t>
            </w:r>
          </w:p>
        </w:tc>
        <w:tc>
          <w:tcPr>
            <w:tcW w:w="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228,285</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35"/>
              <w:spacing w:after="0"/>
              <w:rPr>
                <w:sz w:val="20"/>
                <w:szCs w:val="20"/>
                <w:color w:val="auto"/>
              </w:rPr>
            </w:pPr>
            <w:r>
              <w:rPr>
                <w:rFonts w:ascii="Arial" w:cs="Arial" w:eastAsia="Arial" w:hAnsi="Arial"/>
                <w:sz w:val="17"/>
                <w:szCs w:val="17"/>
                <w:color w:val="auto"/>
              </w:rPr>
              <w:t>(273,558)</w:t>
            </w:r>
          </w:p>
        </w:tc>
        <w:tc>
          <w:tcPr>
            <w:tcW w:w="4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(196,369)</w:t>
            </w: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5"/>
              <w:spacing w:after="0"/>
              <w:rPr>
                <w:sz w:val="20"/>
                <w:szCs w:val="20"/>
                <w:color w:val="auto"/>
              </w:rPr>
            </w:pPr>
            <w:r>
              <w:rPr>
                <w:rFonts w:ascii="Arial" w:cs="Arial" w:eastAsia="Arial" w:hAnsi="Arial"/>
                <w:sz w:val="17"/>
                <w:szCs w:val="17"/>
                <w:color w:val="auto"/>
              </w:rPr>
              <w:t>(187,088)</w:t>
            </w:r>
          </w:p>
        </w:tc>
        <w:tc>
          <w:tcPr>
            <w:tcW w:w="3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5"/>
              <w:spacing w:after="0"/>
              <w:rPr>
                <w:sz w:val="20"/>
                <w:szCs w:val="20"/>
                <w:color w:val="auto"/>
              </w:rPr>
            </w:pPr>
            <w:r>
              <w:rPr>
                <w:rFonts w:ascii="Arial" w:cs="Arial" w:eastAsia="Arial" w:hAnsi="Arial"/>
                <w:sz w:val="17"/>
                <w:szCs w:val="17"/>
                <w:color w:val="auto"/>
              </w:rPr>
              <w:t>(127,341)</w:t>
            </w:r>
          </w:p>
        </w:tc>
        <w:tc>
          <w:tcPr>
            <w:tcW w:w="4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(207,567)</w:t>
            </w:r>
          </w:p>
        </w:tc>
        <w:tc>
          <w:tcPr>
            <w:tcW w:w="220" w:type="dxa"/>
            <w:vAlign w:val="bottom"/>
          </w:tcPr>
          <w:p>
            <w:pPr>
              <w:spacing w:after="0"/>
              <w:rPr>
                <w:sz w:val="20"/>
                <w:szCs w:val="20"/>
                <w:color w:val="auto"/>
              </w:rPr>
            </w:pPr>
          </w:p>
        </w:tc>
      </w:tr>
      <w:tr>
        <w:trPr>
          <w:trHeight w:val="26"/>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provided by financing activities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(53,893)</w:t>
            </w:r>
          </w:p>
        </w:tc>
        <w:tc>
          <w:tcPr>
            <w:tcW w:w="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3,667</w:t>
            </w: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(189,239)</w:t>
            </w:r>
          </w:p>
        </w:tc>
        <w:tc>
          <w:tcPr>
            <w:tcW w:w="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(9,258)</w:t>
            </w:r>
          </w:p>
        </w:tc>
        <w:tc>
          <w:tcPr>
            <w:tcW w:w="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(56,186)</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Dividends declared on common shares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182,813</w:t>
            </w:r>
          </w:p>
        </w:tc>
        <w:tc>
          <w:tcPr>
            <w:tcW w:w="4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171,335</w:t>
            </w:r>
          </w:p>
        </w:tc>
        <w:tc>
          <w:tcPr>
            <w:tcW w:w="5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75"/>
              <w:spacing w:after="0"/>
              <w:rPr>
                <w:sz w:val="20"/>
                <w:szCs w:val="20"/>
                <w:color w:val="auto"/>
              </w:rPr>
            </w:pPr>
            <w:r>
              <w:rPr>
                <w:rFonts w:ascii="Arial" w:cs="Arial" w:eastAsia="Arial" w:hAnsi="Arial"/>
                <w:sz w:val="17"/>
                <w:szCs w:val="17"/>
                <w:color w:val="auto"/>
              </w:rPr>
              <w:t>163,382</w:t>
            </w:r>
          </w:p>
        </w:tc>
        <w:tc>
          <w:tcPr>
            <w:tcW w:w="3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5"/>
              <w:spacing w:after="0"/>
              <w:rPr>
                <w:sz w:val="20"/>
                <w:szCs w:val="20"/>
                <w:color w:val="auto"/>
              </w:rPr>
            </w:pPr>
            <w:r>
              <w:rPr>
                <w:rFonts w:ascii="Arial" w:cs="Arial" w:eastAsia="Arial" w:hAnsi="Arial"/>
                <w:sz w:val="17"/>
                <w:szCs w:val="17"/>
                <w:color w:val="auto"/>
              </w:rPr>
              <w:t>157,638</w:t>
            </w:r>
          </w:p>
        </w:tc>
        <w:tc>
          <w:tcPr>
            <w:tcW w:w="4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148,444</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251700" cy="165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700" cy="16510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Weighted average number of common shares outstanding:</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20" w:type="dxa"/>
            <w:vAlign w:val="bottom"/>
          </w:tcPr>
          <w:p>
            <w:pPr>
              <w:ind w:left="360"/>
              <w:spacing w:after="0"/>
              <w:rPr>
                <w:sz w:val="20"/>
                <w:szCs w:val="20"/>
                <w:color w:val="auto"/>
              </w:rPr>
            </w:pPr>
            <w:r>
              <w:rPr>
                <w:rFonts w:ascii="Arial" w:cs="Arial" w:eastAsia="Arial" w:hAnsi="Arial"/>
                <w:sz w:val="17"/>
                <w:szCs w:val="17"/>
                <w:color w:val="auto"/>
              </w:rPr>
              <w:t>Basic</w:t>
            </w:r>
          </w:p>
        </w:tc>
        <w:tc>
          <w:tcPr>
            <w:tcW w:w="30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63,881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7"/>
                <w:szCs w:val="17"/>
                <w:color w:val="auto"/>
              </w:rPr>
              <w:t>62,438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61,182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59,704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58,665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64,056</w:t>
            </w: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62,603</w:t>
            </w: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61,324</w:t>
            </w: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59,830</w:t>
            </w: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58,889</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Earnings per common share, basic:</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Continuing operations</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2.17</w:t>
            </w:r>
          </w:p>
        </w:tc>
        <w:tc>
          <w:tcPr>
            <w:tcW w:w="660" w:type="dxa"/>
            <w:vAlign w:val="bottom"/>
            <w:tcBorders>
              <w:bottom w:val="single" w:sz="8" w:color="CCEEFF"/>
            </w:tcBorders>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2.00</w:t>
            </w:r>
          </w:p>
        </w:tc>
        <w:tc>
          <w:tcPr>
            <w:tcW w:w="6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1.95</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1.59</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1.93</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360"/>
              <w:spacing w:after="0"/>
              <w:rPr>
                <w:sz w:val="20"/>
                <w:szCs w:val="20"/>
                <w:color w:val="auto"/>
              </w:rPr>
            </w:pPr>
            <w:r>
              <w:rPr>
                <w:rFonts w:ascii="Arial" w:cs="Arial" w:eastAsia="Arial" w:hAnsi="Arial"/>
                <w:sz w:val="17"/>
                <w:szCs w:val="17"/>
                <w:color w:val="auto"/>
              </w:rPr>
              <w:t>Discontinued operations</w:t>
            </w:r>
          </w:p>
        </w:tc>
        <w:tc>
          <w:tcPr>
            <w:tcW w:w="30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7"/>
                <w:szCs w:val="17"/>
                <w:color w:val="auto"/>
              </w:rPr>
              <w:t>0.29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0.03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0.04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0.26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Gain on sale of real estate</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0.19</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0.01</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360"/>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2.36</w:t>
            </w:r>
          </w:p>
        </w:tc>
        <w:tc>
          <w:tcPr>
            <w:tcW w:w="340" w:type="dxa"/>
            <w:vAlign w:val="bottom"/>
          </w:tcPr>
          <w:p>
            <w:pPr>
              <w:spacing w:after="0"/>
              <w:rPr>
                <w:sz w:val="19"/>
                <w:szCs w:val="19"/>
                <w:color w:val="auto"/>
              </w:rPr>
            </w:pPr>
          </w:p>
        </w:tc>
        <w:tc>
          <w:tcPr>
            <w:tcW w:w="320" w:type="dxa"/>
            <w:vAlign w:val="bottom"/>
            <w:tcBorders>
              <w:top w:val="single" w:sz="8" w:color="auto"/>
            </w:tcBorders>
          </w:tcPr>
          <w:p>
            <w:pPr>
              <w:jc w:val="center"/>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2.29</w:t>
            </w:r>
          </w:p>
        </w:tc>
        <w:tc>
          <w:tcPr>
            <w:tcW w:w="340" w:type="dxa"/>
            <w:vAlign w:val="bottom"/>
          </w:tcPr>
          <w:p>
            <w:pPr>
              <w:spacing w:after="0"/>
              <w:rPr>
                <w:sz w:val="19"/>
                <w:szCs w:val="19"/>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1.99</w:t>
            </w:r>
          </w:p>
        </w:tc>
        <w:tc>
          <w:tcPr>
            <w:tcW w:w="340" w:type="dxa"/>
            <w:vAlign w:val="bottom"/>
          </w:tcPr>
          <w:p>
            <w:pPr>
              <w:spacing w:after="0"/>
              <w:rPr>
                <w:sz w:val="19"/>
                <w:szCs w:val="19"/>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1.63</w:t>
            </w:r>
          </w:p>
        </w:tc>
        <w:tc>
          <w:tcPr>
            <w:tcW w:w="340" w:type="dxa"/>
            <w:vAlign w:val="bottom"/>
          </w:tcPr>
          <w:p>
            <w:pPr>
              <w:spacing w:after="0"/>
              <w:rPr>
                <w:sz w:val="19"/>
                <w:szCs w:val="19"/>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2.19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4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40"/>
              <w:spacing w:after="0" w:line="187" w:lineRule="exact"/>
              <w:rPr>
                <w:sz w:val="20"/>
                <w:szCs w:val="20"/>
                <w:color w:val="auto"/>
              </w:rPr>
            </w:pPr>
            <w:r>
              <w:rPr>
                <w:rFonts w:ascii="Arial" w:cs="Arial" w:eastAsia="Arial" w:hAnsi="Arial"/>
                <w:sz w:val="17"/>
                <w:szCs w:val="17"/>
                <w:color w:val="auto"/>
              </w:rPr>
              <w:t>Earnings per common share, diluted:</w:t>
            </w: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360"/>
              <w:spacing w:after="0"/>
              <w:rPr>
                <w:sz w:val="20"/>
                <w:szCs w:val="20"/>
                <w:color w:val="auto"/>
              </w:rPr>
            </w:pPr>
            <w:r>
              <w:rPr>
                <w:rFonts w:ascii="Arial" w:cs="Arial" w:eastAsia="Arial" w:hAnsi="Arial"/>
                <w:sz w:val="17"/>
                <w:szCs w:val="17"/>
                <w:color w:val="auto"/>
              </w:rPr>
              <w:t>Continuing operations</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2.16</w:t>
            </w:r>
          </w:p>
        </w:tc>
        <w:tc>
          <w:tcPr>
            <w:tcW w:w="66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33"/>
              <w:spacing w:after="0"/>
              <w:rPr>
                <w:sz w:val="20"/>
                <w:szCs w:val="20"/>
                <w:color w:val="auto"/>
              </w:rPr>
            </w:pPr>
            <w:r>
              <w:rPr>
                <w:rFonts w:ascii="Arial" w:cs="Arial" w:eastAsia="Arial" w:hAnsi="Arial"/>
                <w:sz w:val="17"/>
                <w:szCs w:val="17"/>
                <w:color w:val="auto"/>
              </w:rPr>
              <w:t>1.99</w:t>
            </w:r>
          </w:p>
        </w:tc>
        <w:tc>
          <w:tcPr>
            <w:tcW w:w="6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1.94</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1.59</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1.93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Discontinued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0.29</w:t>
            </w: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0.03</w:t>
            </w: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0.04</w:t>
            </w: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0.26</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360"/>
              <w:spacing w:after="0"/>
              <w:rPr>
                <w:sz w:val="20"/>
                <w:szCs w:val="20"/>
                <w:color w:val="auto"/>
              </w:rPr>
            </w:pPr>
            <w:r>
              <w:rPr>
                <w:rFonts w:ascii="Arial" w:cs="Arial" w:eastAsia="Arial" w:hAnsi="Arial"/>
                <w:sz w:val="17"/>
                <w:szCs w:val="17"/>
                <w:color w:val="auto"/>
              </w:rPr>
              <w:t>Gain on sale of real estate</w:t>
            </w:r>
          </w:p>
        </w:tc>
        <w:tc>
          <w:tcPr>
            <w:tcW w:w="30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0.19</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0.01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2.35</w:t>
            </w:r>
          </w:p>
        </w:tc>
        <w:tc>
          <w:tcPr>
            <w:tcW w:w="660" w:type="dxa"/>
            <w:vAlign w:val="bottom"/>
            <w:tcBorders>
              <w:bottom w:val="single" w:sz="8" w:color="CCEEFF"/>
            </w:tcBorders>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2.28</w:t>
            </w:r>
          </w:p>
        </w:tc>
        <w:tc>
          <w:tcPr>
            <w:tcW w:w="6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1.98</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1.63</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2.19</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Dividends declared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120" w:type="dxa"/>
            <w:vAlign w:val="bottom"/>
            <w:vMerge w:val="continue"/>
          </w:tcPr>
          <w:p>
            <w:pPr>
              <w:spacing w:after="0"/>
              <w:rPr>
                <w:sz w:val="18"/>
                <w:szCs w:val="18"/>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2.84</w:t>
            </w:r>
          </w:p>
        </w:tc>
        <w:tc>
          <w:tcPr>
            <w:tcW w:w="66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33"/>
              <w:spacing w:after="0"/>
              <w:rPr>
                <w:sz w:val="20"/>
                <w:szCs w:val="20"/>
                <w:color w:val="auto"/>
              </w:rPr>
            </w:pPr>
            <w:r>
              <w:rPr>
                <w:rFonts w:ascii="Arial" w:cs="Arial" w:eastAsia="Arial" w:hAnsi="Arial"/>
                <w:sz w:val="17"/>
                <w:szCs w:val="17"/>
                <w:color w:val="auto"/>
              </w:rPr>
              <w:t>2.72</w:t>
            </w:r>
          </w:p>
        </w:tc>
        <w:tc>
          <w:tcPr>
            <w:tcW w:w="6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2.66</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2.62</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Data:</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120" w:type="dxa"/>
            <w:vAlign w:val="bottom"/>
          </w:tcPr>
          <w:p>
            <w:pPr>
              <w:ind w:left="40"/>
              <w:spacing w:after="0"/>
              <w:rPr>
                <w:sz w:val="20"/>
                <w:szCs w:val="20"/>
                <w:color w:val="auto"/>
              </w:rPr>
            </w:pPr>
            <w:r>
              <w:rPr>
                <w:rFonts w:ascii="Arial" w:cs="Arial" w:eastAsia="Arial" w:hAnsi="Arial"/>
                <w:sz w:val="17"/>
                <w:szCs w:val="17"/>
                <w:color w:val="auto"/>
              </w:rPr>
              <w:t>Funds from operations available to common</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7"/>
                <w:szCs w:val="17"/>
                <w:color w:val="auto"/>
              </w:rPr>
              <w:t>shareholders(2)(3)</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277,237</w:t>
            </w:r>
          </w:p>
        </w:tc>
        <w:tc>
          <w:tcPr>
            <w:tcW w:w="66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33"/>
              <w:spacing w:after="0"/>
              <w:rPr>
                <w:sz w:val="20"/>
                <w:szCs w:val="20"/>
                <w:color w:val="auto"/>
              </w:rPr>
            </w:pPr>
            <w:r>
              <w:rPr>
                <w:rFonts w:ascii="Arial" w:cs="Arial" w:eastAsia="Arial" w:hAnsi="Arial"/>
                <w:sz w:val="17"/>
                <w:szCs w:val="17"/>
                <w:color w:val="auto"/>
              </w:rPr>
              <w:t>251,576</w:t>
            </w:r>
          </w:p>
        </w:tc>
        <w:tc>
          <w:tcPr>
            <w:tcW w:w="6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239,210</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211,065</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228,397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EBITDA(3)(4)</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410,918</w:t>
            </w:r>
          </w:p>
        </w:tc>
        <w:tc>
          <w:tcPr>
            <w:tcW w:w="660" w:type="dxa"/>
            <w:vAlign w:val="bottom"/>
            <w:tcBorders>
              <w:bottom w:val="single" w:sz="8" w:color="CCEEFF"/>
            </w:tcBorders>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374,131</w:t>
            </w:r>
          </w:p>
        </w:tc>
        <w:tc>
          <w:tcPr>
            <w:tcW w:w="6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352,481</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328,491</w:t>
            </w:r>
          </w:p>
        </w:tc>
        <w:tc>
          <w:tcPr>
            <w:tcW w:w="6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344,465</w:t>
            </w: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Adjusted EBITDA(3)(4)</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399,058</w:t>
            </w:r>
          </w:p>
        </w:tc>
        <w:tc>
          <w:tcPr>
            <w:tcW w:w="660" w:type="dxa"/>
            <w:vAlign w:val="bottom"/>
            <w:gridSpan w:val="2"/>
          </w:tcPr>
          <w:p>
            <w:pPr>
              <w:jc w:val="center"/>
              <w:ind w:left="9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33"/>
              <w:spacing w:after="0"/>
              <w:rPr>
                <w:sz w:val="20"/>
                <w:szCs w:val="20"/>
                <w:color w:val="auto"/>
              </w:rPr>
            </w:pPr>
            <w:r>
              <w:rPr>
                <w:rFonts w:ascii="Arial" w:cs="Arial" w:eastAsia="Arial" w:hAnsi="Arial"/>
                <w:sz w:val="17"/>
                <w:szCs w:val="17"/>
                <w:color w:val="auto"/>
              </w:rPr>
              <w:t>357,030</w:t>
            </w:r>
          </w:p>
        </w:tc>
        <w:tc>
          <w:tcPr>
            <w:tcW w:w="6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351,071</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327,193</w:t>
            </w:r>
          </w:p>
        </w:tc>
        <w:tc>
          <w:tcPr>
            <w:tcW w:w="62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331,893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shd w:val="clear" w:color="auto" w:fill="CCEEFF"/>
          </w:tcPr>
          <w:p>
            <w:pPr>
              <w:ind w:left="40"/>
              <w:spacing w:after="0"/>
              <w:rPr>
                <w:sz w:val="20"/>
                <w:szCs w:val="20"/>
                <w:color w:val="auto"/>
              </w:rPr>
            </w:pPr>
            <w:r>
              <w:rPr>
                <w:rFonts w:ascii="Arial" w:cs="Arial" w:eastAsia="Arial" w:hAnsi="Arial"/>
                <w:sz w:val="17"/>
                <w:szCs w:val="17"/>
                <w:color w:val="auto"/>
              </w:rPr>
              <w:t>Ratio of EBITDA to combined fixed charges and</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preferred share dividends(3)(4)(5)</w:t>
            </w: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3.3</w:t>
            </w:r>
          </w:p>
        </w:tc>
        <w:tc>
          <w:tcPr>
            <w:tcW w:w="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x</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3.5</w:t>
            </w:r>
          </w:p>
        </w:tc>
        <w:tc>
          <w:tcPr>
            <w:tcW w:w="620" w:type="dxa"/>
            <w:vAlign w:val="bottom"/>
            <w:tcBorders>
              <w:bottom w:val="single" w:sz="8" w:color="CCEEFF"/>
            </w:tcBorders>
            <w:gridSpan w:val="2"/>
            <w:shd w:val="clear" w:color="auto" w:fill="CCEEFF"/>
          </w:tcPr>
          <w:p>
            <w:pPr>
              <w:jc w:val="right"/>
              <w:ind w:right="413"/>
              <w:spacing w:after="0"/>
              <w:rPr>
                <w:sz w:val="20"/>
                <w:szCs w:val="20"/>
                <w:color w:val="auto"/>
              </w:rPr>
            </w:pPr>
            <w:r>
              <w:rPr>
                <w:rFonts w:ascii="Arial" w:cs="Arial" w:eastAsia="Arial" w:hAnsi="Arial"/>
                <w:sz w:val="17"/>
                <w:szCs w:val="17"/>
                <w:color w:val="auto"/>
              </w:rPr>
              <w:t>x</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3.1</w:t>
            </w:r>
          </w:p>
        </w:tc>
        <w:tc>
          <w:tcPr>
            <w:tcW w:w="620" w:type="dxa"/>
            <w:vAlign w:val="bottom"/>
            <w:tcBorders>
              <w:bottom w:val="single" w:sz="8" w:color="CCEEFF"/>
            </w:tcBorders>
            <w:gridSpan w:val="2"/>
            <w:shd w:val="clear" w:color="auto" w:fill="CCEEFF"/>
          </w:tcPr>
          <w:p>
            <w:pPr>
              <w:jc w:val="right"/>
              <w:ind w:right="413"/>
              <w:spacing w:after="0"/>
              <w:rPr>
                <w:sz w:val="20"/>
                <w:szCs w:val="20"/>
                <w:color w:val="auto"/>
              </w:rPr>
            </w:pPr>
            <w:r>
              <w:rPr>
                <w:rFonts w:ascii="Arial" w:cs="Arial" w:eastAsia="Arial" w:hAnsi="Arial"/>
                <w:sz w:val="17"/>
                <w:szCs w:val="17"/>
                <w:color w:val="auto"/>
              </w:rPr>
              <w:t>x</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2.8</w:t>
            </w:r>
          </w:p>
        </w:tc>
        <w:tc>
          <w:tcPr>
            <w:tcW w:w="620" w:type="dxa"/>
            <w:vAlign w:val="bottom"/>
            <w:tcBorders>
              <w:bottom w:val="single" w:sz="8" w:color="CCEEFF"/>
            </w:tcBorders>
            <w:gridSpan w:val="2"/>
            <w:shd w:val="clear" w:color="auto" w:fill="CCEEFF"/>
          </w:tcPr>
          <w:p>
            <w:pPr>
              <w:jc w:val="right"/>
              <w:ind w:right="413"/>
              <w:spacing w:after="0"/>
              <w:rPr>
                <w:sz w:val="20"/>
                <w:szCs w:val="20"/>
                <w:color w:val="auto"/>
              </w:rPr>
            </w:pPr>
            <w:r>
              <w:rPr>
                <w:rFonts w:ascii="Arial" w:cs="Arial" w:eastAsia="Arial" w:hAnsi="Arial"/>
                <w:sz w:val="17"/>
                <w:szCs w:val="17"/>
                <w:color w:val="auto"/>
              </w:rPr>
              <w:t>x</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3.2</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22"/>
        </w:trPr>
        <w:tc>
          <w:tcPr>
            <w:tcW w:w="4120" w:type="dxa"/>
            <w:vAlign w:val="bottom"/>
          </w:tcPr>
          <w:p>
            <w:pPr>
              <w:ind w:left="40"/>
              <w:spacing w:after="0"/>
              <w:rPr>
                <w:sz w:val="20"/>
                <w:szCs w:val="20"/>
                <w:color w:val="auto"/>
              </w:rPr>
            </w:pPr>
            <w:r>
              <w:rPr>
                <w:rFonts w:ascii="Arial" w:cs="Arial" w:eastAsia="Arial" w:hAnsi="Arial"/>
                <w:sz w:val="17"/>
                <w:szCs w:val="17"/>
                <w:color w:val="auto"/>
              </w:rPr>
              <w:t>Ratio of Adjusted EBITDA to combined fixed charges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7"/>
                <w:szCs w:val="17"/>
                <w:color w:val="auto"/>
              </w:rPr>
              <w:t>and preferred share dividends(3)(4)(5)</w:t>
            </w:r>
          </w:p>
        </w:tc>
        <w:tc>
          <w:tcPr>
            <w:tcW w:w="30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3.2</w:t>
            </w:r>
          </w:p>
        </w:tc>
        <w:tc>
          <w:tcPr>
            <w:tcW w:w="660" w:type="dxa"/>
            <w:vAlign w:val="bottom"/>
            <w:gridSpan w:val="2"/>
          </w:tcPr>
          <w:p>
            <w:pPr>
              <w:ind w:left="20"/>
              <w:spacing w:after="0"/>
              <w:rPr>
                <w:sz w:val="20"/>
                <w:szCs w:val="20"/>
                <w:color w:val="auto"/>
              </w:rPr>
            </w:pPr>
            <w:r>
              <w:rPr>
                <w:rFonts w:ascii="Arial" w:cs="Arial" w:eastAsia="Arial" w:hAnsi="Arial"/>
                <w:sz w:val="17"/>
                <w:szCs w:val="17"/>
                <w:color w:val="auto"/>
              </w:rPr>
              <w:t>x</w:t>
            </w:r>
          </w:p>
        </w:tc>
        <w:tc>
          <w:tcPr>
            <w:tcW w:w="860" w:type="dxa"/>
            <w:vAlign w:val="bottom"/>
          </w:tcPr>
          <w:p>
            <w:pPr>
              <w:jc w:val="right"/>
              <w:ind w:right="33"/>
              <w:spacing w:after="0"/>
              <w:rPr>
                <w:sz w:val="20"/>
                <w:szCs w:val="20"/>
                <w:color w:val="auto"/>
              </w:rPr>
            </w:pPr>
            <w:r>
              <w:rPr>
                <w:rFonts w:ascii="Arial" w:cs="Arial" w:eastAsia="Arial" w:hAnsi="Arial"/>
                <w:sz w:val="17"/>
                <w:szCs w:val="17"/>
                <w:color w:val="auto"/>
              </w:rPr>
              <w:t>3.3</w:t>
            </w:r>
          </w:p>
        </w:tc>
        <w:tc>
          <w:tcPr>
            <w:tcW w:w="620" w:type="dxa"/>
            <w:vAlign w:val="bottom"/>
            <w:gridSpan w:val="2"/>
          </w:tcPr>
          <w:p>
            <w:pPr>
              <w:jc w:val="right"/>
              <w:ind w:right="413"/>
              <w:spacing w:after="0"/>
              <w:rPr>
                <w:sz w:val="20"/>
                <w:szCs w:val="20"/>
                <w:color w:val="auto"/>
              </w:rPr>
            </w:pPr>
            <w:r>
              <w:rPr>
                <w:rFonts w:ascii="Arial" w:cs="Arial" w:eastAsia="Arial" w:hAnsi="Arial"/>
                <w:sz w:val="17"/>
                <w:szCs w:val="17"/>
                <w:color w:val="auto"/>
              </w:rPr>
              <w:t>x</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3.1</w:t>
            </w:r>
          </w:p>
        </w:tc>
        <w:tc>
          <w:tcPr>
            <w:tcW w:w="620" w:type="dxa"/>
            <w:vAlign w:val="bottom"/>
            <w:gridSpan w:val="2"/>
          </w:tcPr>
          <w:p>
            <w:pPr>
              <w:jc w:val="right"/>
              <w:ind w:right="413"/>
              <w:spacing w:after="0"/>
              <w:rPr>
                <w:sz w:val="20"/>
                <w:szCs w:val="20"/>
                <w:color w:val="auto"/>
              </w:rPr>
            </w:pPr>
            <w:r>
              <w:rPr>
                <w:rFonts w:ascii="Arial" w:cs="Arial" w:eastAsia="Arial" w:hAnsi="Arial"/>
                <w:sz w:val="17"/>
                <w:szCs w:val="17"/>
                <w:color w:val="auto"/>
              </w:rPr>
              <w:t>x</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2.7</w:t>
            </w:r>
          </w:p>
        </w:tc>
        <w:tc>
          <w:tcPr>
            <w:tcW w:w="620" w:type="dxa"/>
            <w:vAlign w:val="bottom"/>
            <w:gridSpan w:val="2"/>
          </w:tcPr>
          <w:p>
            <w:pPr>
              <w:jc w:val="right"/>
              <w:ind w:right="413"/>
              <w:spacing w:after="0"/>
              <w:rPr>
                <w:sz w:val="20"/>
                <w:szCs w:val="20"/>
                <w:color w:val="auto"/>
              </w:rPr>
            </w:pPr>
            <w:r>
              <w:rPr>
                <w:rFonts w:ascii="Arial" w:cs="Arial" w:eastAsia="Arial" w:hAnsi="Arial"/>
                <w:sz w:val="17"/>
                <w:szCs w:val="17"/>
                <w:color w:val="auto"/>
              </w:rPr>
              <w:t>x</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3.1</w:t>
            </w:r>
          </w:p>
        </w:tc>
        <w:tc>
          <w:tcPr>
            <w:tcW w:w="220" w:type="dxa"/>
            <w:vAlign w:val="bottom"/>
          </w:tcPr>
          <w:p>
            <w:pPr>
              <w:ind w:left="2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68"/>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gridSpan w:val="2"/>
          </w:tcPr>
          <w:p>
            <w:pPr>
              <w:jc w:val="center"/>
              <w:ind w:left="73"/>
              <w:spacing w:after="0"/>
              <w:rPr>
                <w:sz w:val="20"/>
                <w:szCs w:val="20"/>
                <w:color w:val="auto"/>
              </w:rPr>
            </w:pPr>
            <w:r>
              <w:rPr>
                <w:rFonts w:ascii="Arial" w:cs="Arial" w:eastAsia="Arial" w:hAnsi="Arial"/>
                <w:sz w:val="17"/>
                <w:szCs w:val="17"/>
                <w:color w:val="auto"/>
                <w:w w:val="94"/>
              </w:rPr>
              <w:t>26</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As of December 31,</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3"/>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2008</w:t>
            </w:r>
          </w:p>
        </w:tc>
      </w:tr>
      <w:tr>
        <w:trPr>
          <w:trHeight w:val="188"/>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4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(In thousands, except per share data)</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Real estate, at cost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4,779,674</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4,426,444</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3,895,942</w:t>
            </w:r>
          </w:p>
        </w:tc>
        <w:tc>
          <w:tcPr>
            <w:tcW w:w="50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3,759,234</w:t>
            </w:r>
          </w:p>
        </w:tc>
        <w:tc>
          <w:tcPr>
            <w:tcW w:w="4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3,673,685</w:t>
            </w: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3,898,565</w:t>
            </w:r>
          </w:p>
        </w:tc>
        <w:tc>
          <w:tcPr>
            <w:tcW w:w="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3,666,210</w:t>
            </w:r>
          </w:p>
        </w:tc>
        <w:tc>
          <w:tcPr>
            <w:tcW w:w="4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3,159,553</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3,222,309</w:t>
            </w:r>
          </w:p>
        </w:tc>
        <w:tc>
          <w:tcPr>
            <w:tcW w:w="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3,092,776</w:t>
            </w: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Mortgages payable and capital lease obligations</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832,482</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810,616</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589,441</w:t>
            </w:r>
          </w:p>
        </w:tc>
        <w:tc>
          <w:tcPr>
            <w:tcW w:w="50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601,884</w:t>
            </w:r>
          </w:p>
        </w:tc>
        <w:tc>
          <w:tcPr>
            <w:tcW w:w="4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452,810</w:t>
            </w: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Notes payable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299,575</w:t>
            </w:r>
          </w:p>
        </w:tc>
        <w:tc>
          <w:tcPr>
            <w:tcW w:w="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295,159</w:t>
            </w:r>
          </w:p>
        </w:tc>
        <w:tc>
          <w:tcPr>
            <w:tcW w:w="4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97,881</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261,745</w:t>
            </w:r>
          </w:p>
        </w:tc>
        <w:tc>
          <w:tcPr>
            <w:tcW w:w="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336,391</w:t>
            </w: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Senior notes and debentures</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1,076,545</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1,004,635</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1,079,827</w:t>
            </w:r>
          </w:p>
        </w:tc>
        <w:tc>
          <w:tcPr>
            <w:tcW w:w="50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930,219</w:t>
            </w:r>
          </w:p>
        </w:tc>
        <w:tc>
          <w:tcPr>
            <w:tcW w:w="4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956,584</w:t>
            </w: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Preferred shares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9,997</w:t>
            </w:r>
          </w:p>
        </w:tc>
        <w:tc>
          <w:tcPr>
            <w:tcW w:w="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9,997</w:t>
            </w:r>
          </w:p>
        </w:tc>
        <w:tc>
          <w:tcPr>
            <w:tcW w:w="4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9,997</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9,997</w:t>
            </w:r>
          </w:p>
        </w:tc>
        <w:tc>
          <w:tcPr>
            <w:tcW w:w="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9,997</w:t>
            </w: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Shareholders’ equity</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1,310,593</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7"/>
              <w:spacing w:after="0"/>
              <w:rPr>
                <w:sz w:val="20"/>
                <w:szCs w:val="20"/>
                <w:color w:val="auto"/>
              </w:rPr>
            </w:pPr>
            <w:r>
              <w:rPr>
                <w:rFonts w:ascii="Arial" w:cs="Arial" w:eastAsia="Arial" w:hAnsi="Arial"/>
                <w:sz w:val="17"/>
                <w:szCs w:val="17"/>
                <w:color w:val="auto"/>
              </w:rPr>
              <w:t>1,240,604</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1,115,768</w:t>
            </w:r>
          </w:p>
        </w:tc>
        <w:tc>
          <w:tcPr>
            <w:tcW w:w="50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1,151,738</w:t>
            </w:r>
          </w:p>
        </w:tc>
        <w:tc>
          <w:tcPr>
            <w:tcW w:w="4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1,084,569</w:t>
            </w: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4"/>
        </w:trPr>
        <w:tc>
          <w:tcPr>
            <w:tcW w:w="41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Number of common shares outstanding</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64,815</w:t>
            </w: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63,544</w:t>
            </w: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61,526</w:t>
            </w: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61,242</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58,986</w:t>
            </w:r>
          </w:p>
        </w:tc>
      </w:tr>
      <w:tr>
        <w:trPr>
          <w:trHeight w:val="26"/>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320" w:right="20" w:hanging="316"/>
        <w:spacing w:after="0" w:line="322" w:lineRule="auto"/>
        <w:tabs>
          <w:tab w:leader="none" w:pos="3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8" w:lineRule="exact"/>
        <w:rPr>
          <w:rFonts w:ascii="Arial" w:cs="Arial" w:eastAsia="Arial" w:hAnsi="Arial"/>
          <w:sz w:val="15"/>
          <w:szCs w:val="15"/>
          <w:color w:val="auto"/>
        </w:rPr>
      </w:pPr>
    </w:p>
    <w:p>
      <w:pPr>
        <w:ind w:left="320" w:right="200" w:hanging="316"/>
        <w:spacing w:after="0" w:line="265"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FFO is a supplemental non-GAAP financial measure of real estate companies’ operating performances. The National Association of Real Estate Investment Trusts (“NAREIT”) defines FFO as follows: net income, computed in accordance with U.S. GAAP, plus real estate related depreciation and amortization and excluding extraordinary items and gains on the sale of real estate. We compute FFO in accordance with the NAREIT definition, and we have historically reported our FFO available for common shareholders in addition to our net income.</w:t>
      </w:r>
    </w:p>
    <w:p>
      <w:pPr>
        <w:spacing w:after="0" w:line="47" w:lineRule="exact"/>
        <w:rPr>
          <w:rFonts w:ascii="Arial" w:cs="Arial" w:eastAsia="Arial" w:hAnsi="Arial"/>
          <w:sz w:val="17"/>
          <w:szCs w:val="17"/>
          <w:color w:val="auto"/>
        </w:rPr>
      </w:pPr>
    </w:p>
    <w:p>
      <w:pPr>
        <w:ind w:left="320" w:right="20"/>
        <w:spacing w:after="0" w:line="261" w:lineRule="auto"/>
        <w:rPr>
          <w:rFonts w:ascii="Arial" w:cs="Arial" w:eastAsia="Arial" w:hAnsi="Arial"/>
          <w:sz w:val="17"/>
          <w:szCs w:val="17"/>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129"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The reconciliation of net income to funds from operations available for common shareholders is as follows:</w:t>
      </w: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2008</w:t>
            </w:r>
          </w:p>
        </w:tc>
      </w:tr>
      <w:tr>
        <w:trPr>
          <w:trHeight w:val="240"/>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156,232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149,612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128,237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103,872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135,153</w:t>
            </w:r>
          </w:p>
        </w:tc>
      </w:tr>
      <w:tr>
        <w:trPr>
          <w:trHeight w:val="234"/>
        </w:trPr>
        <w:tc>
          <w:tcPr>
            <w:tcW w:w="4860" w:type="dxa"/>
            <w:vAlign w:val="bottom"/>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(5,695)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(5,447)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(5,568)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(5,366)</w:t>
            </w:r>
          </w:p>
        </w:tc>
      </w:tr>
      <w:tr>
        <w:trPr>
          <w:trHeight w:val="26"/>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on sale of real estate</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(12,572)</w:t>
            </w:r>
          </w:p>
        </w:tc>
      </w:tr>
      <w:tr>
        <w:trPr>
          <w:trHeight w:val="234"/>
        </w:trPr>
        <w:tc>
          <w:tcPr>
            <w:tcW w:w="4860" w:type="dxa"/>
            <w:vAlign w:val="bottom"/>
          </w:tcPr>
          <w:p>
            <w:pPr>
              <w:ind w:left="20"/>
              <w:spacing w:after="0"/>
              <w:rPr>
                <w:sz w:val="20"/>
                <w:szCs w:val="20"/>
                <w:color w:val="auto"/>
              </w:rPr>
            </w:pPr>
            <w:r>
              <w:rPr>
                <w:rFonts w:ascii="Arial" w:cs="Arial" w:eastAsia="Arial" w:hAnsi="Arial"/>
                <w:sz w:val="17"/>
                <w:szCs w:val="17"/>
                <w:color w:val="auto"/>
              </w:rPr>
              <w:t>Gain on deconsolidation of VIE</w:t>
            </w:r>
          </w:p>
        </w:tc>
        <w:tc>
          <w:tcPr>
            <w:tcW w:w="2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6"/>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 of real estate assets</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125,611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113,188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107,187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103,104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101,450</w:t>
            </w:r>
          </w:p>
        </w:tc>
      </w:tr>
      <w:tr>
        <w:trPr>
          <w:trHeight w:val="234"/>
        </w:trPr>
        <w:tc>
          <w:tcPr>
            <w:tcW w:w="4860" w:type="dxa"/>
            <w:vAlign w:val="bottom"/>
          </w:tcPr>
          <w:p>
            <w:pPr>
              <w:ind w:left="20"/>
              <w:spacing w:after="0"/>
              <w:rPr>
                <w:sz w:val="20"/>
                <w:szCs w:val="20"/>
                <w:color w:val="auto"/>
              </w:rPr>
            </w:pPr>
            <w:r>
              <w:rPr>
                <w:rFonts w:ascii="Arial" w:cs="Arial" w:eastAsia="Arial" w:hAnsi="Arial"/>
                <w:sz w:val="17"/>
                <w:szCs w:val="17"/>
                <w:color w:val="auto"/>
              </w:rPr>
              <w:t>Amortization of initial direct costs of leases</w:t>
            </w:r>
          </w:p>
        </w:tc>
        <w:tc>
          <w:tcPr>
            <w:tcW w:w="2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10,935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10,432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9,552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9,821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8,771</w:t>
            </w:r>
          </w:p>
        </w:tc>
      </w:tr>
      <w:tr>
        <w:trPr>
          <w:trHeight w:val="26"/>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of joint venture real estate assets</w:t>
            </w: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1,331</w:t>
            </w:r>
          </w:p>
        </w:tc>
      </w:tr>
      <w:tr>
        <w:trPr>
          <w:trHeight w:val="227"/>
        </w:trPr>
        <w:tc>
          <w:tcPr>
            <w:tcW w:w="4860" w:type="dxa"/>
            <w:vAlign w:val="bottom"/>
          </w:tcPr>
          <w:p>
            <w:pPr>
              <w:ind w:left="20"/>
              <w:spacing w:after="0"/>
              <w:rPr>
                <w:sz w:val="20"/>
                <w:szCs w:val="20"/>
                <w:color w:val="auto"/>
              </w:rPr>
            </w:pPr>
            <w:r>
              <w:rPr>
                <w:rFonts w:ascii="Arial" w:cs="Arial" w:eastAsia="Arial" w:hAnsi="Arial"/>
                <w:sz w:val="17"/>
                <w:szCs w:val="17"/>
                <w:color w:val="auto"/>
              </w:rPr>
              <w:t>Funds from operations</w:t>
            </w: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278,124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252,207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239,618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211,319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228,767</w:t>
            </w:r>
          </w:p>
        </w:tc>
      </w:tr>
      <w:tr>
        <w:trPr>
          <w:trHeight w:val="26"/>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Dividends on preferred shares</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r>
      <w:tr>
        <w:trPr>
          <w:trHeight w:val="234"/>
        </w:trPr>
        <w:tc>
          <w:tcPr>
            <w:tcW w:w="4860" w:type="dxa"/>
            <w:vAlign w:val="bottom"/>
          </w:tcPr>
          <w:p>
            <w:pPr>
              <w:ind w:left="20"/>
              <w:spacing w:after="0"/>
              <w:rPr>
                <w:sz w:val="20"/>
                <w:szCs w:val="20"/>
                <w:color w:val="auto"/>
              </w:rPr>
            </w:pPr>
            <w:r>
              <w:rPr>
                <w:rFonts w:ascii="Arial" w:cs="Arial" w:eastAsia="Arial" w:hAnsi="Arial"/>
                <w:sz w:val="17"/>
                <w:szCs w:val="17"/>
                <w:color w:val="auto"/>
              </w:rPr>
              <w:t>Income attributable to operating partnership units</w:t>
            </w:r>
          </w:p>
        </w:tc>
        <w:tc>
          <w:tcPr>
            <w:tcW w:w="2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950</w:t>
            </w:r>
          </w:p>
        </w:tc>
      </w:tr>
      <w:tr>
        <w:trPr>
          <w:trHeight w:val="26"/>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attributable to unvested shares</w:t>
            </w: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(779)</w:t>
            </w:r>
          </w:p>
        </w:tc>
      </w:tr>
      <w:tr>
        <w:trPr>
          <w:trHeight w:val="227"/>
        </w:trPr>
        <w:tc>
          <w:tcPr>
            <w:tcW w:w="4860" w:type="dxa"/>
            <w:vAlign w:val="bottom"/>
          </w:tcPr>
          <w:p>
            <w:pPr>
              <w:ind w:left="20"/>
              <w:spacing w:after="0"/>
              <w:rPr>
                <w:sz w:val="20"/>
                <w:szCs w:val="20"/>
                <w:color w:val="auto"/>
              </w:rPr>
            </w:pPr>
            <w:r>
              <w:rPr>
                <w:rFonts w:ascii="Arial" w:cs="Arial" w:eastAsia="Arial" w:hAnsi="Arial"/>
                <w:sz w:val="17"/>
                <w:szCs w:val="17"/>
                <w:color w:val="auto"/>
              </w:rPr>
              <w:t>Funds from operations available for common shareholders</w:t>
            </w: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277,237</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251,576</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239,210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211,065</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228,397</w:t>
            </w:r>
          </w:p>
        </w:tc>
      </w:tr>
      <w:tr>
        <w:trPr>
          <w:trHeight w:val="26"/>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20" w:right="340" w:hanging="316"/>
        <w:spacing w:after="0" w:line="270"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a charge of $0.3 million and $16.4 million in 2010 and 2009, respectively, for adjusting the accrual for litigation regarding a parcel of land located adjacent to Santana Row as well as other costs related to the litigation and appeal process. The matter is further discussed in Note 9 to the consolidated financial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12" w:lineRule="exact"/>
        <w:rPr>
          <w:sz w:val="20"/>
          <w:szCs w:val="20"/>
          <w:color w:val="auto"/>
        </w:rPr>
      </w:pPr>
    </w:p>
    <w:p>
      <w:pPr>
        <w:ind w:left="320" w:right="120" w:hanging="316"/>
        <w:spacing w:after="0" w:line="263" w:lineRule="auto"/>
        <w:tabs>
          <w:tab w:leader="none" w:pos="25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SEC has stated that EBITDA is a non-GAAP measure as calculated in the table below. Adjusted EBITDA is a non-GAAP measure that means net income or loss plus net interest expense, income taxes, depreciation and amortization,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Adjusted EBITDA as presented may not be comparable to other similarly titled measures used by other REITs.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reconciliation of net income to EBITDA and adjusted EBITDA for the periods presented is as follows:</w:t>
      </w: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2008</w:t>
            </w:r>
          </w:p>
        </w:tc>
      </w:tr>
      <w:tr>
        <w:trPr>
          <w:trHeight w:val="240"/>
        </w:trPr>
        <w:tc>
          <w:tcPr>
            <w:tcW w:w="4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156,232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149,612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128,237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103,872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135,153</w:t>
            </w:r>
          </w:p>
        </w:tc>
      </w:tr>
      <w:tr>
        <w:trPr>
          <w:trHeight w:val="234"/>
        </w:trPr>
        <w:tc>
          <w:tcPr>
            <w:tcW w:w="45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142,039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126,568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119,817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115,093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111,068</w:t>
            </w:r>
          </w:p>
        </w:tc>
      </w:tr>
      <w:tr>
        <w:trPr>
          <w:trHeight w:val="26"/>
        </w:trPr>
        <w:tc>
          <w:tcPr>
            <w:tcW w:w="4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113,336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98,465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101,882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108,781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99,163</w:t>
            </w:r>
          </w:p>
        </w:tc>
      </w:tr>
      <w:tr>
        <w:trPr>
          <w:trHeight w:val="234"/>
        </w:trPr>
        <w:tc>
          <w:tcPr>
            <w:tcW w:w="4560" w:type="dxa"/>
            <w:vAlign w:val="bottom"/>
          </w:tcPr>
          <w:p>
            <w:pPr>
              <w:ind w:left="20"/>
              <w:spacing w:after="0"/>
              <w:rPr>
                <w:sz w:val="20"/>
                <w:szCs w:val="20"/>
                <w:color w:val="auto"/>
              </w:rPr>
            </w:pPr>
            <w:r>
              <w:rPr>
                <w:rFonts w:ascii="Arial" w:cs="Arial" w:eastAsia="Arial" w:hAnsi="Arial"/>
                <w:sz w:val="17"/>
                <w:szCs w:val="17"/>
                <w:color w:val="auto"/>
              </w:rPr>
              <w:t>Early extinguishment of debt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2,801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2,639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6"/>
        </w:trPr>
        <w:tc>
          <w:tcPr>
            <w:tcW w:w="4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interest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(919)</w:t>
            </w:r>
          </w:p>
        </w:tc>
      </w:tr>
      <w:tr>
        <w:trPr>
          <w:trHeight w:val="227"/>
        </w:trPr>
        <w:tc>
          <w:tcPr>
            <w:tcW w:w="4560" w:type="dxa"/>
            <w:vAlign w:val="bottom"/>
          </w:tcPr>
          <w:p>
            <w:pPr>
              <w:ind w:left="20"/>
              <w:spacing w:after="0"/>
              <w:rPr>
                <w:sz w:val="20"/>
                <w:szCs w:val="20"/>
                <w:color w:val="auto"/>
              </w:rPr>
            </w:pPr>
            <w:r>
              <w:rPr>
                <w:rFonts w:ascii="Arial" w:cs="Arial" w:eastAsia="Arial" w:hAnsi="Arial"/>
                <w:sz w:val="17"/>
                <w:szCs w:val="17"/>
                <w:color w:val="auto"/>
              </w:rPr>
              <w:t>EBITDA</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410,918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374,131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352,481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328,491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344,465</w:t>
            </w:r>
          </w:p>
        </w:tc>
      </w:tr>
      <w:tr>
        <w:trPr>
          <w:trHeight w:val="26"/>
        </w:trPr>
        <w:tc>
          <w:tcPr>
            <w:tcW w:w="4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 on sale of real estate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(12,572)</w:t>
            </w:r>
          </w:p>
        </w:tc>
      </w:tr>
      <w:tr>
        <w:trPr>
          <w:trHeight w:val="234"/>
        </w:trPr>
        <w:tc>
          <w:tcPr>
            <w:tcW w:w="4560" w:type="dxa"/>
            <w:vAlign w:val="bottom"/>
          </w:tcPr>
          <w:p>
            <w:pPr>
              <w:ind w:left="20"/>
              <w:spacing w:after="0"/>
              <w:rPr>
                <w:sz w:val="20"/>
                <w:szCs w:val="20"/>
                <w:color w:val="auto"/>
              </w:rPr>
            </w:pPr>
            <w:r>
              <w:rPr>
                <w:rFonts w:ascii="Arial" w:cs="Arial" w:eastAsia="Arial" w:hAnsi="Arial"/>
                <w:sz w:val="17"/>
                <w:szCs w:val="17"/>
                <w:color w:val="auto"/>
              </w:rPr>
              <w:t>Gain on deconsolidation of VIE</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6"/>
        </w:trPr>
        <w:tc>
          <w:tcPr>
            <w:tcW w:w="4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399,058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357,030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351,071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327,193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331,893</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20" w:right="220" w:hanging="316"/>
        <w:spacing w:after="0" w:line="286" w:lineRule="auto"/>
        <w:tabs>
          <w:tab w:leader="none" w:pos="253"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and expense and the portion of rent expense representing an interest factor.</w:t>
      </w:r>
    </w:p>
    <w:p>
      <w:pPr>
        <w:spacing w:after="0" w:line="387" w:lineRule="exact"/>
        <w:rPr>
          <w:sz w:val="20"/>
          <w:szCs w:val="20"/>
          <w:color w:val="auto"/>
        </w:rPr>
      </w:pPr>
    </w:p>
    <w:p>
      <w:pPr>
        <w:ind w:right="1660"/>
        <w:spacing w:after="0" w:line="355" w:lineRule="auto"/>
        <w:rPr>
          <w:sz w:val="20"/>
          <w:szCs w:val="20"/>
          <w:color w:val="auto"/>
        </w:rPr>
      </w:pPr>
      <w:r>
        <w:rPr>
          <w:rFonts w:ascii="Arial" w:cs="Arial" w:eastAsia="Arial" w:hAnsi="Arial"/>
          <w:sz w:val="17"/>
          <w:szCs w:val="17"/>
          <w:b w:val="1"/>
          <w:bCs w:val="1"/>
          <w:color w:val="auto"/>
        </w:rPr>
        <w:t>ITEM 7. MANAGEMENT'S DISCUSSION AND ANALYSIS OF FINANCIAL CONDITION AND RESULTS OF OPERATIONS Forward-Looking Statements</w:t>
      </w:r>
    </w:p>
    <w:p>
      <w:pPr>
        <w:ind w:right="80"/>
        <w:spacing w:after="0" w:line="295" w:lineRule="auto"/>
        <w:rPr>
          <w:sz w:val="20"/>
          <w:szCs w:val="20"/>
          <w:color w:val="auto"/>
        </w:rPr>
      </w:pPr>
      <w:r>
        <w:rPr>
          <w:rFonts w:ascii="Arial" w:cs="Arial" w:eastAsia="Arial" w:hAnsi="Arial"/>
          <w:sz w:val="16"/>
          <w:szCs w:val="16"/>
          <w:color w:val="auto"/>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9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2012, we owned or had a majority interest in community and neighborhood shopping centers and mixed-use properties which are operated as 88 predominantly retail real estate projects comprising approximately 19.6 million square feet. In total, the real estate projects were 95.3% leased and 94.9% occupied at December 31, 2012. A joint venture in which we own a 30% interest owned seven retail real estate projects totaling approximately 1.0 million square feet as of December 31, 2012. In total, the joint venture properties in which we own a 30% interest were 86.3% leased and 86.1% occupied at December 31, 2012. We have paid quarterly dividends to our shareholders continuously since our founding in 1962 and have increased our dividends per common share for 45 consecutive years.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9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spacing w:after="0" w:line="356" w:lineRule="auto"/>
        <w:rPr>
          <w:sz w:val="20"/>
          <w:szCs w:val="20"/>
          <w:color w:val="auto"/>
        </w:rPr>
      </w:pPr>
      <w:r>
        <w:rPr>
          <w:rFonts w:ascii="Arial" w:cs="Arial" w:eastAsia="Arial" w:hAnsi="Arial"/>
          <w:sz w:val="15"/>
          <w:szCs w:val="15"/>
          <w:color w:val="auto"/>
        </w:rPr>
        <w:t>Our significant accounting policies are more fully described in Note 2 to the consolidated financial statements; however, the most critical accounting policies, which involve the use of estimates and assumptions as to future uncertainties and, therefore, may result in actual amounts that differ from estimates, are as follows: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and Accounts Receivable</w:t>
      </w:r>
    </w:p>
    <w:p>
      <w:pPr>
        <w:spacing w:after="0" w:line="9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31"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color w:val="auto"/>
        </w:rPr>
        <w:t>Current accounts receivable from tenants primarily relate to contractual minimum rent and percentage rent as well as real estate tax and other cost reimbursements. Accounts receivable from straight-line rent is typically longer term in nature and relates to the cumulative amount by which straight-line rental income recorded to date exceeds cash rents billed to date under the contractual lease agreement.</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We make estimates of the collectability of our current accounts receivable and straight-line rents receivable which requires significant judgment by management. The collectability of receivables is affected by numerous factors including current economic conditions, bankruptcies, and the ability of the tenant to perform under the terms of their lease agreement. While we make estimates of potentially uncollectible amounts and provide an allowance for them through bad debt expense, actual collectability could differ from those estimates which could affect our net income. With respect to the allowance for current uncollectible tenant receivables, we assess the collectability of outstanding receivables by evaluating such factors as nature and age of the receivable, past history and current financial condition of the specific tenant including our assessment of the tenant’s ability to meet its contractual lease obligations, and the status of any pending disputes or lease negotiations with the tenant. At December 31, 2012 and 2011, our allowance for doubtful accounts was $15.9 million and $17.6 million, respectively. Historically, we have recognized bad debt expense between 0.4% and 1.3% of rental income and it was 0.4% in 2012 reflecting positive economic changes and their impact to our tenants. A change in the estimate of collectability of a receivable would result in a change to our allowance for doubtful accounts and correspondingly bad debt expense and net income. For example, in the event our estimates were not accurate and we were required to increase our allowance by 1% of rental income, our bad debt expense would have increased and our net income would have decreased by $5.8 million.</w:t>
      </w:r>
    </w:p>
    <w:p>
      <w:pPr>
        <w:spacing w:after="0" w:line="11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Due to the nature of the accounts receivable from straight-line rents, the collection period of these amounts typically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2012 and 2011, accounts receivable include approximately $56.1 million and $50.5 million, respectively, related to straight-line rents. Correspondingly, these estimates of collectability have a direct impact on our net income.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w:t>
      </w:r>
    </w:p>
    <w:p>
      <w:pPr>
        <w:spacing w:after="0" w:line="91"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 investments and depreciate them on a straight-line basis in accordance with GAAP and consistent with industry standards based on our best estimates of the assets’ physical and economic useful lives. We periodically review the estimated lives of our assets and implement changes, as necessary, to these estimates and, therefore, to our depreciation rates. These reviews may take into account such factors as the historical retirement and replacement of our assets, expected redevelopments, the repairs required to maintain the condition of our assets, and general economic and real estate factors. Certain events could occur that would materially affect our estimates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1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and assumptions related to depreciation. Unforeseen competition or changes in customer shopping habits could substantially alter our assumptions regarding our ability to realize the expected return on investment in the property and therefore reduce the economic life of the asset and affect the amount of depreciation expense to be charged against both the current and future revenues. These assessments have a direct impact on our net income. The longer the economic useful life, the lower the depreciation expense will be for that asset in a fiscal period, which in turn will increase our net income. Similarly, having a shorter economic useful life would increase the depreciation for a fiscal period and decrease our net income.</w:t>
      </w:r>
    </w:p>
    <w:p>
      <w:pPr>
        <w:spacing w:after="0" w:line="126" w:lineRule="exact"/>
        <w:rPr>
          <w:sz w:val="20"/>
          <w:szCs w:val="20"/>
          <w:color w:val="auto"/>
        </w:rPr>
      </w:pPr>
    </w:p>
    <w:p>
      <w:pPr>
        <w:ind w:right="40"/>
        <w:spacing w:after="0" w:line="311" w:lineRule="auto"/>
        <w:rPr>
          <w:sz w:val="20"/>
          <w:szCs w:val="20"/>
          <w:color w:val="auto"/>
        </w:rPr>
      </w:pPr>
      <w:r>
        <w:rPr>
          <w:rFonts w:ascii="Arial" w:cs="Arial" w:eastAsia="Arial" w:hAnsi="Arial"/>
          <w:sz w:val="15"/>
          <w:szCs w:val="15"/>
          <w:color w:val="auto"/>
        </w:rPr>
        <w:t>Land, buildings and real estate under development are recorded at cost. We compute depreciation using the straight-line method with useful lives ranging generally from 35 years to a maximum of 50 years on buildings and major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2 to 20 years.</w:t>
      </w:r>
    </w:p>
    <w:p>
      <w:pPr>
        <w:spacing w:after="0" w:line="9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capitalized costs associated with developments and redevelopments are depreciated over the life of the improvement. Capitalized costs associated with leases are depreciated or amortized over the base term of the lease. Unamortized leasing costs are charged to expense if the applicable tenant vacates before the expiration of its lease. Undepreciated tenant work is written-off if the applicable tenant vacates and the tenant work is replaced or has no future value. Additionally, we make estimates as to the probability of certain development and redevelopment projects being completed. If we determine the redevelopment is no longer probable of completion, we immediately expense all capitalized costs which are not recoverable.</w:t>
      </w:r>
    </w:p>
    <w:p>
      <w:pPr>
        <w:spacing w:after="0" w:line="112" w:lineRule="exact"/>
        <w:rPr>
          <w:sz w:val="20"/>
          <w:szCs w:val="20"/>
          <w:color w:val="auto"/>
        </w:rPr>
      </w:pPr>
    </w:p>
    <w:p>
      <w:pPr>
        <w:ind w:right="540"/>
        <w:spacing w:after="0" w:line="270" w:lineRule="auto"/>
        <w:rPr>
          <w:sz w:val="20"/>
          <w:szCs w:val="20"/>
          <w:color w:val="auto"/>
        </w:rPr>
      </w:pPr>
      <w:r>
        <w:rPr>
          <w:rFonts w:ascii="Arial" w:cs="Arial" w:eastAsia="Arial" w:hAnsi="Arial"/>
          <w:sz w:val="17"/>
          <w:szCs w:val="17"/>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$129 million and $6 million, respectively, for 2012 and $96 million and $4 million, respectively, for 2011. We capitalized external and internal costs related to other property improvements of $52 million and $1 million, respectively, for 2012 and $46 million and $1 million, respectively, for 2011. We capitalized external and internal costs related to leasing activities of $9 million and $6 million, respectively, for 2012 and $8 million and $5 million, respectively, for 2011. The amount of capitalized internal costs for salaries and related benefits for development and redevelopment activities, other property improvements, and leasing activities were $5 million, $1 million, and $5 million, respectively, for 2012 and $4 million, $1 million, and $5 million, respectively, for 2011.</w:t>
      </w:r>
    </w:p>
    <w:p>
      <w:pPr>
        <w:spacing w:after="0" w:line="133"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Additionally, 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Acquisitions</w:t>
      </w:r>
    </w:p>
    <w:p>
      <w:pPr>
        <w:spacing w:after="0" w:line="9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Upon acquisition of operating real estate properties, we estimate the fair value of assets and liabilities acquired including land, building, improvements, leasing costs, intangibles such as in-place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in-place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Long-Lived Assets and Impairment</w:t>
      </w:r>
    </w:p>
    <w:p>
      <w:pPr>
        <w:spacing w:after="0" w:line="91"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Contingencies</w:t>
      </w:r>
    </w:p>
    <w:p>
      <w:pPr>
        <w:spacing w:after="0" w:line="9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are sometimes involved in lawsuits, warranty claims, and environmental matters arising in the ordinary course of business. Management makes assumptions and estimates concerning the likelihood and amount of any potential loss relating to these matters.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Any difference between our estimate of a potential loss and the actual outcome would result in an increase or decrease to net income.</w:t>
      </w:r>
    </w:p>
    <w:p>
      <w:pPr>
        <w:spacing w:after="0" w:line="11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addition, we reserve for estimated losses, if any, associated with warranties given to a buyer at the time an asset is sold or other potential liabilities relating to that sale, taking any insurance policies into account. These warranties may extend up to ten years and the calculation of potential liability requires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changes to our estimated warranty losses would result in an increase or decrease in net income.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Self-Insurance</w:t>
      </w:r>
    </w:p>
    <w:p>
      <w:pPr>
        <w:spacing w:after="0" w:line="9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projected to be incurred but not yet reported. Management considers a number of factors, including third-party actuarial analysis and future increases in costs of claims, when making these determinations. If our liability costs differ from these accruals, it will increase or decrease our net income.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97"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In May 2011, the Financial Accounting Standards Board (the "FASB") issued Accounting Standards Update (“ASU”) 2011-04, “Fair Value Measurement (Topic 820): Amendments to Achieve Common Fair Value Measurement and Disclosure Requirements in U.S. GAAP and IFRSs.” The pronouncement was issued to provide a uniform framework for fair value measurements and related disclosures between U.S. GAAP and International Financial Reporting Standards (“IFRS”). ASU 2011-04 changes certain fair value measurement principles and enhances the disclosure requirements particularly for level 3 fair value measurements. We adopted the standard effective January 1, 2012 and it did not have a significant impact to our consolidated financial statements.</w:t>
      </w:r>
    </w:p>
    <w:p>
      <w:pPr>
        <w:spacing w:after="0" w:line="112"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eliminates the option to present components of other comprehensive income solely as part of the statement of shareholders’ equity and requires the presentation of components of net income and components of other comprehensive income either in a single continuous statement of comprehensive income or in two separate but consecutive statements. In December 2011, the FASB deferred the requirement to present reclassification adjustments for each component of accumulated other comprehensive income in both net income and other comprehensive income on the face of the financial</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statements. We adopted the standards effective January 1, 2012 and modified the presentation in our consolidated financial statements accordingly.</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w:t>
      </w:r>
    </w:p>
    <w:p>
      <w:pPr>
        <w:spacing w:after="0" w:line="97" w:lineRule="exact"/>
        <w:rPr>
          <w:sz w:val="20"/>
          <w:szCs w:val="20"/>
          <w:color w:val="auto"/>
        </w:rPr>
      </w:pPr>
    </w:p>
    <w:p>
      <w:pPr>
        <w:spacing w:after="0" w:line="322" w:lineRule="auto"/>
        <w:rPr>
          <w:sz w:val="20"/>
          <w:szCs w:val="20"/>
          <w:color w:val="auto"/>
        </w:rPr>
      </w:pPr>
      <w:r>
        <w:rPr>
          <w:rFonts w:ascii="Arial" w:cs="Arial" w:eastAsia="Arial" w:hAnsi="Arial"/>
          <w:sz w:val="15"/>
          <w:szCs w:val="15"/>
          <w:color w:val="auto"/>
        </w:rPr>
        <w:t>In February 2013, the FASB issued ASU 2013-2, “Comprehensive Income (Topic 220): Reporting Amounts Reclassified Out of Accumulated Other Comprehensive Income.” ASU 2013-2 requires entities to disclose certain information relating to amounts reclassified out of accumulated other comprehensive income. This pronouncement is effective for us in the first quarter of 2013 and is not expected to have a significant impact to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2012 Significant Property Acquisitions</w:t>
      </w:r>
    </w:p>
    <w:p>
      <w:pPr>
        <w:spacing w:after="0" w:line="17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July and September 2012, we acquired three residential apartment buildings with 47 units located adjacent to Santana Row for $9.0 million. These properties provide potential future redevelopment opportunities for Santana Row.</w:t>
      </w:r>
    </w:p>
    <w:p>
      <w:pPr>
        <w:spacing w:after="0" w:line="158"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On December 21, 2012, we acquired the fee interest in East Bay Bridge, a 438,000 square foot shopping center located in Emeryville and Oakland, California. The purchase price was $116.6 million which included the assumption of a mortgage loan with a face amount of $62.9 million and a fair value of approximately $67.6 million. Approximately $0.9 million and $47.8 million of net assets acquired were allocated to other assets for “above market leases” and other liabilities for “below market leases”, respectively. Additionally, we acquired a 37,000 square foot single-tenant office/warehouse building in Ontario, California for $2.5 million as part of the transaction. We incurred a total of $0.9 million of acquisition costs which are included in “general and administrative expenses” in 2012.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2012 Significant Equity and Debt Transactions and Subsequent Event</w:t>
      </w:r>
    </w:p>
    <w:p>
      <w:pPr>
        <w:spacing w:after="0" w:line="97"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On May 8, 2012, we replaced our existing at the market (“ATM”) equity program with a new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December 31, 2012, we issued 167,736 common shares at a weighted average price per share of $104.46 for net cash proceeds of $17.3 million and paid $0.2 million in commissions related to the sales of these common shares. For the year ended December 31, 2012, we issued 1,040,946 common shares at a weighted average price per share of $103.69 for net cash proceeds of $106.4 million and paid $1.4 million in commissions related to the sales of these common shares. As of December 31, 2012, we had the capacity to issue up to $213.4 million in common shares under our ATM equity program.</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During 2012 and subsequent to year-end, we repaid the following loans at par: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Payoff Amount</w:t>
            </w:r>
          </w:p>
        </w:tc>
        <w:tc>
          <w:tcPr>
            <w:tcW w:w="220" w:type="dxa"/>
            <w:vAlign w:val="bottom"/>
          </w:tcPr>
          <w:p>
            <w:pPr>
              <w:spacing w:after="0"/>
              <w:rPr>
                <w:sz w:val="16"/>
                <w:szCs w:val="16"/>
                <w:color w:val="auto"/>
              </w:rPr>
            </w:pPr>
          </w:p>
        </w:tc>
        <w:tc>
          <w:tcPr>
            <w:tcW w:w="2040" w:type="dxa"/>
            <w:vAlign w:val="bottom"/>
            <w:gridSpan w:val="2"/>
          </w:tcPr>
          <w:p>
            <w:pPr>
              <w:ind w:left="420"/>
              <w:spacing w:after="0"/>
              <w:rPr>
                <w:sz w:val="20"/>
                <w:szCs w:val="20"/>
                <w:color w:val="auto"/>
              </w:rPr>
            </w:pPr>
            <w:r>
              <w:rPr>
                <w:rFonts w:ascii="Arial" w:cs="Arial" w:eastAsia="Arial" w:hAnsi="Arial"/>
                <w:sz w:val="14"/>
                <w:szCs w:val="14"/>
                <w:b w:val="1"/>
                <w:bCs w:val="1"/>
                <w:color w:val="auto"/>
              </w:rPr>
              <w:t>Repayment Date</w:t>
            </w:r>
          </w:p>
        </w:tc>
        <w:tc>
          <w:tcPr>
            <w:tcW w:w="1820" w:type="dxa"/>
            <w:vAlign w:val="bottom"/>
          </w:tcPr>
          <w:p>
            <w:pPr>
              <w:jc w:val="right"/>
              <w:ind w:right="396"/>
              <w:spacing w:after="0"/>
              <w:rPr>
                <w:sz w:val="20"/>
                <w:szCs w:val="20"/>
                <w:color w:val="auto"/>
              </w:rPr>
            </w:pPr>
            <w:r>
              <w:rPr>
                <w:rFonts w:ascii="Arial" w:cs="Arial" w:eastAsia="Arial" w:hAnsi="Arial"/>
                <w:sz w:val="14"/>
                <w:szCs w:val="14"/>
                <w:b w:val="1"/>
                <w:bCs w:val="1"/>
                <w:color w:val="auto"/>
              </w:rPr>
              <w:t>Maturity Date</w:t>
            </w:r>
          </w:p>
        </w:tc>
      </w:tr>
      <w:tr>
        <w:trPr>
          <w:trHeight w:val="253"/>
        </w:trPr>
        <w:tc>
          <w:tcPr>
            <w:tcW w:w="58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r>
      <w:tr>
        <w:trPr>
          <w:trHeight w:val="246"/>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Courtyard Shops Mortgage Loan</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6.9</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June 1, 2012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July 1, 2012</w:t>
            </w:r>
          </w:p>
        </w:tc>
      </w:tr>
      <w:tr>
        <w:trPr>
          <w:trHeight w:val="234"/>
        </w:trPr>
        <w:tc>
          <w:tcPr>
            <w:tcW w:w="5840" w:type="dxa"/>
            <w:vAlign w:val="bottom"/>
          </w:tcPr>
          <w:p>
            <w:pPr>
              <w:ind w:left="40"/>
              <w:spacing w:after="0"/>
              <w:rPr>
                <w:sz w:val="20"/>
                <w:szCs w:val="20"/>
                <w:color w:val="auto"/>
              </w:rPr>
            </w:pPr>
            <w:r>
              <w:rPr>
                <w:rFonts w:ascii="Arial" w:cs="Arial" w:eastAsia="Arial" w:hAnsi="Arial"/>
                <w:sz w:val="17"/>
                <w:szCs w:val="17"/>
                <w:color w:val="auto"/>
              </w:rPr>
              <w:t>6.00% Senior Notes</w:t>
            </w:r>
          </w:p>
        </w:tc>
        <w:tc>
          <w:tcPr>
            <w:tcW w:w="200" w:type="dxa"/>
            <w:vAlign w:val="bottom"/>
          </w:tcPr>
          <w:p>
            <w:pPr>
              <w:spacing w:after="0"/>
              <w:rPr>
                <w:sz w:val="20"/>
                <w:szCs w:val="20"/>
                <w:color w:val="auto"/>
              </w:rPr>
            </w:pPr>
          </w:p>
        </w:tc>
        <w:tc>
          <w:tcPr>
            <w:tcW w:w="1300" w:type="dxa"/>
            <w:vAlign w:val="bottom"/>
          </w:tcPr>
          <w:p>
            <w:pPr>
              <w:jc w:val="right"/>
              <w:ind w:right="37"/>
              <w:spacing w:after="0"/>
              <w:rPr>
                <w:sz w:val="20"/>
                <w:szCs w:val="20"/>
                <w:color w:val="auto"/>
              </w:rPr>
            </w:pPr>
            <w:r>
              <w:rPr>
                <w:rFonts w:ascii="Arial" w:cs="Arial" w:eastAsia="Arial" w:hAnsi="Arial"/>
                <w:sz w:val="17"/>
                <w:szCs w:val="17"/>
                <w:color w:val="auto"/>
              </w:rPr>
              <w:t>175.0</w:t>
            </w:r>
          </w:p>
        </w:tc>
        <w:tc>
          <w:tcPr>
            <w:tcW w:w="220" w:type="dxa"/>
            <w:vAlign w:val="bottom"/>
          </w:tcPr>
          <w:p>
            <w:pPr>
              <w:spacing w:after="0"/>
              <w:rPr>
                <w:sz w:val="20"/>
                <w:szCs w:val="20"/>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7"/>
                <w:szCs w:val="17"/>
                <w:color w:val="auto"/>
              </w:rPr>
              <w:t>July 16, 2012</w:t>
            </w:r>
          </w:p>
        </w:tc>
        <w:tc>
          <w:tcPr>
            <w:tcW w:w="1820" w:type="dxa"/>
            <w:vAlign w:val="bottom"/>
          </w:tcPr>
          <w:p>
            <w:pPr>
              <w:jc w:val="right"/>
              <w:spacing w:after="0"/>
              <w:rPr>
                <w:sz w:val="20"/>
                <w:szCs w:val="20"/>
                <w:color w:val="auto"/>
              </w:rPr>
            </w:pPr>
            <w:r>
              <w:rPr>
                <w:rFonts w:ascii="Arial" w:cs="Arial" w:eastAsia="Arial" w:hAnsi="Arial"/>
                <w:sz w:val="17"/>
                <w:szCs w:val="17"/>
                <w:color w:val="auto"/>
              </w:rPr>
              <w:t>July 16, 2012</w:t>
            </w:r>
          </w:p>
        </w:tc>
      </w:tr>
      <w:tr>
        <w:trPr>
          <w:trHeight w:val="26"/>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Mount Vernon Mortgage Loan</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10.2</w:t>
            </w:r>
          </w:p>
        </w:tc>
        <w:tc>
          <w:tcPr>
            <w:tcW w:w="2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October 22, 2012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April 15, 2028</w:t>
            </w:r>
          </w:p>
        </w:tc>
      </w:tr>
      <w:tr>
        <w:trPr>
          <w:trHeight w:val="234"/>
        </w:trPr>
        <w:tc>
          <w:tcPr>
            <w:tcW w:w="5840" w:type="dxa"/>
            <w:vAlign w:val="bottom"/>
          </w:tcPr>
          <w:p>
            <w:pPr>
              <w:ind w:left="40"/>
              <w:spacing w:after="0"/>
              <w:rPr>
                <w:sz w:val="20"/>
                <w:szCs w:val="20"/>
                <w:color w:val="auto"/>
              </w:rPr>
            </w:pPr>
            <w:r>
              <w:rPr>
                <w:rFonts w:ascii="Arial" w:cs="Arial" w:eastAsia="Arial" w:hAnsi="Arial"/>
                <w:sz w:val="17"/>
                <w:szCs w:val="17"/>
                <w:color w:val="auto"/>
              </w:rPr>
              <w:t>Bethesda Row Mortgage Loan</w:t>
            </w:r>
          </w:p>
        </w:tc>
        <w:tc>
          <w:tcPr>
            <w:tcW w:w="200" w:type="dxa"/>
            <w:vAlign w:val="bottom"/>
          </w:tcPr>
          <w:p>
            <w:pPr>
              <w:spacing w:after="0"/>
              <w:rPr>
                <w:sz w:val="20"/>
                <w:szCs w:val="20"/>
                <w:color w:val="auto"/>
              </w:rPr>
            </w:pPr>
          </w:p>
        </w:tc>
        <w:tc>
          <w:tcPr>
            <w:tcW w:w="1300" w:type="dxa"/>
            <w:vAlign w:val="bottom"/>
          </w:tcPr>
          <w:p>
            <w:pPr>
              <w:jc w:val="right"/>
              <w:ind w:right="37"/>
              <w:spacing w:after="0"/>
              <w:rPr>
                <w:sz w:val="20"/>
                <w:szCs w:val="20"/>
                <w:color w:val="auto"/>
              </w:rPr>
            </w:pPr>
            <w:r>
              <w:rPr>
                <w:rFonts w:ascii="Arial" w:cs="Arial" w:eastAsia="Arial" w:hAnsi="Arial"/>
                <w:sz w:val="17"/>
                <w:szCs w:val="17"/>
                <w:color w:val="auto"/>
              </w:rPr>
              <w:t>20.0</w:t>
            </w:r>
          </w:p>
        </w:tc>
        <w:tc>
          <w:tcPr>
            <w:tcW w:w="220" w:type="dxa"/>
            <w:vAlign w:val="bottom"/>
          </w:tcPr>
          <w:p>
            <w:pPr>
              <w:spacing w:after="0"/>
              <w:rPr>
                <w:sz w:val="20"/>
                <w:szCs w:val="20"/>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7"/>
                <w:szCs w:val="17"/>
                <w:color w:val="auto"/>
              </w:rPr>
              <w:t>November 2, 2012</w:t>
            </w:r>
          </w:p>
        </w:tc>
        <w:tc>
          <w:tcPr>
            <w:tcW w:w="1820" w:type="dxa"/>
            <w:vAlign w:val="bottom"/>
          </w:tcPr>
          <w:p>
            <w:pPr>
              <w:jc w:val="right"/>
              <w:spacing w:after="0"/>
              <w:rPr>
                <w:sz w:val="20"/>
                <w:szCs w:val="20"/>
                <w:color w:val="auto"/>
              </w:rPr>
            </w:pPr>
            <w:r>
              <w:rPr>
                <w:rFonts w:ascii="Arial" w:cs="Arial" w:eastAsia="Arial" w:hAnsi="Arial"/>
                <w:sz w:val="17"/>
                <w:szCs w:val="17"/>
                <w:color w:val="auto"/>
              </w:rPr>
              <w:t>January 1, 2013</w:t>
            </w:r>
          </w:p>
        </w:tc>
      </w:tr>
      <w:tr>
        <w:trPr>
          <w:trHeight w:val="26"/>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Bethesda Row Mortgage Loan</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3.9</w:t>
            </w:r>
          </w:p>
        </w:tc>
        <w:tc>
          <w:tcPr>
            <w:tcW w:w="2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December 3, 2012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February 1, 2013</w:t>
            </w:r>
          </w:p>
        </w:tc>
      </w:tr>
      <w:tr>
        <w:trPr>
          <w:trHeight w:val="234"/>
        </w:trPr>
        <w:tc>
          <w:tcPr>
            <w:tcW w:w="5840" w:type="dxa"/>
            <w:vAlign w:val="bottom"/>
          </w:tcPr>
          <w:p>
            <w:pPr>
              <w:ind w:left="40"/>
              <w:spacing w:after="0"/>
              <w:rPr>
                <w:sz w:val="20"/>
                <w:szCs w:val="20"/>
                <w:color w:val="auto"/>
              </w:rPr>
            </w:pPr>
            <w:r>
              <w:rPr>
                <w:rFonts w:ascii="Arial" w:cs="Arial" w:eastAsia="Arial" w:hAnsi="Arial"/>
                <w:sz w:val="17"/>
                <w:szCs w:val="17"/>
                <w:color w:val="auto"/>
              </w:rPr>
              <w:t>White Marsh Plaza Mortgage Loan</w:t>
            </w:r>
          </w:p>
        </w:tc>
        <w:tc>
          <w:tcPr>
            <w:tcW w:w="200" w:type="dxa"/>
            <w:vAlign w:val="bottom"/>
          </w:tcPr>
          <w:p>
            <w:pPr>
              <w:spacing w:after="0"/>
              <w:rPr>
                <w:sz w:val="20"/>
                <w:szCs w:val="20"/>
                <w:color w:val="auto"/>
              </w:rPr>
            </w:pPr>
          </w:p>
        </w:tc>
        <w:tc>
          <w:tcPr>
            <w:tcW w:w="1300" w:type="dxa"/>
            <w:vAlign w:val="bottom"/>
          </w:tcPr>
          <w:p>
            <w:pPr>
              <w:jc w:val="right"/>
              <w:ind w:right="37"/>
              <w:spacing w:after="0"/>
              <w:rPr>
                <w:sz w:val="20"/>
                <w:szCs w:val="20"/>
                <w:color w:val="auto"/>
              </w:rPr>
            </w:pPr>
            <w:r>
              <w:rPr>
                <w:rFonts w:ascii="Arial" w:cs="Arial" w:eastAsia="Arial" w:hAnsi="Arial"/>
                <w:sz w:val="17"/>
                <w:szCs w:val="17"/>
                <w:color w:val="auto"/>
              </w:rPr>
              <w:t>9.0</w:t>
            </w:r>
          </w:p>
        </w:tc>
        <w:tc>
          <w:tcPr>
            <w:tcW w:w="220" w:type="dxa"/>
            <w:vAlign w:val="bottom"/>
          </w:tcPr>
          <w:p>
            <w:pPr>
              <w:spacing w:after="0"/>
              <w:rPr>
                <w:sz w:val="20"/>
                <w:szCs w:val="20"/>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7"/>
                <w:szCs w:val="17"/>
                <w:color w:val="auto"/>
              </w:rPr>
              <w:t>January 2, 2013</w:t>
            </w:r>
          </w:p>
        </w:tc>
        <w:tc>
          <w:tcPr>
            <w:tcW w:w="1820" w:type="dxa"/>
            <w:vAlign w:val="bottom"/>
          </w:tcPr>
          <w:p>
            <w:pPr>
              <w:jc w:val="right"/>
              <w:spacing w:after="0"/>
              <w:rPr>
                <w:sz w:val="20"/>
                <w:szCs w:val="20"/>
                <w:color w:val="auto"/>
              </w:rPr>
            </w:pPr>
            <w:r>
              <w:rPr>
                <w:rFonts w:ascii="Arial" w:cs="Arial" w:eastAsia="Arial" w:hAnsi="Arial"/>
                <w:sz w:val="17"/>
                <w:szCs w:val="17"/>
                <w:color w:val="auto"/>
              </w:rPr>
              <w:t>April 1, 2013</w:t>
            </w:r>
          </w:p>
        </w:tc>
      </w:tr>
      <w:tr>
        <w:trPr>
          <w:trHeight w:val="26"/>
        </w:trPr>
        <w:tc>
          <w:tcPr>
            <w:tcW w:w="5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8"/>
        </w:trPr>
        <w:tc>
          <w:tcPr>
            <w:tcW w:w="5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225.0</w:t>
            </w: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On July 19, 2012, we issued $250.0 million of fixed rate senior notes that mature on August 1, 2022 and bear interest at 3.00%. The net proceeds from this note offering after issuance discounts, underwriting fees, and other costs were approximately $244.8 million.</w:t>
      </w:r>
    </w:p>
    <w:p>
      <w:pPr>
        <w:spacing w:after="0" w:line="10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acquisition of East Bay Bridge on December 21, 2012, we assumed a mortgage loan with a face amount of $62.9 million and a fair value of approximately $67.6 million. The mortgage loan bears interest at 5.13% and matures on March 1, 2016.</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Final Purchase Price Allocation of 2011 Property Acquisitions</w:t>
      </w:r>
    </w:p>
    <w:p>
      <w:pPr>
        <w:spacing w:after="0" w:line="97" w:lineRule="exact"/>
        <w:rPr>
          <w:sz w:val="20"/>
          <w:szCs w:val="20"/>
          <w:color w:val="auto"/>
        </w:rPr>
      </w:pPr>
    </w:p>
    <w:p>
      <w:pPr>
        <w:jc w:val="both"/>
        <w:ind w:right="180"/>
        <w:spacing w:after="0" w:line="270" w:lineRule="auto"/>
        <w:rPr>
          <w:sz w:val="20"/>
          <w:szCs w:val="20"/>
          <w:color w:val="auto"/>
        </w:rPr>
      </w:pPr>
      <w:r>
        <w:rPr>
          <w:rFonts w:ascii="Arial" w:cs="Arial" w:eastAsia="Arial" w:hAnsi="Arial"/>
          <w:sz w:val="17"/>
          <w:szCs w:val="17"/>
          <w:color w:val="auto"/>
        </w:rPr>
        <w:t>During 2012, we finalized the purchase price allocations for our December 2011 acquisitions of controlling interests in Montrose Crossing and Plaza El Segundo. The purchase price for Montrose Crossing was $141.5 million and our 89.9% ownership interest was $127.2 million which was funded with cash and our pro-rata share of $80.0 million of new mortgage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12"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debt. Approximately $2.9 million and $3.8 million of net assets acquired were allocated to other assets for "above market leases" and other liabilities for "below market leases", respectively. The purchase price for Plaza El Segundo was $192.7 million and our 48.2% ownership interest was funded with $8.5 million of cash and the assumption of our pro-rata share of the existing $175.0 million mortgage debt. Approximately $7.5 million and $2.3 million of net assets acquired were allocated to other assets for "above market leases" and other liabilities for "below market leases", respectively. The balance sheet at December 31, 2011, has been adjusted to reflect the final purchase price allocation for both properties.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Chief Financial Officer Transition</w:t>
      </w:r>
    </w:p>
    <w:p>
      <w:pPr>
        <w:spacing w:after="0" w:line="9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On August 15, 2012, James M. Taylor, a senior managing director in the real estate investment banking group of an affiliate of Wells Fargo, succeeded Andrew Blocher as our chief financial officer. We believe that the addition of Mr. Taylor to our executive ranks will enhance our ability to source and evaluate corporate business development and strategic opportunities. For more information about Mr. Taylor's appointment, see our Current Report on Form 8-K filed with the SEC on July 11, 2012.</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We seek growth in earnings, funds from operations, and cash flows primarily through a combination of the following:</w:t>
      </w:r>
    </w:p>
    <w:p>
      <w:pPr>
        <w:spacing w:after="0" w:line="65" w:lineRule="exact"/>
        <w:rPr>
          <w:sz w:val="20"/>
          <w:szCs w:val="20"/>
          <w:color w:val="auto"/>
        </w:rPr>
      </w:pPr>
    </w:p>
    <w:p>
      <w:pPr>
        <w:ind w:left="1640" w:hanging="778"/>
        <w:spacing w:after="0"/>
        <w:tabs>
          <w:tab w:leader="none" w:pos="1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growth in our portfolio from property development and redevelopments,</w:t>
      </w:r>
    </w:p>
    <w:p>
      <w:pPr>
        <w:spacing w:after="0" w:line="64" w:lineRule="exact"/>
        <w:rPr>
          <w:rFonts w:ascii="Arial" w:cs="Arial" w:eastAsia="Arial" w:hAnsi="Arial"/>
          <w:sz w:val="17"/>
          <w:szCs w:val="17"/>
          <w:color w:val="auto"/>
        </w:rPr>
      </w:pPr>
    </w:p>
    <w:p>
      <w:pPr>
        <w:ind w:left="1640" w:hanging="778"/>
        <w:spacing w:after="0"/>
        <w:tabs>
          <w:tab w:leader="none" w:pos="1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growth in our same-center portfolio, and</w:t>
      </w:r>
    </w:p>
    <w:p>
      <w:pPr>
        <w:spacing w:after="0" w:line="64" w:lineRule="exact"/>
        <w:rPr>
          <w:rFonts w:ascii="Arial" w:cs="Arial" w:eastAsia="Arial" w:hAnsi="Arial"/>
          <w:sz w:val="17"/>
          <w:szCs w:val="17"/>
          <w:color w:val="auto"/>
        </w:rPr>
      </w:pPr>
    </w:p>
    <w:p>
      <w:pPr>
        <w:ind w:left="1640" w:hanging="778"/>
        <w:spacing w:after="0"/>
        <w:tabs>
          <w:tab w:leader="none" w:pos="1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expansion of our portfolio through property acquisitions.</w:t>
      </w:r>
    </w:p>
    <w:p>
      <w:pPr>
        <w:spacing w:after="0" w:line="169" w:lineRule="exact"/>
        <w:rPr>
          <w:sz w:val="20"/>
          <w:szCs w:val="20"/>
          <w:color w:val="auto"/>
        </w:rPr>
      </w:pPr>
    </w:p>
    <w:p>
      <w:pPr>
        <w:jc w:val="both"/>
        <w:ind w:right="120"/>
        <w:spacing w:after="0" w:line="295" w:lineRule="auto"/>
        <w:rPr>
          <w:sz w:val="20"/>
          <w:szCs w:val="20"/>
          <w:color w:val="auto"/>
        </w:rPr>
      </w:pPr>
      <w:r>
        <w:rPr>
          <w:rFonts w:ascii="Arial" w:cs="Arial" w:eastAsia="Arial" w:hAnsi="Arial"/>
          <w:sz w:val="16"/>
          <w:szCs w:val="16"/>
          <w:color w:val="auto"/>
        </w:rPr>
        <w:t>Our properties are located in densely populated 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2013, we expect to have redevelopment projects stabilizing with projected costs of approximately $30 million.</w:t>
      </w:r>
    </w:p>
    <w:p>
      <w:pPr>
        <w:spacing w:after="0" w:line="102"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Additionally, we continue to invest in the development at Assembly Row which is a long-term development project we expect to be involved in over the coming years. The carrying value of the development portion of this project at December 31, 2012 is approximately $170 million. The project currently has zoning entitlements to build 2.3 million square feet of commercial-use buildings, 2,100 residential units, and a 200 room hotel. In December 2011, we entered into agreements with AvalonBay Communities ("AvalonBay") for a portion of the first phase of development at Assembly Row which will include 450 residential units (by AvalonBay) and approximately 326,000 square feet of retail space and 90,000 square feet of office space (both by the Trust). The Massachusetts Bay Transit Authority (MBTA) will also construct the new orange line T-Stop at the property. Our construction on the first phase commenced during the first quarter 2012. Total expected costs for Phase I of Assembly Row range from $190 million to $200 million of which $43 million has been incurred to date. We expect Phase I to stabilize in 2015. Additionally during 2012, we continued our infrastructure work. In total, we invested $22 million in Assembly Row in 2012, net of public funding, and expect to invest between $100 million and $115 million in 2013, net of expected public funding.</w:t>
      </w:r>
    </w:p>
    <w:p>
      <w:pPr>
        <w:spacing w:after="0" w:line="11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 the third quarter 2012, we broke ground on the first phase of Pike &amp; Rose in Rockville, MD, a long-term multi-phased mixed-use project located on a portion of our Mid-Pike Plaza property. The property currently has zoning entitlements to build 1.7 million square feet of commercial-use buildings and 1,583 residential units. Phase I of Pike &amp; Rose involves demolition of roughly 25% of the existing gross leasable area at Mid-Pike Plaza (which was completed during the second quarter 2012) and construction of 493 residential units, 151,000 square feet of retail space and 79,000 square feet of office space. Total expected costs for Phase I of Pike &amp; Rose range from $245 million to $255 million of which $29 million has been incurred to date. We expect Phase I of the project to stabilize in 2015/2016. We invested $43 million in Pike &amp; Rose in 2012 and expect to invest between $75 million to $110 million in 2013.</w:t>
      </w:r>
    </w:p>
    <w:p>
      <w:pPr>
        <w:spacing w:after="0" w:line="11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 continue our ongoing redevelopment efforts at Santana Row and are currently under construction on a 212 unit residential building which we expect to stabilize in 2014. Santana Row currently has zoning entitlements to build an additional 348 residential units and 200,000 square feet of retail and office space. Projected costs of the 212 unit residential building are $70 million to $75 million of which $22 million has been incurred to date. We expect to incur the remaining costs for the project throughout 2013 and early 2014.</w:t>
      </w:r>
    </w:p>
    <w:p>
      <w:pPr>
        <w:spacing w:after="0" w:line="1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development of future phases of Assembly Row, Pike &amp; Rose and Santana Row will be pursued opportunistically based on, among other things, market conditions, our evaluation of whether those phases will generate an appropriate financial return and our ability to structure the development of those future phases, through entitlement sales, third party capital investment or otherwise.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continued to see signs of improvement for many of our tenants as well as increased interest from prospective tenants for our retail spaces. While there can be no assurance that these positive signs will continue, we remain cautiously optimistic regarding the improved trends we have seen over the past two years. While we have seen improvements over much of our portfolio, we continue to see some tenants being negatively impacted by the economic environment and some filing for bankruptcy, though at a lower rate than in previous years. We believe the locations of our centers and diverse tenant base mitigates the negative impact of the economic environment, however, any reduction in our tenants' abilities to pay base rent, percentage rent or other charges, will adversely affect our financial condition and results of operations. During 2013, we expect to see increases in rental income as a result of our significant leasing activity over the past two years which resulted in higher occupancy starting in the latter half of 2012. We seek to maintain a mix of strong national, regional, and local retailers. At December 31, 2012, no single tenant accounted for more than 3.2% of annualized base rent.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Some of our acquisitions do not initially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new or assumed mortgages.</w:t>
      </w:r>
    </w:p>
    <w:p>
      <w:pPr>
        <w:spacing w:after="0" w:line="13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At December 31, 2012, the leasable square feet in our properties was 94.9% occupied and 95.3%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Same-Center</w:t>
      </w:r>
    </w:p>
    <w:p>
      <w:pPr>
        <w:spacing w:after="0" w:line="9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 For the year ended December 31, 2012 and the comparison of 2012 and 2011, all or a portion of 77 properties were considered same-center and eight properties were considered redevelopment or expansion. For the year ended December 31, 2012, four properties were removed from same-center and two properties were added to same-center compared to the designations as of December 31, 2011. For the year ended December 31, 2011 and the comparison of 2011 and 2010, all or a portion of 79 properties were considered same-center and seven properties were considered redevelopment or expansion. For the year ended December 31, 2011, three properties were removed from same-center and one property was added to same-center compared to the designations as of December 31, 2010.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2012 COMPARED TO YEAR ENDED DECEMBER 31, 2011</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53"/>
        </w:trPr>
        <w:tc>
          <w:tcPr>
            <w:tcW w:w="59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r>
      <w:tr>
        <w:trPr>
          <w:trHeight w:val="188"/>
        </w:trPr>
        <w:tc>
          <w:tcPr>
            <w:tcW w:w="5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6"/>
                <w:szCs w:val="16"/>
                <w:color w:val="auto"/>
              </w:rPr>
            </w:pPr>
          </w:p>
        </w:tc>
      </w:tr>
      <w:tr>
        <w:trPr>
          <w:trHeight w:val="24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Rental income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582,335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538,701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43,634</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8.1 %</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Other property income</w:t>
            </w: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20,217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9,260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10,957</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118.3 %</w:t>
            </w: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Mortgage interest income</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5,466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368</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7.2 %</w:t>
            </w:r>
          </w:p>
        </w:tc>
      </w:tr>
      <w:tr>
        <w:trPr>
          <w:trHeight w:val="227"/>
        </w:trPr>
        <w:tc>
          <w:tcPr>
            <w:tcW w:w="5900" w:type="dxa"/>
            <w:vAlign w:val="bottom"/>
          </w:tcPr>
          <w:p>
            <w:pPr>
              <w:ind w:left="360"/>
              <w:spacing w:after="0"/>
              <w:rPr>
                <w:sz w:val="20"/>
                <w:szCs w:val="20"/>
                <w:color w:val="auto"/>
              </w:rPr>
            </w:pPr>
            <w:r>
              <w:rPr>
                <w:rFonts w:ascii="Arial" w:cs="Arial" w:eastAsia="Arial" w:hAnsi="Arial"/>
                <w:sz w:val="17"/>
                <w:szCs w:val="17"/>
                <w:color w:val="auto"/>
              </w:rPr>
              <w:t>Total property revenue</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608,018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553,059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54,959</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9.9 %</w:t>
            </w:r>
          </w:p>
        </w:tc>
      </w:tr>
      <w:tr>
        <w:trPr>
          <w:trHeight w:val="26"/>
        </w:trPr>
        <w:tc>
          <w:tcPr>
            <w:tcW w:w="5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33"/>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Rental expenses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112,760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109,549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3,211</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2.9 %</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Real estate taxes</w:t>
            </w: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66,799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60,620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6,179</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10.2 %</w:t>
            </w:r>
          </w:p>
        </w:tc>
      </w:tr>
      <w:tr>
        <w:trPr>
          <w:trHeight w:val="26"/>
        </w:trPr>
        <w:tc>
          <w:tcPr>
            <w:tcW w:w="5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53"/>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property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179,559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170,169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9,390</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5.5 %</w:t>
            </w:r>
          </w:p>
        </w:tc>
      </w:tr>
      <w:tr>
        <w:trPr>
          <w:trHeight w:val="227"/>
        </w:trPr>
        <w:tc>
          <w:tcPr>
            <w:tcW w:w="5900" w:type="dxa"/>
            <w:vAlign w:val="bottom"/>
          </w:tcPr>
          <w:p>
            <w:pPr>
              <w:ind w:left="40"/>
              <w:spacing w:after="0"/>
              <w:rPr>
                <w:sz w:val="20"/>
                <w:szCs w:val="20"/>
                <w:color w:val="auto"/>
              </w:rPr>
            </w:pPr>
            <w:r>
              <w:rPr>
                <w:rFonts w:ascii="Arial" w:cs="Arial" w:eastAsia="Arial" w:hAnsi="Arial"/>
                <w:sz w:val="17"/>
                <w:szCs w:val="17"/>
                <w:color w:val="auto"/>
              </w:rPr>
              <w:t>Property operating income</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428,459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382,890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45,569</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11.9 %</w:t>
            </w: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interest income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471</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216.1 %</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Income from real estate partnerships</w:t>
            </w: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1,757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1,808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(113,336)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(98,465)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(14,871)</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15.1 %</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Early extinguishment of debt</w:t>
            </w:r>
          </w:p>
        </w:tc>
        <w:tc>
          <w:tcPr>
            <w:tcW w:w="3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(296)</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General and administrative expense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(28,985)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(2,173)</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7.5 %</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(142,039)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(126,208)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(15,831)</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12.5 %</w:t>
            </w:r>
          </w:p>
        </w:tc>
      </w:tr>
      <w:tr>
        <w:trPr>
          <w:trHeight w:val="26"/>
        </w:trPr>
        <w:tc>
          <w:tcPr>
            <w:tcW w:w="5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53"/>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other, net</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(284,087)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(251,336)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(32,751)</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13.0 %</w:t>
            </w:r>
          </w:p>
        </w:tc>
      </w:tr>
      <w:tr>
        <w:trPr>
          <w:trHeight w:val="227"/>
        </w:trPr>
        <w:tc>
          <w:tcPr>
            <w:tcW w:w="5900" w:type="dxa"/>
            <w:vAlign w:val="bottom"/>
          </w:tcPr>
          <w:p>
            <w:pPr>
              <w:ind w:left="40"/>
              <w:spacing w:after="0"/>
              <w:rPr>
                <w:sz w:val="20"/>
                <w:szCs w:val="20"/>
                <w:color w:val="auto"/>
              </w:rPr>
            </w:pPr>
            <w:r>
              <w:rPr>
                <w:rFonts w:ascii="Arial" w:cs="Arial" w:eastAsia="Arial" w:hAnsi="Arial"/>
                <w:sz w:val="17"/>
                <w:szCs w:val="17"/>
                <w:color w:val="auto"/>
              </w:rPr>
              <w:t>Income from continuing operations</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144,372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131,554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12,818</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9.7 %</w:t>
            </w: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Discontinued operations - income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(957)</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Discontinued operations - gain on deconsolidation of VIE</w:t>
            </w:r>
          </w:p>
        </w:tc>
        <w:tc>
          <w:tcPr>
            <w:tcW w:w="3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(2,026)</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Discontinued operations - gain on sale of real estate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(15,075)</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Gain on sale of real estate</w:t>
            </w: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11,860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11,860</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100.0 %</w:t>
            </w:r>
          </w:p>
        </w:tc>
      </w:tr>
      <w:tr>
        <w:trPr>
          <w:trHeight w:val="26"/>
        </w:trPr>
        <w:tc>
          <w:tcPr>
            <w:tcW w:w="5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33"/>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156,232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149,612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6,620</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4.4 %</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1,388</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(24.4)%</w:t>
            </w:r>
          </w:p>
        </w:tc>
      </w:tr>
      <w:tr>
        <w:trPr>
          <w:trHeight w:val="26"/>
        </w:trPr>
        <w:tc>
          <w:tcPr>
            <w:tcW w:w="5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the Trust</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151,925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143,917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8,008</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5.6 %</w:t>
            </w:r>
          </w:p>
        </w:tc>
      </w:tr>
      <w:tr>
        <w:trPr>
          <w:trHeight w:val="20"/>
        </w:trPr>
        <w:tc>
          <w:tcPr>
            <w:tcW w:w="5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Revenues</w:t>
      </w:r>
    </w:p>
    <w:p>
      <w:pPr>
        <w:spacing w:after="0" w:line="97" w:lineRule="exact"/>
        <w:rPr>
          <w:sz w:val="20"/>
          <w:szCs w:val="20"/>
          <w:color w:val="auto"/>
        </w:rPr>
      </w:pPr>
    </w:p>
    <w:p>
      <w:pPr>
        <w:jc w:val="both"/>
        <w:ind w:right="160"/>
        <w:spacing w:after="0" w:line="356" w:lineRule="auto"/>
        <w:rPr>
          <w:sz w:val="20"/>
          <w:szCs w:val="20"/>
          <w:color w:val="auto"/>
        </w:rPr>
      </w:pPr>
      <w:r>
        <w:rPr>
          <w:rFonts w:ascii="Arial" w:cs="Arial" w:eastAsia="Arial" w:hAnsi="Arial"/>
          <w:sz w:val="15"/>
          <w:szCs w:val="15"/>
          <w:color w:val="auto"/>
        </w:rPr>
        <w:t>Total property revenue increased $55.0 million, or 9.9%, to $608.0 million in 2012 compared to $553.1 million in 2011. The percentage occupied at our shopping centers increased to 94.9% at December 31, 2012 compared to 92.4% at December 31, 2011. Changes in the components of property revenue are discussed below.</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Income</w:t>
      </w:r>
    </w:p>
    <w:p>
      <w:pPr>
        <w:spacing w:after="0" w:line="9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Rental income consists primarily of minimum rent, cost reimbursements from tenants and percentage rent. Rental income increased $43.6 million, or 8.1%, to $582.3 million in 2012 compared to $538.7 million in 2011 due primarily to the following:</w:t>
      </w:r>
    </w:p>
    <w:p>
      <w:pPr>
        <w:spacing w:after="0" w:line="2" w:lineRule="exact"/>
        <w:rPr>
          <w:sz w:val="20"/>
          <w:szCs w:val="20"/>
          <w:color w:val="auto"/>
        </w:rPr>
      </w:pPr>
    </w:p>
    <w:p>
      <w:pPr>
        <w:ind w:left="1640" w:hanging="778"/>
        <w:spacing w:after="0"/>
        <w:tabs>
          <w:tab w:leader="none" w:pos="1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of $29.3 million attributable to properties acquired in 2011 and 2012,</w:t>
      </w:r>
    </w:p>
    <w:p>
      <w:pPr>
        <w:spacing w:after="0" w:line="64" w:lineRule="exact"/>
        <w:rPr>
          <w:rFonts w:ascii="Arial" w:cs="Arial" w:eastAsia="Arial" w:hAnsi="Arial"/>
          <w:sz w:val="17"/>
          <w:szCs w:val="17"/>
          <w:color w:val="auto"/>
        </w:rPr>
      </w:pPr>
    </w:p>
    <w:p>
      <w:pPr>
        <w:ind w:left="1640" w:right="280" w:hanging="778"/>
        <w:spacing w:after="0" w:line="286" w:lineRule="auto"/>
        <w:tabs>
          <w:tab w:leader="none" w:pos="1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of $8.9 million at same-center properties due primarily to increased occupancy, higher rental rates on new and renewal leases and an increase in parking income, and</w:t>
      </w:r>
    </w:p>
    <w:p>
      <w:pPr>
        <w:spacing w:after="0" w:line="2" w:lineRule="exact"/>
        <w:rPr>
          <w:rFonts w:ascii="Arial" w:cs="Arial" w:eastAsia="Arial" w:hAnsi="Arial"/>
          <w:sz w:val="17"/>
          <w:szCs w:val="17"/>
          <w:color w:val="auto"/>
        </w:rPr>
      </w:pPr>
    </w:p>
    <w:p>
      <w:pPr>
        <w:ind w:left="1640" w:right="140" w:hanging="778"/>
        <w:spacing w:after="0" w:line="270" w:lineRule="auto"/>
        <w:tabs>
          <w:tab w:leader="none" w:pos="1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of $4.3 million at redevelopment properties due primarily to increased occupancy at certain properties, mainly our new residential building at Santana Row and higher rental rates on new leases partially offset by lower income from Mid-Pike as the property is prepared for the development of Pike &amp; Rose.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Property Income</w:t>
      </w:r>
    </w:p>
    <w:p>
      <w:pPr>
        <w:spacing w:after="0" w:line="9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Other property income increased $11.0 million, or 118.3%, to $20.2 million in 2012 compared to $9.3 million in 2011. Included in other property income are items which, although recurring, tend to fluctuate more than rental income from period to period, such as lease termination fees. This increase is primarily due to an increase in lease termination fees at same-center properties.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Expenses</w:t>
      </w:r>
    </w:p>
    <w:p>
      <w:pPr>
        <w:spacing w:after="0" w:line="9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Total property expenses increased $9.4 million, or 5.5%, to $179.6 million in 2012 compared to $170.2 million in 2011. Changes in the components of property expenses are discussed below.</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Expenses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$3.2 million, or 2.9%, to $112.8 million in 2012 compared to $109.5 million in 2011. This increase is primarily due to the following:</w:t>
      </w:r>
    </w:p>
    <w:p>
      <w:pPr>
        <w:spacing w:after="0" w:line="76" w:lineRule="exact"/>
        <w:rPr>
          <w:sz w:val="20"/>
          <w:szCs w:val="20"/>
          <w:color w:val="auto"/>
        </w:rPr>
      </w:pPr>
    </w:p>
    <w:p>
      <w:pPr>
        <w:ind w:left="1640" w:hanging="778"/>
        <w:spacing w:after="0"/>
        <w:tabs>
          <w:tab w:leader="none" w:pos="1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increase of $3.3 million related to properties acquired in 2011 and 2012,</w:t>
      </w:r>
    </w:p>
    <w:p>
      <w:pPr>
        <w:spacing w:after="0" w:line="64" w:lineRule="exact"/>
        <w:rPr>
          <w:rFonts w:ascii="Arial" w:cs="Arial" w:eastAsia="Arial" w:hAnsi="Arial"/>
          <w:sz w:val="17"/>
          <w:szCs w:val="17"/>
          <w:color w:val="auto"/>
        </w:rPr>
      </w:pPr>
    </w:p>
    <w:p>
      <w:pPr>
        <w:ind w:left="1640" w:hanging="778"/>
        <w:spacing w:after="0"/>
        <w:tabs>
          <w:tab w:leader="none" w:pos="1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increase of $0.9 million in operating costs due primarily to higher demolition costs,</w:t>
      </w:r>
    </w:p>
    <w:p>
      <w:pPr>
        <w:spacing w:after="0" w:line="64" w:lineRule="exact"/>
        <w:rPr>
          <w:rFonts w:ascii="Arial" w:cs="Arial" w:eastAsia="Arial" w:hAnsi="Arial"/>
          <w:sz w:val="17"/>
          <w:szCs w:val="17"/>
          <w:color w:val="auto"/>
        </w:rPr>
      </w:pPr>
    </w:p>
    <w:p>
      <w:pPr>
        <w:ind w:left="1640" w:hanging="778"/>
        <w:spacing w:after="0"/>
        <w:tabs>
          <w:tab w:leader="none" w:pos="1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increase of $0.8 million in marketing expenses at our Assembly Row and Pike &amp; Rose projects, and</w:t>
      </w:r>
    </w:p>
    <w:p>
      <w:pPr>
        <w:spacing w:after="0" w:line="64" w:lineRule="exact"/>
        <w:rPr>
          <w:rFonts w:ascii="Arial" w:cs="Arial" w:eastAsia="Arial" w:hAnsi="Arial"/>
          <w:sz w:val="17"/>
          <w:szCs w:val="17"/>
          <w:color w:val="auto"/>
        </w:rPr>
      </w:pPr>
    </w:p>
    <w:p>
      <w:pPr>
        <w:ind w:left="1640" w:hanging="778"/>
        <w:spacing w:after="0"/>
        <w:tabs>
          <w:tab w:leader="none" w:pos="1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increase of $0.5 million in insurance expenses primarily at same-center properties,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65" w:lineRule="exact"/>
        <w:rPr>
          <w:sz w:val="20"/>
          <w:szCs w:val="20"/>
          <w:color w:val="auto"/>
        </w:rPr>
      </w:pPr>
    </w:p>
    <w:p>
      <w:pPr>
        <w:ind w:left="1640" w:hanging="778"/>
        <w:spacing w:after="0" w:line="286" w:lineRule="auto"/>
        <w:tabs>
          <w:tab w:leader="none" w:pos="1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decrease of $2.0 million in repairs and maintenance at same-center properties primarily due to lower snow removal costs partially offset by higher maintenance costs.</w:t>
      </w:r>
    </w:p>
    <w:p>
      <w:pPr>
        <w:spacing w:after="0" w:line="10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As a result of the changes in rental income, other property income and rental expenses as discussed above, rental expenses as a percentage of rental income plus other property income decreased to 18.7% in 2012 from 20.0% in 2011.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Taxes</w:t>
      </w:r>
    </w:p>
    <w:p>
      <w:pPr>
        <w:spacing w:after="0" w:line="9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Real estate tax expense increased $6.2 million, or 10.2% to $66.8 million in 2012 compared to $60.6 million in 2011 due primarily to properties acquired in 2011 and 2012 and higher assessments at redevelopment and same-center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Operating Income</w:t>
      </w:r>
    </w:p>
    <w:p>
      <w:pPr>
        <w:spacing w:after="0" w:line="9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Property operating income increased $45.6 million, or 11.9%, to $428.5 million in 2012 compared to $382.9 million in 2011. This increase is primarily due to properties acquired in 2011 and 2012, and growth in earnings at same-center properties and redevelopment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$14.9 million, or 15.1%, to $113.3 million in 2012 compared to $98.5 million in 2011. This increase is due primarily to the following:</w:t>
      </w:r>
    </w:p>
    <w:p>
      <w:pPr>
        <w:spacing w:after="0" w:line="76" w:lineRule="exact"/>
        <w:rPr>
          <w:sz w:val="20"/>
          <w:szCs w:val="20"/>
          <w:color w:val="auto"/>
        </w:rPr>
      </w:pPr>
    </w:p>
    <w:p>
      <w:pPr>
        <w:ind w:left="1640" w:right="340" w:hanging="778"/>
        <w:spacing w:after="0" w:line="286" w:lineRule="auto"/>
        <w:tabs>
          <w:tab w:leader="none" w:pos="1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of $12.9 million due to mortgage loans secured by Plaza El Segundo and Montrose Crossing both of which were acquired in 2011, and</w:t>
      </w:r>
    </w:p>
    <w:p>
      <w:pPr>
        <w:spacing w:after="0" w:line="2" w:lineRule="exact"/>
        <w:rPr>
          <w:rFonts w:ascii="Arial" w:cs="Arial" w:eastAsia="Arial" w:hAnsi="Arial"/>
          <w:sz w:val="17"/>
          <w:szCs w:val="17"/>
          <w:color w:val="auto"/>
        </w:rPr>
      </w:pPr>
    </w:p>
    <w:p>
      <w:pPr>
        <w:ind w:left="1640" w:hanging="778"/>
        <w:spacing w:after="0"/>
        <w:tabs>
          <w:tab w:leader="none" w:pos="1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increase of $4.7 million due to higher borrowings,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65" w:lineRule="exact"/>
        <w:rPr>
          <w:sz w:val="20"/>
          <w:szCs w:val="20"/>
          <w:color w:val="auto"/>
        </w:rPr>
      </w:pPr>
    </w:p>
    <w:p>
      <w:pPr>
        <w:ind w:left="1640" w:hanging="778"/>
        <w:spacing w:after="0"/>
        <w:tabs>
          <w:tab w:leader="none" w:pos="1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increase of $2.0 million in capitalized interest, and</w:t>
      </w:r>
    </w:p>
    <w:p>
      <w:pPr>
        <w:spacing w:after="0" w:line="64" w:lineRule="exact"/>
        <w:rPr>
          <w:rFonts w:ascii="Arial" w:cs="Arial" w:eastAsia="Arial" w:hAnsi="Arial"/>
          <w:sz w:val="17"/>
          <w:szCs w:val="17"/>
          <w:color w:val="auto"/>
        </w:rPr>
      </w:pPr>
    </w:p>
    <w:p>
      <w:pPr>
        <w:ind w:left="1640" w:hanging="778"/>
        <w:spacing w:after="0"/>
        <w:tabs>
          <w:tab w:leader="none" w:pos="1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decrease of $0.7 million due to a lower overall average borrowing rate.</w:t>
      </w:r>
    </w:p>
    <w:p>
      <w:pPr>
        <w:spacing w:after="0" w:line="16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Gross interest costs were $123.4 million and $106.6 million in 2012 and 2011, respectively. Capitalized interest was $10.1 million and $8.1 million in 2012 and 2011,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Early Extinguishment of Debt</w:t>
      </w:r>
    </w:p>
    <w:p>
      <w:pPr>
        <w:spacing w:after="0" w:line="9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$0.3 million of income from early extinguishment of debt in 2011 is due to the write-off of unamortized debt premium net of a 3.0% prepayment premium and unamortized debt fees related to the payoff of our mortgage loan on Tower Shops prior to its contractual prepayment date.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91" w:lineRule="exact"/>
        <w:rPr>
          <w:sz w:val="20"/>
          <w:szCs w:val="20"/>
          <w:color w:val="auto"/>
        </w:rPr>
      </w:pPr>
    </w:p>
    <w:p>
      <w:pPr>
        <w:ind w:right="320"/>
        <w:spacing w:after="0" w:line="319" w:lineRule="auto"/>
        <w:rPr>
          <w:sz w:val="20"/>
          <w:szCs w:val="20"/>
          <w:color w:val="auto"/>
        </w:rPr>
      </w:pPr>
      <w:r>
        <w:rPr>
          <w:rFonts w:ascii="Arial" w:cs="Arial" w:eastAsia="Arial" w:hAnsi="Arial"/>
          <w:sz w:val="16"/>
          <w:szCs w:val="16"/>
          <w:color w:val="auto"/>
        </w:rPr>
        <w:t>General and administrative expense increased $2.2 million, or 7.5%, to $31.2 million in 2012 from $29.0 million in 2011. This increase is due primarily to costs related to our CFO change and higher personnel related costs partially offset by lower acquisition costs in 2012 compared to 2011.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9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Depreciation and amortization expense increased $15.8 million, or 12.5%, to $142.0 million in 2012 from $126.2 million in 2011. This increase is due primarily to 2011 acquisitions and capital improvements at same-center and redevelopment properties.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 Income</w:t>
      </w:r>
    </w:p>
    <w:p>
      <w:pPr>
        <w:spacing w:after="0" w:line="9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Income from discontinued operations represents the operating income of properties that have been disposed or will be disposed, which is required to be reported separately from results of ongoing operations. The reported operating income of $1.0 million for 2011 primarily represents the operating income for the period during which we owned properties sold/disposed of in 2011.</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 Gain on Deconsolidation of VIE</w:t>
      </w:r>
    </w:p>
    <w:p>
      <w:pPr>
        <w:spacing w:after="0" w:line="9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$2.0 million gain on deconsolidation of VIE in 2011, is the result of the refinancing of a mortgage note receivable on a shopping center in Norwalk, Connecticut, resulting in us no longer being the primary beneficiary of the VIE. See Note 4 to the consolidated financial statements for further discussion of this transaction.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Operations—Gain on Sale of Real Estate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The $15.1 million gain on sale of real estate from discontinued operations for 2011 is primarily due to the sale of Feasterville Shopping Center on July 12, 2011.</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 of Real Estate</w:t>
      </w:r>
    </w:p>
    <w:p>
      <w:pPr>
        <w:spacing w:after="0" w:line="91"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The $11.9 million gain on sale of real estate in 2012 is due to the sale of our Newbury Street Partnership's entire portfolio of three buildings on October 31, 2011. Due to the timing of receiving financial information from the general partner, our share of earnings was recorded one quarter in arrears. Therefore, we recognized the gain on sale of $11.9 million in 2012.</w:t>
      </w:r>
    </w:p>
    <w:p>
      <w:pPr>
        <w:spacing w:after="0" w:line="19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300"/>
          </w:cols>
          <w:pgMar w:left="240" w:top="125" w:right="35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2011 COMPARED TO YEAR ENDED DECEMBER 31, 2010</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253"/>
        </w:trPr>
        <w:tc>
          <w:tcPr>
            <w:tcW w:w="59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r>
      <w:tr>
        <w:trPr>
          <w:trHeight w:val="188"/>
        </w:trPr>
        <w:tc>
          <w:tcPr>
            <w:tcW w:w="5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 amounts in thousands)</w:t>
            </w:r>
          </w:p>
        </w:tc>
        <w:tc>
          <w:tcPr>
            <w:tcW w:w="900" w:type="dxa"/>
            <w:vAlign w:val="bottom"/>
          </w:tcPr>
          <w:p>
            <w:pPr>
              <w:spacing w:after="0"/>
              <w:rPr>
                <w:sz w:val="16"/>
                <w:szCs w:val="16"/>
                <w:color w:val="auto"/>
              </w:rPr>
            </w:pPr>
          </w:p>
        </w:tc>
      </w:tr>
      <w:tr>
        <w:trPr>
          <w:trHeight w:val="24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Rental income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538,701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522,651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16,050</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3.1 %</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Other property income</w:t>
            </w: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9,260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14,545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(5,285)</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(36.3)%</w:t>
            </w: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Mortgage interest income</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5,098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497</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10.8 %</w:t>
            </w:r>
          </w:p>
        </w:tc>
      </w:tr>
      <w:tr>
        <w:trPr>
          <w:trHeight w:val="227"/>
        </w:trPr>
        <w:tc>
          <w:tcPr>
            <w:tcW w:w="5900" w:type="dxa"/>
            <w:vAlign w:val="bottom"/>
          </w:tcPr>
          <w:p>
            <w:pPr>
              <w:ind w:left="360"/>
              <w:spacing w:after="0"/>
              <w:rPr>
                <w:sz w:val="20"/>
                <w:szCs w:val="20"/>
                <w:color w:val="auto"/>
              </w:rPr>
            </w:pPr>
            <w:r>
              <w:rPr>
                <w:rFonts w:ascii="Arial" w:cs="Arial" w:eastAsia="Arial" w:hAnsi="Arial"/>
                <w:sz w:val="17"/>
                <w:szCs w:val="17"/>
                <w:color w:val="auto"/>
              </w:rPr>
              <w:t>Total property revenue</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553,059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541,797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11,262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2.1 %</w:t>
            </w:r>
          </w:p>
        </w:tc>
      </w:tr>
      <w:tr>
        <w:trPr>
          <w:trHeight w:val="26"/>
        </w:trPr>
        <w:tc>
          <w:tcPr>
            <w:tcW w:w="5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33"/>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Rental expenses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109,549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110,519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Real estate taxes</w:t>
            </w: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60,620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58,663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1,957</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3.3 %</w:t>
            </w:r>
          </w:p>
        </w:tc>
      </w:tr>
      <w:tr>
        <w:trPr>
          <w:trHeight w:val="26"/>
        </w:trPr>
        <w:tc>
          <w:tcPr>
            <w:tcW w:w="5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3"/>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property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170,169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169,182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987</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0.6 %</w:t>
            </w:r>
          </w:p>
        </w:tc>
      </w:tr>
      <w:tr>
        <w:trPr>
          <w:trHeight w:val="227"/>
        </w:trPr>
        <w:tc>
          <w:tcPr>
            <w:tcW w:w="5900" w:type="dxa"/>
            <w:vAlign w:val="bottom"/>
          </w:tcPr>
          <w:p>
            <w:pPr>
              <w:ind w:left="40"/>
              <w:spacing w:after="0"/>
              <w:rPr>
                <w:sz w:val="20"/>
                <w:szCs w:val="20"/>
                <w:color w:val="auto"/>
              </w:rPr>
            </w:pPr>
            <w:r>
              <w:rPr>
                <w:rFonts w:ascii="Arial" w:cs="Arial" w:eastAsia="Arial" w:hAnsi="Arial"/>
                <w:sz w:val="17"/>
                <w:szCs w:val="17"/>
                <w:color w:val="auto"/>
              </w:rPr>
              <w:t>Property operating income</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382,890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372,615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10,275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2.8 %</w:t>
            </w: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interest income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Income from real estate partnerships</w:t>
            </w: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1,808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1,060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748</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70.6 %</w:t>
            </w: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(98,465)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(101,882)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3,417</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Early extinguishment of debt</w:t>
            </w: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3,097</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(110.6)%</w:t>
            </w: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General and administrative expense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(28,985)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(4,796)</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19.8 %</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Litigation provision</w:t>
            </w:r>
          </w:p>
        </w:tc>
        <w:tc>
          <w:tcPr>
            <w:tcW w:w="3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330</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(126,208)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(118,878)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(7,330)</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6.2 %</w:t>
            </w:r>
          </w:p>
        </w:tc>
      </w:tr>
      <w:tr>
        <w:trPr>
          <w:trHeight w:val="227"/>
        </w:trPr>
        <w:tc>
          <w:tcPr>
            <w:tcW w:w="5900" w:type="dxa"/>
            <w:vAlign w:val="bottom"/>
          </w:tcPr>
          <w:p>
            <w:pPr>
              <w:ind w:left="360"/>
              <w:spacing w:after="0"/>
              <w:rPr>
                <w:sz w:val="20"/>
                <w:szCs w:val="20"/>
                <w:color w:val="auto"/>
              </w:rPr>
            </w:pPr>
            <w:r>
              <w:rPr>
                <w:rFonts w:ascii="Arial" w:cs="Arial" w:eastAsia="Arial" w:hAnsi="Arial"/>
                <w:sz w:val="17"/>
                <w:szCs w:val="17"/>
                <w:color w:val="auto"/>
              </w:rPr>
              <w:t>Total other, net</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(251,336)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(246,764)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(4,572)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1.9 %</w:t>
            </w:r>
          </w:p>
        </w:tc>
      </w:tr>
      <w:tr>
        <w:trPr>
          <w:trHeight w:val="26"/>
        </w:trPr>
        <w:tc>
          <w:tcPr>
            <w:tcW w:w="5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33"/>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131,554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125,851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5,703</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4.5 %</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Discontinued operations - income</w:t>
            </w: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957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976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Discontinued operations - gain on deconsolidation of VIE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2,026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2,026</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34"/>
        </w:trPr>
        <w:tc>
          <w:tcPr>
            <w:tcW w:w="5900" w:type="dxa"/>
            <w:vAlign w:val="bottom"/>
          </w:tcPr>
          <w:p>
            <w:pPr>
              <w:ind w:left="40"/>
              <w:spacing w:after="0"/>
              <w:rPr>
                <w:sz w:val="20"/>
                <w:szCs w:val="20"/>
                <w:color w:val="auto"/>
              </w:rPr>
            </w:pPr>
            <w:r>
              <w:rPr>
                <w:rFonts w:ascii="Arial" w:cs="Arial" w:eastAsia="Arial" w:hAnsi="Arial"/>
                <w:sz w:val="17"/>
                <w:szCs w:val="17"/>
                <w:color w:val="auto"/>
              </w:rPr>
              <w:t>Discontinued operations - gain on sale of real estate</w:t>
            </w: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15,075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14,075</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1,407.5 %</w:t>
            </w: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on sale of real estate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27"/>
        </w:trPr>
        <w:tc>
          <w:tcPr>
            <w:tcW w:w="5900" w:type="dxa"/>
            <w:vAlign w:val="bottom"/>
          </w:tcPr>
          <w:p>
            <w:pPr>
              <w:ind w:left="360"/>
              <w:spacing w:after="0"/>
              <w:rPr>
                <w:sz w:val="20"/>
                <w:szCs w:val="20"/>
                <w:color w:val="auto"/>
              </w:rPr>
            </w:pPr>
            <w:r>
              <w:rPr>
                <w:rFonts w:ascii="Arial" w:cs="Arial" w:eastAsia="Arial" w:hAnsi="Arial"/>
                <w:sz w:val="17"/>
                <w:szCs w:val="17"/>
                <w:color w:val="auto"/>
              </w:rPr>
              <w:t>Net income</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149,612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128,237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21,375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16.7 %</w:t>
            </w: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4.6 %</w:t>
            </w:r>
          </w:p>
        </w:tc>
      </w:tr>
      <w:tr>
        <w:trPr>
          <w:trHeight w:val="247"/>
        </w:trPr>
        <w:tc>
          <w:tcPr>
            <w:tcW w:w="5900" w:type="dxa"/>
            <w:vAlign w:val="bottom"/>
          </w:tcPr>
          <w:p>
            <w:pPr>
              <w:ind w:left="40"/>
              <w:spacing w:after="0"/>
              <w:rPr>
                <w:sz w:val="20"/>
                <w:szCs w:val="20"/>
                <w:color w:val="auto"/>
              </w:rPr>
            </w:pPr>
            <w:r>
              <w:rPr>
                <w:rFonts w:ascii="Arial" w:cs="Arial" w:eastAsia="Arial" w:hAnsi="Arial"/>
                <w:sz w:val="17"/>
                <w:szCs w:val="17"/>
                <w:color w:val="auto"/>
              </w:rPr>
              <w:t>Net income attributable to the Trust</w:t>
            </w: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143,917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122,790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21,127</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17.2 %</w:t>
            </w:r>
          </w:p>
        </w:tc>
      </w:tr>
      <w:tr>
        <w:trPr>
          <w:trHeight w:val="20"/>
        </w:trPr>
        <w:tc>
          <w:tcPr>
            <w:tcW w:w="5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Revenues</w:t>
      </w:r>
    </w:p>
    <w:p>
      <w:pPr>
        <w:spacing w:after="0" w:line="9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Total property revenue increased $11.3 million, or 2.1%, to $553.1 million in 2011 compared to $541.8 million in 2010. The percentage occupied at our shopping centers decreased to 92.4% at December 31, 2011 compared to 93.2%% at December 31, 2010. Changes in the components of property revenue are discussed below.</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Income</w:t>
      </w:r>
    </w:p>
    <w:p>
      <w:pPr>
        <w:spacing w:after="0" w:line="9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Rental income consists primarily of minimum rent, cost reimbursements from tenants and percentage rent. Rental income increased $16.1 million, or 3.1%, to $538.7 million in 2011 compared to $522.7 million in 2010 due primarily to the following:</w:t>
      </w:r>
    </w:p>
    <w:p>
      <w:pPr>
        <w:spacing w:after="0" w:line="2" w:lineRule="exact"/>
        <w:rPr>
          <w:sz w:val="20"/>
          <w:szCs w:val="20"/>
          <w:color w:val="auto"/>
        </w:rPr>
      </w:pPr>
    </w:p>
    <w:p>
      <w:pPr>
        <w:ind w:left="1640" w:hanging="778"/>
        <w:spacing w:after="0"/>
        <w:tabs>
          <w:tab w:leader="none" w:pos="1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$7.8 million attributable to properties acquired in 2010 and 2011,</w:t>
      </w:r>
    </w:p>
    <w:p>
      <w:pPr>
        <w:spacing w:after="0" w:line="64" w:lineRule="exact"/>
        <w:rPr>
          <w:rFonts w:ascii="Arial" w:cs="Arial" w:eastAsia="Arial" w:hAnsi="Arial"/>
          <w:sz w:val="17"/>
          <w:szCs w:val="17"/>
          <w:color w:val="auto"/>
        </w:rPr>
      </w:pPr>
    </w:p>
    <w:p>
      <w:pPr>
        <w:ind w:left="1640" w:right="80" w:hanging="778"/>
        <w:spacing w:after="0" w:line="286" w:lineRule="auto"/>
        <w:tabs>
          <w:tab w:leader="none" w:pos="1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$5.5 million at redevelopment properties due primarily to increased occupancy at certain properties and higher rental rates on new and renewal leases, and</w:t>
      </w:r>
    </w:p>
    <w:p>
      <w:pPr>
        <w:spacing w:after="0" w:line="2" w:lineRule="exact"/>
        <w:rPr>
          <w:rFonts w:ascii="Arial" w:cs="Arial" w:eastAsia="Arial" w:hAnsi="Arial"/>
          <w:sz w:val="17"/>
          <w:szCs w:val="17"/>
          <w:color w:val="auto"/>
        </w:rPr>
      </w:pPr>
    </w:p>
    <w:p>
      <w:pPr>
        <w:ind w:left="1640" w:right="500" w:hanging="778"/>
        <w:spacing w:after="0" w:line="356" w:lineRule="auto"/>
        <w:tabs>
          <w:tab w:leader="none" w:pos="16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 increase of $2.8 million at same-center properties due primarily to higher rental rates on new and renewal leases and an increase in percentage rent partially offset by lower recovery income as a result of lower recoverable expenses (primarily snow removal costs).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Property Income</w:t>
      </w:r>
    </w:p>
    <w:p>
      <w:pPr>
        <w:spacing w:after="0" w:line="9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Other property income decreased $5.3 million, or 36.3%, to $9.3 million in 2011 compared to $14.5 million in 2010. Included in other property income are items which, although recurring, tend to fluctuate more than rental income from period to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such as lease termination fees. This decrease is primarily due to a decrease in lease termination fees at redevelopment and same-center properties.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Expenses</w:t>
      </w:r>
    </w:p>
    <w:p>
      <w:pPr>
        <w:spacing w:after="0" w:line="9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Total property expenses increased $1.0 million, or 0.6%, to $170.2 million in 2011 compared to $169.2 million in 2010. Changes in the components of property expenses are discussed below.</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Expenses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decreased $1.0 million, or 0.9%, to $109.5 million in 2011 compared to $110.5 million in 2010. This decrease is primarily due to the following:</w:t>
      </w:r>
    </w:p>
    <w:p>
      <w:pPr>
        <w:spacing w:after="0" w:line="76" w:lineRule="exact"/>
        <w:rPr>
          <w:sz w:val="20"/>
          <w:szCs w:val="20"/>
          <w:color w:val="auto"/>
        </w:rPr>
      </w:pPr>
    </w:p>
    <w:p>
      <w:pPr>
        <w:ind w:left="1640" w:hanging="778"/>
        <w:spacing w:after="0"/>
        <w:tabs>
          <w:tab w:leader="none" w:pos="1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decrease of $3.5 million in bad debt expense at same-center properties,</w:t>
      </w:r>
    </w:p>
    <w:p>
      <w:pPr>
        <w:spacing w:after="0" w:line="64" w:lineRule="exact"/>
        <w:rPr>
          <w:rFonts w:ascii="Arial" w:cs="Arial" w:eastAsia="Arial" w:hAnsi="Arial"/>
          <w:sz w:val="17"/>
          <w:szCs w:val="17"/>
          <w:color w:val="auto"/>
        </w:rPr>
      </w:pPr>
    </w:p>
    <w:p>
      <w:pPr>
        <w:ind w:left="1640" w:hanging="778"/>
        <w:spacing w:after="0"/>
        <w:tabs>
          <w:tab w:leader="none" w:pos="1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decrease of $1.4 million in repairs and maintenance at same-center properties primarily due to lower snow removal costs, and</w:t>
      </w:r>
    </w:p>
    <w:p>
      <w:pPr>
        <w:spacing w:after="0" w:line="64" w:lineRule="exact"/>
        <w:rPr>
          <w:rFonts w:ascii="Arial" w:cs="Arial" w:eastAsia="Arial" w:hAnsi="Arial"/>
          <w:sz w:val="17"/>
          <w:szCs w:val="17"/>
          <w:color w:val="auto"/>
        </w:rPr>
      </w:pPr>
    </w:p>
    <w:p>
      <w:pPr>
        <w:ind w:left="1640" w:right="180" w:hanging="778"/>
        <w:spacing w:after="0" w:line="286" w:lineRule="auto"/>
        <w:tabs>
          <w:tab w:leader="none" w:pos="1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decrease of $0.8 million in ground rent due to the fourth quarter 2010 purchases of the fee interest in the land under Pentagon Row and a portion of Bethesda Row,</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65" w:lineRule="exact"/>
        <w:rPr>
          <w:sz w:val="20"/>
          <w:szCs w:val="20"/>
          <w:color w:val="auto"/>
        </w:rPr>
      </w:pPr>
    </w:p>
    <w:p>
      <w:pPr>
        <w:ind w:left="1640" w:hanging="778"/>
        <w:spacing w:after="0"/>
        <w:tabs>
          <w:tab w:leader="none" w:pos="1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increase of $2.1 million in marketing expense primarily due to our Assembly Row project and certain same-center properties,</w:t>
      </w:r>
    </w:p>
    <w:p>
      <w:pPr>
        <w:spacing w:after="0" w:line="64" w:lineRule="exact"/>
        <w:rPr>
          <w:rFonts w:ascii="Arial" w:cs="Arial" w:eastAsia="Arial" w:hAnsi="Arial"/>
          <w:sz w:val="17"/>
          <w:szCs w:val="17"/>
          <w:color w:val="auto"/>
        </w:rPr>
      </w:pPr>
    </w:p>
    <w:p>
      <w:pPr>
        <w:ind w:left="1640" w:hanging="778"/>
        <w:spacing w:after="0"/>
        <w:tabs>
          <w:tab w:leader="none" w:pos="1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increase of $1.5 million related to properties acquired in 2010 and 2011, and</w:t>
      </w:r>
    </w:p>
    <w:p>
      <w:pPr>
        <w:spacing w:after="0" w:line="64" w:lineRule="exact"/>
        <w:rPr>
          <w:rFonts w:ascii="Arial" w:cs="Arial" w:eastAsia="Arial" w:hAnsi="Arial"/>
          <w:sz w:val="17"/>
          <w:szCs w:val="17"/>
          <w:color w:val="auto"/>
        </w:rPr>
      </w:pPr>
    </w:p>
    <w:p>
      <w:pPr>
        <w:ind w:left="1640" w:hanging="778"/>
        <w:spacing w:after="0"/>
        <w:tabs>
          <w:tab w:leader="none" w:pos="1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increase of $1.1 million in other operating costs.</w:t>
      </w:r>
    </w:p>
    <w:p>
      <w:pPr>
        <w:spacing w:after="0" w:line="16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As a result of the changes in rental income, other property income and rental expenses as discussed above, rental expenses as a percentage of rental income plus other property income decreased to 20.0% in 2011 from 20.6% in 2010.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Taxes</w:t>
      </w:r>
    </w:p>
    <w:p>
      <w:pPr>
        <w:spacing w:after="0" w:line="9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Real estate tax expense increased $2.0 million, or 3.3% to $60.6 million in 2011 compared to $58.7 million in 2010 due primarily to properties acquired in 2010 and 2011 and higher assessments at redevelopment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Operating Income</w:t>
      </w:r>
    </w:p>
    <w:p>
      <w:pPr>
        <w:spacing w:after="0" w:line="9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Property operating income increased $10.3 million, or 2.8%, to $382.9 million in 2011 compared to $372.6 million in 2010. This increase is primarily due to growth in earnings at same-center properties, properties acquired in 2010 and 2011 and redevelopment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from Real Estate Partnerships</w:t>
      </w:r>
    </w:p>
    <w:p>
      <w:pPr>
        <w:spacing w:after="0" w:line="9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Income from real estate partnerships increased $0.7 million, or 70.6%, to $1.8 million in 2011 compared to $1.1 million in 2010. The increase is primarily due to $0.4 million of formation and acquisition related expenses from our Newbury Street Partnership in 2010.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$3.4 million, or 3.4%, to $98.5 million in 2011 compared to $101.9 million in 2010. This decrease is due primarily to the following:</w:t>
      </w:r>
    </w:p>
    <w:p>
      <w:pPr>
        <w:spacing w:after="0" w:line="76" w:lineRule="exact"/>
        <w:rPr>
          <w:sz w:val="20"/>
          <w:szCs w:val="20"/>
          <w:color w:val="auto"/>
        </w:rPr>
      </w:pPr>
    </w:p>
    <w:p>
      <w:pPr>
        <w:ind w:left="1640" w:hanging="778"/>
        <w:spacing w:after="0"/>
        <w:tabs>
          <w:tab w:leader="none" w:pos="1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decrease of $5.7 million due to a lower overall weighted average borrowing rate, and</w:t>
      </w:r>
    </w:p>
    <w:p>
      <w:pPr>
        <w:spacing w:after="0" w:line="64" w:lineRule="exact"/>
        <w:rPr>
          <w:rFonts w:ascii="Arial" w:cs="Arial" w:eastAsia="Arial" w:hAnsi="Arial"/>
          <w:sz w:val="17"/>
          <w:szCs w:val="17"/>
          <w:color w:val="auto"/>
        </w:rPr>
      </w:pPr>
    </w:p>
    <w:p>
      <w:pPr>
        <w:ind w:left="1640" w:hanging="778"/>
        <w:spacing w:after="0"/>
        <w:tabs>
          <w:tab w:leader="none" w:pos="1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increase of $1.8 million in capitalized interest,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65" w:lineRule="exact"/>
        <w:rPr>
          <w:sz w:val="20"/>
          <w:szCs w:val="20"/>
          <w:color w:val="auto"/>
        </w:rPr>
      </w:pPr>
    </w:p>
    <w:p>
      <w:pPr>
        <w:ind w:left="1640" w:hanging="778"/>
        <w:spacing w:after="0"/>
        <w:tabs>
          <w:tab w:leader="none" w:pos="1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increase of $4.1 million due to higher borrowings.</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Gross interest costs were $106.6 million and $108.2 million in 2011 and 2010, respectively. Capitalized interest was $8.1 million and $6.3 million in 2011 and 2010,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26" w:right="2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Early Extinguishment of Debt</w:t>
      </w:r>
    </w:p>
    <w:p>
      <w:pPr>
        <w:spacing w:after="0" w:line="91"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The $0.3 million of income from early extinguishment of debt in 2011 is due to the write-off of unamortized debt premium net of a 3.0% prepayment premium and unamortized debt fees related to the payoff of our mortgage loan on Tower Shops prior to its contractual prepayment date. The $2.8 million early extinguishment of debt expense in 2010 is due to the write-off of unamortized debt fees related to the $250.0 million payoff of the term loan prior to its maturity date.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91" w:lineRule="exact"/>
        <w:rPr>
          <w:sz w:val="20"/>
          <w:szCs w:val="20"/>
          <w:color w:val="auto"/>
        </w:rPr>
      </w:pPr>
    </w:p>
    <w:p>
      <w:pPr>
        <w:ind w:right="220"/>
        <w:spacing w:after="0" w:line="319" w:lineRule="auto"/>
        <w:rPr>
          <w:sz w:val="20"/>
          <w:szCs w:val="20"/>
          <w:color w:val="auto"/>
        </w:rPr>
      </w:pPr>
      <w:r>
        <w:rPr>
          <w:rFonts w:ascii="Arial" w:cs="Arial" w:eastAsia="Arial" w:hAnsi="Arial"/>
          <w:sz w:val="16"/>
          <w:szCs w:val="16"/>
          <w:color w:val="auto"/>
        </w:rPr>
        <w:t>General and administrative expense increased $4.8 million, or 19.8%, to $29.0 million in 2011 from $24.2 million in 2010. This increase is due primarily to $3.4 million of transaction costs related to our December 2011 acquisitions of Montrose Crossing and Plaza El Segundo and higher personnel related costs.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91"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Depreciation and amortization expense increased $7.3 million, or 6.2%, to $126.2 million in 2011 from $118.9 million in 2010. This increase is due primarily to 2010 and 2011 acquisitions, accelerated depreciation due to the change in use of certain redevelopment building and capital improvements at same-center properties.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 Income</w:t>
      </w:r>
    </w:p>
    <w:p>
      <w:pPr>
        <w:spacing w:after="0" w:line="9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Income from discontinued operations represents the operating income of properties that have been disposed or will be disposed, which is required to be reported separately from results of ongoing operations. The reported operating income of $1.0 million for both 2011 and 2010 primarily represents the operating income for the period during which we owned properties sold/disposed of in 2011 and 2010.</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 Gain on Deconsolidation of VIE</w:t>
      </w:r>
    </w:p>
    <w:p>
      <w:pPr>
        <w:spacing w:after="0" w:line="91"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The $2.0 million gain on deconsolidation of VIE in 2011, is the result of the refinancing of a mortgage note receivable on a shopping center in Norwalk, Connecticut, resulting in us no longer being the primary beneficiary of the VIE. See Note 4 to the consolidated financial statements for further discussion of this transaction.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Operations—Gain on Sale of Real Estate</w:t>
      </w:r>
    </w:p>
    <w:p>
      <w:pPr>
        <w:spacing w:after="0" w:line="9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$15.1 million gain on sale of real estate from discontinued operations in 2011 is primarily due to the sale of Feasterville Shopping Center on July 12, 2011. The $1.0 million gain on sale of real estate from discontinued operations for 2010 relates to the final settlement reached with the contractors responsible for performing defective work in previous years related to the work done in connection with the sale of certain condominium units at Santana Row.</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 of Real Estate</w:t>
      </w:r>
    </w:p>
    <w:p>
      <w:pPr>
        <w:spacing w:after="0" w:line="9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$0.4 million gain on sale of real estate in 2010 is due to condemnation proceeds, net of costs, at one of our Northern Virginia properties in order to expand a local road.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ind w:right="300"/>
        <w:spacing w:after="0" w:line="306" w:lineRule="auto"/>
        <w:rPr>
          <w:sz w:val="20"/>
          <w:szCs w:val="20"/>
          <w:color w:val="auto"/>
        </w:rPr>
      </w:pPr>
      <w:r>
        <w:rPr>
          <w:rFonts w:ascii="Arial" w:cs="Arial" w:eastAsia="Arial" w:hAnsi="Arial"/>
          <w:sz w:val="15"/>
          <w:szCs w:val="15"/>
          <w:color w:val="auto"/>
        </w:rPr>
        <w:t>Cash and cash equivalents decreased $30.8 million to $37.0 million at December 31, 2012; however, cash and cash equivalents are not the only indicator of our liquidity. We also have a $400.0 million unsecured revolving credit facility which matures on July 6, 2015 and had no borrowings outstanding at December 31, 2012. In addition, we have an option (subject to bank approval) to increase the credit facility through an accordion feature to $800.0 million. Our $275.0 million unsecured term loan that matures on November 21, 2018 also has an option (subject to bank approval) to increase the term loan through an accordion feature to $350.0 million. As of December 31, 2012, we had the capacity to issue up to $213.4 million in common shares under our ATM equity program.</w:t>
      </w:r>
    </w:p>
    <w:p>
      <w:pPr>
        <w:spacing w:after="0" w:line="9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For 2012, the maximum amount of borrowings outstanding under our revolving credit facility was $186.0 million, the weighted average amount of borrowings outstanding was $1.5 million and the weighted average interest rate, before amortization of debt fees, was 1.4%. We have approximately $163.0 million of debt maturing in 2013, of which $135.0 million relates to our 5.40% senior notes that mature in December 2013. We currently believe that cash flows from operations, cash on hand, our ATM equity program, our revolving credit facility and our general ability to access the capital markets will be sufficient to finance our operations and fund our debt service requirements (including maturities) and capital expenditures.</w:t>
      </w:r>
    </w:p>
    <w:p>
      <w:pPr>
        <w:spacing w:after="0" w:line="126"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Our overall capital requirements during 2013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in 2013 which is the result of the 212 unit residential building at Santana Row, a portion of which will be completed during 2013, and the continued construction of Phase 1 at both Assembly Row and Pike &amp; Rose with expected openings of portions of both projects in 2014. Over the next two years, we expect to invest approximately $425 million related to the current phases of these three projects.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18" w:lineRule="exact"/>
        <w:rPr>
          <w:sz w:val="20"/>
          <w:szCs w:val="20"/>
          <w:color w:val="auto"/>
        </w:rPr>
      </w:pPr>
    </w:p>
    <w:p>
      <w:pPr>
        <w:ind w:right="440"/>
        <w:spacing w:after="0" w:line="263" w:lineRule="auto"/>
        <w:rPr>
          <w:sz w:val="20"/>
          <w:szCs w:val="20"/>
          <w:color w:val="auto"/>
        </w:rPr>
      </w:pPr>
      <w:r>
        <w:rPr>
          <w:rFonts w:ascii="Arial" w:cs="Arial" w:eastAsia="Arial" w:hAnsi="Arial"/>
          <w:sz w:val="17"/>
          <w:szCs w:val="17"/>
          <w:color w:val="auto"/>
        </w:rPr>
        <w:t>In addition to conditions in the capital markets which could affect our ability to access those markets, the following factors could affect our ability to meet our liquidity requirements:</w:t>
      </w:r>
    </w:p>
    <w:p>
      <w:pPr>
        <w:ind w:left="1640" w:right="40" w:hanging="778"/>
        <w:spacing w:after="0" w:line="255" w:lineRule="auto"/>
        <w:tabs>
          <w:tab w:leader="none" w:pos="1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restrictions in our debt instruments or preferred shares may limit us from incurring debt or issuing equity at all, or on acceptable terms under then-prevailing market conditions; and</w:t>
      </w:r>
    </w:p>
    <w:p>
      <w:pPr>
        <w:ind w:left="1640" w:hanging="778"/>
        <w:spacing w:after="0"/>
        <w:tabs>
          <w:tab w:leader="none" w:pos="1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Cash Flows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Year Ended December 31,</w:t>
            </w:r>
          </w:p>
        </w:tc>
      </w:tr>
      <w:tr>
        <w:trPr>
          <w:trHeight w:val="253"/>
        </w:trPr>
        <w:tc>
          <w:tcPr>
            <w:tcW w:w="8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r>
      <w:tr>
        <w:trPr>
          <w:trHeight w:val="188"/>
        </w:trPr>
        <w:tc>
          <w:tcPr>
            <w:tcW w:w="8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4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provided by operating activities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296,633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244,711</w:t>
            </w:r>
          </w:p>
        </w:tc>
      </w:tr>
      <w:tr>
        <w:trPr>
          <w:trHeight w:val="234"/>
        </w:trPr>
        <w:tc>
          <w:tcPr>
            <w:tcW w:w="8580" w:type="dxa"/>
            <w:vAlign w:val="bottom"/>
          </w:tcPr>
          <w:p>
            <w:pPr>
              <w:ind w:left="40"/>
              <w:spacing w:after="0"/>
              <w:rPr>
                <w:sz w:val="20"/>
                <w:szCs w:val="20"/>
                <w:color w:val="auto"/>
              </w:rPr>
            </w:pPr>
            <w:r>
              <w:rPr>
                <w:rFonts w:ascii="Arial" w:cs="Arial" w:eastAsia="Arial" w:hAnsi="Arial"/>
                <w:sz w:val="17"/>
                <w:szCs w:val="17"/>
                <w:color w:val="auto"/>
              </w:rPr>
              <w:t>Cash used in investing activities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(273,558)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(196,369)</w:t>
            </w:r>
          </w:p>
        </w:tc>
      </w:tr>
      <w:tr>
        <w:trPr>
          <w:trHeight w:val="26"/>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(used in)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(53,893)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3,667</w:t>
            </w:r>
          </w:p>
        </w:tc>
      </w:tr>
      <w:tr>
        <w:trPr>
          <w:trHeight w:val="227"/>
        </w:trPr>
        <w:tc>
          <w:tcPr>
            <w:tcW w:w="8580" w:type="dxa"/>
            <w:vAlign w:val="bottom"/>
          </w:tcPr>
          <w:p>
            <w:pPr>
              <w:ind w:left="40"/>
              <w:spacing w:after="0"/>
              <w:rPr>
                <w:sz w:val="20"/>
                <w:szCs w:val="20"/>
                <w:color w:val="auto"/>
              </w:rPr>
            </w:pPr>
            <w:r>
              <w:rPr>
                <w:rFonts w:ascii="Arial" w:cs="Arial" w:eastAsia="Arial" w:hAnsi="Arial"/>
                <w:sz w:val="17"/>
                <w:szCs w:val="17"/>
                <w:color w:val="auto"/>
              </w:rPr>
              <w:t>(Decrease) increase in cash and cash equivalents</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(30,818)</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52,009</w:t>
            </w:r>
          </w:p>
        </w:tc>
      </w:tr>
      <w:tr>
        <w:trPr>
          <w:trHeight w:val="26"/>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year</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67,806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15,797</w:t>
            </w:r>
          </w:p>
        </w:tc>
      </w:tr>
      <w:tr>
        <w:trPr>
          <w:trHeight w:val="227"/>
        </w:trPr>
        <w:tc>
          <w:tcPr>
            <w:tcW w:w="8580" w:type="dxa"/>
            <w:vAlign w:val="bottom"/>
          </w:tcPr>
          <w:p>
            <w:pPr>
              <w:ind w:left="40"/>
              <w:spacing w:after="0"/>
              <w:rPr>
                <w:sz w:val="20"/>
                <w:szCs w:val="20"/>
                <w:color w:val="auto"/>
              </w:rPr>
            </w:pPr>
            <w:r>
              <w:rPr>
                <w:rFonts w:ascii="Arial" w:cs="Arial" w:eastAsia="Arial" w:hAnsi="Arial"/>
                <w:sz w:val="17"/>
                <w:szCs w:val="17"/>
                <w:color w:val="auto"/>
              </w:rPr>
              <w:t>Cash and cash equivalents, end of year</w:t>
            </w: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36,988</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67,806</w:t>
            </w:r>
          </w:p>
        </w:tc>
      </w:tr>
      <w:tr>
        <w:trPr>
          <w:trHeight w:val="26"/>
        </w:trPr>
        <w:tc>
          <w:tcPr>
            <w:tcW w:w="8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480"/>
        <w:spacing w:after="0" w:line="270" w:lineRule="auto"/>
        <w:rPr>
          <w:sz w:val="20"/>
          <w:szCs w:val="20"/>
          <w:color w:val="auto"/>
        </w:rPr>
      </w:pPr>
      <w:r>
        <w:rPr>
          <w:rFonts w:ascii="Arial" w:cs="Arial" w:eastAsia="Arial" w:hAnsi="Arial"/>
          <w:sz w:val="17"/>
          <w:szCs w:val="17"/>
          <w:color w:val="auto"/>
        </w:rPr>
        <w:t>Net cash provided by operating activities increased $51.9 million to $296.6 million during 2012 from $244.7 million during 2011. The increase was primarily attributable to higher net income before certain non-cash items in 2012 and the payment in 2011 of the $16.2 million final judgment related to a previously disclosed lawsuit.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cash used in investing activities increased $77.2 million to $273.6 million during 2012 from $196.4 million during 2011. The increase was primarily attributable to:</w:t>
      </w:r>
    </w:p>
    <w:p>
      <w:pPr>
        <w:spacing w:after="0" w:line="2" w:lineRule="exact"/>
        <w:rPr>
          <w:sz w:val="20"/>
          <w:szCs w:val="20"/>
          <w:color w:val="auto"/>
        </w:rPr>
      </w:pPr>
    </w:p>
    <w:p>
      <w:pPr>
        <w:ind w:left="1640" w:hanging="778"/>
        <w:spacing w:after="0"/>
        <w:tabs>
          <w:tab w:leader="none" w:pos="1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$38.2 million increase in capital investments in 2012,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86" w:lineRule="exact"/>
        <w:rPr>
          <w:sz w:val="20"/>
          <w:szCs w:val="20"/>
          <w:color w:val="auto"/>
        </w:rPr>
      </w:pPr>
    </w:p>
    <w:p>
      <w:pPr>
        <w:ind w:left="1640" w:hanging="778"/>
        <w:spacing w:after="0"/>
        <w:tabs>
          <w:tab w:leader="none" w:pos="1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$34.6 million cash received in October 2011 from our Newbury Street Partnership due to the sale of its properties,</w:t>
      </w:r>
    </w:p>
    <w:p>
      <w:pPr>
        <w:spacing w:after="0" w:line="64" w:lineRule="exact"/>
        <w:rPr>
          <w:rFonts w:ascii="Arial" w:cs="Arial" w:eastAsia="Arial" w:hAnsi="Arial"/>
          <w:sz w:val="17"/>
          <w:szCs w:val="17"/>
          <w:color w:val="auto"/>
        </w:rPr>
      </w:pPr>
    </w:p>
    <w:p>
      <w:pPr>
        <w:ind w:left="1640" w:hanging="778"/>
        <w:spacing w:after="0"/>
        <w:tabs>
          <w:tab w:leader="none" w:pos="1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$23.7 million in proceeds from the sales of real estate in 2011, primarily due to the sale of Feasterville Shopping Center, and</w:t>
      </w:r>
    </w:p>
    <w:p>
      <w:pPr>
        <w:spacing w:after="0" w:line="64" w:lineRule="exact"/>
        <w:rPr>
          <w:rFonts w:ascii="Arial" w:cs="Arial" w:eastAsia="Arial" w:hAnsi="Arial"/>
          <w:sz w:val="17"/>
          <w:szCs w:val="17"/>
          <w:color w:val="auto"/>
        </w:rPr>
      </w:pPr>
    </w:p>
    <w:p>
      <w:pPr>
        <w:ind w:left="1640" w:hanging="778"/>
        <w:spacing w:after="0"/>
        <w:tabs>
          <w:tab w:leader="none" w:pos="1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$8.7 million payment received in June 2011 related to the refinancing of a mortgage loan receivable,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65" w:lineRule="exact"/>
        <w:rPr>
          <w:sz w:val="20"/>
          <w:szCs w:val="20"/>
          <w:color w:val="auto"/>
        </w:rPr>
      </w:pPr>
    </w:p>
    <w:p>
      <w:pPr>
        <w:ind w:left="1640" w:right="40" w:hanging="778"/>
        <w:spacing w:after="0" w:line="286" w:lineRule="auto"/>
        <w:tabs>
          <w:tab w:leader="none" w:pos="1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$22.7 million decrease in acquisitions of real estate as we acquired East Bay Bridge in 2012 compared to three operating properties acquired in 2011, and</w:t>
      </w:r>
    </w:p>
    <w:p>
      <w:pPr>
        <w:spacing w:after="0" w:line="2" w:lineRule="exact"/>
        <w:rPr>
          <w:rFonts w:ascii="Arial" w:cs="Arial" w:eastAsia="Arial" w:hAnsi="Arial"/>
          <w:sz w:val="17"/>
          <w:szCs w:val="17"/>
          <w:color w:val="auto"/>
        </w:rPr>
      </w:pPr>
    </w:p>
    <w:p>
      <w:pPr>
        <w:ind w:left="1640" w:hanging="778"/>
        <w:spacing w:after="0"/>
        <w:tabs>
          <w:tab w:leader="none" w:pos="1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$6.9 million in contributions to the Newbury Street Partnership in 2011.</w:t>
      </w:r>
    </w:p>
    <w:p>
      <w:pPr>
        <w:spacing w:after="0" w:line="16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Net cash used in financing activities increased $57.6 million to $53.9 million during 2012 from $3.7 million provided by financing activities in 2011. The increase was primarily attributable to:</w:t>
      </w:r>
    </w:p>
    <w:p>
      <w:pPr>
        <w:spacing w:after="0" w:line="2" w:lineRule="exact"/>
        <w:rPr>
          <w:sz w:val="20"/>
          <w:szCs w:val="20"/>
          <w:color w:val="auto"/>
        </w:rPr>
      </w:pPr>
    </w:p>
    <w:p>
      <w:pPr>
        <w:ind w:left="1640" w:hanging="778"/>
        <w:spacing w:after="0"/>
        <w:tabs>
          <w:tab w:leader="none" w:pos="1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$272.2 million in net proceeds from the term loan in November 2011,</w:t>
      </w:r>
    </w:p>
    <w:p>
      <w:pPr>
        <w:spacing w:after="0" w:line="64" w:lineRule="exact"/>
        <w:rPr>
          <w:rFonts w:ascii="Arial" w:cs="Arial" w:eastAsia="Arial" w:hAnsi="Arial"/>
          <w:sz w:val="17"/>
          <w:szCs w:val="17"/>
          <w:color w:val="auto"/>
        </w:rPr>
      </w:pPr>
    </w:p>
    <w:p>
      <w:pPr>
        <w:ind w:left="1640" w:right="220" w:hanging="778"/>
        <w:spacing w:after="0" w:line="286" w:lineRule="auto"/>
        <w:tabs>
          <w:tab w:leader="none" w:pos="1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$100.0 million increase in senior note repayments as we repaid the $175.0 million 6.00% senior notes in July 2012 compared to the $75.0 million 4.5% senior notes in February 2011,</w:t>
      </w:r>
    </w:p>
    <w:p>
      <w:pPr>
        <w:spacing w:after="0" w:line="2" w:lineRule="exact"/>
        <w:rPr>
          <w:rFonts w:ascii="Arial" w:cs="Arial" w:eastAsia="Arial" w:hAnsi="Arial"/>
          <w:sz w:val="17"/>
          <w:szCs w:val="17"/>
          <w:color w:val="auto"/>
        </w:rPr>
      </w:pPr>
    </w:p>
    <w:p>
      <w:pPr>
        <w:ind w:left="1640" w:right="220" w:hanging="778"/>
        <w:spacing w:after="0" w:line="286" w:lineRule="auto"/>
        <w:tabs>
          <w:tab w:leader="none" w:pos="1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$42.7 million decrease in net proceeds from the issuance of common shares due primarily to the sale of 1.7 million shares under our ATM equity program in 2011 compared to 1.0 million in 2012, and</w:t>
      </w:r>
    </w:p>
    <w:p>
      <w:pPr>
        <w:spacing w:after="0" w:line="2" w:lineRule="exact"/>
        <w:rPr>
          <w:rFonts w:ascii="Arial" w:cs="Arial" w:eastAsia="Arial" w:hAnsi="Arial"/>
          <w:sz w:val="17"/>
          <w:szCs w:val="17"/>
          <w:color w:val="auto"/>
        </w:rPr>
      </w:pPr>
    </w:p>
    <w:p>
      <w:pPr>
        <w:ind w:left="1640" w:hanging="778"/>
        <w:spacing w:after="0"/>
        <w:tabs>
          <w:tab w:leader="none" w:pos="16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$10.6 million increase in dividends paid to shareholders due to an increase in the dividend rate and increased number of shares outstanding,</w:t>
      </w:r>
    </w:p>
    <w:p>
      <w:pPr>
        <w:spacing w:after="0" w:line="87" w:lineRule="exact"/>
        <w:rPr>
          <w:rFonts w:ascii="Arial" w:cs="Arial" w:eastAsia="Arial" w:hAnsi="Arial"/>
          <w:sz w:val="15"/>
          <w:szCs w:val="15"/>
          <w:color w:val="auto"/>
        </w:rPr>
      </w:pPr>
    </w:p>
    <w:p>
      <w:pPr>
        <w:ind w:left="60"/>
        <w:spacing w:after="0"/>
        <w:rPr>
          <w:rFonts w:ascii="Arial" w:cs="Arial" w:eastAsia="Arial" w:hAnsi="Arial"/>
          <w:sz w:val="15"/>
          <w:szCs w:val="15"/>
          <w:color w:val="auto"/>
        </w:rPr>
      </w:pPr>
      <w:r>
        <w:rPr>
          <w:rFonts w:ascii="Arial" w:cs="Arial" w:eastAsia="Arial" w:hAnsi="Arial"/>
          <w:sz w:val="17"/>
          <w:szCs w:val="17"/>
          <w:color w:val="auto"/>
        </w:rPr>
        <w:t>partially offset by</w:t>
      </w:r>
    </w:p>
    <w:p>
      <w:pPr>
        <w:spacing w:after="0" w:line="64" w:lineRule="exact"/>
        <w:rPr>
          <w:rFonts w:ascii="Arial" w:cs="Arial" w:eastAsia="Arial" w:hAnsi="Arial"/>
          <w:sz w:val="15"/>
          <w:szCs w:val="15"/>
          <w:color w:val="auto"/>
        </w:rPr>
      </w:pPr>
    </w:p>
    <w:p>
      <w:pPr>
        <w:ind w:left="1640" w:hanging="778"/>
        <w:spacing w:after="0"/>
        <w:tabs>
          <w:tab w:leader="none" w:pos="1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$244.8 million in net proceeds from the issuance of 3.00% senior notes in July 2012,</w:t>
      </w:r>
    </w:p>
    <w:p>
      <w:pPr>
        <w:spacing w:after="0" w:line="64" w:lineRule="exact"/>
        <w:rPr>
          <w:rFonts w:ascii="Arial" w:cs="Arial" w:eastAsia="Arial" w:hAnsi="Arial"/>
          <w:sz w:val="17"/>
          <w:szCs w:val="17"/>
          <w:color w:val="auto"/>
        </w:rPr>
      </w:pPr>
    </w:p>
    <w:p>
      <w:pPr>
        <w:ind w:left="1640" w:hanging="778"/>
        <w:spacing w:after="0"/>
        <w:tabs>
          <w:tab w:leader="none" w:pos="1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$81.2 million decrease in net repayments on our revolving credit facility, net of financing costs, and</w:t>
      </w:r>
    </w:p>
    <w:p>
      <w:pPr>
        <w:spacing w:after="0" w:line="64" w:lineRule="exact"/>
        <w:rPr>
          <w:rFonts w:ascii="Arial" w:cs="Arial" w:eastAsia="Arial" w:hAnsi="Arial"/>
          <w:sz w:val="17"/>
          <w:szCs w:val="17"/>
          <w:color w:val="auto"/>
        </w:rPr>
      </w:pPr>
    </w:p>
    <w:p>
      <w:pPr>
        <w:ind w:left="1640" w:right="180" w:hanging="778"/>
        <w:spacing w:after="0" w:line="286" w:lineRule="auto"/>
        <w:tabs>
          <w:tab w:leader="none" w:pos="1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$38.5 million decrease in repayment of mortgages, capital leases and notes payable primarily due to the payoff of three mortgages totaling $78.4 million in 2011 compared to four mortgages totaling $41.0 million in 2012.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Commitments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our fixed, noncancelable obligations as of December 31, 2012:</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153"/>
              <w:spacing w:after="0"/>
              <w:rPr>
                <w:sz w:val="20"/>
                <w:szCs w:val="20"/>
                <w:color w:val="auto"/>
              </w:rPr>
            </w:pPr>
            <w:r>
              <w:rPr>
                <w:rFonts w:ascii="Arial" w:cs="Arial" w:eastAsia="Arial" w:hAnsi="Arial"/>
                <w:sz w:val="14"/>
                <w:szCs w:val="14"/>
                <w:b w:val="1"/>
                <w:bCs w:val="1"/>
                <w:color w:val="auto"/>
                <w:w w:val="89"/>
              </w:rPr>
              <w:t>Commitments Due by Period</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040" w:type="dxa"/>
            <w:vAlign w:val="bottom"/>
          </w:tcPr>
          <w:p>
            <w:pPr>
              <w:jc w:val="right"/>
              <w:ind w:right="196"/>
              <w:spacing w:after="0" w:line="146"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2"/>
                <w:szCs w:val="12"/>
                <w:color w:val="auto"/>
              </w:rPr>
            </w:pPr>
          </w:p>
        </w:tc>
        <w:tc>
          <w:tcPr>
            <w:tcW w:w="1060" w:type="dxa"/>
            <w:vAlign w:val="bottom"/>
          </w:tcPr>
          <w:p>
            <w:pPr>
              <w:jc w:val="right"/>
              <w:ind w:right="376"/>
              <w:spacing w:after="0" w:line="146"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Fixed rate debt (principal and interest)(1)</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2,654,616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289,145</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704,368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678,013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983,090</w:t>
            </w:r>
          </w:p>
        </w:tc>
        <w:tc>
          <w:tcPr>
            <w:tcW w:w="0" w:type="dxa"/>
            <w:vAlign w:val="bottom"/>
          </w:tcPr>
          <w:p>
            <w:pPr>
              <w:spacing w:after="0"/>
              <w:rPr>
                <w:sz w:val="1"/>
                <w:szCs w:val="1"/>
                <w:color w:val="auto"/>
              </w:rPr>
            </w:pPr>
          </w:p>
        </w:tc>
      </w:tr>
      <w:tr>
        <w:trPr>
          <w:trHeight w:val="222"/>
        </w:trPr>
        <w:tc>
          <w:tcPr>
            <w:tcW w:w="4120" w:type="dxa"/>
            <w:vAlign w:val="bottom"/>
          </w:tcPr>
          <w:p>
            <w:pPr>
              <w:ind w:left="40"/>
              <w:spacing w:after="0"/>
              <w:rPr>
                <w:sz w:val="20"/>
                <w:szCs w:val="20"/>
                <w:color w:val="auto"/>
              </w:rPr>
            </w:pPr>
            <w:r>
              <w:rPr>
                <w:rFonts w:ascii="Arial" w:cs="Arial" w:eastAsia="Arial" w:hAnsi="Arial"/>
                <w:sz w:val="17"/>
                <w:szCs w:val="17"/>
                <w:color w:val="auto"/>
                <w:w w:val="97"/>
              </w:rPr>
              <w:t>Fixed rate debt - unconsolidated real estate partnership</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7"/>
                <w:szCs w:val="17"/>
                <w:color w:val="auto"/>
              </w:rPr>
              <w:t>(principal and interest)(2)</w:t>
            </w:r>
          </w:p>
        </w:tc>
        <w:tc>
          <w:tcPr>
            <w:tcW w:w="34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20,002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8,272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10,674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Capital lease obligations (principal and interest)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200,757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11,575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11,585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171,810</w:t>
            </w: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Variable rate debt (principal only)(3)</w:t>
            </w: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9,400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9,400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leases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57,061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2,460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50,207</w:t>
            </w: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Real estate commitments(4)</w:t>
            </w: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67,500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67,500</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Development, redevelopment, and capital improvement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obligations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233,046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171,370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61,590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Arial" w:cs="Arial" w:eastAsia="Arial" w:hAnsi="Arial"/>
                <w:sz w:val="17"/>
                <w:szCs w:val="17"/>
                <w:color w:val="auto"/>
              </w:rPr>
              <w:t>Contractual operating obligations</w:t>
            </w:r>
          </w:p>
        </w:tc>
        <w:tc>
          <w:tcPr>
            <w:tcW w:w="34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21,885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14,804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6,790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6"/>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contractual obligations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3,264,267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483,650</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795,501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712,475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1,272,641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20" w:hanging="304"/>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Fixed rate debt includes our $275.0 million term loan as the rate is effectively fixed by two interest rate swap agreements.</w:t>
      </w:r>
    </w:p>
    <w:p>
      <w:pPr>
        <w:spacing w:after="0" w:line="64" w:lineRule="exact"/>
        <w:rPr>
          <w:rFonts w:ascii="Arial" w:cs="Arial" w:eastAsia="Arial" w:hAnsi="Arial"/>
          <w:sz w:val="17"/>
          <w:szCs w:val="17"/>
          <w:color w:val="auto"/>
        </w:rPr>
      </w:pPr>
    </w:p>
    <w:p>
      <w:pPr>
        <w:ind w:left="620" w:hanging="304"/>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Amounts reflect our share of principal and interest payments on our unconsolidated joint venture's fixed rate debt.</w:t>
      </w:r>
    </w:p>
    <w:p>
      <w:pPr>
        <w:spacing w:after="0" w:line="64" w:lineRule="exact"/>
        <w:rPr>
          <w:rFonts w:ascii="Arial" w:cs="Arial" w:eastAsia="Arial" w:hAnsi="Arial"/>
          <w:sz w:val="17"/>
          <w:szCs w:val="17"/>
          <w:color w:val="auto"/>
        </w:rPr>
      </w:pPr>
    </w:p>
    <w:p>
      <w:pPr>
        <w:ind w:left="620" w:right="220" w:hanging="304"/>
        <w:spacing w:after="0" w:line="263"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Variable rate debt includes a $9.4 million bond that had an interest rate of 0.21% at December 31, 2012 and our revolving credit facility, which currently has no outstanding balance and bears interest at LIBOR plus 1.15%.</w:t>
      </w:r>
    </w:p>
    <w:p>
      <w:pPr>
        <w:ind w:left="620" w:right="80" w:hanging="304"/>
        <w:spacing w:after="0" w:line="271"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master lease on Melville Mall includes a fixed price put option requiring us to purchase the property for $5.0 million plus the assumption of the owners’ mortgage debt. The current mortgage loan matures on September 1, 2014,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26" w:right="2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60" w:lineRule="exact"/>
        <w:rPr>
          <w:sz w:val="20"/>
          <w:szCs w:val="20"/>
          <w:color w:val="auto"/>
        </w:rPr>
      </w:pPr>
    </w:p>
    <w:p>
      <w:pPr>
        <w:ind w:left="620" w:right="340"/>
        <w:spacing w:after="0" w:line="334" w:lineRule="auto"/>
        <w:rPr>
          <w:sz w:val="20"/>
          <w:szCs w:val="20"/>
          <w:color w:val="auto"/>
        </w:rPr>
      </w:pPr>
      <w:r>
        <w:rPr>
          <w:rFonts w:ascii="Arial" w:cs="Arial" w:eastAsia="Arial" w:hAnsi="Arial"/>
          <w:sz w:val="17"/>
          <w:szCs w:val="17"/>
          <w:color w:val="auto"/>
        </w:rPr>
        <w:t>expected to be refinanced at maturity, and has an outstanding contractual balance of $21.5 million at December 31, 2012. The real estate commitments currently include the fixed $5.0 million and all payments related to the current mortgage loan are included in fixed rate debt.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amounts set forth in the table above and other liquidity requirements previously discussed, the following potential commitments exist:</w:t>
      </w:r>
    </w:p>
    <w:p>
      <w:pPr>
        <w:spacing w:after="0" w:line="91" w:lineRule="exact"/>
        <w:rPr>
          <w:sz w:val="20"/>
          <w:szCs w:val="20"/>
          <w:color w:val="auto"/>
        </w:rPr>
      </w:pPr>
    </w:p>
    <w:p>
      <w:pPr>
        <w:ind w:firstLine="394"/>
        <w:spacing w:after="0" w:line="265" w:lineRule="auto"/>
        <w:tabs>
          <w:tab w:leader="none" w:pos="626" w:val="left"/>
        </w:tabs>
        <w:numPr>
          <w:ilvl w:val="0"/>
          <w:numId w:val="50"/>
        </w:numPr>
        <w:rPr>
          <w:rFonts w:ascii="Arial" w:cs="Arial" w:eastAsia="Arial" w:hAnsi="Arial"/>
          <w:sz w:val="17"/>
          <w:szCs w:val="17"/>
          <w:color w:val="auto"/>
        </w:rPr>
      </w:pPr>
      <w:r>
        <w:rPr>
          <w:rFonts w:ascii="Arial" w:cs="Arial" w:eastAsia="Arial" w:hAnsi="Arial"/>
          <w:sz w:val="17"/>
          <w:szCs w:val="17"/>
          <w:color w:val="auto"/>
        </w:rPr>
        <w:t>Under the terms of the Congressional Plaza partnership agreement, from and after January 1, 1986, an unaffiliated third party has the right to require us and the other minority partner to purchase its 29.47% interest in Congressional Plaza at the interest’s then-current fair market value. If the other minority partner defaults in their obligation, we must purchase the full interest. Based on management’s current estimate of fair market value as of December 31, 2012, our estimated liability upon exercise of the put option would range from approximately $65 million to $71 million.</w:t>
      </w:r>
    </w:p>
    <w:p>
      <w:pPr>
        <w:spacing w:after="0" w:line="47" w:lineRule="exact"/>
        <w:rPr>
          <w:rFonts w:ascii="Arial" w:cs="Arial" w:eastAsia="Arial" w:hAnsi="Arial"/>
          <w:sz w:val="17"/>
          <w:szCs w:val="17"/>
          <w:color w:val="auto"/>
        </w:rPr>
      </w:pPr>
    </w:p>
    <w:p>
      <w:pPr>
        <w:jc w:val="both"/>
        <w:ind w:right="100" w:firstLine="420"/>
        <w:spacing w:after="0" w:line="265" w:lineRule="auto"/>
        <w:tabs>
          <w:tab w:leader="none" w:pos="662" w:val="left"/>
        </w:tabs>
        <w:numPr>
          <w:ilvl w:val="1"/>
          <w:numId w:val="50"/>
        </w:numPr>
        <w:rPr>
          <w:rFonts w:ascii="Arial" w:cs="Arial" w:eastAsia="Arial" w:hAnsi="Arial"/>
          <w:sz w:val="17"/>
          <w:szCs w:val="17"/>
          <w:color w:val="auto"/>
        </w:rPr>
      </w:pPr>
      <w:r>
        <w:rPr>
          <w:rFonts w:ascii="Arial" w:cs="Arial" w:eastAsia="Arial" w:hAnsi="Arial"/>
          <w:sz w:val="17"/>
          <w:szCs w:val="17"/>
          <w:color w:val="auto"/>
        </w:rPr>
        <w:t>Under the terms of a partnership which owns a project in southern California, if certain leasing and revenue levels are obtained for the property owned by the partnership, the other partner may require us to purchase their 10% partnership interest at a formula price based upon property operating income. The purchase price for the partnership interest will be paid using our common shares or, subject to certain conditions, cash. If the other partner does not redeem their interest, we may choose to purchase the partnership interest upon the same terms.</w:t>
      </w:r>
    </w:p>
    <w:p>
      <w:pPr>
        <w:spacing w:after="0" w:line="47" w:lineRule="exact"/>
        <w:rPr>
          <w:rFonts w:ascii="Arial" w:cs="Arial" w:eastAsia="Arial" w:hAnsi="Arial"/>
          <w:sz w:val="17"/>
          <w:szCs w:val="17"/>
          <w:color w:val="auto"/>
        </w:rPr>
      </w:pPr>
    </w:p>
    <w:p>
      <w:pPr>
        <w:ind w:right="380" w:firstLine="420"/>
        <w:spacing w:after="0" w:line="319" w:lineRule="auto"/>
        <w:tabs>
          <w:tab w:leader="none" w:pos="652" w:val="left"/>
        </w:tabs>
        <w:numPr>
          <w:ilvl w:val="1"/>
          <w:numId w:val="50"/>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the partners have the right to exchange their operating partnership units for cash or the same number of our common shares, at our option. As of December 31, 2012, a total of 320,646 operating partnership units are outstanding.</w:t>
      </w:r>
    </w:p>
    <w:p>
      <w:pPr>
        <w:spacing w:after="0" w:line="5" w:lineRule="exact"/>
        <w:rPr>
          <w:rFonts w:ascii="Arial" w:cs="Arial" w:eastAsia="Arial" w:hAnsi="Arial"/>
          <w:sz w:val="16"/>
          <w:szCs w:val="16"/>
          <w:color w:val="auto"/>
        </w:rPr>
      </w:pPr>
    </w:p>
    <w:p>
      <w:pPr>
        <w:jc w:val="both"/>
        <w:ind w:right="20" w:firstLine="420"/>
        <w:spacing w:after="0" w:line="270" w:lineRule="auto"/>
        <w:tabs>
          <w:tab w:leader="none" w:pos="662" w:val="left"/>
        </w:tabs>
        <w:numPr>
          <w:ilvl w:val="1"/>
          <w:numId w:val="50"/>
        </w:numPr>
        <w:rPr>
          <w:rFonts w:ascii="Arial" w:cs="Arial" w:eastAsia="Arial" w:hAnsi="Arial"/>
          <w:sz w:val="17"/>
          <w:szCs w:val="17"/>
          <w:color w:val="auto"/>
        </w:rPr>
      </w:pPr>
      <w:r>
        <w:rPr>
          <w:rFonts w:ascii="Arial" w:cs="Arial" w:eastAsia="Arial" w:hAnsi="Arial"/>
          <w:sz w:val="17"/>
          <w:szCs w:val="17"/>
          <w:color w:val="auto"/>
        </w:rPr>
        <w:t>Effective December 27, 2013, 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w:t>
      </w:r>
    </w:p>
    <w:p>
      <w:pPr>
        <w:spacing w:after="0" w:line="42" w:lineRule="exact"/>
        <w:rPr>
          <w:rFonts w:ascii="Arial" w:cs="Arial" w:eastAsia="Arial" w:hAnsi="Arial"/>
          <w:sz w:val="17"/>
          <w:szCs w:val="17"/>
          <w:color w:val="auto"/>
        </w:rPr>
      </w:pPr>
    </w:p>
    <w:p>
      <w:pPr>
        <w:ind w:firstLine="420"/>
        <w:spacing w:after="0" w:line="263" w:lineRule="auto"/>
        <w:tabs>
          <w:tab w:leader="none" w:pos="652" w:val="left"/>
        </w:tabs>
        <w:numPr>
          <w:ilvl w:val="1"/>
          <w:numId w:val="50"/>
        </w:numPr>
        <w:rPr>
          <w:rFonts w:ascii="Arial" w:cs="Arial" w:eastAsia="Arial" w:hAnsi="Arial"/>
          <w:sz w:val="17"/>
          <w:szCs w:val="17"/>
          <w:color w:val="auto"/>
        </w:rPr>
      </w:pPr>
      <w:r>
        <w:rPr>
          <w:rFonts w:ascii="Arial" w:cs="Arial" w:eastAsia="Arial" w:hAnsi="Arial"/>
          <w:sz w:val="17"/>
          <w:szCs w:val="17"/>
          <w:color w:val="auto"/>
        </w:rPr>
        <w:t>Effective December 30, 2013, two of the members have the right to require us to purchase their 10.0% and 11.8% ownership interests in Plaza El Segundo at the interests' then-current fair market value. If the members fail to exercise their put options, we have the right to purchase each of their interests on or after December 30, 2026 at fair market value. Also, between January 1, 2017 and February 1, 2017, we have an option to purchase the preferred interest of another member in Plaza El Segundo. The purchase price will be the lesser of fair value or the $4.9 million stated value of the preferred interest plus any accrued and unpaid preferred returns.</w:t>
      </w:r>
    </w:p>
    <w:p>
      <w:pPr>
        <w:spacing w:after="0" w:line="47" w:lineRule="exact"/>
        <w:rPr>
          <w:rFonts w:ascii="Arial" w:cs="Arial" w:eastAsia="Arial" w:hAnsi="Arial"/>
          <w:sz w:val="17"/>
          <w:szCs w:val="17"/>
          <w:color w:val="auto"/>
        </w:rPr>
      </w:pPr>
    </w:p>
    <w:p>
      <w:pPr>
        <w:ind w:right="580" w:firstLine="420"/>
        <w:spacing w:after="0" w:line="286" w:lineRule="auto"/>
        <w:tabs>
          <w:tab w:leader="none" w:pos="633" w:val="left"/>
        </w:tabs>
        <w:numPr>
          <w:ilvl w:val="1"/>
          <w:numId w:val="50"/>
        </w:numPr>
        <w:rPr>
          <w:rFonts w:ascii="Arial" w:cs="Arial" w:eastAsia="Arial" w:hAnsi="Arial"/>
          <w:sz w:val="17"/>
          <w:szCs w:val="17"/>
          <w:color w:val="auto"/>
        </w:rPr>
      </w:pPr>
      <w:r>
        <w:rPr>
          <w:rFonts w:ascii="Arial" w:cs="Arial" w:eastAsia="Arial" w:hAnsi="Arial"/>
          <w:sz w:val="17"/>
          <w:szCs w:val="17"/>
          <w:color w:val="auto"/>
        </w:rPr>
        <w:t>At December 31, 2012, we had letters of credit outstanding of approximately $15.9 million which are collateral for existing indebtedness and other obligations of the Trust.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91"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December 31, 2012,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December 31, 2012, our investment in the Partnership was $33.2 million and the Partnership had approximately $57.2 million of mortgages payable outstanding.</w:t>
      </w:r>
    </w:p>
    <w:p>
      <w:pPr>
        <w:spacing w:after="0" w:line="118"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Other than the joint venture described above and items disclosed in the Contractual Commitments Table, we have no off-balance sheet arrangements as of December 31, 2012 that are reasonably likely to have a current or future material effect on our financial condition, revenues or expenses, results of operations, liquidity, capital expenditures or capital resources.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Financing Arrangements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total debt outstanding as of December 31, 2012:</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Original</w:t>
            </w:r>
          </w:p>
        </w:tc>
        <w:tc>
          <w:tcPr>
            <w:tcW w:w="140" w:type="dxa"/>
            <w:vAlign w:val="bottom"/>
          </w:tcPr>
          <w:p>
            <w:pPr>
              <w:spacing w:after="0"/>
              <w:rPr>
                <w:sz w:val="14"/>
                <w:szCs w:val="14"/>
                <w:color w:val="auto"/>
              </w:rPr>
            </w:pPr>
          </w:p>
        </w:tc>
        <w:tc>
          <w:tcPr>
            <w:tcW w:w="15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88"/>
              </w:rPr>
              <w:t>Principal Balance as of</w:t>
            </w:r>
          </w:p>
        </w:tc>
        <w:tc>
          <w:tcPr>
            <w:tcW w:w="100" w:type="dxa"/>
            <w:vAlign w:val="bottom"/>
          </w:tcPr>
          <w:p>
            <w:pPr>
              <w:spacing w:after="0"/>
              <w:rPr>
                <w:sz w:val="14"/>
                <w:szCs w:val="14"/>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Stated Interest Rate as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500" w:type="dxa"/>
            <w:vAlign w:val="bottom"/>
          </w:tcPr>
          <w:p>
            <w:pPr>
              <w:jc w:val="center"/>
              <w:ind w:right="23"/>
              <w:spacing w:after="0" w:line="143" w:lineRule="exact"/>
              <w:rPr>
                <w:sz w:val="20"/>
                <w:szCs w:val="20"/>
                <w:color w:val="auto"/>
              </w:rPr>
            </w:pPr>
            <w:r>
              <w:rPr>
                <w:rFonts w:ascii="Arial" w:cs="Arial" w:eastAsia="Arial" w:hAnsi="Arial"/>
                <w:sz w:val="14"/>
                <w:szCs w:val="14"/>
                <w:b w:val="1"/>
                <w:bCs w:val="1"/>
                <w:color w:val="auto"/>
                <w:w w:val="89"/>
              </w:rPr>
              <w:t>Debt</w:t>
            </w:r>
          </w:p>
        </w:tc>
        <w:tc>
          <w:tcPr>
            <w:tcW w:w="1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160" w:type="dxa"/>
            <w:vAlign w:val="bottom"/>
            <w:vMerge w:val="restart"/>
          </w:tcPr>
          <w:p>
            <w:pPr>
              <w:jc w:val="right"/>
              <w:ind w:right="582"/>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6"/>
        </w:trPr>
        <w:tc>
          <w:tcPr>
            <w:tcW w:w="4120" w:type="dxa"/>
            <w:vAlign w:val="bottom"/>
            <w:vMerge w:val="continue"/>
          </w:tcPr>
          <w:p>
            <w:pPr>
              <w:spacing w:after="0"/>
              <w:rPr>
                <w:sz w:val="16"/>
                <w:szCs w:val="16"/>
                <w:color w:val="auto"/>
              </w:rPr>
            </w:pPr>
          </w:p>
        </w:tc>
        <w:tc>
          <w:tcPr>
            <w:tcW w:w="1500" w:type="dxa"/>
            <w:vAlign w:val="bottom"/>
          </w:tcPr>
          <w:p>
            <w:pPr>
              <w:jc w:val="center"/>
              <w:ind w:right="43"/>
              <w:spacing w:after="0"/>
              <w:rPr>
                <w:sz w:val="20"/>
                <w:szCs w:val="20"/>
                <w:color w:val="auto"/>
              </w:rPr>
            </w:pPr>
            <w:r>
              <w:rPr>
                <w:rFonts w:ascii="Arial" w:cs="Arial" w:eastAsia="Arial" w:hAnsi="Arial"/>
                <w:sz w:val="14"/>
                <w:szCs w:val="14"/>
                <w:b w:val="1"/>
                <w:bCs w:val="1"/>
                <w:color w:val="auto"/>
                <w:w w:val="85"/>
              </w:rPr>
              <w:t>Issued</w:t>
            </w:r>
          </w:p>
        </w:tc>
        <w:tc>
          <w:tcPr>
            <w:tcW w:w="140" w:type="dxa"/>
            <w:vAlign w:val="bottom"/>
          </w:tcPr>
          <w:p>
            <w:pPr>
              <w:spacing w:after="0"/>
              <w:rPr>
                <w:sz w:val="16"/>
                <w:szCs w:val="16"/>
                <w:color w:val="auto"/>
              </w:rPr>
            </w:pPr>
          </w:p>
        </w:tc>
        <w:tc>
          <w:tcPr>
            <w:tcW w:w="1560" w:type="dxa"/>
            <w:vAlign w:val="bottom"/>
          </w:tcPr>
          <w:p>
            <w:pPr>
              <w:jc w:val="right"/>
              <w:ind w:right="222"/>
              <w:spacing w:after="0"/>
              <w:rPr>
                <w:sz w:val="20"/>
                <w:szCs w:val="20"/>
                <w:color w:val="auto"/>
              </w:rPr>
            </w:pPr>
            <w:r>
              <w:rPr>
                <w:rFonts w:ascii="Arial" w:cs="Arial" w:eastAsia="Arial" w:hAnsi="Arial"/>
                <w:sz w:val="14"/>
                <w:szCs w:val="14"/>
                <w:b w:val="1"/>
                <w:bCs w:val="1"/>
                <w:color w:val="auto"/>
                <w:w w:val="98"/>
              </w:rPr>
              <w:t>December 31, 2012</w:t>
            </w:r>
          </w:p>
        </w:tc>
        <w:tc>
          <w:tcPr>
            <w:tcW w:w="10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December 31, 2012</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120" w:type="dxa"/>
            <w:vAlign w:val="bottom"/>
          </w:tcPr>
          <w:p>
            <w:pPr>
              <w:spacing w:after="0"/>
              <w:rPr>
                <w:sz w:val="20"/>
                <w:szCs w:val="20"/>
                <w:color w:val="auto"/>
              </w:rPr>
            </w:pPr>
          </w:p>
        </w:tc>
        <w:tc>
          <w:tcPr>
            <w:tcW w:w="3200" w:type="dxa"/>
            <w:vAlign w:val="bottom"/>
            <w:tcBorders>
              <w:top w:val="single" w:sz="8" w:color="auto"/>
            </w:tcBorders>
            <w:gridSpan w:val="3"/>
          </w:tcPr>
          <w:p>
            <w:pPr>
              <w:jc w:val="right"/>
              <w:ind w:right="862"/>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 (1)</w:t>
            </w:r>
          </w:p>
        </w:tc>
        <w:tc>
          <w:tcPr>
            <w:tcW w:w="1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160"/>
              <w:spacing w:after="0"/>
              <w:rPr>
                <w:sz w:val="20"/>
                <w:szCs w:val="20"/>
                <w:color w:val="auto"/>
              </w:rPr>
            </w:pPr>
            <w:r>
              <w:rPr>
                <w:rFonts w:ascii="Arial" w:cs="Arial" w:eastAsia="Arial" w:hAnsi="Arial"/>
                <w:sz w:val="16"/>
                <w:szCs w:val="16"/>
                <w:i w:val="1"/>
                <w:iCs w:val="1"/>
                <w:color w:val="auto"/>
              </w:rPr>
              <w:t>Secured fixed rate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White Marsh Plaza (2)</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8,970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2013</w:t>
            </w: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Crow Canyon</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19,485</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11, 2013</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Idylwood Plaza</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16,910</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15,987</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Leesburg Plaza</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29,423</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27,818</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Loehmann’s Plaza</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38,047</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35,972</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Pentagon Row</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54,619</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51,640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5, 2014</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Melville Mall (3)</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21,536</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2014</w:t>
            </w: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THE AVENUE at White Marsh</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55,336</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 2015</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Barracks Road</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44,300</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38,070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Hauppauge</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16,700</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14,352</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Lawrence Park</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31,400</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26,984</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Wildwood</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27,600</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23,719</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Wynnewood</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32,000</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27,500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Brick Plaza</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33,000</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28,033</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East Bay Bridge</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62,946</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2016</w:t>
            </w: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Plaza El Segundo</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175,000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Rollingwood Apartments</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24,050</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22,890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260"/>
        </w:trPr>
        <w:tc>
          <w:tcPr>
            <w:tcW w:w="4120" w:type="dxa"/>
            <w:vAlign w:val="bottom"/>
          </w:tcPr>
          <w:p>
            <w:pPr>
              <w:ind w:left="360"/>
              <w:spacing w:after="0"/>
              <w:rPr>
                <w:sz w:val="20"/>
                <w:szCs w:val="20"/>
                <w:color w:val="auto"/>
              </w:rPr>
            </w:pPr>
            <w:r>
              <w:rPr>
                <w:rFonts w:ascii="Arial" w:cs="Arial" w:eastAsia="Arial" w:hAnsi="Arial"/>
                <w:sz w:val="16"/>
                <w:szCs w:val="16"/>
                <w:color w:val="auto"/>
              </w:rPr>
              <w:t>29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Place (Shoppers’ World)</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2"/>
                <w:szCs w:val="22"/>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5,286</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Montrose Crossing</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80,000</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78,755</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Chelsea</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7,454</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2"/>
        </w:trPr>
        <w:tc>
          <w:tcPr>
            <w:tcW w:w="4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747,733</w:t>
            </w: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880"/>
              <w:spacing w:after="0"/>
              <w:rPr>
                <w:sz w:val="20"/>
                <w:szCs w:val="20"/>
                <w:color w:val="auto"/>
              </w:rPr>
            </w:pPr>
            <w:r>
              <w:rPr>
                <w:rFonts w:ascii="Arial" w:cs="Arial" w:eastAsia="Arial" w:hAnsi="Arial"/>
                <w:sz w:val="16"/>
                <w:szCs w:val="16"/>
                <w:color w:val="auto"/>
              </w:rPr>
              <w:t>Net unamortized premium</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13,056</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4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mortgages payable</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760,789</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4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Unsecured fixed rate</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Term Loan (4)</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275,000</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LIBOR + 1.45%</w:t>
            </w:r>
          </w:p>
        </w:tc>
        <w:tc>
          <w:tcPr>
            <w:tcW w:w="216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Various (5)</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18,574</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15,175</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2027</w:t>
            </w:r>
          </w:p>
        </w:tc>
        <w:tc>
          <w:tcPr>
            <w:tcW w:w="0" w:type="dxa"/>
            <w:vAlign w:val="bottom"/>
          </w:tcPr>
          <w:p>
            <w:pPr>
              <w:spacing w:after="0"/>
              <w:rPr>
                <w:sz w:val="1"/>
                <w:szCs w:val="1"/>
                <w:color w:val="auto"/>
              </w:rPr>
            </w:pPr>
          </w:p>
        </w:tc>
      </w:tr>
      <w:tr>
        <w:trPr>
          <w:trHeight w:val="215"/>
        </w:trPr>
        <w:tc>
          <w:tcPr>
            <w:tcW w:w="4120" w:type="dxa"/>
            <w:vAlign w:val="bottom"/>
          </w:tcPr>
          <w:p>
            <w:pPr>
              <w:ind w:left="160"/>
              <w:spacing w:after="0"/>
              <w:rPr>
                <w:sz w:val="20"/>
                <w:szCs w:val="20"/>
                <w:color w:val="auto"/>
              </w:rPr>
            </w:pPr>
            <w:r>
              <w:rPr>
                <w:rFonts w:ascii="Arial" w:cs="Arial" w:eastAsia="Arial" w:hAnsi="Arial"/>
                <w:sz w:val="16"/>
                <w:szCs w:val="16"/>
                <w:i w:val="1"/>
                <w:iCs w:val="1"/>
                <w:color w:val="auto"/>
              </w:rPr>
              <w:t>Unsecured variable rate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Revolving credit facility (6)</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400,000</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LIBOR + 1.15%</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6, 2015</w:t>
            </w: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Escondido (municipal bonds) (7)</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9,400</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9,400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32"/>
        </w:trPr>
        <w:tc>
          <w:tcPr>
            <w:tcW w:w="4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notes payable</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299,575</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4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Unsecured fixed rate</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5.40% notes</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135,000</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135,000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December 1, 2013</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5.95% notes</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150,000</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150,000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2014</w:t>
            </w: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5.65% notes</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125,000</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125,000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1, 2016</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6.20% notes</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200,000</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200,000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2017</w:t>
            </w: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5.90% notes</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150,000</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150,000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3.00% notes</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250,000</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250,000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28"/>
        </w:trPr>
        <w:tc>
          <w:tcPr>
            <w:tcW w:w="4120" w:type="dxa"/>
            <w:vAlign w:val="bottom"/>
          </w:tcPr>
          <w:p>
            <w:pPr>
              <w:ind w:left="360"/>
              <w:spacing w:after="0"/>
              <w:rPr>
                <w:sz w:val="20"/>
                <w:szCs w:val="20"/>
                <w:color w:val="auto"/>
              </w:rPr>
            </w:pPr>
            <w:r>
              <w:rPr>
                <w:rFonts w:ascii="Arial" w:cs="Arial" w:eastAsia="Arial" w:hAnsi="Arial"/>
                <w:sz w:val="16"/>
                <w:szCs w:val="16"/>
                <w:color w:val="auto"/>
              </w:rPr>
              <w:t>7.48% debentures</w:t>
            </w: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29,200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150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40,000</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40,000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08"/>
        </w:trPr>
        <w:tc>
          <w:tcPr>
            <w:tcW w:w="4120" w:type="dxa"/>
            <w:vAlign w:val="bottom"/>
          </w:tcPr>
          <w:p>
            <w:pPr>
              <w:ind w:left="680"/>
              <w:spacing w:after="0"/>
              <w:rPr>
                <w:sz w:val="20"/>
                <w:szCs w:val="20"/>
                <w:color w:val="auto"/>
              </w:rPr>
            </w:pPr>
            <w:r>
              <w:rPr>
                <w:rFonts w:ascii="Arial" w:cs="Arial" w:eastAsia="Arial" w:hAnsi="Arial"/>
                <w:sz w:val="16"/>
                <w:szCs w:val="16"/>
                <w:color w:val="auto"/>
              </w:rPr>
              <w:t>Subtotal</w:t>
            </w:r>
          </w:p>
        </w:tc>
        <w:tc>
          <w:tcPr>
            <w:tcW w:w="1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1,079,200</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1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Net unamortized discount</w:t>
            </w:r>
          </w:p>
        </w:tc>
        <w:tc>
          <w:tcPr>
            <w:tcW w:w="1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120" w:type="dxa"/>
            <w:vAlign w:val="bottom"/>
          </w:tcPr>
          <w:p>
            <w:pPr>
              <w:ind w:left="680"/>
              <w:spacing w:after="0"/>
              <w:rPr>
                <w:sz w:val="20"/>
                <w:szCs w:val="20"/>
                <w:color w:val="auto"/>
              </w:rPr>
            </w:pPr>
            <w:r>
              <w:rPr>
                <w:rFonts w:ascii="Arial" w:cs="Arial" w:eastAsia="Arial" w:hAnsi="Arial"/>
                <w:sz w:val="16"/>
                <w:szCs w:val="16"/>
                <w:color w:val="auto"/>
              </w:rPr>
              <w:t>Total senior notes and debentures</w:t>
            </w:r>
          </w:p>
        </w:tc>
        <w:tc>
          <w:tcPr>
            <w:tcW w:w="1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1,076,545</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580"/>
              <w:spacing w:after="0"/>
              <w:rPr>
                <w:sz w:val="20"/>
                <w:szCs w:val="20"/>
                <w:color w:val="auto"/>
              </w:rPr>
            </w:pPr>
            <w:r>
              <w:rPr>
                <w:rFonts w:ascii="Arial" w:cs="Arial" w:eastAsia="Arial" w:hAnsi="Arial"/>
                <w:sz w:val="16"/>
                <w:szCs w:val="16"/>
                <w:color w:val="auto"/>
              </w:rPr>
              <w:t>Various</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71,693</w:t>
            </w:r>
          </w:p>
        </w:tc>
        <w:tc>
          <w:tcPr>
            <w:tcW w:w="1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Various</w:t>
            </w:r>
          </w:p>
        </w:tc>
        <w:tc>
          <w:tcPr>
            <w:tcW w:w="216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2"/>
        </w:trPr>
        <w:tc>
          <w:tcPr>
            <w:tcW w:w="4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2,208,602</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575" w:gutter="0" w:footer="0" w:header="0"/>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6" w:right="239" w:bottom="575" w:gutter="0" w:footer="0" w:header="0"/>
          <w:type w:val="continuous"/>
        </w:sectPr>
      </w:pPr>
    </w:p>
    <w:bookmarkStart w:id="44" w:name="page45"/>
    <w:bookmarkEnd w:id="44"/>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w:t>
      </w:r>
    </w:p>
    <w:p>
      <w:pPr>
        <w:spacing w:after="0" w:line="65" w:lineRule="exact"/>
        <w:rPr>
          <w:sz w:val="20"/>
          <w:szCs w:val="20"/>
          <w:color w:val="auto"/>
        </w:rPr>
      </w:pPr>
    </w:p>
    <w:p>
      <w:pPr>
        <w:ind w:left="620" w:right="80" w:hanging="616"/>
        <w:spacing w:after="0" w:line="286"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Mortgages payable do not include our 30% share ($17.1 million) of the $57.2 million debt of the partnership with a discretionary fund created and advised by ING Clarion Partners.</w:t>
      </w:r>
    </w:p>
    <w:p>
      <w:pPr>
        <w:spacing w:after="0" w:line="2" w:lineRule="exact"/>
        <w:rPr>
          <w:rFonts w:ascii="Arial" w:cs="Arial" w:eastAsia="Arial" w:hAnsi="Arial"/>
          <w:sz w:val="17"/>
          <w:szCs w:val="17"/>
          <w:color w:val="auto"/>
        </w:rPr>
      </w:pPr>
    </w:p>
    <w:p>
      <w:pPr>
        <w:ind w:left="620" w:hanging="616"/>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repaid the loan at par on January 2, 2013.</w:t>
      </w:r>
    </w:p>
    <w:p>
      <w:pPr>
        <w:spacing w:after="0" w:line="64" w:lineRule="exact"/>
        <w:rPr>
          <w:rFonts w:ascii="Arial" w:cs="Arial" w:eastAsia="Arial" w:hAnsi="Arial"/>
          <w:sz w:val="17"/>
          <w:szCs w:val="17"/>
          <w:color w:val="auto"/>
        </w:rPr>
      </w:pPr>
    </w:p>
    <w:p>
      <w:pPr>
        <w:ind w:left="620" w:right="200" w:hanging="616"/>
        <w:spacing w:after="0" w:line="270"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6" w:lineRule="exact"/>
        <w:rPr>
          <w:rFonts w:ascii="Arial" w:cs="Arial" w:eastAsia="Arial" w:hAnsi="Arial"/>
          <w:sz w:val="17"/>
          <w:szCs w:val="17"/>
          <w:color w:val="auto"/>
        </w:rPr>
      </w:pPr>
    </w:p>
    <w:p>
      <w:pPr>
        <w:ind w:left="620" w:hanging="616"/>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entered into two interest rate swap agreements that effectively fix the rate on the term loan at 3.17%.</w:t>
      </w:r>
    </w:p>
    <w:p>
      <w:pPr>
        <w:spacing w:after="0" w:line="64" w:lineRule="exact"/>
        <w:rPr>
          <w:rFonts w:ascii="Arial" w:cs="Arial" w:eastAsia="Arial" w:hAnsi="Arial"/>
          <w:sz w:val="17"/>
          <w:szCs w:val="17"/>
          <w:color w:val="auto"/>
        </w:rPr>
      </w:pPr>
    </w:p>
    <w:p>
      <w:pPr>
        <w:ind w:left="620" w:right="120" w:hanging="616"/>
        <w:spacing w:after="0" w:line="286"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interest rate of 5.3% represents the weighted average interest rate for ten unsecured fixed rate notes payable. These notes mature between January 31, 2013 and June 27, 2027.</w:t>
      </w:r>
    </w:p>
    <w:p>
      <w:pPr>
        <w:spacing w:after="0" w:line="2" w:lineRule="exact"/>
        <w:rPr>
          <w:rFonts w:ascii="Arial" w:cs="Arial" w:eastAsia="Arial" w:hAnsi="Arial"/>
          <w:sz w:val="17"/>
          <w:szCs w:val="17"/>
          <w:color w:val="auto"/>
        </w:rPr>
      </w:pPr>
    </w:p>
    <w:p>
      <w:pPr>
        <w:ind w:left="620" w:right="560" w:hanging="616"/>
        <w:spacing w:after="0" w:line="286"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during 2012 was $186.0 million and the weighted average effective interest rate on borrowings under our revolving credit facility, before amortization of debt fees, was 1.42%.</w:t>
      </w:r>
    </w:p>
    <w:p>
      <w:pPr>
        <w:spacing w:after="0" w:line="2" w:lineRule="exact"/>
        <w:rPr>
          <w:rFonts w:ascii="Arial" w:cs="Arial" w:eastAsia="Arial" w:hAnsi="Arial"/>
          <w:sz w:val="17"/>
          <w:szCs w:val="17"/>
          <w:color w:val="auto"/>
        </w:rPr>
      </w:pPr>
    </w:p>
    <w:p>
      <w:pPr>
        <w:ind w:left="620" w:right="100" w:hanging="616"/>
        <w:spacing w:after="0" w:line="286"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December 31, 2012,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scheduled principal repayments as of December 31, 2012:</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Secured</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2013</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135,256</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40,296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175,577</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00" w:type="dxa"/>
            <w:vAlign w:val="bottom"/>
          </w:tcPr>
          <w:p>
            <w:pPr>
              <w:ind w:left="40"/>
              <w:spacing w:after="0"/>
              <w:rPr>
                <w:sz w:val="20"/>
                <w:szCs w:val="20"/>
                <w:color w:val="auto"/>
              </w:rPr>
            </w:pPr>
            <w:r>
              <w:rPr>
                <w:rFonts w:ascii="Arial" w:cs="Arial" w:eastAsia="Arial" w:hAnsi="Arial"/>
                <w:sz w:val="17"/>
                <w:szCs w:val="17"/>
                <w:color w:val="auto"/>
              </w:rPr>
              <w:t>2014</w:t>
            </w:r>
          </w:p>
        </w:tc>
        <w:tc>
          <w:tcPr>
            <w:tcW w:w="26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160,249</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158,855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319,129</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2015</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275</w:t>
            </w: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206,007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206,309</w:t>
            </w:r>
          </w:p>
        </w:tc>
        <w:tc>
          <w:tcPr>
            <w:tcW w:w="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0" w:type="dxa"/>
            <w:vAlign w:val="bottom"/>
          </w:tcPr>
          <w:p>
            <w:pPr>
              <w:ind w:left="40"/>
              <w:spacing w:after="0"/>
              <w:rPr>
                <w:sz w:val="20"/>
                <w:szCs w:val="20"/>
                <w:color w:val="auto"/>
              </w:rPr>
            </w:pPr>
            <w:r>
              <w:rPr>
                <w:rFonts w:ascii="Arial" w:cs="Arial" w:eastAsia="Arial" w:hAnsi="Arial"/>
                <w:sz w:val="17"/>
                <w:szCs w:val="17"/>
                <w:color w:val="auto"/>
              </w:rPr>
              <w:t>2016</w:t>
            </w:r>
          </w:p>
        </w:tc>
        <w:tc>
          <w:tcPr>
            <w:tcW w:w="26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134,702</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62,412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197,144</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2017</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200,335</w:t>
            </w:r>
          </w:p>
        </w:tc>
        <w:tc>
          <w:tcPr>
            <w:tcW w:w="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177,654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378,023</w:t>
            </w:r>
          </w:p>
        </w:tc>
        <w:tc>
          <w:tcPr>
            <w:tcW w:w="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26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747,958</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102,509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71,552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922,019</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1,378,775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747,733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71,693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2,198,201</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20" w:right="300" w:hanging="616"/>
        <w:spacing w:after="0" w:line="286" w:lineRule="auto"/>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$400.0 million revolving credit facility matures on July 6, 2015, subject to a one-year extension at our option. As of December 31, 2012, there was nothing drawn under this credit facility.</w:t>
      </w:r>
    </w:p>
    <w:p>
      <w:pPr>
        <w:spacing w:after="0" w:line="2" w:lineRule="exact"/>
        <w:rPr>
          <w:rFonts w:ascii="Arial" w:cs="Arial" w:eastAsia="Arial" w:hAnsi="Arial"/>
          <w:sz w:val="17"/>
          <w:szCs w:val="17"/>
          <w:color w:val="auto"/>
        </w:rPr>
      </w:pPr>
    </w:p>
    <w:p>
      <w:pPr>
        <w:ind w:left="620" w:right="520" w:hanging="616"/>
        <w:spacing w:after="0" w:line="286" w:lineRule="auto"/>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net premium or discount on certain mortgage loans, senior notes and debentures as of December 31, 2012.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26" w:right="2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Hedging</w:t>
      </w:r>
    </w:p>
    <w:p>
      <w:pPr>
        <w:spacing w:after="0" w:line="91"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 which is included in accumulated other comprehensive loss on our consolidated balance sheet and our consolidated statement of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 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6"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In November 2011, we entered into two interest rate swap agreements that effectively fixed the rate on the $275.0 million term loan at 3.17%. Both swaps were designated and qualified as cash flow hedges and are recorded at fair value. Hedge ineffectiveness did not impact earnings in 2012 and 2011, and we do not anticipate it will have a significant effect in the future. We had no derivative instruments outstanding during 2010.</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REIT Qualification</w:t>
      </w:r>
    </w:p>
    <w:p>
      <w:pPr>
        <w:spacing w:after="0" w:line="91"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w:t>
      </w:r>
    </w:p>
    <w:p>
      <w:pPr>
        <w:spacing w:after="0" w:line="9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real estate related depreciation and amortization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2" w:lineRule="exact"/>
        <w:rPr>
          <w:sz w:val="20"/>
          <w:szCs w:val="20"/>
          <w:color w:val="auto"/>
        </w:rPr>
      </w:pPr>
    </w:p>
    <w:p>
      <w:pPr>
        <w:ind w:left="1640" w:right="180" w:hanging="778"/>
        <w:spacing w:after="0" w:line="286" w:lineRule="auto"/>
        <w:tabs>
          <w:tab w:leader="none" w:pos="1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does not represent cash flows from operating activities in accordance with GAAP (which, unlike FFO, generally reflects all cash effects of transactions and other events in the determination of net income);</w:t>
      </w:r>
    </w:p>
    <w:p>
      <w:pPr>
        <w:spacing w:after="0" w:line="2" w:lineRule="exact"/>
        <w:rPr>
          <w:rFonts w:ascii="Arial" w:cs="Arial" w:eastAsia="Arial" w:hAnsi="Arial"/>
          <w:sz w:val="17"/>
          <w:szCs w:val="17"/>
          <w:color w:val="auto"/>
        </w:rPr>
      </w:pPr>
    </w:p>
    <w:p>
      <w:pPr>
        <w:ind w:left="1640" w:hanging="778"/>
        <w:spacing w:after="0"/>
        <w:tabs>
          <w:tab w:leader="none" w:pos="1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should not be considered an alternative to net income as an indication of our performance; and</w:t>
      </w:r>
    </w:p>
    <w:p>
      <w:pPr>
        <w:spacing w:after="0" w:line="64" w:lineRule="exact"/>
        <w:rPr>
          <w:rFonts w:ascii="Arial" w:cs="Arial" w:eastAsia="Arial" w:hAnsi="Arial"/>
          <w:sz w:val="17"/>
          <w:szCs w:val="17"/>
          <w:color w:val="auto"/>
        </w:rPr>
      </w:pPr>
    </w:p>
    <w:p>
      <w:pPr>
        <w:ind w:left="1640" w:hanging="778"/>
        <w:spacing w:after="0"/>
        <w:tabs>
          <w:tab w:leader="none" w:pos="1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80" w:lineRule="exact"/>
        <w:rPr>
          <w:sz w:val="20"/>
          <w:szCs w:val="20"/>
          <w:color w:val="auto"/>
        </w:rPr>
      </w:pPr>
    </w:p>
    <w:p>
      <w:pPr>
        <w:ind w:right="20"/>
        <w:spacing w:after="0" w:line="311" w:lineRule="auto"/>
        <w:rPr>
          <w:sz w:val="20"/>
          <w:szCs w:val="20"/>
          <w:color w:val="auto"/>
        </w:rPr>
      </w:pPr>
      <w:r>
        <w:rPr>
          <w:rFonts w:ascii="Arial" w:cs="Arial" w:eastAsia="Arial" w:hAnsi="Arial"/>
          <w:sz w:val="15"/>
          <w:szCs w:val="15"/>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94"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26" w:right="2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net income to FFO available for common shareholders is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88"/>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156,232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149,612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128,237</w:t>
            </w:r>
          </w:p>
        </w:tc>
        <w:tc>
          <w:tcPr>
            <w:tcW w:w="0" w:type="dxa"/>
            <w:vAlign w:val="bottom"/>
          </w:tcPr>
          <w:p>
            <w:pPr>
              <w:spacing w:after="0"/>
              <w:rPr>
                <w:sz w:val="1"/>
                <w:szCs w:val="1"/>
                <w:color w:val="auto"/>
              </w:rPr>
            </w:pP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(4,307)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(5,695)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(5,447)</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on sale of real estate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(15,075)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(1,410)</w:t>
            </w:r>
          </w:p>
        </w:tc>
        <w:tc>
          <w:tcPr>
            <w:tcW w:w="0" w:type="dxa"/>
            <w:vAlign w:val="bottom"/>
          </w:tcPr>
          <w:p>
            <w:pPr>
              <w:spacing w:after="0"/>
              <w:rPr>
                <w:sz w:val="1"/>
                <w:szCs w:val="1"/>
                <w:color w:val="auto"/>
              </w:rPr>
            </w:pP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color w:val="auto"/>
              </w:rPr>
              <w:t>Gain on deconsolidation of VIE</w:t>
            </w:r>
          </w:p>
        </w:tc>
        <w:tc>
          <w:tcPr>
            <w:tcW w:w="32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Depreciation and amortization of real estate assets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125,611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113,188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107,187</w:t>
            </w:r>
          </w:p>
        </w:tc>
        <w:tc>
          <w:tcPr>
            <w:tcW w:w="0" w:type="dxa"/>
            <w:vAlign w:val="bottom"/>
          </w:tcPr>
          <w:p>
            <w:pPr>
              <w:spacing w:after="0"/>
              <w:rPr>
                <w:sz w:val="1"/>
                <w:szCs w:val="1"/>
                <w:color w:val="auto"/>
              </w:rPr>
            </w:pP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color w:val="auto"/>
              </w:rPr>
              <w:t>Amortization of initial direct costs of leases</w:t>
            </w:r>
          </w:p>
        </w:tc>
        <w:tc>
          <w:tcPr>
            <w:tcW w:w="32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10,935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10,432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9,552</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Depreciation of joint venture real estate assets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1,513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1,499</w:t>
            </w:r>
          </w:p>
        </w:tc>
        <w:tc>
          <w:tcPr>
            <w:tcW w:w="0" w:type="dxa"/>
            <w:vAlign w:val="bottom"/>
          </w:tcPr>
          <w:p>
            <w:pPr>
              <w:spacing w:after="0"/>
              <w:rPr>
                <w:sz w:val="1"/>
                <w:szCs w:val="1"/>
                <w:color w:val="auto"/>
              </w:rPr>
            </w:pPr>
          </w:p>
        </w:tc>
      </w:tr>
      <w:tr>
        <w:trPr>
          <w:trHeight w:val="227"/>
        </w:trPr>
        <w:tc>
          <w:tcPr>
            <w:tcW w:w="7100" w:type="dxa"/>
            <w:vAlign w:val="bottom"/>
          </w:tcPr>
          <w:p>
            <w:pPr>
              <w:ind w:left="360"/>
              <w:spacing w:after="0"/>
              <w:rPr>
                <w:sz w:val="20"/>
                <w:szCs w:val="20"/>
                <w:color w:val="auto"/>
              </w:rPr>
            </w:pPr>
            <w:r>
              <w:rPr>
                <w:rFonts w:ascii="Arial" w:cs="Arial" w:eastAsia="Arial" w:hAnsi="Arial"/>
                <w:sz w:val="17"/>
                <w:szCs w:val="17"/>
                <w:color w:val="auto"/>
              </w:rPr>
              <w:t>Funds from operations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278,124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252,207</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239,618</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Dividends on preferred shares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color w:val="auto"/>
              </w:rPr>
              <w:t>Income attributable to operating partnership units</w:t>
            </w:r>
          </w:p>
        </w:tc>
        <w:tc>
          <w:tcPr>
            <w:tcW w:w="32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943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981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980</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attributable to unvested shares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0" w:type="dxa"/>
            <w:vAlign w:val="bottom"/>
          </w:tcPr>
          <w:p>
            <w:pPr>
              <w:spacing w:after="0"/>
              <w:rPr>
                <w:sz w:val="1"/>
                <w:szCs w:val="1"/>
                <w:color w:val="auto"/>
              </w:rPr>
            </w:pPr>
          </w:p>
        </w:tc>
      </w:tr>
      <w:tr>
        <w:trPr>
          <w:trHeight w:val="227"/>
        </w:trPr>
        <w:tc>
          <w:tcPr>
            <w:tcW w:w="7100" w:type="dxa"/>
            <w:vAlign w:val="bottom"/>
          </w:tcPr>
          <w:p>
            <w:pPr>
              <w:ind w:left="360"/>
              <w:spacing w:after="0"/>
              <w:rPr>
                <w:sz w:val="20"/>
                <w:szCs w:val="20"/>
                <w:color w:val="auto"/>
              </w:rPr>
            </w:pPr>
            <w:r>
              <w:rPr>
                <w:rFonts w:ascii="Arial" w:cs="Arial" w:eastAsia="Arial" w:hAnsi="Arial"/>
                <w:sz w:val="17"/>
                <w:szCs w:val="17"/>
                <w:color w:val="auto"/>
              </w:rPr>
              <w:t>Funds from operations available for common shareholders</w:t>
            </w:r>
          </w:p>
        </w:tc>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277,237</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251,576</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239,210</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line="187" w:lineRule="exact"/>
              <w:rPr>
                <w:sz w:val="20"/>
                <w:szCs w:val="20"/>
                <w:color w:val="auto"/>
              </w:rPr>
            </w:pPr>
            <w:r>
              <w:rPr>
                <w:rFonts w:ascii="Arial" w:cs="Arial" w:eastAsia="Arial" w:hAnsi="Arial"/>
                <w:sz w:val="17"/>
                <w:szCs w:val="17"/>
                <w:color w:val="auto"/>
              </w:rPr>
              <w:t>Weighted average number of common shares, diluted (1)</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64,389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62,964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61,693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Funds from operations available for common shareholders, per diluted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00" w:type="dxa"/>
            <w:vAlign w:val="bottom"/>
            <w:vMerge w:val="continue"/>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4.31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4.00</w:t>
            </w:r>
          </w:p>
        </w:tc>
        <w:tc>
          <w:tcPr>
            <w:tcW w:w="120" w:type="dxa"/>
            <w:vAlign w:val="bottom"/>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6"/>
        </w:trPr>
        <w:tc>
          <w:tcPr>
            <w:tcW w:w="7100" w:type="dxa"/>
            <w:vAlign w:val="bottom"/>
            <w:vMerge w:val="restart"/>
          </w:tcPr>
          <w:p>
            <w:pPr>
              <w:spacing w:after="0"/>
              <w:rPr>
                <w:sz w:val="20"/>
                <w:szCs w:val="20"/>
                <w:color w:val="auto"/>
              </w:rPr>
            </w:pPr>
            <w:r>
              <w:rPr>
                <w:rFonts w:ascii="Arial" w:cs="Arial" w:eastAsia="Arial" w:hAnsi="Arial"/>
                <w:sz w:val="17"/>
                <w:szCs w:val="17"/>
                <w:color w:val="auto"/>
              </w:rPr>
              <w:t>_____________________</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20" w:right="240" w:hanging="616"/>
        <w:spacing w:after="0" w:line="270" w:lineRule="auto"/>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0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97"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5"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December 31, 2012, we were party to two interest rate swap agreements that effectively fix the rate on the $275.0 million term loan at 3.17%.</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9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Fixed Interest Rate Debt</w:t>
      </w:r>
    </w:p>
    <w:p>
      <w:pPr>
        <w:spacing w:after="0" w:line="91"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majority of our outstanding debt obligations (maturing at various times through 2031 or, with respect to capital lease obligations through 2106) have fixed interest rates which limit the risk of fluctuating interest rates. However, interest rate fluctuations may affect the fair value of our fixed rate debt instruments. At December 31, 2012, we had $2.2 billion of fixed-rate debt outstanding, including our $275.0 million term loan as the rate is effectively fixed by two interest rate swap agreements, and $71.7 million of capital lease obligations. If market interest rates used to calculate the fair value on our fixed-rate debt instruments at December 31, 2012 had been 1.0% higher, the fair value of those debt instruments on that date would have decreased by approximately $80.0 million. If market interest rates used to calculate the fair value on our fixed-rate debt instruments at December 31, 2012 had been 1.0% lower, the fair value of those debt instruments on that date would have increased by approximately $84.9 million.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Interest Rate Debt</w:t>
      </w:r>
    </w:p>
    <w:p>
      <w:pPr>
        <w:spacing w:after="0" w:line="91"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Generally, we believe that our primary interest rate risk is due to fluctuations in interest rates on our variable rate debt. At December 31, 2012, we had $9.4 million of variable rate debt outstanding which consisted of municipal bonds. Our revolving credit facility had no outstanding balance as of December 31, 2012.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37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8.</w:t>
        <w:tab/>
        <w:t>FINANCIAL STATEMENTS AND SUPPLEMENTARY DATA</w:t>
      </w:r>
    </w:p>
    <w:p>
      <w:pPr>
        <w:spacing w:after="0" w:line="9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consolidated financial statements and supplementary data are included as a separate section of this Annual Report on Form 10-K commencing on page F-1 and are incorporated herein by reference.</w:t>
      </w:r>
    </w:p>
    <w:p>
      <w:pPr>
        <w:spacing w:after="0" w:line="178" w:lineRule="exact"/>
        <w:rPr>
          <w:sz w:val="20"/>
          <w:szCs w:val="20"/>
          <w:color w:val="auto"/>
        </w:rPr>
      </w:pPr>
    </w:p>
    <w:p>
      <w:pPr>
        <w:ind w:right="1460"/>
        <w:spacing w:after="0" w:line="389" w:lineRule="auto"/>
        <w:rPr>
          <w:sz w:val="20"/>
          <w:szCs w:val="20"/>
          <w:color w:val="auto"/>
        </w:rPr>
      </w:pPr>
      <w:r>
        <w:rPr>
          <w:rFonts w:ascii="Arial" w:cs="Arial" w:eastAsia="Arial" w:hAnsi="Arial"/>
          <w:sz w:val="17"/>
          <w:szCs w:val="17"/>
          <w:b w:val="1"/>
          <w:bCs w:val="1"/>
          <w:color w:val="auto"/>
        </w:rPr>
        <w:t xml:space="preserve">ITEM 9. CHANGES IN AND DISAGREEMENTS WITH ACCOUNTANTS ON ACCOUNTING AND FINANCIAL DISCLOSURE </w:t>
      </w:r>
      <w:r>
        <w:rPr>
          <w:rFonts w:ascii="Arial" w:cs="Arial" w:eastAsia="Arial" w:hAnsi="Arial"/>
          <w:sz w:val="17"/>
          <w:szCs w:val="17"/>
          <w:color w:val="auto"/>
        </w:rPr>
        <w:t>None.</w:t>
      </w:r>
    </w:p>
    <w:p>
      <w:pPr>
        <w:spacing w:after="0" w:line="9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Assessment</w:t>
      </w:r>
    </w:p>
    <w:p>
      <w:pPr>
        <w:spacing w:after="0" w:line="9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We carried out an assessment as of December 31, 2012 of the effectiveness of the design and operation of our disclosure controls and procedures and our internal control over financial reporting. This assessment was done under the supervision and with the participation of management, including our Chief Executive Officer and our Chief Financial Officer. Rules adopted by the SEC require that we present the conclusions of our principal executive officer and our principal financial officer about the effectiveness of our disclosure controls and procedures and the conclusions of our management about the effectiveness of our internal control over financial reporting as of the end of the period covered by this annual report.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Executive Officer and Principal Financial Officer Certifications</w:t>
      </w:r>
    </w:p>
    <w:p>
      <w:pPr>
        <w:spacing w:after="0" w:line="97"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Included as Exhibits 31.1 and 31.2 to this Annual Report on Form 10-K are forms of “Certification” of our principal executive officer and our principal financial officer. The forms of Certification are required in accordance with Section 302 of the Sarbanes-Oxley Act of 2002. This section of this Annual Report on Form 10-K that you are currently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9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information required to be disclosed in our Exchange Act reports, such as this report on Form 10-K, is recorded, processed, summarized and reported within the time periods specified in the SEC’s rules and forms, and that such information is accumulated and communicated to our management, including our President and Chief Executive Officer and Executive Vice President-Chief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annual report.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9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Establishing and maintaining internal control over financial reporting is a process designed by, or under the supervision of, our President and Chief Executive Officer and Executive Vice President-Chief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in the United States of America. This process includes policies and procedures that:</w:t>
      </w:r>
    </w:p>
    <w:p>
      <w:pPr>
        <w:spacing w:after="0" w:line="2" w:lineRule="exact"/>
        <w:rPr>
          <w:sz w:val="20"/>
          <w:szCs w:val="20"/>
          <w:color w:val="auto"/>
        </w:rPr>
      </w:pPr>
    </w:p>
    <w:p>
      <w:pPr>
        <w:ind w:left="620" w:hanging="304"/>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w:t>
      </w:r>
    </w:p>
    <w:p>
      <w:pPr>
        <w:spacing w:after="0" w:line="12" w:lineRule="exact"/>
        <w:rPr>
          <w:rFonts w:ascii="Arial" w:cs="Arial" w:eastAsia="Arial" w:hAnsi="Arial"/>
          <w:sz w:val="17"/>
          <w:szCs w:val="17"/>
          <w:color w:val="auto"/>
        </w:rPr>
      </w:pPr>
    </w:p>
    <w:p>
      <w:pPr>
        <w:ind w:left="620" w:right="40" w:hanging="304"/>
        <w:spacing w:after="0" w:line="255"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1" w:lineRule="exact"/>
        <w:rPr>
          <w:rFonts w:ascii="Arial" w:cs="Arial" w:eastAsia="Arial" w:hAnsi="Arial"/>
          <w:sz w:val="17"/>
          <w:szCs w:val="17"/>
          <w:color w:val="auto"/>
        </w:rPr>
      </w:pPr>
    </w:p>
    <w:p>
      <w:pPr>
        <w:ind w:left="620" w:right="60" w:hanging="304"/>
        <w:spacing w:after="0" w:line="271"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the Effectiveness of Controls</w:t>
      </w:r>
    </w:p>
    <w:p>
      <w:pPr>
        <w:spacing w:after="0" w:line="9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Management, including our Chief Executive Officer and Chief Financial Officer, do not expect that our 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or will be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may not be detected.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Scope of the Evaluations</w:t>
      </w:r>
    </w:p>
    <w:p>
      <w:pPr>
        <w:spacing w:after="0" w:line="97"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 xml:space="preserve">The evaluation by our Chief Executive Officer and our Chief Financial Officer of our disclosure controls and procedures and our internal control over financial reporting included a review of our procedures and procedures performed by internal audit, as well as discussions with our Disclosure Committee and others in our organization, as appropriate. In conducting this evaluation, our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In the course of the evaluation, we sought to identify data errors, control problems or acts of fraud and to confirm that appropriate corrective action, including process improvements, were being undertaken. The evaluation of our disclosure controls and procedures and our internal control over financial reporting is done on a quarterly basis, so that the conclusions concerning the effectiveness of such controls can be reported in our Quarterly Reports on Form 10-Q and Annual Reports on Form 10-K.</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internal control over financial reporting is also assessed on an ongoing basis by personnel in our accounting department and by our independent auditors in connection with their audit and review activities. The overall goals of these various evaluation activities are to monitor our disclosure controls and procedures and our internal control over financial reporting and to make modifications as necessary. Our intent in this regard is that the disclosure controls and procedures and internal control over financial reporting will be maintained and updated (including with improvements and corrections) as conditions warrant. 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This information is important both for the evaluation generally and because the Section 302 certifications require that our Chief Executive Officer and our Chief Financial Officer disclose that information to the Audit Committee of our Board of Trustees and our independent auditors and also require us to report on related matters in this section of the Annual Report on Form 10-K. In the Public Company Accounting Oversight Board’s Auditing Standard No. 5, a “deficiency” in internal control over financial reporting exists when the design or operation of a control does not allow management or employees, in the normal course of performing their assigned functions, to prevent or detect misstatements on a timely basis. A “significant deficiency” is a deficiency, or a combination of deficiencies, in internal control over financial reporting that is less severe than a material weakness, yet important enough to merit attention by those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ind w:right="20"/>
        <w:spacing w:after="0" w:line="311" w:lineRule="auto"/>
        <w:rPr>
          <w:sz w:val="20"/>
          <w:szCs w:val="20"/>
          <w:color w:val="auto"/>
        </w:rPr>
      </w:pPr>
      <w:r>
        <w:rPr>
          <w:rFonts w:ascii="Arial" w:cs="Arial" w:eastAsia="Arial" w:hAnsi="Arial"/>
          <w:sz w:val="15"/>
          <w:szCs w:val="15"/>
          <w:color w:val="auto"/>
        </w:rPr>
        <w:t>responsible for oversight of the company’s financial reporting. A “material weakness” is defined in Auditing Standard No. 5 as a deficiency, or a combination of deficiencies, in internal control over financial reporting, such that there is a reasonable possibility that a material misstatement of the company’s annual or interim financial statements will not be prevented or detected on a timely basis.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Evaluation and Conclusion of Disclosure Controls and Procedures</w:t>
      </w:r>
    </w:p>
    <w:p>
      <w:pPr>
        <w:spacing w:after="0" w:line="9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Chief Executive Officer and Chief Financial Officer have 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 and provides reasonable assurance that information required to be disclosed in our Exchange Act reports is recorded, processed, summarized and reported within the time periods specified in the SEC’s rules and forms, and that such information is accumulated and communicated to our management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Evaluation and Conclusion of Internal Control over Financial Reporting</w:t>
      </w:r>
    </w:p>
    <w:p>
      <w:pPr>
        <w:spacing w:after="0" w:line="9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Our Chief Executive Officer and Chief Financial Officer have conducted an evaluation of the effectiveness of the design and operation of our internal control over financial reporting as of the end of our most recent fiscal year. Based on that evaluation, the Chief Executive Officer and Chief Financial Officer concluded that such internal control over financial reporting was effective as of the end of our most recent fiscal year and provides reasonable assurance regarding the reliability of financial reporting and the preparation of financial statements for external purposes in accordance with generally accepted accounting principles in the United States of America.</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Our Management</w:t>
      </w:r>
    </w:p>
    <w:p>
      <w:pPr>
        <w:spacing w:after="0" w:line="9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management has issued a report on its assessment of the Trust’s internal control over financial reporting, which appears on page F-2 of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Our Independent Registered Public Accounting Firm</w:t>
      </w:r>
    </w:p>
    <w:p>
      <w:pPr>
        <w:spacing w:after="0" w:line="97" w:lineRule="exact"/>
        <w:rPr>
          <w:sz w:val="20"/>
          <w:szCs w:val="20"/>
          <w:color w:val="auto"/>
        </w:rPr>
      </w:pPr>
    </w:p>
    <w:p>
      <w:pPr>
        <w:ind w:right="380"/>
        <w:spacing w:after="0" w:line="319" w:lineRule="auto"/>
        <w:rPr>
          <w:sz w:val="20"/>
          <w:szCs w:val="20"/>
          <w:color w:val="auto"/>
        </w:rPr>
      </w:pPr>
      <w:r>
        <w:rPr>
          <w:rFonts w:ascii="Arial" w:cs="Arial" w:eastAsia="Arial" w:hAnsi="Arial"/>
          <w:sz w:val="16"/>
          <w:szCs w:val="16"/>
          <w:color w:val="auto"/>
        </w:rPr>
        <w:t>Grant Thornton LLP, our independent registered public accounting firm that audited the financial statements included in this Annual Report on Form 10-K, has issued an attestation report on the Trust’s internal control over financial reporting, which appears on page F-3 of this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97"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There was no change in our internal control over financial reporting during our fourth fiscal quarter of 2012 that materially affected, or is reasonably likely to materially affect, our internal control over financial reporting.</w:t>
      </w:r>
    </w:p>
    <w:p>
      <w:pPr>
        <w:spacing w:after="0" w:line="387"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9B.</w:t>
        <w:tab/>
        <w:t>OTHER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III</w:t>
      </w:r>
    </w:p>
    <w:p>
      <w:pPr>
        <w:spacing w:after="0" w:line="17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Certain information required in Part III is omitted from this Report but is incorporated herein by reference from our Proxy Statement for the 2013 Annual Meeting of Shareholders (as amended or supplemented, the “Proxy Statement”).</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10.</w:t>
        <w:tab/>
        <w:t>TRUSTEES, EXECUTIVE OFFICERS AND CORPORATE GOVERNANCE</w:t>
      </w:r>
    </w:p>
    <w:p>
      <w:pPr>
        <w:spacing w:after="0" w:line="97" w:lineRule="exact"/>
        <w:rPr>
          <w:sz w:val="20"/>
          <w:szCs w:val="20"/>
          <w:color w:val="auto"/>
        </w:rPr>
      </w:pPr>
    </w:p>
    <w:p>
      <w:pPr>
        <w:ind w:right="580"/>
        <w:spacing w:after="0" w:line="270" w:lineRule="auto"/>
        <w:rPr>
          <w:sz w:val="20"/>
          <w:szCs w:val="20"/>
          <w:color w:val="auto"/>
        </w:rPr>
      </w:pPr>
      <w:r>
        <w:rPr>
          <w:rFonts w:ascii="Arial" w:cs="Arial" w:eastAsia="Arial" w:hAnsi="Arial"/>
          <w:sz w:val="17"/>
          <w:szCs w:val="17"/>
          <w:color w:val="auto"/>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We have adopted a Code of Ethics, which is applicable to our Chief Executive Officer and senior financial officers. The Code of Ethics is available in the Corporate Governance section of the Investors section of our website at </w:t>
      </w:r>
      <w:r>
        <w:rPr>
          <w:rFonts w:ascii="Arial" w:cs="Arial" w:eastAsia="Arial" w:hAnsi="Arial"/>
          <w:sz w:val="17"/>
          <w:szCs w:val="17"/>
          <w:i w:val="1"/>
          <w:iCs w:val="1"/>
          <w:color w:val="auto"/>
        </w:rPr>
        <w:t>www.federalrealty.com</w:t>
      </w:r>
      <w:r>
        <w:rPr>
          <w:rFonts w:ascii="Arial" w:cs="Arial" w:eastAsia="Arial" w:hAnsi="Arial"/>
          <w:sz w:val="17"/>
          <w:szCs w:val="17"/>
          <w:color w:val="auto"/>
        </w:rPr>
        <w:t>.</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sections of the Proxy Statement entitled “Summary Compensation Table,” “Compensation Committee Interlocks and Insider Participation,” “Compensation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Committee Report,” “Trustee Compensation” and “Compensation Discussion and Analysis” and other information included in the Proxy Statement required by this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Item 11 are incorporated herein by reference.</w:t>
      </w:r>
    </w:p>
    <w:p>
      <w:pPr>
        <w:spacing w:after="0" w:line="22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SHAREHOLDER MATTERS</w:t>
      </w:r>
    </w:p>
    <w:p>
      <w:pPr>
        <w:spacing w:after="0" w:line="97"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The sections of the Proxy Statement entitled “Share Ownership” and “Equity Compensation Plan Information” and other information included in the Proxy Statement required by this Item 12 are incorporated herein by reference.</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13.</w:t>
        <w:tab/>
        <w:t>CERTAIN RELATIONSHIPS AND RELATED TRANSACTIONS, AND TRUSTEE INDEPENDENCE</w:t>
      </w:r>
    </w:p>
    <w:p>
      <w:pPr>
        <w:spacing w:after="0" w:line="9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97" w:lineRule="exact"/>
        <w:rPr>
          <w:sz w:val="20"/>
          <w:szCs w:val="20"/>
          <w:color w:val="auto"/>
        </w:rPr>
      </w:pPr>
    </w:p>
    <w:p>
      <w:pPr>
        <w:ind w:right="380"/>
        <w:spacing w:after="0" w:line="319" w:lineRule="auto"/>
        <w:rPr>
          <w:sz w:val="20"/>
          <w:szCs w:val="20"/>
          <w:color w:val="auto"/>
        </w:rPr>
      </w:pPr>
      <w:r>
        <w:rPr>
          <w:rFonts w:ascii="Arial" w:cs="Arial" w:eastAsia="Arial" w:hAnsi="Arial"/>
          <w:sz w:val="16"/>
          <w:szCs w:val="16"/>
          <w:color w:val="auto"/>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07"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PART IV</w:t>
      </w:r>
    </w:p>
    <w:p>
      <w:pPr>
        <w:spacing w:after="0" w:line="16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15.</w:t>
        <w:tab/>
        <w:t>EXHIBITS AND FINANCIAL STATEMENT SCHEDULES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(a)(1) Financial Statements</w:t>
      </w:r>
    </w:p>
    <w:p>
      <w:pPr>
        <w:spacing w:after="0" w:line="97" w:lineRule="exact"/>
        <w:rPr>
          <w:sz w:val="20"/>
          <w:szCs w:val="20"/>
          <w:color w:val="auto"/>
        </w:rPr>
      </w:pPr>
    </w:p>
    <w:p>
      <w:pPr>
        <w:ind w:right="740"/>
        <w:spacing w:after="0" w:line="319" w:lineRule="auto"/>
        <w:rPr>
          <w:sz w:val="20"/>
          <w:szCs w:val="20"/>
          <w:color w:val="auto"/>
        </w:rPr>
      </w:pPr>
      <w:r>
        <w:rPr>
          <w:rFonts w:ascii="Arial" w:cs="Arial" w:eastAsia="Arial" w:hAnsi="Arial"/>
          <w:sz w:val="16"/>
          <w:szCs w:val="16"/>
          <w:color w:val="auto"/>
        </w:rPr>
        <w:t>Our consolidated financial statements and notes thereto, together with Management’s Report on Internal Control over Financial Reporting and Reports of Independent Registered Public Accounting Firm are included as a separate section of this Annual Report on Form 10-K commencing on page F-1.</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Financial Statement Schedules</w:t>
      </w:r>
    </w:p>
    <w:p>
      <w:pPr>
        <w:spacing w:after="0" w:line="97"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Our financial statement schedules are included in a separate section of this Annual Report on Form 10-K commencing on page </w:t>
      </w:r>
      <w:hyperlink w:anchor="page82">
        <w:r>
          <w:rPr>
            <w:rFonts w:ascii="Arial" w:cs="Arial" w:eastAsia="Arial" w:hAnsi="Arial"/>
            <w:sz w:val="17"/>
            <w:szCs w:val="17"/>
            <w:u w:val="single" w:color="auto"/>
            <w:color w:val="0000FF"/>
          </w:rPr>
          <w:t>F-31</w:t>
        </w:r>
      </w:hyperlink>
      <w:r>
        <w:rPr>
          <w:rFonts w:ascii="Arial" w:cs="Arial" w:eastAsia="Arial" w:hAnsi="Arial"/>
          <w:sz w:val="17"/>
          <w:szCs w:val="17"/>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Exhibits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A list of exhibits to this Annual Report on Form 10-K is set forth on the Exhibit Index immediately preceding such exhibits and is incorporated herein by reference.</w:t>
      </w:r>
    </w:p>
    <w:p>
      <w:pPr>
        <w:spacing w:after="0" w:line="192" w:lineRule="exact"/>
        <w:rPr>
          <w:sz w:val="20"/>
          <w:szCs w:val="20"/>
          <w:color w:val="auto"/>
        </w:rPr>
      </w:pPr>
    </w:p>
    <w:p>
      <w:pPr>
        <w:ind w:left="240" w:hanging="236"/>
        <w:spacing w:after="0"/>
        <w:tabs>
          <w:tab w:leader="none" w:pos="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See Exhibit Index</w:t>
      </w:r>
    </w:p>
    <w:p>
      <w:pPr>
        <w:spacing w:after="0" w:line="168" w:lineRule="exact"/>
        <w:rPr>
          <w:rFonts w:ascii="Arial" w:cs="Arial" w:eastAsia="Arial" w:hAnsi="Arial"/>
          <w:sz w:val="17"/>
          <w:szCs w:val="17"/>
          <w:color w:val="auto"/>
        </w:rPr>
      </w:pPr>
    </w:p>
    <w:p>
      <w:pPr>
        <w:ind w:left="240" w:hanging="236"/>
        <w:spacing w:after="0"/>
        <w:tabs>
          <w:tab w:leader="none" w:pos="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35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 this February 12, 2013.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Federal Realty Investment Trust</w:t>
      </w:r>
    </w:p>
    <w:p>
      <w:pPr>
        <w:spacing w:after="0" w:line="377" w:lineRule="exact"/>
        <w:rPr>
          <w:sz w:val="20"/>
          <w:szCs w:val="20"/>
          <w:color w:val="auto"/>
        </w:rPr>
      </w:pPr>
    </w:p>
    <w:p>
      <w:pPr>
        <w:ind w:left="5080"/>
        <w:spacing w:after="0"/>
        <w:tabs>
          <w:tab w:leader="none" w:pos="6300" w:val="left"/>
          <w:tab w:leader="none" w:pos="66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40640</wp:posOffset>
            </wp:positionV>
            <wp:extent cx="2453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3005" cy="8255"/>
                    </a:xfrm>
                    <a:prstGeom prst="rect">
                      <a:avLst/>
                    </a:prstGeom>
                    <a:noFill/>
                  </pic:spPr>
                </pic:pic>
              </a:graphicData>
            </a:graphic>
          </wp:anchor>
        </w:drawing>
      </w:r>
    </w:p>
    <w:p>
      <w:pPr>
        <w:spacing w:after="0" w:line="59" w:lineRule="exact"/>
        <w:rPr>
          <w:sz w:val="20"/>
          <w:szCs w:val="20"/>
          <w:color w:val="auto"/>
        </w:rPr>
      </w:pPr>
    </w:p>
    <w:p>
      <w:pPr>
        <w:jc w:val="center"/>
        <w:ind w:left="3160"/>
        <w:spacing w:after="0"/>
        <w:rPr>
          <w:sz w:val="20"/>
          <w:szCs w:val="20"/>
          <w:color w:val="auto"/>
        </w:rPr>
      </w:pPr>
      <w:r>
        <w:rPr>
          <w:rFonts w:ascii="Arial" w:cs="Arial" w:eastAsia="Arial" w:hAnsi="Arial"/>
          <w:sz w:val="14"/>
          <w:szCs w:val="14"/>
          <w:b w:val="1"/>
          <w:bCs w:val="1"/>
          <w:color w:val="auto"/>
        </w:rPr>
        <w:t>Donald C. Wood</w:t>
      </w:r>
    </w:p>
    <w:p>
      <w:pPr>
        <w:jc w:val="center"/>
        <w:ind w:left="3160"/>
        <w:spacing w:after="0"/>
        <w:rPr>
          <w:sz w:val="20"/>
          <w:szCs w:val="20"/>
          <w:color w:val="auto"/>
        </w:rPr>
      </w:pPr>
      <w:r>
        <w:rPr>
          <w:rFonts w:ascii="Arial" w:cs="Arial" w:eastAsia="Arial" w:hAnsi="Arial"/>
          <w:sz w:val="14"/>
          <w:szCs w:val="14"/>
          <w:b w:val="1"/>
          <w:bCs w:val="1"/>
          <w:color w:val="auto"/>
        </w:rPr>
        <w:t>President, Chief Executive Officer and Trustee</w:t>
      </w:r>
    </w:p>
    <w:p>
      <w:pPr>
        <w:spacing w:after="0" w:line="17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89"/>
              </w:rPr>
              <w:t>Signature</w:t>
            </w:r>
          </w:p>
        </w:tc>
        <w:tc>
          <w:tcPr>
            <w:tcW w:w="232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260" w:type="dxa"/>
            <w:vAlign w:val="bottom"/>
            <w:gridSpan w:val="3"/>
          </w:tcPr>
          <w:p>
            <w:pPr>
              <w:jc w:val="center"/>
              <w:ind w:left="895"/>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4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720" w:type="dxa"/>
            <w:vAlign w:val="bottom"/>
            <w:gridSpan w:val="3"/>
          </w:tcPr>
          <w:p>
            <w:pPr>
              <w:jc w:val="center"/>
              <w:ind w:right="1400"/>
              <w:spacing w:after="0"/>
              <w:rPr>
                <w:sz w:val="20"/>
                <w:szCs w:val="20"/>
                <w:color w:val="auto"/>
              </w:rPr>
            </w:pP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tc>
        <w:tc>
          <w:tcPr>
            <w:tcW w:w="4320" w:type="dxa"/>
            <w:vAlign w:val="bottom"/>
            <w:gridSpan w:val="3"/>
          </w:tcPr>
          <w:p>
            <w:pPr>
              <w:ind w:left="480"/>
              <w:spacing w:after="0"/>
              <w:rPr>
                <w:sz w:val="20"/>
                <w:szCs w:val="20"/>
                <w:color w:val="auto"/>
              </w:rPr>
            </w:pPr>
            <w:r>
              <w:rPr>
                <w:rFonts w:ascii="Arial" w:cs="Arial" w:eastAsia="Arial" w:hAnsi="Arial"/>
                <w:sz w:val="17"/>
                <w:szCs w:val="17"/>
                <w:color w:val="auto"/>
              </w:rPr>
              <w:t>President, Chief Executive Officer and</w:t>
            </w:r>
          </w:p>
        </w:tc>
        <w:tc>
          <w:tcPr>
            <w:tcW w:w="2260" w:type="dxa"/>
            <w:vAlign w:val="bottom"/>
            <w:gridSpan w:val="3"/>
          </w:tcPr>
          <w:p>
            <w:pPr>
              <w:jc w:val="center"/>
              <w:ind w:left="895"/>
              <w:spacing w:after="0"/>
              <w:rPr>
                <w:sz w:val="20"/>
                <w:szCs w:val="20"/>
                <w:color w:val="auto"/>
              </w:rPr>
            </w:pPr>
            <w:r>
              <w:rPr>
                <w:rFonts w:ascii="Arial" w:cs="Arial" w:eastAsia="Arial" w:hAnsi="Arial"/>
                <w:sz w:val="17"/>
                <w:szCs w:val="17"/>
                <w:color w:val="auto"/>
                <w:w w:val="92"/>
              </w:rPr>
              <w:t>February 12, 2013</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320" w:type="dxa"/>
            <w:vAlign w:val="bottom"/>
            <w:gridSpan w:val="3"/>
            <w:vMerge w:val="restart"/>
          </w:tcPr>
          <w:p>
            <w:pPr>
              <w:ind w:left="720"/>
              <w:spacing w:after="0"/>
              <w:rPr>
                <w:sz w:val="20"/>
                <w:szCs w:val="20"/>
                <w:color w:val="auto"/>
              </w:rPr>
            </w:pPr>
            <w:r>
              <w:rPr>
                <w:rFonts w:ascii="Arial" w:cs="Arial" w:eastAsia="Arial" w:hAnsi="Arial"/>
                <w:sz w:val="17"/>
                <w:szCs w:val="17"/>
                <w:color w:val="auto"/>
              </w:rPr>
              <w:t>Trustee (Principal Executive Officer)</w:t>
            </w: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400" w:type="dxa"/>
            <w:vAlign w:val="bottom"/>
          </w:tcPr>
          <w:p>
            <w:pPr>
              <w:spacing w:after="0"/>
              <w:rPr>
                <w:sz w:val="18"/>
                <w:szCs w:val="18"/>
                <w:color w:val="auto"/>
              </w:rPr>
            </w:pPr>
          </w:p>
        </w:tc>
        <w:tc>
          <w:tcPr>
            <w:tcW w:w="306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0"/>
              </w:rPr>
              <w:t>Donald C. Wood</w:t>
            </w:r>
          </w:p>
        </w:tc>
        <w:tc>
          <w:tcPr>
            <w:tcW w:w="4320" w:type="dxa"/>
            <w:vAlign w:val="bottom"/>
            <w:gridSpan w:val="3"/>
            <w:vMerge w:val="continue"/>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4460" w:type="dxa"/>
            <w:vAlign w:val="bottom"/>
            <w:gridSpan w:val="5"/>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JAMES M. TAYLOR, JR.</w:t>
            </w:r>
          </w:p>
        </w:tc>
        <w:tc>
          <w:tcPr>
            <w:tcW w:w="4320" w:type="dxa"/>
            <w:vAlign w:val="bottom"/>
            <w:gridSpan w:val="3"/>
          </w:tcPr>
          <w:p>
            <w:pPr>
              <w:ind w:left="480"/>
              <w:spacing w:after="0"/>
              <w:rPr>
                <w:sz w:val="20"/>
                <w:szCs w:val="20"/>
                <w:color w:val="auto"/>
              </w:rPr>
            </w:pPr>
            <w:r>
              <w:rPr>
                <w:rFonts w:ascii="Arial" w:cs="Arial" w:eastAsia="Arial" w:hAnsi="Arial"/>
                <w:sz w:val="17"/>
                <w:szCs w:val="17"/>
                <w:color w:val="auto"/>
              </w:rPr>
              <w:t>Executive Vice President-Chief Financial</w:t>
            </w:r>
          </w:p>
        </w:tc>
        <w:tc>
          <w:tcPr>
            <w:tcW w:w="2260" w:type="dxa"/>
            <w:vAlign w:val="bottom"/>
            <w:gridSpan w:val="3"/>
          </w:tcPr>
          <w:p>
            <w:pPr>
              <w:jc w:val="center"/>
              <w:ind w:left="895"/>
              <w:spacing w:after="0"/>
              <w:rPr>
                <w:sz w:val="20"/>
                <w:szCs w:val="20"/>
                <w:color w:val="auto"/>
              </w:rPr>
            </w:pPr>
            <w:r>
              <w:rPr>
                <w:rFonts w:ascii="Arial" w:cs="Arial" w:eastAsia="Arial" w:hAnsi="Arial"/>
                <w:sz w:val="17"/>
                <w:szCs w:val="17"/>
                <w:color w:val="auto"/>
                <w:w w:val="92"/>
              </w:rPr>
              <w:t>February 12, 2013</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320" w:type="dxa"/>
            <w:vAlign w:val="bottom"/>
            <w:gridSpan w:val="3"/>
            <w:vMerge w:val="restart"/>
          </w:tcPr>
          <w:p>
            <w:pPr>
              <w:ind w:left="720"/>
              <w:spacing w:after="0"/>
              <w:rPr>
                <w:sz w:val="20"/>
                <w:szCs w:val="20"/>
                <w:color w:val="auto"/>
              </w:rPr>
            </w:pPr>
            <w:r>
              <w:rPr>
                <w:rFonts w:ascii="Arial" w:cs="Arial" w:eastAsia="Arial" w:hAnsi="Arial"/>
                <w:sz w:val="17"/>
                <w:szCs w:val="17"/>
                <w:color w:val="auto"/>
              </w:rPr>
              <w:t>Officer and Treasurer (Principal</w:t>
            </w: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400" w:type="dxa"/>
            <w:vAlign w:val="bottom"/>
          </w:tcPr>
          <w:p>
            <w:pPr>
              <w:spacing w:after="0"/>
              <w:rPr>
                <w:sz w:val="18"/>
                <w:szCs w:val="18"/>
                <w:color w:val="auto"/>
              </w:rPr>
            </w:pPr>
          </w:p>
        </w:tc>
        <w:tc>
          <w:tcPr>
            <w:tcW w:w="3060" w:type="dxa"/>
            <w:vAlign w:val="bottom"/>
            <w:gridSpan w:val="4"/>
          </w:tcPr>
          <w:p>
            <w:pPr>
              <w:jc w:val="center"/>
              <w:ind w:right="1380"/>
              <w:spacing w:after="0"/>
              <w:rPr>
                <w:sz w:val="20"/>
                <w:szCs w:val="20"/>
                <w:color w:val="auto"/>
              </w:rPr>
            </w:pPr>
            <w:r>
              <w:rPr>
                <w:rFonts w:ascii="Arial" w:cs="Arial" w:eastAsia="Arial" w:hAnsi="Arial"/>
                <w:sz w:val="14"/>
                <w:szCs w:val="14"/>
                <w:b w:val="1"/>
                <w:bCs w:val="1"/>
                <w:color w:val="auto"/>
                <w:w w:val="89"/>
              </w:rPr>
              <w:t>James M. Taylor, Jr.</w:t>
            </w:r>
          </w:p>
        </w:tc>
        <w:tc>
          <w:tcPr>
            <w:tcW w:w="4320" w:type="dxa"/>
            <w:vAlign w:val="bottom"/>
            <w:gridSpan w:val="3"/>
            <w:vMerge w:val="continue"/>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320" w:type="dxa"/>
            <w:vAlign w:val="bottom"/>
            <w:gridSpan w:val="3"/>
          </w:tcPr>
          <w:p>
            <w:pPr>
              <w:ind w:left="720"/>
              <w:spacing w:after="0"/>
              <w:rPr>
                <w:sz w:val="20"/>
                <w:szCs w:val="20"/>
                <w:color w:val="auto"/>
              </w:rPr>
            </w:pPr>
            <w:r>
              <w:rPr>
                <w:rFonts w:ascii="Arial" w:cs="Arial" w:eastAsia="Arial" w:hAnsi="Arial"/>
                <w:sz w:val="17"/>
                <w:szCs w:val="17"/>
                <w:color w:val="auto"/>
              </w:rPr>
              <w:t>Financial and Accounting Officer)</w:t>
            </w:r>
          </w:p>
        </w:tc>
        <w:tc>
          <w:tcPr>
            <w:tcW w:w="1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3"/>
        </w:trPr>
        <w:tc>
          <w:tcPr>
            <w:tcW w:w="1400" w:type="dxa"/>
            <w:vAlign w:val="bottom"/>
          </w:tcPr>
          <w:p>
            <w:pPr>
              <w:ind w:left="11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060" w:type="dxa"/>
            <w:vAlign w:val="bottom"/>
            <w:gridSpan w:val="4"/>
          </w:tcPr>
          <w:p>
            <w:pPr>
              <w:jc w:val="center"/>
              <w:ind w:right="1040"/>
              <w:spacing w:after="0"/>
              <w:rPr>
                <w:sz w:val="20"/>
                <w:szCs w:val="20"/>
                <w:color w:val="auto"/>
              </w:rPr>
            </w:pPr>
            <w:r>
              <w:rPr>
                <w:rFonts w:ascii="Arial" w:cs="Arial" w:eastAsia="Arial" w:hAnsi="Arial"/>
                <w:sz w:val="17"/>
                <w:szCs w:val="17"/>
                <w:color w:val="auto"/>
                <w:w w:val="99"/>
              </w:rPr>
              <w:t>J</w:t>
            </w:r>
            <w:r>
              <w:rPr>
                <w:rFonts w:ascii="Arial" w:cs="Arial" w:eastAsia="Arial" w:hAnsi="Arial"/>
                <w:sz w:val="13"/>
                <w:szCs w:val="13"/>
                <w:color w:val="auto"/>
                <w:w w:val="99"/>
              </w:rPr>
              <w:t>OSEPH</w:t>
            </w:r>
            <w:r>
              <w:rPr>
                <w:rFonts w:ascii="Arial" w:cs="Arial" w:eastAsia="Arial" w:hAnsi="Arial"/>
                <w:sz w:val="17"/>
                <w:szCs w:val="17"/>
                <w:color w:val="auto"/>
                <w:w w:val="99"/>
              </w:rPr>
              <w:t xml:space="preserve"> S. V</w:t>
            </w:r>
            <w:r>
              <w:rPr>
                <w:rFonts w:ascii="Arial" w:cs="Arial" w:eastAsia="Arial" w:hAnsi="Arial"/>
                <w:sz w:val="13"/>
                <w:szCs w:val="13"/>
                <w:color w:val="auto"/>
                <w:w w:val="99"/>
              </w:rPr>
              <w:t>ASSALLUZZO</w:t>
            </w:r>
          </w:p>
        </w:tc>
        <w:tc>
          <w:tcPr>
            <w:tcW w:w="4320" w:type="dxa"/>
            <w:vAlign w:val="bottom"/>
            <w:gridSpan w:val="3"/>
          </w:tcPr>
          <w:p>
            <w:pPr>
              <w:ind w:left="480"/>
              <w:spacing w:after="0"/>
              <w:rPr>
                <w:sz w:val="20"/>
                <w:szCs w:val="20"/>
                <w:color w:val="auto"/>
              </w:rPr>
            </w:pPr>
            <w:r>
              <w:rPr>
                <w:rFonts w:ascii="Arial" w:cs="Arial" w:eastAsia="Arial" w:hAnsi="Arial"/>
                <w:sz w:val="17"/>
                <w:szCs w:val="17"/>
                <w:color w:val="auto"/>
              </w:rPr>
              <w:t>Non-Executive Chairman</w:t>
            </w:r>
          </w:p>
        </w:tc>
        <w:tc>
          <w:tcPr>
            <w:tcW w:w="2260" w:type="dxa"/>
            <w:vAlign w:val="bottom"/>
            <w:gridSpan w:val="3"/>
          </w:tcPr>
          <w:p>
            <w:pPr>
              <w:jc w:val="center"/>
              <w:ind w:left="895"/>
              <w:spacing w:after="0"/>
              <w:rPr>
                <w:sz w:val="20"/>
                <w:szCs w:val="20"/>
                <w:color w:val="auto"/>
              </w:rPr>
            </w:pPr>
            <w:r>
              <w:rPr>
                <w:rFonts w:ascii="Arial" w:cs="Arial" w:eastAsia="Arial" w:hAnsi="Arial"/>
                <w:sz w:val="17"/>
                <w:szCs w:val="17"/>
                <w:color w:val="auto"/>
                <w:w w:val="92"/>
              </w:rPr>
              <w:t>February 12, 2013</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306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84"/>
              </w:rPr>
              <w:t>Joseph S. Vassalluzzo</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1"/>
        </w:trPr>
        <w:tc>
          <w:tcPr>
            <w:tcW w:w="140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Arial" w:cs="Arial" w:eastAsia="Arial" w:hAnsi="Arial"/>
                <w:sz w:val="17"/>
                <w:szCs w:val="17"/>
                <w:color w:val="auto"/>
                <w:w w:val="76"/>
              </w:rPr>
              <w:t>/</w:t>
            </w:r>
            <w:r>
              <w:rPr>
                <w:rFonts w:ascii="Arial" w:cs="Arial" w:eastAsia="Arial" w:hAnsi="Arial"/>
                <w:sz w:val="13"/>
                <w:szCs w:val="13"/>
                <w:color w:val="auto"/>
                <w:w w:val="76"/>
              </w:rPr>
              <w:t>S</w:t>
            </w:r>
            <w:r>
              <w:rPr>
                <w:rFonts w:ascii="Arial" w:cs="Arial" w:eastAsia="Arial" w:hAnsi="Arial"/>
                <w:sz w:val="17"/>
                <w:szCs w:val="17"/>
                <w:color w:val="auto"/>
                <w:w w:val="76"/>
              </w:rPr>
              <w:t>/</w:t>
            </w:r>
          </w:p>
        </w:tc>
        <w:tc>
          <w:tcPr>
            <w:tcW w:w="2720" w:type="dxa"/>
            <w:vAlign w:val="bottom"/>
            <w:gridSpan w:val="3"/>
          </w:tcPr>
          <w:p>
            <w:pPr>
              <w:jc w:val="center"/>
              <w:ind w:right="1380"/>
              <w:spacing w:after="0"/>
              <w:rPr>
                <w:sz w:val="20"/>
                <w:szCs w:val="20"/>
                <w:color w:val="auto"/>
              </w:rPr>
            </w:pPr>
            <w:r>
              <w:rPr>
                <w:rFonts w:ascii="Arial" w:cs="Arial" w:eastAsia="Arial" w:hAnsi="Arial"/>
                <w:sz w:val="17"/>
                <w:szCs w:val="17"/>
                <w:color w:val="auto"/>
                <w:w w:val="97"/>
              </w:rPr>
              <w:t>J</w:t>
            </w:r>
            <w:r>
              <w:rPr>
                <w:rFonts w:ascii="Arial" w:cs="Arial" w:eastAsia="Arial" w:hAnsi="Arial"/>
                <w:sz w:val="13"/>
                <w:szCs w:val="13"/>
                <w:color w:val="auto"/>
                <w:w w:val="97"/>
              </w:rPr>
              <w:t>ON</w:t>
            </w:r>
            <w:r>
              <w:rPr>
                <w:rFonts w:ascii="Arial" w:cs="Arial" w:eastAsia="Arial" w:hAnsi="Arial"/>
                <w:sz w:val="17"/>
                <w:szCs w:val="17"/>
                <w:color w:val="auto"/>
                <w:w w:val="97"/>
              </w:rPr>
              <w:t xml:space="preserve"> E. B</w:t>
            </w:r>
            <w:r>
              <w:rPr>
                <w:rFonts w:ascii="Arial" w:cs="Arial" w:eastAsia="Arial" w:hAnsi="Arial"/>
                <w:sz w:val="13"/>
                <w:szCs w:val="13"/>
                <w:color w:val="auto"/>
                <w:w w:val="97"/>
              </w:rPr>
              <w:t>ORTZ</w:t>
            </w:r>
          </w:p>
        </w:tc>
        <w:tc>
          <w:tcPr>
            <w:tcW w:w="4320" w:type="dxa"/>
            <w:vAlign w:val="bottom"/>
            <w:gridSpan w:val="3"/>
          </w:tcPr>
          <w:p>
            <w:pPr>
              <w:ind w:left="480"/>
              <w:spacing w:after="0"/>
              <w:rPr>
                <w:sz w:val="20"/>
                <w:szCs w:val="20"/>
                <w:color w:val="auto"/>
              </w:rPr>
            </w:pPr>
            <w:r>
              <w:rPr>
                <w:rFonts w:ascii="Arial" w:cs="Arial" w:eastAsia="Arial" w:hAnsi="Arial"/>
                <w:sz w:val="17"/>
                <w:szCs w:val="17"/>
                <w:color w:val="auto"/>
              </w:rPr>
              <w:t>Trustee</w:t>
            </w:r>
          </w:p>
        </w:tc>
        <w:tc>
          <w:tcPr>
            <w:tcW w:w="2260" w:type="dxa"/>
            <w:vAlign w:val="bottom"/>
            <w:gridSpan w:val="3"/>
          </w:tcPr>
          <w:p>
            <w:pPr>
              <w:jc w:val="center"/>
              <w:ind w:left="895"/>
              <w:spacing w:after="0"/>
              <w:rPr>
                <w:sz w:val="20"/>
                <w:szCs w:val="20"/>
                <w:color w:val="auto"/>
              </w:rPr>
            </w:pPr>
            <w:r>
              <w:rPr>
                <w:rFonts w:ascii="Arial" w:cs="Arial" w:eastAsia="Arial" w:hAnsi="Arial"/>
                <w:sz w:val="17"/>
                <w:szCs w:val="17"/>
                <w:color w:val="auto"/>
                <w:w w:val="92"/>
              </w:rPr>
              <w:t>February 12, 2013</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0"/>
              </w:rPr>
              <w:t>Jon E. Bortz</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9"/>
        </w:trPr>
        <w:tc>
          <w:tcPr>
            <w:tcW w:w="140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720" w:type="dxa"/>
            <w:vAlign w:val="bottom"/>
            <w:gridSpan w:val="3"/>
          </w:tcPr>
          <w:p>
            <w:pPr>
              <w:jc w:val="center"/>
              <w:ind w:right="1380"/>
              <w:spacing w:after="0"/>
              <w:rPr>
                <w:sz w:val="20"/>
                <w:szCs w:val="20"/>
                <w:color w:val="auto"/>
              </w:rPr>
            </w:pPr>
            <w:r>
              <w:rPr>
                <w:rFonts w:ascii="Arial" w:cs="Arial" w:eastAsia="Arial" w:hAnsi="Arial"/>
                <w:sz w:val="17"/>
                <w:szCs w:val="17"/>
                <w:color w:val="auto"/>
              </w:rPr>
              <w:t>D</w:t>
            </w:r>
            <w:r>
              <w:rPr>
                <w:rFonts w:ascii="Arial" w:cs="Arial" w:eastAsia="Arial" w:hAnsi="Arial"/>
                <w:sz w:val="13"/>
                <w:szCs w:val="13"/>
                <w:color w:val="auto"/>
              </w:rPr>
              <w:t>AVID</w:t>
            </w:r>
            <w:r>
              <w:rPr>
                <w:rFonts w:ascii="Arial" w:cs="Arial" w:eastAsia="Arial" w:hAnsi="Arial"/>
                <w:sz w:val="17"/>
                <w:szCs w:val="17"/>
                <w:color w:val="auto"/>
              </w:rPr>
              <w:t xml:space="preserve"> W. F</w:t>
            </w:r>
            <w:r>
              <w:rPr>
                <w:rFonts w:ascii="Arial" w:cs="Arial" w:eastAsia="Arial" w:hAnsi="Arial"/>
                <w:sz w:val="13"/>
                <w:szCs w:val="13"/>
                <w:color w:val="auto"/>
              </w:rPr>
              <w:t>AEDER</w:t>
            </w:r>
          </w:p>
        </w:tc>
        <w:tc>
          <w:tcPr>
            <w:tcW w:w="4320" w:type="dxa"/>
            <w:vAlign w:val="bottom"/>
            <w:gridSpan w:val="3"/>
          </w:tcPr>
          <w:p>
            <w:pPr>
              <w:ind w:left="480"/>
              <w:spacing w:after="0"/>
              <w:rPr>
                <w:sz w:val="20"/>
                <w:szCs w:val="20"/>
                <w:color w:val="auto"/>
              </w:rPr>
            </w:pPr>
            <w:r>
              <w:rPr>
                <w:rFonts w:ascii="Arial" w:cs="Arial" w:eastAsia="Arial" w:hAnsi="Arial"/>
                <w:sz w:val="17"/>
                <w:szCs w:val="17"/>
                <w:color w:val="auto"/>
              </w:rPr>
              <w:t>Trustee</w:t>
            </w:r>
          </w:p>
        </w:tc>
        <w:tc>
          <w:tcPr>
            <w:tcW w:w="2260" w:type="dxa"/>
            <w:vAlign w:val="bottom"/>
            <w:gridSpan w:val="3"/>
          </w:tcPr>
          <w:p>
            <w:pPr>
              <w:jc w:val="center"/>
              <w:ind w:left="895"/>
              <w:spacing w:after="0"/>
              <w:rPr>
                <w:sz w:val="20"/>
                <w:szCs w:val="20"/>
                <w:color w:val="auto"/>
              </w:rPr>
            </w:pPr>
            <w:r>
              <w:rPr>
                <w:rFonts w:ascii="Arial" w:cs="Arial" w:eastAsia="Arial" w:hAnsi="Arial"/>
                <w:sz w:val="17"/>
                <w:szCs w:val="17"/>
                <w:color w:val="auto"/>
                <w:w w:val="92"/>
              </w:rPr>
              <w:t>February 12, 2013</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3060" w:type="dxa"/>
            <w:vAlign w:val="bottom"/>
            <w:gridSpan w:val="4"/>
          </w:tcPr>
          <w:p>
            <w:pPr>
              <w:jc w:val="center"/>
              <w:ind w:right="1380"/>
              <w:spacing w:after="0"/>
              <w:rPr>
                <w:sz w:val="20"/>
                <w:szCs w:val="20"/>
                <w:color w:val="auto"/>
              </w:rPr>
            </w:pPr>
            <w:r>
              <w:rPr>
                <w:rFonts w:ascii="Arial" w:cs="Arial" w:eastAsia="Arial" w:hAnsi="Arial"/>
                <w:sz w:val="14"/>
                <w:szCs w:val="14"/>
                <w:b w:val="1"/>
                <w:bCs w:val="1"/>
                <w:color w:val="auto"/>
                <w:w w:val="91"/>
              </w:rPr>
              <w:t>David W. Faeder</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0"/>
        </w:trPr>
        <w:tc>
          <w:tcPr>
            <w:tcW w:w="14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720" w:type="dxa"/>
            <w:vAlign w:val="bottom"/>
            <w:gridSpan w:val="3"/>
          </w:tcPr>
          <w:p>
            <w:pPr>
              <w:jc w:val="center"/>
              <w:ind w:right="1380"/>
              <w:spacing w:after="0"/>
              <w:rPr>
                <w:sz w:val="20"/>
                <w:szCs w:val="20"/>
                <w:color w:val="auto"/>
              </w:rPr>
            </w:pPr>
            <w:r>
              <w:rPr>
                <w:rFonts w:ascii="Arial" w:cs="Arial" w:eastAsia="Arial" w:hAnsi="Arial"/>
                <w:sz w:val="17"/>
                <w:szCs w:val="17"/>
                <w:color w:val="auto"/>
              </w:rPr>
              <w:t>K</w:t>
            </w:r>
            <w:r>
              <w:rPr>
                <w:rFonts w:ascii="Arial" w:cs="Arial" w:eastAsia="Arial" w:hAnsi="Arial"/>
                <w:sz w:val="13"/>
                <w:szCs w:val="13"/>
                <w:color w:val="auto"/>
              </w:rPr>
              <w:t>RISTIN</w:t>
            </w:r>
            <w:r>
              <w:rPr>
                <w:rFonts w:ascii="Arial" w:cs="Arial" w:eastAsia="Arial" w:hAnsi="Arial"/>
                <w:sz w:val="17"/>
                <w:szCs w:val="17"/>
                <w:color w:val="auto"/>
              </w:rPr>
              <w:t xml:space="preserve"> G</w:t>
            </w:r>
            <w:r>
              <w:rPr>
                <w:rFonts w:ascii="Arial" w:cs="Arial" w:eastAsia="Arial" w:hAnsi="Arial"/>
                <w:sz w:val="13"/>
                <w:szCs w:val="13"/>
                <w:color w:val="auto"/>
              </w:rPr>
              <w:t>AMBLE</w:t>
            </w:r>
          </w:p>
        </w:tc>
        <w:tc>
          <w:tcPr>
            <w:tcW w:w="4320" w:type="dxa"/>
            <w:vAlign w:val="bottom"/>
            <w:gridSpan w:val="3"/>
          </w:tcPr>
          <w:p>
            <w:pPr>
              <w:ind w:left="480"/>
              <w:spacing w:after="0"/>
              <w:rPr>
                <w:sz w:val="20"/>
                <w:szCs w:val="20"/>
                <w:color w:val="auto"/>
              </w:rPr>
            </w:pPr>
            <w:r>
              <w:rPr>
                <w:rFonts w:ascii="Arial" w:cs="Arial" w:eastAsia="Arial" w:hAnsi="Arial"/>
                <w:sz w:val="17"/>
                <w:szCs w:val="17"/>
                <w:color w:val="auto"/>
              </w:rPr>
              <w:t>Trustee</w:t>
            </w:r>
          </w:p>
        </w:tc>
        <w:tc>
          <w:tcPr>
            <w:tcW w:w="2260" w:type="dxa"/>
            <w:vAlign w:val="bottom"/>
            <w:gridSpan w:val="3"/>
          </w:tcPr>
          <w:p>
            <w:pPr>
              <w:jc w:val="center"/>
              <w:ind w:left="895"/>
              <w:spacing w:after="0"/>
              <w:rPr>
                <w:sz w:val="20"/>
                <w:szCs w:val="20"/>
                <w:color w:val="auto"/>
              </w:rPr>
            </w:pPr>
            <w:r>
              <w:rPr>
                <w:rFonts w:ascii="Arial" w:cs="Arial" w:eastAsia="Arial" w:hAnsi="Arial"/>
                <w:sz w:val="17"/>
                <w:szCs w:val="17"/>
                <w:color w:val="auto"/>
                <w:w w:val="92"/>
              </w:rPr>
              <w:t>February 12, 2013</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2"/>
              </w:rPr>
              <w:t>Kristin Gamble</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1"/>
        </w:trPr>
        <w:tc>
          <w:tcPr>
            <w:tcW w:w="140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720" w:type="dxa"/>
            <w:vAlign w:val="bottom"/>
            <w:gridSpan w:val="3"/>
          </w:tcPr>
          <w:p>
            <w:pPr>
              <w:jc w:val="center"/>
              <w:ind w:right="1380"/>
              <w:spacing w:after="0"/>
              <w:rPr>
                <w:sz w:val="20"/>
                <w:szCs w:val="20"/>
                <w:color w:val="auto"/>
              </w:rPr>
            </w:pPr>
            <w:r>
              <w:rPr>
                <w:rFonts w:ascii="Arial" w:cs="Arial" w:eastAsia="Arial" w:hAnsi="Arial"/>
                <w:sz w:val="17"/>
                <w:szCs w:val="17"/>
                <w:color w:val="auto"/>
                <w:w w:val="98"/>
              </w:rPr>
              <w:t>G</w:t>
            </w:r>
            <w:r>
              <w:rPr>
                <w:rFonts w:ascii="Arial" w:cs="Arial" w:eastAsia="Arial" w:hAnsi="Arial"/>
                <w:sz w:val="13"/>
                <w:szCs w:val="13"/>
                <w:color w:val="auto"/>
                <w:w w:val="98"/>
              </w:rPr>
              <w:t>AIL</w:t>
            </w:r>
            <w:r>
              <w:rPr>
                <w:rFonts w:ascii="Arial" w:cs="Arial" w:eastAsia="Arial" w:hAnsi="Arial"/>
                <w:sz w:val="17"/>
                <w:szCs w:val="17"/>
                <w:color w:val="auto"/>
                <w:w w:val="98"/>
              </w:rPr>
              <w:t xml:space="preserve"> P. S</w:t>
            </w:r>
            <w:r>
              <w:rPr>
                <w:rFonts w:ascii="Arial" w:cs="Arial" w:eastAsia="Arial" w:hAnsi="Arial"/>
                <w:sz w:val="13"/>
                <w:szCs w:val="13"/>
                <w:color w:val="auto"/>
                <w:w w:val="98"/>
              </w:rPr>
              <w:t>TEINEL</w:t>
            </w:r>
          </w:p>
        </w:tc>
        <w:tc>
          <w:tcPr>
            <w:tcW w:w="4320" w:type="dxa"/>
            <w:vAlign w:val="bottom"/>
            <w:gridSpan w:val="3"/>
          </w:tcPr>
          <w:p>
            <w:pPr>
              <w:ind w:left="480"/>
              <w:spacing w:after="0"/>
              <w:rPr>
                <w:sz w:val="20"/>
                <w:szCs w:val="20"/>
                <w:color w:val="auto"/>
              </w:rPr>
            </w:pPr>
            <w:r>
              <w:rPr>
                <w:rFonts w:ascii="Arial" w:cs="Arial" w:eastAsia="Arial" w:hAnsi="Arial"/>
                <w:sz w:val="17"/>
                <w:szCs w:val="17"/>
                <w:color w:val="auto"/>
              </w:rPr>
              <w:t>Trustee</w:t>
            </w:r>
          </w:p>
        </w:tc>
        <w:tc>
          <w:tcPr>
            <w:tcW w:w="2260" w:type="dxa"/>
            <w:vAlign w:val="bottom"/>
            <w:gridSpan w:val="3"/>
          </w:tcPr>
          <w:p>
            <w:pPr>
              <w:jc w:val="center"/>
              <w:ind w:left="895"/>
              <w:spacing w:after="0"/>
              <w:rPr>
                <w:sz w:val="20"/>
                <w:szCs w:val="20"/>
                <w:color w:val="auto"/>
              </w:rPr>
            </w:pPr>
            <w:r>
              <w:rPr>
                <w:rFonts w:ascii="Arial" w:cs="Arial" w:eastAsia="Arial" w:hAnsi="Arial"/>
                <w:sz w:val="17"/>
                <w:szCs w:val="17"/>
                <w:color w:val="auto"/>
                <w:w w:val="92"/>
              </w:rPr>
              <w:t>February 12, 2013</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9"/>
              </w:rPr>
              <w:t>Gail P. Steinel</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1"/>
        </w:trPr>
        <w:tc>
          <w:tcPr>
            <w:tcW w:w="1400" w:type="dxa"/>
            <w:vAlign w:val="bottom"/>
          </w:tcPr>
          <w:p>
            <w:pPr>
              <w:ind w:left="1220"/>
              <w:spacing w:after="0"/>
              <w:rPr>
                <w:sz w:val="20"/>
                <w:szCs w:val="20"/>
                <w:color w:val="auto"/>
              </w:rPr>
            </w:pPr>
            <w:r>
              <w:rPr>
                <w:rFonts w:ascii="Arial" w:cs="Arial" w:eastAsia="Arial" w:hAnsi="Arial"/>
                <w:sz w:val="17"/>
                <w:szCs w:val="17"/>
                <w:color w:val="auto"/>
                <w:w w:val="88"/>
              </w:rPr>
              <w:t>/</w:t>
            </w:r>
            <w:r>
              <w:rPr>
                <w:rFonts w:ascii="Arial" w:cs="Arial" w:eastAsia="Arial" w:hAnsi="Arial"/>
                <w:sz w:val="13"/>
                <w:szCs w:val="13"/>
                <w:color w:val="auto"/>
                <w:w w:val="88"/>
              </w:rPr>
              <w:t>S</w:t>
            </w:r>
            <w:r>
              <w:rPr>
                <w:rFonts w:ascii="Arial" w:cs="Arial" w:eastAsia="Arial" w:hAnsi="Arial"/>
                <w:sz w:val="17"/>
                <w:szCs w:val="17"/>
                <w:color w:val="auto"/>
                <w:w w:val="88"/>
              </w:rPr>
              <w:t>/</w:t>
            </w:r>
          </w:p>
        </w:tc>
        <w:tc>
          <w:tcPr>
            <w:tcW w:w="3060" w:type="dxa"/>
            <w:vAlign w:val="bottom"/>
            <w:gridSpan w:val="4"/>
          </w:tcPr>
          <w:p>
            <w:pPr>
              <w:jc w:val="center"/>
              <w:ind w:right="1040"/>
              <w:spacing w:after="0"/>
              <w:rPr>
                <w:sz w:val="20"/>
                <w:szCs w:val="20"/>
                <w:color w:val="auto"/>
              </w:rPr>
            </w:pPr>
            <w:r>
              <w:rPr>
                <w:rFonts w:ascii="Arial" w:cs="Arial" w:eastAsia="Arial" w:hAnsi="Arial"/>
                <w:sz w:val="17"/>
                <w:szCs w:val="17"/>
                <w:color w:val="auto"/>
              </w:rPr>
              <w:t>W</w:t>
            </w:r>
            <w:r>
              <w:rPr>
                <w:rFonts w:ascii="Arial" w:cs="Arial" w:eastAsia="Arial" w:hAnsi="Arial"/>
                <w:sz w:val="13"/>
                <w:szCs w:val="13"/>
                <w:color w:val="auto"/>
              </w:rPr>
              <w:t>ARREN</w:t>
            </w:r>
            <w:r>
              <w:rPr>
                <w:rFonts w:ascii="Arial" w:cs="Arial" w:eastAsia="Arial" w:hAnsi="Arial"/>
                <w:sz w:val="17"/>
                <w:szCs w:val="17"/>
                <w:color w:val="auto"/>
              </w:rPr>
              <w:t xml:space="preserve"> M. T</w:t>
            </w:r>
            <w:r>
              <w:rPr>
                <w:rFonts w:ascii="Arial" w:cs="Arial" w:eastAsia="Arial" w:hAnsi="Arial"/>
                <w:sz w:val="13"/>
                <w:szCs w:val="13"/>
                <w:color w:val="auto"/>
              </w:rPr>
              <w:t>HOMPSON</w:t>
            </w:r>
          </w:p>
        </w:tc>
        <w:tc>
          <w:tcPr>
            <w:tcW w:w="4320" w:type="dxa"/>
            <w:vAlign w:val="bottom"/>
            <w:gridSpan w:val="3"/>
          </w:tcPr>
          <w:p>
            <w:pPr>
              <w:ind w:left="480"/>
              <w:spacing w:after="0"/>
              <w:rPr>
                <w:sz w:val="20"/>
                <w:szCs w:val="20"/>
                <w:color w:val="auto"/>
              </w:rPr>
            </w:pPr>
            <w:r>
              <w:rPr>
                <w:rFonts w:ascii="Arial" w:cs="Arial" w:eastAsia="Arial" w:hAnsi="Arial"/>
                <w:sz w:val="17"/>
                <w:szCs w:val="17"/>
                <w:color w:val="auto"/>
              </w:rPr>
              <w:t>Trustee</w:t>
            </w:r>
          </w:p>
        </w:tc>
        <w:tc>
          <w:tcPr>
            <w:tcW w:w="2260" w:type="dxa"/>
            <w:vAlign w:val="bottom"/>
            <w:gridSpan w:val="3"/>
          </w:tcPr>
          <w:p>
            <w:pPr>
              <w:jc w:val="center"/>
              <w:ind w:left="895"/>
              <w:spacing w:after="0"/>
              <w:rPr>
                <w:sz w:val="20"/>
                <w:szCs w:val="20"/>
                <w:color w:val="auto"/>
              </w:rPr>
            </w:pPr>
            <w:r>
              <w:rPr>
                <w:rFonts w:ascii="Arial" w:cs="Arial" w:eastAsia="Arial" w:hAnsi="Arial"/>
                <w:sz w:val="17"/>
                <w:szCs w:val="17"/>
                <w:color w:val="auto"/>
                <w:w w:val="92"/>
              </w:rPr>
              <w:t>February 12, 2013</w:t>
            </w:r>
          </w:p>
        </w:tc>
        <w:tc>
          <w:tcPr>
            <w:tcW w:w="0" w:type="dxa"/>
            <w:vAlign w:val="bottom"/>
          </w:tcPr>
          <w:p>
            <w:pPr>
              <w:spacing w:after="0"/>
              <w:rPr>
                <w:sz w:val="1"/>
                <w:szCs w:val="1"/>
                <w:color w:val="auto"/>
              </w:rPr>
            </w:pPr>
          </w:p>
        </w:tc>
      </w:tr>
      <w:tr>
        <w:trPr>
          <w:trHeight w:val="26"/>
        </w:trPr>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3060" w:type="dxa"/>
            <w:vAlign w:val="bottom"/>
            <w:gridSpan w:val="4"/>
          </w:tcPr>
          <w:p>
            <w:pPr>
              <w:jc w:val="center"/>
              <w:ind w:right="1380"/>
              <w:spacing w:after="0"/>
              <w:rPr>
                <w:sz w:val="20"/>
                <w:szCs w:val="20"/>
                <w:color w:val="auto"/>
              </w:rPr>
            </w:pPr>
            <w:r>
              <w:rPr>
                <w:rFonts w:ascii="Arial" w:cs="Arial" w:eastAsia="Arial" w:hAnsi="Arial"/>
                <w:sz w:val="14"/>
                <w:szCs w:val="14"/>
                <w:b w:val="1"/>
                <w:bCs w:val="1"/>
                <w:color w:val="auto"/>
                <w:w w:val="92"/>
              </w:rPr>
              <w:t>Warren M. Thompson</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2"/>
        </w:trPr>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ind w:left="1160"/>
              <w:spacing w:after="0"/>
              <w:rPr>
                <w:sz w:val="20"/>
                <w:szCs w:val="20"/>
                <w:color w:val="auto"/>
              </w:rPr>
            </w:pPr>
            <w:r>
              <w:rPr>
                <w:rFonts w:ascii="Arial" w:cs="Arial" w:eastAsia="Arial" w:hAnsi="Arial"/>
                <w:sz w:val="17"/>
                <w:szCs w:val="17"/>
                <w:color w:val="auto"/>
              </w:rPr>
              <w:t>52</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8 and Item 15(a)(1) and (2)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 and Schedules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940" w:type="dxa"/>
            <w:vAlign w:val="bottom"/>
            <w:shd w:val="clear" w:color="auto" w:fill="CCEEFF"/>
          </w:tcPr>
          <w:p>
            <w:pPr>
              <w:ind w:left="40"/>
              <w:spacing w:after="0"/>
              <w:rPr>
                <w:sz w:val="20"/>
                <w:szCs w:val="20"/>
                <w:color w:val="auto"/>
              </w:rPr>
            </w:pPr>
            <w:r>
              <w:rPr>
                <w:rFonts w:ascii="Arial" w:cs="Arial" w:eastAsia="Arial" w:hAnsi="Arial"/>
                <w:sz w:val="17"/>
                <w:szCs w:val="17"/>
                <w:i w:val="1"/>
                <w:iCs w:val="1"/>
                <w:color w:val="auto"/>
              </w:rPr>
              <w:t>Consolidated Financial Statements</w:t>
            </w:r>
          </w:p>
        </w:tc>
        <w:tc>
          <w:tcPr>
            <w:tcW w:w="148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7"/>
                <w:szCs w:val="17"/>
                <w:color w:val="auto"/>
              </w:rPr>
              <w:t>Page No.</w:t>
            </w:r>
          </w:p>
        </w:tc>
      </w:tr>
      <w:tr>
        <w:trPr>
          <w:trHeight w:val="188"/>
        </w:trPr>
        <w:tc>
          <w:tcPr>
            <w:tcW w:w="9940" w:type="dxa"/>
            <w:vAlign w:val="bottom"/>
          </w:tcPr>
          <w:p>
            <w:pPr>
              <w:ind w:left="40"/>
              <w:spacing w:after="0" w:line="188" w:lineRule="exact"/>
              <w:rPr>
                <w:sz w:val="20"/>
                <w:szCs w:val="20"/>
                <w:color w:val="auto"/>
              </w:rPr>
            </w:pPr>
            <w:r>
              <w:rPr>
                <w:rFonts w:ascii="Arial" w:cs="Arial" w:eastAsia="Arial" w:hAnsi="Arial"/>
                <w:sz w:val="17"/>
                <w:szCs w:val="17"/>
                <w:color w:val="auto"/>
              </w:rPr>
              <w:t>Management Assessment Report on Internal Control over Financial Reporting</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ind w:right="20"/>
              <w:spacing w:after="0" w:line="188" w:lineRule="exact"/>
              <w:rPr>
                <w:rFonts w:ascii="Arial" w:cs="Arial" w:eastAsia="Arial" w:hAnsi="Arial"/>
                <w:sz w:val="17"/>
                <w:szCs w:val="17"/>
                <w:color w:val="0000FF"/>
                <w:w w:val="86"/>
              </w:rPr>
            </w:pPr>
            <w:hyperlink w:anchor="page53">
              <w:r>
                <w:rPr>
                  <w:rFonts w:ascii="Arial" w:cs="Arial" w:eastAsia="Arial" w:hAnsi="Arial"/>
                  <w:sz w:val="17"/>
                  <w:szCs w:val="17"/>
                  <w:color w:val="0000FF"/>
                  <w:w w:val="86"/>
                </w:rPr>
                <w:t>F-2</w:t>
              </w:r>
            </w:hyperlink>
          </w:p>
        </w:tc>
      </w:tr>
      <w:tr>
        <w:trPr>
          <w:trHeight w:val="45"/>
        </w:trPr>
        <w:tc>
          <w:tcPr>
            <w:tcW w:w="9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4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Report of Independent Registered Public Accounting Firm</w:t>
            </w: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FF"/>
            </w:tcBorders>
            <w:shd w:val="clear" w:color="auto" w:fill="CCEEFF"/>
          </w:tcPr>
          <w:p>
            <w:pPr>
              <w:jc w:val="right"/>
              <w:spacing w:after="0"/>
              <w:rPr>
                <w:rFonts w:ascii="Arial" w:cs="Arial" w:eastAsia="Arial" w:hAnsi="Arial"/>
                <w:sz w:val="17"/>
                <w:szCs w:val="17"/>
                <w:color w:val="0000FF"/>
                <w:w w:val="86"/>
              </w:rPr>
            </w:pPr>
            <w:hyperlink w:anchor="page54">
              <w:r>
                <w:rPr>
                  <w:rFonts w:ascii="Arial" w:cs="Arial" w:eastAsia="Arial" w:hAnsi="Arial"/>
                  <w:sz w:val="17"/>
                  <w:szCs w:val="17"/>
                  <w:color w:val="0000FF"/>
                  <w:w w:val="86"/>
                </w:rPr>
                <w:t>F-3</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195"/>
        </w:trPr>
        <w:tc>
          <w:tcPr>
            <w:tcW w:w="9940" w:type="dxa"/>
            <w:vAlign w:val="bottom"/>
          </w:tcPr>
          <w:p>
            <w:pPr>
              <w:ind w:left="40"/>
              <w:spacing w:after="0"/>
              <w:rPr>
                <w:sz w:val="20"/>
                <w:szCs w:val="20"/>
                <w:color w:val="auto"/>
              </w:rPr>
            </w:pPr>
            <w:r>
              <w:rPr>
                <w:rFonts w:ascii="Arial" w:cs="Arial" w:eastAsia="Arial" w:hAnsi="Arial"/>
                <w:sz w:val="17"/>
                <w:szCs w:val="17"/>
                <w:color w:val="auto"/>
              </w:rPr>
              <w:t>Report of Independent Registered Public Accounting Firm</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ind w:right="20"/>
              <w:spacing w:after="0"/>
              <w:rPr>
                <w:rFonts w:ascii="Arial" w:cs="Arial" w:eastAsia="Arial" w:hAnsi="Arial"/>
                <w:sz w:val="17"/>
                <w:szCs w:val="17"/>
                <w:color w:val="0000FF"/>
                <w:w w:val="86"/>
              </w:rPr>
            </w:pPr>
            <w:hyperlink w:anchor="page55">
              <w:r>
                <w:rPr>
                  <w:rFonts w:ascii="Arial" w:cs="Arial" w:eastAsia="Arial" w:hAnsi="Arial"/>
                  <w:sz w:val="17"/>
                  <w:szCs w:val="17"/>
                  <w:color w:val="0000FF"/>
                  <w:w w:val="86"/>
                </w:rPr>
                <w:t>F-4</w:t>
              </w:r>
            </w:hyperlink>
          </w:p>
        </w:tc>
      </w:tr>
      <w:tr>
        <w:trPr>
          <w:trHeight w:val="45"/>
        </w:trPr>
        <w:tc>
          <w:tcPr>
            <w:tcW w:w="9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4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Consolidated Balance Sheets</w:t>
            </w: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FF"/>
            </w:tcBorders>
            <w:shd w:val="clear" w:color="auto" w:fill="CCEEFF"/>
          </w:tcPr>
          <w:p>
            <w:pPr>
              <w:jc w:val="right"/>
              <w:spacing w:after="0"/>
              <w:rPr>
                <w:rFonts w:ascii="Arial" w:cs="Arial" w:eastAsia="Arial" w:hAnsi="Arial"/>
                <w:sz w:val="17"/>
                <w:szCs w:val="17"/>
                <w:color w:val="0000FF"/>
                <w:w w:val="86"/>
              </w:rPr>
            </w:pPr>
            <w:hyperlink w:anchor="page56">
              <w:r>
                <w:rPr>
                  <w:rFonts w:ascii="Arial" w:cs="Arial" w:eastAsia="Arial" w:hAnsi="Arial"/>
                  <w:sz w:val="17"/>
                  <w:szCs w:val="17"/>
                  <w:color w:val="0000FF"/>
                  <w:w w:val="86"/>
                </w:rPr>
                <w:t>F-5</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195"/>
        </w:trPr>
        <w:tc>
          <w:tcPr>
            <w:tcW w:w="9940" w:type="dxa"/>
            <w:vAlign w:val="bottom"/>
          </w:tcPr>
          <w:p>
            <w:pPr>
              <w:ind w:left="40"/>
              <w:spacing w:after="0"/>
              <w:rPr>
                <w:sz w:val="20"/>
                <w:szCs w:val="20"/>
                <w:color w:val="auto"/>
              </w:rPr>
            </w:pPr>
            <w:r>
              <w:rPr>
                <w:rFonts w:ascii="Arial" w:cs="Arial" w:eastAsia="Arial" w:hAnsi="Arial"/>
                <w:sz w:val="17"/>
                <w:szCs w:val="17"/>
                <w:color w:val="auto"/>
              </w:rPr>
              <w:t>Consolidated Statements of Comprehensive Income</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ind w:right="20"/>
              <w:spacing w:after="0"/>
              <w:rPr>
                <w:rFonts w:ascii="Arial" w:cs="Arial" w:eastAsia="Arial" w:hAnsi="Arial"/>
                <w:sz w:val="17"/>
                <w:szCs w:val="17"/>
                <w:color w:val="0000FF"/>
                <w:w w:val="86"/>
              </w:rPr>
            </w:pPr>
            <w:hyperlink w:anchor="page57">
              <w:r>
                <w:rPr>
                  <w:rFonts w:ascii="Arial" w:cs="Arial" w:eastAsia="Arial" w:hAnsi="Arial"/>
                  <w:sz w:val="17"/>
                  <w:szCs w:val="17"/>
                  <w:color w:val="0000FF"/>
                  <w:w w:val="86"/>
                </w:rPr>
                <w:t>F-6</w:t>
              </w:r>
            </w:hyperlink>
          </w:p>
        </w:tc>
      </w:tr>
      <w:tr>
        <w:trPr>
          <w:trHeight w:val="45"/>
        </w:trPr>
        <w:tc>
          <w:tcPr>
            <w:tcW w:w="9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4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Consolidated Statement of Shareholders’ Equity</w:t>
            </w: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FF"/>
            </w:tcBorders>
            <w:shd w:val="clear" w:color="auto" w:fill="CCEEFF"/>
          </w:tcPr>
          <w:p>
            <w:pPr>
              <w:jc w:val="right"/>
              <w:spacing w:after="0"/>
              <w:rPr>
                <w:rFonts w:ascii="Arial" w:cs="Arial" w:eastAsia="Arial" w:hAnsi="Arial"/>
                <w:sz w:val="17"/>
                <w:szCs w:val="17"/>
                <w:color w:val="0000FF"/>
                <w:w w:val="86"/>
              </w:rPr>
            </w:pPr>
            <w:hyperlink w:anchor="page58">
              <w:r>
                <w:rPr>
                  <w:rFonts w:ascii="Arial" w:cs="Arial" w:eastAsia="Arial" w:hAnsi="Arial"/>
                  <w:sz w:val="17"/>
                  <w:szCs w:val="17"/>
                  <w:color w:val="0000FF"/>
                  <w:w w:val="86"/>
                </w:rPr>
                <w:t>F-7</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195"/>
        </w:trPr>
        <w:tc>
          <w:tcPr>
            <w:tcW w:w="9940" w:type="dxa"/>
            <w:vAlign w:val="bottom"/>
          </w:tcPr>
          <w:p>
            <w:pPr>
              <w:ind w:left="40"/>
              <w:spacing w:after="0"/>
              <w:rPr>
                <w:sz w:val="20"/>
                <w:szCs w:val="20"/>
                <w:color w:val="auto"/>
              </w:rPr>
            </w:pPr>
            <w:r>
              <w:rPr>
                <w:rFonts w:ascii="Arial" w:cs="Arial" w:eastAsia="Arial" w:hAnsi="Arial"/>
                <w:sz w:val="17"/>
                <w:szCs w:val="17"/>
                <w:color w:val="auto"/>
              </w:rPr>
              <w:t>Consolidated Statements of Cash Flows</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ind w:right="20"/>
              <w:spacing w:after="0"/>
              <w:rPr>
                <w:rFonts w:ascii="Arial" w:cs="Arial" w:eastAsia="Arial" w:hAnsi="Arial"/>
                <w:sz w:val="17"/>
                <w:szCs w:val="17"/>
                <w:color w:val="0000FF"/>
                <w:w w:val="86"/>
              </w:rPr>
            </w:pPr>
            <w:hyperlink w:anchor="page59">
              <w:r>
                <w:rPr>
                  <w:rFonts w:ascii="Arial" w:cs="Arial" w:eastAsia="Arial" w:hAnsi="Arial"/>
                  <w:sz w:val="17"/>
                  <w:szCs w:val="17"/>
                  <w:color w:val="0000FF"/>
                  <w:w w:val="86"/>
                </w:rPr>
                <w:t>F-8</w:t>
              </w:r>
            </w:hyperlink>
          </w:p>
        </w:tc>
      </w:tr>
      <w:tr>
        <w:trPr>
          <w:trHeight w:val="45"/>
        </w:trPr>
        <w:tc>
          <w:tcPr>
            <w:tcW w:w="9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240"/>
        </w:trPr>
        <w:tc>
          <w:tcPr>
            <w:tcW w:w="9940" w:type="dxa"/>
            <w:vAlign w:val="bottom"/>
            <w:shd w:val="clear" w:color="auto" w:fill="CCEEFF"/>
          </w:tcPr>
          <w:p>
            <w:pPr>
              <w:ind w:left="40"/>
              <w:spacing w:after="0"/>
              <w:rPr>
                <w:sz w:val="20"/>
                <w:szCs w:val="20"/>
                <w:color w:val="auto"/>
              </w:rPr>
            </w:pPr>
            <w:r>
              <w:rPr>
                <w:rFonts w:ascii="Arial" w:cs="Arial" w:eastAsia="Arial" w:hAnsi="Arial"/>
                <w:sz w:val="17"/>
                <w:szCs w:val="17"/>
                <w:color w:val="auto"/>
              </w:rPr>
              <w:t>Notes to Consolidated Financial Statements</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rFonts w:ascii="Arial" w:cs="Arial" w:eastAsia="Arial" w:hAnsi="Arial"/>
                <w:sz w:val="17"/>
                <w:szCs w:val="17"/>
                <w:color w:val="0000FF"/>
                <w:w w:val="86"/>
              </w:rPr>
            </w:pPr>
            <w:hyperlink w:anchor="page60">
              <w:r>
                <w:rPr>
                  <w:rFonts w:ascii="Arial" w:cs="Arial" w:eastAsia="Arial" w:hAnsi="Arial"/>
                  <w:sz w:val="17"/>
                  <w:szCs w:val="17"/>
                  <w:color w:val="0000FF"/>
                  <w:w w:val="86"/>
                </w:rPr>
                <w:t>F-9</w:t>
              </w:r>
            </w:hyperlink>
          </w:p>
        </w:tc>
      </w:tr>
      <w:tr>
        <w:trPr>
          <w:trHeight w:val="312"/>
        </w:trPr>
        <w:tc>
          <w:tcPr>
            <w:tcW w:w="994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4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Financial Statement Schedules</w:t>
            </w: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195"/>
        </w:trPr>
        <w:tc>
          <w:tcPr>
            <w:tcW w:w="9940" w:type="dxa"/>
            <w:vAlign w:val="bottom"/>
          </w:tcPr>
          <w:p>
            <w:pPr>
              <w:ind w:left="40"/>
              <w:spacing w:after="0"/>
              <w:rPr>
                <w:sz w:val="20"/>
                <w:szCs w:val="20"/>
                <w:color w:val="auto"/>
              </w:rPr>
            </w:pPr>
            <w:r>
              <w:rPr>
                <w:rFonts w:ascii="Arial" w:cs="Arial" w:eastAsia="Arial" w:hAnsi="Arial"/>
                <w:sz w:val="17"/>
                <w:szCs w:val="17"/>
                <w:color w:val="auto"/>
              </w:rPr>
              <w:t>Schedule III—Summary of Real Estate and Accumulated Depreciation</w:t>
            </w:r>
          </w:p>
        </w:tc>
        <w:tc>
          <w:tcPr>
            <w:tcW w:w="1140" w:type="dxa"/>
            <w:vAlign w:val="bottom"/>
          </w:tcPr>
          <w:p>
            <w:pPr>
              <w:spacing w:after="0"/>
              <w:rPr>
                <w:sz w:val="16"/>
                <w:szCs w:val="16"/>
                <w:color w:val="auto"/>
              </w:rPr>
            </w:pPr>
          </w:p>
        </w:tc>
        <w:tc>
          <w:tcPr>
            <w:tcW w:w="340" w:type="dxa"/>
            <w:vAlign w:val="bottom"/>
            <w:gridSpan w:val="3"/>
          </w:tcPr>
          <w:p>
            <w:pPr>
              <w:jc w:val="right"/>
              <w:ind w:right="20"/>
              <w:spacing w:after="0"/>
              <w:rPr>
                <w:rFonts w:ascii="Arial" w:cs="Arial" w:eastAsia="Arial" w:hAnsi="Arial"/>
                <w:sz w:val="17"/>
                <w:szCs w:val="17"/>
                <w:color w:val="0000FF"/>
                <w:w w:val="85"/>
              </w:rPr>
            </w:pPr>
            <w:hyperlink w:anchor="page82">
              <w:r>
                <w:rPr>
                  <w:rFonts w:ascii="Arial" w:cs="Arial" w:eastAsia="Arial" w:hAnsi="Arial"/>
                  <w:sz w:val="17"/>
                  <w:szCs w:val="17"/>
                  <w:color w:val="0000FF"/>
                  <w:w w:val="85"/>
                </w:rPr>
                <w:t>F-31</w:t>
              </w:r>
            </w:hyperlink>
          </w:p>
        </w:tc>
      </w:tr>
      <w:tr>
        <w:trPr>
          <w:trHeight w:val="45"/>
        </w:trPr>
        <w:tc>
          <w:tcPr>
            <w:tcW w:w="9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9940" w:type="dxa"/>
            <w:vAlign w:val="bottom"/>
            <w:shd w:val="clear" w:color="auto" w:fill="CCEEFF"/>
          </w:tcPr>
          <w:p>
            <w:pPr>
              <w:ind w:left="40"/>
              <w:spacing w:after="0"/>
              <w:rPr>
                <w:sz w:val="20"/>
                <w:szCs w:val="20"/>
                <w:color w:val="auto"/>
              </w:rPr>
            </w:pPr>
            <w:r>
              <w:rPr>
                <w:rFonts w:ascii="Arial" w:cs="Arial" w:eastAsia="Arial" w:hAnsi="Arial"/>
                <w:sz w:val="17"/>
                <w:szCs w:val="17"/>
                <w:color w:val="auto"/>
              </w:rPr>
              <w:t>Schedule IV—Mortgage Loans on Real Estate</w:t>
            </w:r>
          </w:p>
        </w:tc>
        <w:tc>
          <w:tcPr>
            <w:tcW w:w="11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20"/>
              <w:spacing w:after="0"/>
              <w:rPr>
                <w:rFonts w:ascii="Arial" w:cs="Arial" w:eastAsia="Arial" w:hAnsi="Arial"/>
                <w:sz w:val="17"/>
                <w:szCs w:val="17"/>
                <w:color w:val="0000FF"/>
                <w:w w:val="85"/>
              </w:rPr>
            </w:pPr>
            <w:hyperlink w:anchor="page89">
              <w:r>
                <w:rPr>
                  <w:rFonts w:ascii="Arial" w:cs="Arial" w:eastAsia="Arial" w:hAnsi="Arial"/>
                  <w:sz w:val="17"/>
                  <w:szCs w:val="17"/>
                  <w:color w:val="0000FF"/>
                  <w:w w:val="85"/>
                </w:rPr>
                <w:t>F-38</w:t>
              </w:r>
            </w:hyperlink>
          </w:p>
        </w:tc>
      </w:tr>
      <w:tr>
        <w:trPr>
          <w:trHeight w:val="45"/>
        </w:trPr>
        <w:tc>
          <w:tcPr>
            <w:tcW w:w="994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bl>
    <w:p>
      <w:pPr>
        <w:spacing w:after="0" w:line="144" w:lineRule="exact"/>
        <w:rPr>
          <w:sz w:val="20"/>
          <w:szCs w:val="20"/>
          <w:color w:val="auto"/>
        </w:rPr>
      </w:pPr>
    </w:p>
    <w:p>
      <w:pPr>
        <w:ind w:right="220" w:firstLine="416"/>
        <w:spacing w:after="0" w:line="286" w:lineRule="auto"/>
        <w:rPr>
          <w:sz w:val="20"/>
          <w:szCs w:val="20"/>
          <w:color w:val="auto"/>
        </w:rPr>
      </w:pPr>
      <w:r>
        <w:rPr>
          <w:rFonts w:ascii="Arial" w:cs="Arial" w:eastAsia="Arial" w:hAnsi="Arial"/>
          <w:sz w:val="17"/>
          <w:szCs w:val="17"/>
          <w:color w:val="auto"/>
        </w:rPr>
        <w:t>All other schedules have been omitted either because the information is not applicable, not material, or is disclosed in our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Assessment Report on Internal Control over Financial Reporting</w:t>
      </w:r>
    </w:p>
    <w:p>
      <w:pPr>
        <w:spacing w:after="0" w:line="9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management of Federal Realty is responsible for establishing and maintaining adequate internal control over financial reporting. Establishing and maintaining internal control over financial reporting is a process designed by, or under the supervision of, our President and Chief Executive Officer and Executive Vice President -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2" w:lineRule="exact"/>
        <w:rPr>
          <w:sz w:val="20"/>
          <w:szCs w:val="20"/>
          <w:color w:val="auto"/>
        </w:rPr>
      </w:pPr>
    </w:p>
    <w:p>
      <w:pPr>
        <w:ind w:left="620" w:hanging="304"/>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w:t>
      </w:r>
    </w:p>
    <w:p>
      <w:pPr>
        <w:spacing w:after="0" w:line="12" w:lineRule="exact"/>
        <w:rPr>
          <w:rFonts w:ascii="Arial" w:cs="Arial" w:eastAsia="Arial" w:hAnsi="Arial"/>
          <w:sz w:val="17"/>
          <w:szCs w:val="17"/>
          <w:color w:val="auto"/>
        </w:rPr>
      </w:pPr>
    </w:p>
    <w:p>
      <w:pPr>
        <w:ind w:left="620" w:hanging="304"/>
        <w:spacing w:after="0" w:line="255" w:lineRule="auto"/>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1" w:lineRule="exact"/>
        <w:rPr>
          <w:rFonts w:ascii="Arial" w:cs="Arial" w:eastAsia="Arial" w:hAnsi="Arial"/>
          <w:sz w:val="17"/>
          <w:szCs w:val="17"/>
          <w:color w:val="auto"/>
        </w:rPr>
      </w:pPr>
    </w:p>
    <w:p>
      <w:pPr>
        <w:ind w:left="620" w:right="20" w:hanging="304"/>
        <w:spacing w:after="0" w:line="271" w:lineRule="auto"/>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18"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Management, including our Chief Executive Officer and Chief Financial Officer, do not expect that our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08"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 xml:space="preserve">Management conducted an assessment of the effectiveness of the Trust’s internal control over financial reporting as of December 31, 2012. In making this assessment, it used the criteria set forth by the Committee of Sponsoring Organizations of the Treadway Commission (COSO)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Based on this assessment, management concluded that our internal control over financial reporting is effective, based on those criteria,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2012.</w:t>
      </w:r>
    </w:p>
    <w:p>
      <w:pPr>
        <w:spacing w:after="0" w:line="125" w:lineRule="exact"/>
        <w:rPr>
          <w:sz w:val="20"/>
          <w:szCs w:val="20"/>
          <w:color w:val="auto"/>
        </w:rPr>
      </w:pPr>
    </w:p>
    <w:p>
      <w:pPr>
        <w:jc w:val="both"/>
        <w:spacing w:after="0" w:line="356" w:lineRule="auto"/>
        <w:rPr>
          <w:sz w:val="20"/>
          <w:szCs w:val="20"/>
          <w:color w:val="auto"/>
        </w:rPr>
      </w:pPr>
      <w:r>
        <w:rPr>
          <w:rFonts w:ascii="Arial" w:cs="Arial" w:eastAsia="Arial" w:hAnsi="Arial"/>
          <w:sz w:val="15"/>
          <w:szCs w:val="15"/>
          <w:color w:val="auto"/>
        </w:rPr>
        <w:t>Grant Thornton LLP, the independent registered public accounting firm that audited the Trust’s consolidated financial statements included in this Annual Report on Form 10-K, has issued an attestation report on the Trust’s internal control over financial reporting, which appears on page F-3 of this Annual Report on Form 10-K.</w:t>
      </w: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360"/>
          </w:cols>
          <w:pgMar w:left="240" w:top="126" w:right="29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Trustees and Shareholders of Federal Realty Investment Trust</w:t>
      </w:r>
    </w:p>
    <w:p>
      <w:pPr>
        <w:spacing w:after="0" w:line="91"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 xml:space="preserve">We have audited the internal control over financial reporting of Federal Realty Investment Trust (a Maryland real estate investment trust) and subsidiaries (collectively, the "Trust") as of December 31, 2012,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Federal Realty Investment Trust’s management is responsible for maintaining effective internal control over financial reporting and for its assessment of the effectiveness of internal control over financial reporting, included in the accompanying Management Assessment Report on Internal Control over Financial Reporting. Our responsibility is to express an opinion on Federal Realty Investment Trust’s internal control over financial reporting based on our audit.</w:t>
      </w:r>
    </w:p>
    <w:p>
      <w:pPr>
        <w:spacing w:after="0" w:line="12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1" w:lineRule="exact"/>
        <w:rPr>
          <w:sz w:val="20"/>
          <w:szCs w:val="20"/>
          <w:color w:val="auto"/>
        </w:rPr>
      </w:pPr>
    </w:p>
    <w:p>
      <w:pPr>
        <w:ind w:right="720"/>
        <w:spacing w:after="0" w:line="286" w:lineRule="auto"/>
        <w:rPr>
          <w:sz w:val="20"/>
          <w:szCs w:val="20"/>
          <w:color w:val="auto"/>
        </w:rPr>
      </w:pPr>
      <w:r>
        <w:rPr>
          <w:rFonts w:ascii="Arial" w:cs="Arial" w:eastAsia="Arial" w:hAnsi="Arial"/>
          <w:sz w:val="17"/>
          <w:szCs w:val="17"/>
          <w:color w:val="auto"/>
        </w:rPr>
        <w:t xml:space="preserve">In our opinion, the Trust maintained, in all material respects, effective internal control over financial reporting as of December 31, 2012,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06"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the Trust as of December 31, 2012 and 2011, and the related consolidated statements of comprehensive income, shareholders’ equity, and cash flows for each of the three years in the period ended December 31, 2012 and our report dated February 12, 2013 expressed an unqualified opinion.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February 12, 2013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Trustees and Shareholders of Federal Realty Investment Trust</w:t>
      </w:r>
    </w:p>
    <w:p>
      <w:pPr>
        <w:spacing w:after="0" w:line="91" w:lineRule="exact"/>
        <w:rPr>
          <w:sz w:val="20"/>
          <w:szCs w:val="20"/>
          <w:color w:val="auto"/>
        </w:rPr>
      </w:pPr>
    </w:p>
    <w:p>
      <w:pPr>
        <w:ind w:right="320"/>
        <w:spacing w:after="0" w:line="306" w:lineRule="auto"/>
        <w:rPr>
          <w:sz w:val="20"/>
          <w:szCs w:val="20"/>
          <w:color w:val="auto"/>
        </w:rPr>
      </w:pPr>
      <w:r>
        <w:rPr>
          <w:rFonts w:ascii="Arial" w:cs="Arial" w:eastAsia="Arial" w:hAnsi="Arial"/>
          <w:sz w:val="15"/>
          <w:szCs w:val="15"/>
          <w:color w:val="auto"/>
        </w:rPr>
        <w:t>We have audited the accompanying consolidated balance sheets of Federal Realty Investment Trust (a Maryland real estate investment trust) and subsidiaries (collectively, the "Trust") as of December 31, 2012 and 2011, and the related consolidated statements of comprehensive income, shareholders’ equity, and cash flows for each of the three years in the period ended December 31, 2012. Our audits of the basic financial statements included the financial statement schedules listed in the index appearing under Item 15(a) (1) and (2). These financial statements and financial statement schedules are the responsibility of the Trust’s management. Our responsibility is to express an opinion on these financial statements and financial statement schedules based on our audits.</w:t>
      </w:r>
    </w:p>
    <w:p>
      <w:pPr>
        <w:spacing w:after="0" w:line="9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Trust and subsidiaries as of December 31, 2012 and 2011, and the results of their operations and their cash flows for each of the three years in the period ended December 31, 2012, in conformity with accounting principles generally accepted in the United States of America. Also in our opinion, the related financial statement schedules, when considered in relation to the basic financial statements taken as a whole, present fairly, in all material respects, the information set forth therein.</w:t>
      </w:r>
    </w:p>
    <w:p>
      <w:pPr>
        <w:spacing w:after="0" w:line="108"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Trust’s internal control over financial reporting as of December 31,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12, 2013 expressed an unqualified opinion.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February 12, 2013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00"/>
          </w:cols>
          <w:pgMar w:left="240" w:top="126" w:right="259" w:bottom="1440" w:gutter="0" w:footer="0" w:header="0"/>
        </w:sectPr>
      </w:pPr>
    </w:p>
    <w:bookmarkStart w:id="56" w:name="page57"/>
    <w:bookmarkEnd w:id="56"/>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53"/>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r>
      <w:tr>
        <w:trPr>
          <w:trHeight w:val="188"/>
        </w:trPr>
        <w:tc>
          <w:tcPr>
            <w:tcW w:w="8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5"/>
              </w:rPr>
              <w:t>(In thousands, except share data)</w:t>
            </w:r>
          </w:p>
        </w:tc>
      </w:tr>
      <w:tr>
        <w:trPr>
          <w:trHeight w:val="24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4"/>
        </w:trPr>
        <w:tc>
          <w:tcPr>
            <w:tcW w:w="8580" w:type="dxa"/>
            <w:vAlign w:val="bottom"/>
          </w:tcPr>
          <w:p>
            <w:pPr>
              <w:ind w:left="360"/>
              <w:spacing w:after="0"/>
              <w:rPr>
                <w:sz w:val="20"/>
                <w:szCs w:val="20"/>
                <w:color w:val="auto"/>
              </w:rPr>
            </w:pPr>
            <w:r>
              <w:rPr>
                <w:rFonts w:ascii="Arial" w:cs="Arial" w:eastAsia="Arial" w:hAnsi="Arial"/>
                <w:sz w:val="17"/>
                <w:szCs w:val="17"/>
                <w:color w:val="auto"/>
              </w:rPr>
              <w:t>Real estate, at cost</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Operating (including $278,826 and $263,570 of consolidated variable interest entities, respectively)</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4,490,960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4,232,608</w:t>
            </w:r>
          </w:p>
        </w:tc>
      </w:tr>
      <w:tr>
        <w:trPr>
          <w:trHeight w:val="234"/>
        </w:trPr>
        <w:tc>
          <w:tcPr>
            <w:tcW w:w="8580" w:type="dxa"/>
            <w:vAlign w:val="bottom"/>
          </w:tcPr>
          <w:p>
            <w:pPr>
              <w:ind w:left="680"/>
              <w:spacing w:after="0"/>
              <w:rPr>
                <w:sz w:val="20"/>
                <w:szCs w:val="20"/>
                <w:color w:val="auto"/>
              </w:rPr>
            </w:pPr>
            <w:r>
              <w:rPr>
                <w:rFonts w:ascii="Arial" w:cs="Arial" w:eastAsia="Arial" w:hAnsi="Arial"/>
                <w:sz w:val="17"/>
                <w:szCs w:val="17"/>
                <w:color w:val="auto"/>
              </w:rPr>
              <w:t>Construction-in-progress</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288,714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193,836</w:t>
            </w:r>
          </w:p>
        </w:tc>
      </w:tr>
      <w:tr>
        <w:trPr>
          <w:trHeight w:val="26"/>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3"/>
        </w:trPr>
        <w:tc>
          <w:tcPr>
            <w:tcW w:w="85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4,779,674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4,426,444</w:t>
            </w:r>
          </w:p>
        </w:tc>
      </w:tr>
      <w:tr>
        <w:trPr>
          <w:trHeight w:val="222"/>
        </w:trPr>
        <w:tc>
          <w:tcPr>
            <w:tcW w:w="8580" w:type="dxa"/>
            <w:vAlign w:val="bottom"/>
          </w:tcPr>
          <w:p>
            <w:pPr>
              <w:ind w:left="680"/>
              <w:spacing w:after="0"/>
              <w:rPr>
                <w:sz w:val="20"/>
                <w:szCs w:val="20"/>
                <w:color w:val="auto"/>
              </w:rPr>
            </w:pPr>
            <w:r>
              <w:rPr>
                <w:rFonts w:ascii="Arial" w:cs="Arial" w:eastAsia="Arial" w:hAnsi="Arial"/>
                <w:sz w:val="17"/>
                <w:szCs w:val="17"/>
                <w:color w:val="auto"/>
                <w:w w:val="93"/>
              </w:rPr>
              <w:t>Less accumulated depreciation and amortization (including $12,024 and $4,991 of consolidated variable interest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580" w:type="dxa"/>
            <w:vAlign w:val="bottom"/>
          </w:tcPr>
          <w:p>
            <w:pPr>
              <w:ind w:left="680"/>
              <w:spacing w:after="0"/>
              <w:rPr>
                <w:sz w:val="20"/>
                <w:szCs w:val="20"/>
                <w:color w:val="auto"/>
              </w:rPr>
            </w:pPr>
            <w:r>
              <w:rPr>
                <w:rFonts w:ascii="Arial" w:cs="Arial" w:eastAsia="Arial" w:hAnsi="Arial"/>
                <w:sz w:val="17"/>
                <w:szCs w:val="17"/>
                <w:color w:val="auto"/>
              </w:rPr>
              <w:t>entities, respectively)</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(1,224,295)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8"/>
              </w:rPr>
              <w:t>(1,127,588)</w:t>
            </w:r>
          </w:p>
        </w:tc>
      </w:tr>
      <w:tr>
        <w:trPr>
          <w:trHeight w:val="26"/>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3"/>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real estate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3,555,379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3,298,856</w:t>
            </w:r>
          </w:p>
        </w:tc>
      </w:tr>
      <w:tr>
        <w:trPr>
          <w:trHeight w:val="234"/>
        </w:trPr>
        <w:tc>
          <w:tcPr>
            <w:tcW w:w="8580" w:type="dxa"/>
            <w:vAlign w:val="bottom"/>
          </w:tcPr>
          <w:p>
            <w:pPr>
              <w:ind w:left="36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36,988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67,806</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and notes receivable, net</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73,861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75,921</w:t>
            </w:r>
          </w:p>
        </w:tc>
      </w:tr>
      <w:tr>
        <w:trPr>
          <w:trHeight w:val="234"/>
        </w:trPr>
        <w:tc>
          <w:tcPr>
            <w:tcW w:w="8580" w:type="dxa"/>
            <w:vAlign w:val="bottom"/>
          </w:tcPr>
          <w:p>
            <w:pPr>
              <w:ind w:left="360"/>
              <w:spacing w:after="0"/>
              <w:rPr>
                <w:sz w:val="20"/>
                <w:szCs w:val="20"/>
                <w:color w:val="auto"/>
              </w:rPr>
            </w:pPr>
            <w:r>
              <w:rPr>
                <w:rFonts w:ascii="Arial" w:cs="Arial" w:eastAsia="Arial" w:hAnsi="Arial"/>
                <w:sz w:val="17"/>
                <w:szCs w:val="17"/>
                <w:color w:val="auto"/>
              </w:rPr>
              <w:t>Mortgage notes receivable, net</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55,648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55,967</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Investment in real estate partnership</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33,169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34,352</w:t>
            </w:r>
          </w:p>
        </w:tc>
      </w:tr>
      <w:tr>
        <w:trPr>
          <w:trHeight w:val="234"/>
        </w:trPr>
        <w:tc>
          <w:tcPr>
            <w:tcW w:w="8580" w:type="dxa"/>
            <w:vAlign w:val="bottom"/>
          </w:tcPr>
          <w:p>
            <w:pPr>
              <w:ind w:left="360"/>
              <w:spacing w:after="0"/>
              <w:rPr>
                <w:sz w:val="20"/>
                <w:szCs w:val="20"/>
                <w:color w:val="auto"/>
              </w:rPr>
            </w:pPr>
            <w:r>
              <w:rPr>
                <w:rFonts w:ascii="Arial" w:cs="Arial" w:eastAsia="Arial" w:hAnsi="Arial"/>
                <w:sz w:val="17"/>
                <w:szCs w:val="17"/>
                <w:color w:val="auto"/>
              </w:rPr>
              <w:t>Prepaid expenses and other assets</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132,659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121,492</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Debt issuance costs, net of accumulated amortization of $10,140 and $9,098, respectively</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10,861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11,816</w:t>
            </w:r>
          </w:p>
        </w:tc>
      </w:tr>
      <w:tr>
        <w:trPr>
          <w:trHeight w:val="227"/>
        </w:trPr>
        <w:tc>
          <w:tcPr>
            <w:tcW w:w="858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3,898,565</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3,666,210</w:t>
            </w:r>
          </w:p>
        </w:tc>
      </w:tr>
      <w:tr>
        <w:trPr>
          <w:trHeight w:val="66"/>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1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LIABILITIES AND SHAREHOLDERS’ EQUITY</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34"/>
        </w:trPr>
        <w:tc>
          <w:tcPr>
            <w:tcW w:w="8580" w:type="dxa"/>
            <w:vAlign w:val="bottom"/>
          </w:tcPr>
          <w:p>
            <w:pPr>
              <w:ind w:left="360"/>
              <w:spacing w:after="0"/>
              <w:rPr>
                <w:sz w:val="20"/>
                <w:szCs w:val="20"/>
                <w:color w:val="auto"/>
              </w:rPr>
            </w:pPr>
            <w:r>
              <w:rPr>
                <w:rFonts w:ascii="Arial" w:cs="Arial" w:eastAsia="Arial" w:hAnsi="Arial"/>
                <w:sz w:val="17"/>
                <w:szCs w:val="17"/>
                <w:color w:val="auto"/>
              </w:rPr>
              <w:t>Liabilities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w w:val="96"/>
              </w:rPr>
              <w:t>Mortgages payable (including $205,299 and $207,683 of consolidated variable interest entities, respectively)</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760,789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747,523</w:t>
            </w:r>
          </w:p>
        </w:tc>
      </w:tr>
      <w:tr>
        <w:trPr>
          <w:trHeight w:val="234"/>
        </w:trPr>
        <w:tc>
          <w:tcPr>
            <w:tcW w:w="8580" w:type="dxa"/>
            <w:vAlign w:val="bottom"/>
          </w:tcPr>
          <w:p>
            <w:pPr>
              <w:ind w:left="680"/>
              <w:spacing w:after="0"/>
              <w:rPr>
                <w:sz w:val="20"/>
                <w:szCs w:val="20"/>
                <w:color w:val="auto"/>
              </w:rPr>
            </w:pPr>
            <w:r>
              <w:rPr>
                <w:rFonts w:ascii="Arial" w:cs="Arial" w:eastAsia="Arial" w:hAnsi="Arial"/>
                <w:sz w:val="17"/>
                <w:szCs w:val="17"/>
                <w:color w:val="auto"/>
              </w:rPr>
              <w:t>Capital lease obligations</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71,693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63,093</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Notes payable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299,575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295,159</w:t>
            </w:r>
          </w:p>
        </w:tc>
      </w:tr>
      <w:tr>
        <w:trPr>
          <w:trHeight w:val="234"/>
        </w:trPr>
        <w:tc>
          <w:tcPr>
            <w:tcW w:w="8580" w:type="dxa"/>
            <w:vAlign w:val="bottom"/>
          </w:tcPr>
          <w:p>
            <w:pPr>
              <w:ind w:left="680"/>
              <w:spacing w:after="0"/>
              <w:rPr>
                <w:sz w:val="20"/>
                <w:szCs w:val="20"/>
                <w:color w:val="auto"/>
              </w:rPr>
            </w:pPr>
            <w:r>
              <w:rPr>
                <w:rFonts w:ascii="Arial" w:cs="Arial" w:eastAsia="Arial" w:hAnsi="Arial"/>
                <w:sz w:val="17"/>
                <w:szCs w:val="17"/>
                <w:color w:val="auto"/>
              </w:rPr>
              <w:t>Senior notes and debentures</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1,076,545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1,004,635</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Accounts payable and accrued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120,929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104,660</w:t>
            </w:r>
          </w:p>
        </w:tc>
      </w:tr>
      <w:tr>
        <w:trPr>
          <w:trHeight w:val="234"/>
        </w:trPr>
        <w:tc>
          <w:tcPr>
            <w:tcW w:w="8580" w:type="dxa"/>
            <w:vAlign w:val="bottom"/>
          </w:tcPr>
          <w:p>
            <w:pPr>
              <w:ind w:left="680"/>
              <w:spacing w:after="0"/>
              <w:rPr>
                <w:sz w:val="20"/>
                <w:szCs w:val="20"/>
                <w:color w:val="auto"/>
              </w:rPr>
            </w:pPr>
            <w:r>
              <w:rPr>
                <w:rFonts w:ascii="Arial" w:cs="Arial" w:eastAsia="Arial" w:hAnsi="Arial"/>
                <w:sz w:val="17"/>
                <w:szCs w:val="17"/>
                <w:color w:val="auto"/>
              </w:rPr>
              <w:t>Dividends payable</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47,685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44,229</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Security deposits payable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12,957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12,221</w:t>
            </w:r>
          </w:p>
        </w:tc>
      </w:tr>
      <w:tr>
        <w:trPr>
          <w:trHeight w:val="234"/>
        </w:trPr>
        <w:tc>
          <w:tcPr>
            <w:tcW w:w="8580" w:type="dxa"/>
            <w:vAlign w:val="bottom"/>
          </w:tcPr>
          <w:p>
            <w:pPr>
              <w:ind w:left="680"/>
              <w:spacing w:after="0"/>
              <w:rPr>
                <w:sz w:val="20"/>
                <w:szCs w:val="20"/>
                <w:color w:val="auto"/>
              </w:rPr>
            </w:pPr>
            <w:r>
              <w:rPr>
                <w:rFonts w:ascii="Arial" w:cs="Arial" w:eastAsia="Arial" w:hAnsi="Arial"/>
                <w:sz w:val="17"/>
                <w:szCs w:val="17"/>
                <w:color w:val="auto"/>
              </w:rPr>
              <w:t>Other liabilities and deferred credits</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103,379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68,761</w:t>
            </w:r>
          </w:p>
        </w:tc>
      </w:tr>
      <w:tr>
        <w:trPr>
          <w:trHeight w:val="26"/>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3"/>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2,493,552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2,340,281</w:t>
            </w:r>
          </w:p>
        </w:tc>
      </w:tr>
      <w:tr>
        <w:trPr>
          <w:trHeight w:val="234"/>
        </w:trPr>
        <w:tc>
          <w:tcPr>
            <w:tcW w:w="8580" w:type="dxa"/>
            <w:vAlign w:val="bottom"/>
          </w:tcPr>
          <w:p>
            <w:pPr>
              <w:ind w:left="360"/>
              <w:spacing w:after="0"/>
              <w:rPr>
                <w:sz w:val="20"/>
                <w:szCs w:val="20"/>
                <w:color w:val="auto"/>
              </w:rPr>
            </w:pPr>
            <w:r>
              <w:rPr>
                <w:rFonts w:ascii="Arial" w:cs="Arial" w:eastAsia="Arial" w:hAnsi="Arial"/>
                <w:sz w:val="17"/>
                <w:szCs w:val="17"/>
                <w:color w:val="auto"/>
              </w:rPr>
              <w:t>Commitments and contingencies (Note 9)</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Redeemable noncontrolling interests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94,420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85,325</w:t>
            </w:r>
          </w:p>
        </w:tc>
      </w:tr>
      <w:tr>
        <w:trPr>
          <w:trHeight w:val="234"/>
        </w:trPr>
        <w:tc>
          <w:tcPr>
            <w:tcW w:w="8580" w:type="dxa"/>
            <w:vAlign w:val="bottom"/>
          </w:tcPr>
          <w:p>
            <w:pPr>
              <w:ind w:left="360"/>
              <w:spacing w:after="0"/>
              <w:rPr>
                <w:sz w:val="20"/>
                <w:szCs w:val="20"/>
                <w:color w:val="auto"/>
              </w:rPr>
            </w:pPr>
            <w:r>
              <w:rPr>
                <w:rFonts w:ascii="Arial" w:cs="Arial" w:eastAsia="Arial" w:hAnsi="Arial"/>
                <w:sz w:val="17"/>
                <w:szCs w:val="17"/>
                <w:color w:val="auto"/>
              </w:rPr>
              <w:t>Shareholders’ equity</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2"/>
        </w:trPr>
        <w:tc>
          <w:tcPr>
            <w:tcW w:w="858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5"/>
              </w:rPr>
              <w:t>Preferred shares, authorized 15,000,000 shares, $.01 par: 5.417% Series 1 Cumulative Convertible Preferred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Shares, (stated at liquidation preference $25 per share), 399,896 shares issued and outstanding</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9,997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9,997</w:t>
            </w:r>
          </w:p>
        </w:tc>
      </w:tr>
      <w:tr>
        <w:trPr>
          <w:trHeight w:val="222"/>
        </w:trPr>
        <w:tc>
          <w:tcPr>
            <w:tcW w:w="8580" w:type="dxa"/>
            <w:vAlign w:val="bottom"/>
          </w:tcPr>
          <w:p>
            <w:pPr>
              <w:ind w:left="680"/>
              <w:spacing w:after="0"/>
              <w:rPr>
                <w:sz w:val="20"/>
                <w:szCs w:val="20"/>
                <w:color w:val="auto"/>
              </w:rPr>
            </w:pPr>
            <w:r>
              <w:rPr>
                <w:rFonts w:ascii="Arial" w:cs="Arial" w:eastAsia="Arial" w:hAnsi="Arial"/>
                <w:sz w:val="17"/>
                <w:szCs w:val="17"/>
                <w:color w:val="auto"/>
                <w:w w:val="96"/>
              </w:rPr>
              <w:t>Common shares of beneficial interest, $.01 par, 100,000,000 shares authorized, 64,815,446 and 63,544,150</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580" w:type="dxa"/>
            <w:vAlign w:val="bottom"/>
          </w:tcPr>
          <w:p>
            <w:pPr>
              <w:ind w:left="680"/>
              <w:spacing w:after="0"/>
              <w:rPr>
                <w:sz w:val="20"/>
                <w:szCs w:val="20"/>
                <w:color w:val="auto"/>
              </w:rPr>
            </w:pPr>
            <w:r>
              <w:rPr>
                <w:rFonts w:ascii="Arial" w:cs="Arial" w:eastAsia="Arial" w:hAnsi="Arial"/>
                <w:sz w:val="17"/>
                <w:szCs w:val="17"/>
                <w:color w:val="auto"/>
              </w:rPr>
              <w:t>shares issued and outstanding, respectively</w:t>
            </w:r>
          </w:p>
        </w:tc>
        <w:tc>
          <w:tcPr>
            <w:tcW w:w="28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648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636</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Additional paid-in capital</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1,875,525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1,764,940</w:t>
            </w:r>
          </w:p>
        </w:tc>
      </w:tr>
      <w:tr>
        <w:trPr>
          <w:trHeight w:val="234"/>
        </w:trPr>
        <w:tc>
          <w:tcPr>
            <w:tcW w:w="8580" w:type="dxa"/>
            <w:vAlign w:val="bottom"/>
          </w:tcPr>
          <w:p>
            <w:pPr>
              <w:ind w:left="680"/>
              <w:spacing w:after="0"/>
              <w:rPr>
                <w:sz w:val="20"/>
                <w:szCs w:val="20"/>
                <w:color w:val="auto"/>
              </w:rPr>
            </w:pPr>
            <w:r>
              <w:rPr>
                <w:rFonts w:ascii="Arial" w:cs="Arial" w:eastAsia="Arial" w:hAnsi="Arial"/>
                <w:sz w:val="17"/>
                <w:szCs w:val="17"/>
                <w:color w:val="auto"/>
              </w:rPr>
              <w:t>Accumulated dividends in excess of net income</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(586,970)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(555,541)</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(12,388)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(3,940)</w:t>
            </w:r>
          </w:p>
        </w:tc>
      </w:tr>
      <w:tr>
        <w:trPr>
          <w:trHeight w:val="227"/>
        </w:trPr>
        <w:tc>
          <w:tcPr>
            <w:tcW w:w="8580" w:type="dxa"/>
            <w:vAlign w:val="bottom"/>
          </w:tcPr>
          <w:p>
            <w:pPr>
              <w:ind w:left="360"/>
              <w:spacing w:after="0"/>
              <w:rPr>
                <w:sz w:val="20"/>
                <w:szCs w:val="20"/>
                <w:color w:val="auto"/>
              </w:rPr>
            </w:pPr>
            <w:r>
              <w:rPr>
                <w:rFonts w:ascii="Arial" w:cs="Arial" w:eastAsia="Arial" w:hAnsi="Arial"/>
                <w:sz w:val="17"/>
                <w:szCs w:val="17"/>
                <w:color w:val="auto"/>
              </w:rPr>
              <w:t>Total shareholders’ equity of the Trust</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1,286,812</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1,216,092</w:t>
            </w:r>
          </w:p>
        </w:tc>
      </w:tr>
      <w:tr>
        <w:trPr>
          <w:trHeight w:val="26"/>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0"/>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23,781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24,512</w:t>
            </w:r>
          </w:p>
        </w:tc>
      </w:tr>
      <w:tr>
        <w:trPr>
          <w:trHeight w:val="227"/>
        </w:trPr>
        <w:tc>
          <w:tcPr>
            <w:tcW w:w="8580" w:type="dxa"/>
            <w:vAlign w:val="bottom"/>
          </w:tcPr>
          <w:p>
            <w:pPr>
              <w:ind w:left="360"/>
              <w:spacing w:after="0"/>
              <w:rPr>
                <w:sz w:val="20"/>
                <w:szCs w:val="20"/>
                <w:color w:val="auto"/>
              </w:rPr>
            </w:pPr>
            <w:r>
              <w:rPr>
                <w:rFonts w:ascii="Arial" w:cs="Arial" w:eastAsia="Arial" w:hAnsi="Arial"/>
                <w:sz w:val="17"/>
                <w:szCs w:val="17"/>
                <w:color w:val="auto"/>
              </w:rPr>
              <w:t>Total shareholders’ equity</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1,310,593</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1,240,604</w:t>
            </w:r>
          </w:p>
        </w:tc>
      </w:tr>
      <w:tr>
        <w:trPr>
          <w:trHeight w:val="26"/>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8"/>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LIABILITIES AND SHAREHOLDERS’ EQUITY</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3,898,565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3,666,210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7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82"/>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6"/>
          </w:tcPr>
          <w:p>
            <w:pPr>
              <w:jc w:val="center"/>
              <w:ind w:left="554"/>
              <w:spacing w:after="0"/>
              <w:rPr>
                <w:sz w:val="20"/>
                <w:szCs w:val="20"/>
                <w:color w:val="auto"/>
              </w:rPr>
            </w:pPr>
            <w:r>
              <w:rPr>
                <w:rFonts w:ascii="Arial" w:cs="Arial" w:eastAsia="Arial" w:hAnsi="Arial"/>
                <w:sz w:val="14"/>
                <w:szCs w:val="14"/>
                <w:b w:val="1"/>
                <w:bCs w:val="1"/>
                <w:color w:val="auto"/>
                <w:w w:val="87"/>
              </w:rPr>
              <w:t>(In thousands, except per share data)</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7100" w:type="dxa"/>
            <w:vAlign w:val="bottom"/>
          </w:tcPr>
          <w:p>
            <w:pPr>
              <w:ind w:left="40"/>
              <w:spacing w:after="0"/>
              <w:rPr>
                <w:sz w:val="20"/>
                <w:szCs w:val="20"/>
                <w:color w:val="auto"/>
              </w:rPr>
            </w:pPr>
            <w:r>
              <w:rPr>
                <w:rFonts w:ascii="Arial" w:cs="Arial" w:eastAsia="Arial" w:hAnsi="Arial"/>
                <w:sz w:val="17"/>
                <w:szCs w:val="17"/>
                <w:color w:val="auto"/>
              </w:rPr>
              <w:t>REVENUE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Rental income</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582,335</w:t>
            </w:r>
          </w:p>
        </w:tc>
        <w:tc>
          <w:tcPr>
            <w:tcW w:w="460" w:type="dxa"/>
            <w:vAlign w:val="bottom"/>
            <w:tcBorders>
              <w:bottom w:val="single" w:sz="8" w:color="CCEEFF"/>
            </w:tcBorders>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538,701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522,651</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Other property income</w:t>
            </w:r>
          </w:p>
        </w:tc>
        <w:tc>
          <w:tcPr>
            <w:tcW w:w="32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20,217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9,260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14,545</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Mortgage 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5,466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5,098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4,601</w:t>
            </w:r>
          </w:p>
        </w:tc>
        <w:tc>
          <w:tcPr>
            <w:tcW w:w="0" w:type="dxa"/>
            <w:vAlign w:val="bottom"/>
          </w:tcPr>
          <w:p>
            <w:pPr>
              <w:spacing w:after="0"/>
              <w:rPr>
                <w:sz w:val="1"/>
                <w:szCs w:val="1"/>
                <w:color w:val="auto"/>
              </w:rPr>
            </w:pPr>
          </w:p>
        </w:tc>
      </w:tr>
      <w:tr>
        <w:trPr>
          <w:trHeight w:val="227"/>
        </w:trPr>
        <w:tc>
          <w:tcPr>
            <w:tcW w:w="7100" w:type="dxa"/>
            <w:vAlign w:val="bottom"/>
          </w:tcPr>
          <w:p>
            <w:pPr>
              <w:ind w:left="680"/>
              <w:spacing w:after="0"/>
              <w:rPr>
                <w:sz w:val="20"/>
                <w:szCs w:val="20"/>
                <w:color w:val="auto"/>
              </w:rPr>
            </w:pPr>
            <w:r>
              <w:rPr>
                <w:rFonts w:ascii="Arial" w:cs="Arial" w:eastAsia="Arial" w:hAnsi="Arial"/>
                <w:sz w:val="17"/>
                <w:szCs w:val="17"/>
                <w:color w:val="auto"/>
              </w:rPr>
              <w:t>Total revenue</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608,018</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553,059</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541,797</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EXPENSES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Rental expenses</w:t>
            </w:r>
          </w:p>
        </w:tc>
        <w:tc>
          <w:tcPr>
            <w:tcW w:w="32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112,760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109,549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110,519</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Real estate taxes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66,799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58,663</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General and administrative</w:t>
            </w:r>
          </w:p>
        </w:tc>
        <w:tc>
          <w:tcPr>
            <w:tcW w:w="32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31,158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28,985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24,189</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Litigation provision</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142,039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126,208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118,878</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7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352,756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325,362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312,579</w:t>
            </w:r>
          </w:p>
        </w:tc>
        <w:tc>
          <w:tcPr>
            <w:tcW w:w="0" w:type="dxa"/>
            <w:vAlign w:val="bottom"/>
          </w:tcPr>
          <w:p>
            <w:pPr>
              <w:spacing w:after="0"/>
              <w:rPr>
                <w:sz w:val="1"/>
                <w:szCs w:val="1"/>
                <w:color w:val="auto"/>
              </w:rPr>
            </w:pPr>
          </w:p>
        </w:tc>
      </w:tr>
      <w:tr>
        <w:trPr>
          <w:trHeight w:val="227"/>
        </w:trPr>
        <w:tc>
          <w:tcPr>
            <w:tcW w:w="7100" w:type="dxa"/>
            <w:vAlign w:val="bottom"/>
          </w:tcPr>
          <w:p>
            <w:pPr>
              <w:ind w:left="40"/>
              <w:spacing w:after="0"/>
              <w:rPr>
                <w:sz w:val="20"/>
                <w:szCs w:val="20"/>
                <w:color w:val="auto"/>
              </w:rPr>
            </w:pPr>
            <w:r>
              <w:rPr>
                <w:rFonts w:ascii="Arial" w:cs="Arial" w:eastAsia="Arial" w:hAnsi="Arial"/>
                <w:sz w:val="17"/>
                <w:szCs w:val="17"/>
                <w:color w:val="auto"/>
              </w:rPr>
              <w:t>OPERATING INCOME</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255,262</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227,697</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229,218</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interest income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689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218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(113,336)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(98,465)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(101,882)</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Early extinguishment of debt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(2,801)</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Income from real estate partnerships</w:t>
            </w:r>
          </w:p>
        </w:tc>
        <w:tc>
          <w:tcPr>
            <w:tcW w:w="32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1,757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1,808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1,060</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CONTINUING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144,372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131,554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125,851</w:t>
            </w:r>
          </w:p>
        </w:tc>
        <w:tc>
          <w:tcPr>
            <w:tcW w:w="0" w:type="dxa"/>
            <w:vAlign w:val="bottom"/>
          </w:tcPr>
          <w:p>
            <w:pPr>
              <w:spacing w:after="0"/>
              <w:rPr>
                <w:sz w:val="1"/>
                <w:szCs w:val="1"/>
                <w:color w:val="auto"/>
              </w:rPr>
            </w:pP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color w:val="auto"/>
              </w:rPr>
              <w:t>DISCONTINUED OPERATIONS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Discontinued operations - income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957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976</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Discontinued operations - gain on deconsolidation of VIE</w:t>
            </w:r>
          </w:p>
        </w:tc>
        <w:tc>
          <w:tcPr>
            <w:tcW w:w="32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2,026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Discontinued operations - gain on sale of real estate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15,075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7"/>
        </w:trPr>
        <w:tc>
          <w:tcPr>
            <w:tcW w:w="7100" w:type="dxa"/>
            <w:vAlign w:val="bottom"/>
          </w:tcPr>
          <w:p>
            <w:pPr>
              <w:ind w:left="680"/>
              <w:spacing w:after="0"/>
              <w:rPr>
                <w:sz w:val="20"/>
                <w:szCs w:val="20"/>
                <w:color w:val="auto"/>
              </w:rPr>
            </w:pPr>
            <w:r>
              <w:rPr>
                <w:rFonts w:ascii="Arial" w:cs="Arial" w:eastAsia="Arial" w:hAnsi="Arial"/>
                <w:sz w:val="17"/>
                <w:szCs w:val="17"/>
                <w:color w:val="auto"/>
              </w:rPr>
              <w:t>Results from discontinued operations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18,058</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1,976</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BEFORE GAIN ON SALE OF REAL ESTATE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144,372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149,612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127,827</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Gain on sale of real estate</w:t>
            </w:r>
          </w:p>
        </w:tc>
        <w:tc>
          <w:tcPr>
            <w:tcW w:w="32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11,860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156,232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149,612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128,237</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Net income attributable to noncontrolling interests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(4,307)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(5,447)</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THE TRUST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151,925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143,917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122,790</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Dividends on preferred shares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AVAILABLE FOR COMMON SHAREHOLDERS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151,384</w:t>
            </w:r>
          </w:p>
        </w:tc>
        <w:tc>
          <w:tcPr>
            <w:tcW w:w="460" w:type="dxa"/>
            <w:vAlign w:val="bottom"/>
            <w:tcBorders>
              <w:bottom w:val="single" w:sz="8" w:color="CCEEFF"/>
            </w:tcBorders>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143,376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122,249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EARNINGS PER COMMON SHARE, BASIC</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7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Continuing operations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2.17</w:t>
            </w:r>
          </w:p>
        </w:tc>
        <w:tc>
          <w:tcPr>
            <w:tcW w:w="460" w:type="dxa"/>
            <w:vAlign w:val="bottom"/>
            <w:tcBorders>
              <w:bottom w:val="single" w:sz="8" w:color="CCEEFF"/>
            </w:tcBorders>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Discontinued operations</w:t>
            </w:r>
          </w:p>
        </w:tc>
        <w:tc>
          <w:tcPr>
            <w:tcW w:w="32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0.29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Gain on sale of real estate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27"/>
        </w:trPr>
        <w:tc>
          <w:tcPr>
            <w:tcW w:w="7100" w:type="dxa"/>
            <w:vAlign w:val="bottom"/>
          </w:tcPr>
          <w:p>
            <w:pPr>
              <w:spacing w:after="0"/>
              <w:rPr>
                <w:sz w:val="19"/>
                <w:szCs w:val="19"/>
                <w:color w:val="auto"/>
              </w:rPr>
            </w:pPr>
          </w:p>
        </w:tc>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2.36</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2.29</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360"/>
              <w:spacing w:after="0" w:line="187" w:lineRule="exact"/>
              <w:rPr>
                <w:sz w:val="20"/>
                <w:szCs w:val="20"/>
                <w:color w:val="auto"/>
              </w:rPr>
            </w:pPr>
            <w:r>
              <w:rPr>
                <w:rFonts w:ascii="Arial" w:cs="Arial" w:eastAsia="Arial" w:hAnsi="Arial"/>
                <w:sz w:val="17"/>
                <w:szCs w:val="17"/>
                <w:color w:val="auto"/>
              </w:rPr>
              <w:t>Weighted average number of common shares, basic</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63,881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62,438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61,182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EARNINGS PER COMMON SHARE,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7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Continuing operations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2.16</w:t>
            </w:r>
          </w:p>
        </w:tc>
        <w:tc>
          <w:tcPr>
            <w:tcW w:w="460" w:type="dxa"/>
            <w:vAlign w:val="bottom"/>
            <w:tcBorders>
              <w:bottom w:val="single" w:sz="8" w:color="CCEEFF"/>
            </w:tcBorders>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Discontinued operations</w:t>
            </w:r>
          </w:p>
        </w:tc>
        <w:tc>
          <w:tcPr>
            <w:tcW w:w="32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0.29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Gain on sale of real estate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27"/>
        </w:trPr>
        <w:tc>
          <w:tcPr>
            <w:tcW w:w="7100" w:type="dxa"/>
            <w:vAlign w:val="bottom"/>
          </w:tcPr>
          <w:p>
            <w:pPr>
              <w:spacing w:after="0"/>
              <w:rPr>
                <w:sz w:val="19"/>
                <w:szCs w:val="19"/>
                <w:color w:val="auto"/>
              </w:rPr>
            </w:pPr>
          </w:p>
        </w:tc>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2.28</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360"/>
              <w:spacing w:after="0" w:line="187" w:lineRule="exact"/>
              <w:rPr>
                <w:sz w:val="20"/>
                <w:szCs w:val="20"/>
                <w:color w:val="auto"/>
              </w:rPr>
            </w:pPr>
            <w:r>
              <w:rPr>
                <w:rFonts w:ascii="Arial" w:cs="Arial" w:eastAsia="Arial" w:hAnsi="Arial"/>
                <w:sz w:val="17"/>
                <w:szCs w:val="17"/>
                <w:color w:val="auto"/>
              </w:rPr>
              <w:t>Weighted average number of common shares, diluted</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64,056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62,603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61,324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156,232</w:t>
            </w:r>
          </w:p>
        </w:tc>
        <w:tc>
          <w:tcPr>
            <w:tcW w:w="460" w:type="dxa"/>
            <w:vAlign w:val="bottom"/>
            <w:tcBorders>
              <w:bottom w:val="single" w:sz="8" w:color="CCEEFF"/>
            </w:tcBorders>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149,612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128,237</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Other comprehensive loss - change in value of interest rate swaps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(8,448)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(3,940)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COMPREHENSIVE INCOME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147,784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145,672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128,237</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Comprehensive income attributable to noncontrolling interests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(4,307)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(5,447)</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COMPREHENSIVE INCOME ATTRIBUTABLE TO THE TRUST</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143,477</w:t>
            </w:r>
          </w:p>
        </w:tc>
        <w:tc>
          <w:tcPr>
            <w:tcW w:w="460" w:type="dxa"/>
            <w:vAlign w:val="bottom"/>
            <w:tcBorders>
              <w:bottom w:val="single" w:sz="8" w:color="CCEEFF"/>
            </w:tcBorders>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139,977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122,790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125" w:right="239" w:bottom="473" w:gutter="0" w:footer="0" w:header="0"/>
        </w:sectPr>
      </w:pPr>
    </w:p>
    <w:bookmarkStart w:id="58" w:name="page59"/>
    <w:bookmarkEnd w:id="58"/>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Shareholders’ Equity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w w:val="95"/>
              </w:rPr>
              <w:t>Shareholders’ Equity of the Trust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100" w:type="dxa"/>
            <w:vAlign w:val="bottom"/>
          </w:tcPr>
          <w:p>
            <w:pPr>
              <w:spacing w:after="0"/>
              <w:rPr>
                <w:sz w:val="12"/>
                <w:szCs w:val="12"/>
                <w:color w:val="auto"/>
              </w:rPr>
            </w:pPr>
          </w:p>
        </w:tc>
        <w:tc>
          <w:tcPr>
            <w:tcW w:w="1500" w:type="dxa"/>
            <w:vAlign w:val="bottom"/>
            <w:gridSpan w:val="4"/>
            <w:vMerge w:val="restart"/>
          </w:tcPr>
          <w:p>
            <w:pPr>
              <w:jc w:val="right"/>
              <w:ind w:right="171"/>
              <w:spacing w:after="0"/>
              <w:rPr>
                <w:sz w:val="20"/>
                <w:szCs w:val="20"/>
                <w:color w:val="auto"/>
              </w:rPr>
            </w:pPr>
            <w:r>
              <w:rPr>
                <w:rFonts w:ascii="Arial" w:cs="Arial" w:eastAsia="Arial" w:hAnsi="Arial"/>
                <w:sz w:val="14"/>
                <w:szCs w:val="14"/>
                <w:b w:val="1"/>
                <w:bCs w:val="1"/>
                <w:color w:val="auto"/>
              </w:rPr>
              <w:t>Preferred Shares</w:t>
            </w:r>
          </w:p>
        </w:tc>
        <w:tc>
          <w:tcPr>
            <w:tcW w:w="120" w:type="dxa"/>
            <w:vAlign w:val="bottom"/>
            <w:vMerge w:val="restart"/>
          </w:tcPr>
          <w:p>
            <w:pPr>
              <w:spacing w:after="0"/>
              <w:rPr>
                <w:sz w:val="12"/>
                <w:szCs w:val="12"/>
                <w:color w:val="auto"/>
              </w:rPr>
            </w:pPr>
          </w:p>
        </w:tc>
        <w:tc>
          <w:tcPr>
            <w:tcW w:w="1540" w:type="dxa"/>
            <w:vAlign w:val="bottom"/>
            <w:gridSpan w:val="4"/>
            <w:vMerge w:val="restart"/>
          </w:tcPr>
          <w:p>
            <w:pPr>
              <w:jc w:val="right"/>
              <w:ind w:right="151"/>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Additional</w:t>
            </w:r>
          </w:p>
        </w:tc>
        <w:tc>
          <w:tcPr>
            <w:tcW w:w="1000" w:type="dxa"/>
            <w:vAlign w:val="bottom"/>
            <w:gridSpan w:val="3"/>
          </w:tcPr>
          <w:p>
            <w:pPr>
              <w:jc w:val="center"/>
              <w:ind w:right="120"/>
              <w:spacing w:after="0" w:line="146"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3100" w:type="dxa"/>
            <w:vAlign w:val="bottom"/>
          </w:tcPr>
          <w:p>
            <w:pPr>
              <w:spacing w:after="0"/>
              <w:rPr>
                <w:sz w:val="13"/>
                <w:szCs w:val="13"/>
                <w:color w:val="auto"/>
              </w:rPr>
            </w:pPr>
          </w:p>
        </w:tc>
        <w:tc>
          <w:tcPr>
            <w:tcW w:w="150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54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Dividends in</w:t>
            </w:r>
          </w:p>
        </w:tc>
        <w:tc>
          <w:tcPr>
            <w:tcW w:w="10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100" w:type="dxa"/>
            <w:vAlign w:val="bottom"/>
          </w:tcPr>
          <w:p>
            <w:pPr>
              <w:spacing w:after="0"/>
              <w:rPr>
                <w:sz w:val="9"/>
                <w:szCs w:val="9"/>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9"/>
                <w:szCs w:val="9"/>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120"/>
              <w:spacing w:after="0" w:line="114" w:lineRule="exact"/>
              <w:rPr>
                <w:sz w:val="20"/>
                <w:szCs w:val="20"/>
                <w:color w:val="auto"/>
              </w:rPr>
            </w:pPr>
            <w:r>
              <w:rPr>
                <w:rFonts w:ascii="Arial" w:cs="Arial" w:eastAsia="Arial" w:hAnsi="Arial"/>
                <w:sz w:val="13"/>
                <w:szCs w:val="13"/>
                <w:b w:val="1"/>
                <w:bCs w:val="1"/>
                <w:color w:val="auto"/>
                <w:w w:val="96"/>
              </w:rPr>
              <w:t>Paid-in</w:t>
            </w:r>
          </w:p>
        </w:tc>
        <w:tc>
          <w:tcPr>
            <w:tcW w:w="1000" w:type="dxa"/>
            <w:vAlign w:val="bottom"/>
            <w:gridSpan w:val="3"/>
          </w:tcPr>
          <w:p>
            <w:pPr>
              <w:jc w:val="center"/>
              <w:ind w:right="120"/>
              <w:spacing w:after="0" w:line="114" w:lineRule="exact"/>
              <w:rPr>
                <w:sz w:val="20"/>
                <w:szCs w:val="20"/>
                <w:color w:val="auto"/>
              </w:rPr>
            </w:pPr>
            <w:r>
              <w:rPr>
                <w:rFonts w:ascii="Arial" w:cs="Arial" w:eastAsia="Arial" w:hAnsi="Arial"/>
                <w:sz w:val="13"/>
                <w:szCs w:val="13"/>
                <w:b w:val="1"/>
                <w:bCs w:val="1"/>
                <w:color w:val="auto"/>
                <w:w w:val="93"/>
              </w:rPr>
              <w:t>Excess of Net</w:t>
            </w:r>
          </w:p>
        </w:tc>
        <w:tc>
          <w:tcPr>
            <w:tcW w:w="1100" w:type="dxa"/>
            <w:vAlign w:val="bottom"/>
            <w:gridSpan w:val="3"/>
          </w:tcPr>
          <w:p>
            <w:pPr>
              <w:jc w:val="center"/>
              <w:ind w:right="100"/>
              <w:spacing w:after="0" w:line="114" w:lineRule="exact"/>
              <w:rPr>
                <w:sz w:val="20"/>
                <w:szCs w:val="20"/>
                <w:color w:val="auto"/>
              </w:rPr>
            </w:pPr>
            <w:r>
              <w:rPr>
                <w:rFonts w:ascii="Arial" w:cs="Arial" w:eastAsia="Arial" w:hAnsi="Arial"/>
                <w:sz w:val="13"/>
                <w:szCs w:val="13"/>
                <w:b w:val="1"/>
                <w:bCs w:val="1"/>
                <w:color w:val="auto"/>
                <w:w w:val="94"/>
              </w:rPr>
              <w:t>Comprehensive</w:t>
            </w:r>
          </w:p>
        </w:tc>
        <w:tc>
          <w:tcPr>
            <w:tcW w:w="1040" w:type="dxa"/>
            <w:vAlign w:val="bottom"/>
            <w:gridSpan w:val="3"/>
          </w:tcPr>
          <w:p>
            <w:pPr>
              <w:ind w:left="20"/>
              <w:spacing w:after="0" w:line="114" w:lineRule="exact"/>
              <w:rPr>
                <w:sz w:val="20"/>
                <w:szCs w:val="20"/>
                <w:color w:val="auto"/>
              </w:rPr>
            </w:pPr>
            <w:r>
              <w:rPr>
                <w:rFonts w:ascii="Arial" w:cs="Arial" w:eastAsia="Arial" w:hAnsi="Arial"/>
                <w:sz w:val="13"/>
                <w:szCs w:val="13"/>
                <w:b w:val="1"/>
                <w:bCs w:val="1"/>
                <w:color w:val="auto"/>
              </w:rPr>
              <w:t>Noncontrolling</w:t>
            </w:r>
          </w:p>
        </w:tc>
        <w:tc>
          <w:tcPr>
            <w:tcW w:w="880" w:type="dxa"/>
            <w:vAlign w:val="bottom"/>
            <w:gridSpan w:val="2"/>
          </w:tcPr>
          <w:p>
            <w:pPr>
              <w:ind w:left="40"/>
              <w:spacing w:after="0" w:line="114" w:lineRule="exact"/>
              <w:rPr>
                <w:sz w:val="20"/>
                <w:szCs w:val="20"/>
                <w:color w:val="auto"/>
              </w:rPr>
            </w:pPr>
            <w:r>
              <w:rPr>
                <w:rFonts w:ascii="Arial" w:cs="Arial" w:eastAsia="Arial" w:hAnsi="Arial"/>
                <w:sz w:val="13"/>
                <w:szCs w:val="13"/>
                <w:b w:val="1"/>
                <w:bCs w:val="1"/>
                <w:color w:val="auto"/>
                <w:w w:val="95"/>
              </w:rPr>
              <w:t>Shareholders'</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40" w:type="dxa"/>
            <w:vAlign w:val="bottom"/>
            <w:gridSpan w:val="7"/>
          </w:tcPr>
          <w:p>
            <w:pPr>
              <w:ind w:left="40"/>
              <w:spacing w:after="0"/>
              <w:rPr>
                <w:sz w:val="20"/>
                <w:szCs w:val="20"/>
                <w:color w:val="auto"/>
              </w:rPr>
            </w:pPr>
            <w:r>
              <w:rPr>
                <w:rFonts w:ascii="Arial" w:cs="Arial" w:eastAsia="Arial" w:hAnsi="Arial"/>
                <w:sz w:val="14"/>
                <w:szCs w:val="14"/>
                <w:b w:val="1"/>
                <w:bCs w:val="1"/>
                <w:color w:val="auto"/>
                <w:w w:val="93"/>
              </w:rPr>
              <w:t>(In thousands, except share data)</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2009</w:t>
            </w:r>
          </w:p>
        </w:tc>
        <w:tc>
          <w:tcPr>
            <w:tcW w:w="6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399,896</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9,997</w:t>
            </w: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96"/>
              </w:rPr>
              <w:t>61,242,050</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02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$ 1,606,115</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(486,449)</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21,463</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96"/>
              </w:rPr>
              <w:t>1,151,738</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100" w:type="dxa"/>
            <w:vAlign w:val="bottom"/>
          </w:tcPr>
          <w:p>
            <w:pPr>
              <w:ind w:left="40"/>
              <w:spacing w:after="0" w:line="151" w:lineRule="exact"/>
              <w:rPr>
                <w:sz w:val="20"/>
                <w:szCs w:val="20"/>
                <w:color w:val="auto"/>
              </w:rPr>
            </w:pPr>
            <w:r>
              <w:rPr>
                <w:rFonts w:ascii="Arial" w:cs="Arial" w:eastAsia="Arial" w:hAnsi="Arial"/>
                <w:sz w:val="14"/>
                <w:szCs w:val="14"/>
                <w:color w:val="auto"/>
              </w:rPr>
              <w:t>Net income, excluding $2,986 attributable to</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10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122,790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2,461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125,251</w:t>
            </w: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(163,382)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(163,382)</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1"/>
        </w:trPr>
        <w:tc>
          <w:tcPr>
            <w:tcW w:w="3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(2,223)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(2,223)</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40"/>
              <w:spacing w:after="0"/>
              <w:rPr>
                <w:sz w:val="20"/>
                <w:szCs w:val="20"/>
                <w:color w:val="auto"/>
              </w:rPr>
            </w:pPr>
            <w:r>
              <w:rPr>
                <w:rFonts w:ascii="Arial" w:cs="Arial" w:eastAsia="Arial" w:hAnsi="Arial"/>
                <w:sz w:val="14"/>
                <w:szCs w:val="14"/>
                <w:color w:val="auto"/>
              </w:rPr>
              <w:t>Common shares issued</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1"/>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tcPr>
          <w:p>
            <w:pPr>
              <w:jc w:val="right"/>
              <w:ind w:right="51"/>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1"/>
        </w:trPr>
        <w:tc>
          <w:tcPr>
            <w:tcW w:w="3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107,493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2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4,051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4,052</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1"/>
              <w:spacing w:after="0"/>
              <w:rPr>
                <w:sz w:val="20"/>
                <w:szCs w:val="20"/>
                <w:color w:val="auto"/>
              </w:rPr>
            </w:pPr>
            <w:r>
              <w:rPr>
                <w:rFonts w:ascii="Arial" w:cs="Arial" w:eastAsia="Arial" w:hAnsi="Arial"/>
                <w:sz w:val="14"/>
                <w:szCs w:val="14"/>
                <w:color w:val="auto"/>
              </w:rPr>
              <w:t>34,401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tcPr>
          <w:p>
            <w:pPr>
              <w:jc w:val="right"/>
              <w:ind w:right="51"/>
              <w:spacing w:after="0"/>
              <w:rPr>
                <w:sz w:val="20"/>
                <w:szCs w:val="20"/>
                <w:color w:val="auto"/>
              </w:rPr>
            </w:pPr>
            <w:r>
              <w:rPr>
                <w:rFonts w:ascii="Arial" w:cs="Arial" w:eastAsia="Arial" w:hAnsi="Arial"/>
                <w:sz w:val="14"/>
                <w:szCs w:val="14"/>
                <w:color w:val="auto"/>
              </w:rPr>
              <w:t>2,544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rPr>
              <w:t>2,544</w:t>
            </w:r>
          </w:p>
        </w:tc>
        <w:tc>
          <w:tcPr>
            <w:tcW w:w="0" w:type="dxa"/>
            <w:vAlign w:val="bottom"/>
          </w:tcPr>
          <w:p>
            <w:pPr>
              <w:spacing w:after="0"/>
              <w:rPr>
                <w:sz w:val="1"/>
                <w:szCs w:val="1"/>
                <w:color w:val="auto"/>
              </w:rPr>
            </w:pPr>
          </w:p>
        </w:tc>
      </w:tr>
      <w:tr>
        <w:trPr>
          <w:trHeight w:val="71"/>
        </w:trPr>
        <w:tc>
          <w:tcPr>
            <w:tcW w:w="3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 net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135,338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2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6,485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6,487</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40"/>
              <w:spacing w:after="0"/>
              <w:rPr>
                <w:sz w:val="20"/>
                <w:szCs w:val="20"/>
                <w:color w:val="auto"/>
              </w:rPr>
            </w:pPr>
            <w:r>
              <w:rPr>
                <w:rFonts w:ascii="Arial" w:cs="Arial" w:eastAsia="Arial" w:hAnsi="Arial"/>
                <w:sz w:val="14"/>
                <w:szCs w:val="14"/>
                <w:color w:val="auto"/>
              </w:rPr>
              <w:t>Conversion and redemption of OP units</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1"/>
              <w:spacing w:after="0"/>
              <w:rPr>
                <w:sz w:val="20"/>
                <w:szCs w:val="20"/>
                <w:color w:val="auto"/>
              </w:rPr>
            </w:pPr>
            <w:r>
              <w:rPr>
                <w:rFonts w:ascii="Arial" w:cs="Arial" w:eastAsia="Arial" w:hAnsi="Arial"/>
                <w:sz w:val="14"/>
                <w:szCs w:val="14"/>
                <w:color w:val="auto"/>
              </w:rPr>
              <w:t>6,946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tcPr>
          <w:p>
            <w:pPr>
              <w:jc w:val="right"/>
              <w:ind w:right="51"/>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71"/>
        </w:trPr>
        <w:tc>
          <w:tcPr>
            <w:tcW w:w="3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Adjustment to redeemable noncontrolling interests</w:t>
            </w:r>
          </w:p>
        </w:tc>
        <w:tc>
          <w:tcPr>
            <w:tcW w:w="6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spacing w:after="0"/>
              <w:rPr>
                <w:sz w:val="16"/>
                <w:szCs w:val="16"/>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(8,035)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(8,035)</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100" w:type="dxa"/>
            <w:vAlign w:val="bottom"/>
          </w:tcPr>
          <w:p>
            <w:pPr>
              <w:ind w:left="40"/>
              <w:spacing w:after="0"/>
              <w:rPr>
                <w:sz w:val="20"/>
                <w:szCs w:val="20"/>
                <w:color w:val="auto"/>
              </w:rPr>
            </w:pPr>
            <w:r>
              <w:rPr>
                <w:rFonts w:ascii="Arial" w:cs="Arial" w:eastAsia="Arial" w:hAnsi="Arial"/>
                <w:sz w:val="14"/>
                <w:szCs w:val="14"/>
                <w:color w:val="auto"/>
              </w:rPr>
              <w:t>BALANCE AT DECEMBER 31, 2010</w:t>
            </w: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399,896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31"/>
              <w:spacing w:after="0"/>
              <w:rPr>
                <w:sz w:val="20"/>
                <w:szCs w:val="20"/>
                <w:color w:val="auto"/>
              </w:rPr>
            </w:pPr>
            <w:r>
              <w:rPr>
                <w:rFonts w:ascii="Arial" w:cs="Arial" w:eastAsia="Arial" w:hAnsi="Arial"/>
                <w:sz w:val="14"/>
                <w:szCs w:val="14"/>
                <w:color w:val="auto"/>
              </w:rPr>
              <w:t>9,997</w:t>
            </w:r>
          </w:p>
        </w:tc>
        <w:tc>
          <w:tcPr>
            <w:tcW w:w="120" w:type="dxa"/>
            <w:vAlign w:val="bottom"/>
          </w:tcPr>
          <w:p>
            <w:pPr>
              <w:spacing w:after="0"/>
              <w:rPr>
                <w:sz w:val="14"/>
                <w:szCs w:val="14"/>
                <w:color w:val="auto"/>
              </w:rPr>
            </w:pPr>
          </w:p>
        </w:tc>
        <w:tc>
          <w:tcPr>
            <w:tcW w:w="820" w:type="dxa"/>
            <w:vAlign w:val="bottom"/>
            <w:vMerge w:val="restart"/>
          </w:tcPr>
          <w:p>
            <w:pPr>
              <w:jc w:val="right"/>
              <w:ind w:right="51"/>
              <w:spacing w:after="0"/>
              <w:rPr>
                <w:sz w:val="20"/>
                <w:szCs w:val="20"/>
                <w:color w:val="auto"/>
              </w:rPr>
            </w:pPr>
            <w:r>
              <w:rPr>
                <w:rFonts w:ascii="Arial" w:cs="Arial" w:eastAsia="Arial" w:hAnsi="Arial"/>
                <w:sz w:val="14"/>
                <w:szCs w:val="14"/>
                <w:color w:val="auto"/>
                <w:w w:val="96"/>
              </w:rPr>
              <w:t>61,526,418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615</w:t>
            </w:r>
          </w:p>
        </w:tc>
        <w:tc>
          <w:tcPr>
            <w:tcW w:w="1020" w:type="dxa"/>
            <w:vAlign w:val="bottom"/>
            <w:gridSpan w:val="3"/>
            <w:vMerge w:val="restart"/>
          </w:tcPr>
          <w:p>
            <w:pPr>
              <w:jc w:val="right"/>
              <w:ind w:right="51"/>
              <w:spacing w:after="0"/>
              <w:rPr>
                <w:sz w:val="20"/>
                <w:szCs w:val="20"/>
                <w:color w:val="auto"/>
              </w:rPr>
            </w:pPr>
            <w:r>
              <w:rPr>
                <w:rFonts w:ascii="Arial" w:cs="Arial" w:eastAsia="Arial" w:hAnsi="Arial"/>
                <w:sz w:val="14"/>
                <w:szCs w:val="14"/>
                <w:color w:val="auto"/>
              </w:rPr>
              <w:t>1,611,706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(527,582)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21,032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w w:val="96"/>
              </w:rPr>
              <w:t>1,115,768</w:t>
            </w:r>
          </w:p>
        </w:tc>
        <w:tc>
          <w:tcPr>
            <w:tcW w:w="0" w:type="dxa"/>
            <w:vAlign w:val="bottom"/>
          </w:tcPr>
          <w:p>
            <w:pPr>
              <w:spacing w:after="0"/>
              <w:rPr>
                <w:sz w:val="1"/>
                <w:szCs w:val="1"/>
                <w:color w:val="auto"/>
              </w:rPr>
            </w:pPr>
          </w:p>
        </w:tc>
      </w:tr>
      <w:tr>
        <w:trPr>
          <w:trHeight w:val="71"/>
        </w:trPr>
        <w:tc>
          <w:tcPr>
            <w:tcW w:w="3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1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Net income, excluding $3,492 attributable to</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143,917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2,203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146,120</w:t>
            </w:r>
          </w:p>
        </w:tc>
        <w:tc>
          <w:tcPr>
            <w:tcW w:w="0" w:type="dxa"/>
            <w:vAlign w:val="bottom"/>
          </w:tcPr>
          <w:p>
            <w:pPr>
              <w:spacing w:after="0"/>
              <w:rPr>
                <w:sz w:val="1"/>
                <w:szCs w:val="1"/>
                <w:color w:val="auto"/>
              </w:rPr>
            </w:pPr>
          </w:p>
        </w:tc>
      </w:tr>
      <w:tr>
        <w:trPr>
          <w:trHeight w:val="151"/>
        </w:trPr>
        <w:tc>
          <w:tcPr>
            <w:tcW w:w="3100" w:type="dxa"/>
            <w:vAlign w:val="bottom"/>
          </w:tcPr>
          <w:p>
            <w:pPr>
              <w:ind w:left="40"/>
              <w:spacing w:after="0" w:line="151" w:lineRule="exact"/>
              <w:rPr>
                <w:sz w:val="20"/>
                <w:szCs w:val="20"/>
                <w:color w:val="auto"/>
              </w:rPr>
            </w:pPr>
            <w:r>
              <w:rPr>
                <w:rFonts w:ascii="Arial" w:cs="Arial" w:eastAsia="Arial" w:hAnsi="Arial"/>
                <w:sz w:val="14"/>
                <w:szCs w:val="14"/>
                <w:color w:val="auto"/>
                <w:w w:val="89"/>
              </w:rPr>
              <w:t>Other comprehensive loss - change in value of interest</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100" w:type="dxa"/>
            <w:vAlign w:val="bottom"/>
          </w:tcPr>
          <w:p>
            <w:pPr>
              <w:ind w:left="40"/>
              <w:spacing w:after="0"/>
              <w:rPr>
                <w:sz w:val="20"/>
                <w:szCs w:val="20"/>
                <w:color w:val="auto"/>
              </w:rPr>
            </w:pPr>
            <w:r>
              <w:rPr>
                <w:rFonts w:ascii="Arial" w:cs="Arial" w:eastAsia="Arial" w:hAnsi="Arial"/>
                <w:sz w:val="14"/>
                <w:szCs w:val="14"/>
                <w:color w:val="auto"/>
              </w:rPr>
              <w:t>rate swaps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(3,940)</w:t>
            </w: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(171,335)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(171,335)</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1"/>
        </w:trPr>
        <w:tc>
          <w:tcPr>
            <w:tcW w:w="3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(2,320)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40"/>
              <w:spacing w:after="0"/>
              <w:rPr>
                <w:sz w:val="20"/>
                <w:szCs w:val="20"/>
                <w:color w:val="auto"/>
              </w:rPr>
            </w:pPr>
            <w:r>
              <w:rPr>
                <w:rFonts w:ascii="Arial" w:cs="Arial" w:eastAsia="Arial" w:hAnsi="Arial"/>
                <w:sz w:val="14"/>
                <w:szCs w:val="14"/>
                <w:color w:val="auto"/>
              </w:rPr>
              <w:t>Common shares issued</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1"/>
              <w:spacing w:after="0"/>
              <w:rPr>
                <w:sz w:val="20"/>
                <w:szCs w:val="20"/>
                <w:color w:val="auto"/>
              </w:rPr>
            </w:pPr>
            <w:r>
              <w:rPr>
                <w:rFonts w:ascii="Arial" w:cs="Arial" w:eastAsia="Arial" w:hAnsi="Arial"/>
                <w:sz w:val="14"/>
                <w:szCs w:val="14"/>
                <w:color w:val="auto"/>
              </w:rPr>
              <w:t>1,662,230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20" w:type="dxa"/>
            <w:vAlign w:val="bottom"/>
            <w:gridSpan w:val="3"/>
            <w:vMerge w:val="restart"/>
          </w:tcPr>
          <w:p>
            <w:pPr>
              <w:jc w:val="right"/>
              <w:ind w:right="51"/>
              <w:spacing w:after="0"/>
              <w:rPr>
                <w:sz w:val="20"/>
                <w:szCs w:val="20"/>
                <w:color w:val="auto"/>
              </w:rPr>
            </w:pPr>
            <w:r>
              <w:rPr>
                <w:rFonts w:ascii="Arial" w:cs="Arial" w:eastAsia="Arial" w:hAnsi="Arial"/>
                <w:sz w:val="14"/>
                <w:szCs w:val="14"/>
                <w:color w:val="auto"/>
              </w:rPr>
              <w:t>139,281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rPr>
              <w:t>139,298</w:t>
            </w:r>
          </w:p>
        </w:tc>
        <w:tc>
          <w:tcPr>
            <w:tcW w:w="0" w:type="dxa"/>
            <w:vAlign w:val="bottom"/>
          </w:tcPr>
          <w:p>
            <w:pPr>
              <w:spacing w:after="0"/>
              <w:rPr>
                <w:sz w:val="1"/>
                <w:szCs w:val="1"/>
                <w:color w:val="auto"/>
              </w:rPr>
            </w:pPr>
          </w:p>
        </w:tc>
      </w:tr>
      <w:tr>
        <w:trPr>
          <w:trHeight w:val="71"/>
        </w:trPr>
        <w:tc>
          <w:tcPr>
            <w:tcW w:w="3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237,271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2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15,187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15,190</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1"/>
              <w:spacing w:after="0"/>
              <w:rPr>
                <w:sz w:val="20"/>
                <w:szCs w:val="20"/>
                <w:color w:val="auto"/>
              </w:rPr>
            </w:pPr>
            <w:r>
              <w:rPr>
                <w:rFonts w:ascii="Arial" w:cs="Arial" w:eastAsia="Arial" w:hAnsi="Arial"/>
                <w:sz w:val="14"/>
                <w:szCs w:val="14"/>
                <w:color w:val="auto"/>
              </w:rPr>
              <w:t>28,823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tcPr>
          <w:p>
            <w:pPr>
              <w:jc w:val="right"/>
              <w:ind w:right="51"/>
              <w:spacing w:after="0"/>
              <w:rPr>
                <w:sz w:val="20"/>
                <w:szCs w:val="20"/>
                <w:color w:val="auto"/>
              </w:rPr>
            </w:pPr>
            <w:r>
              <w:rPr>
                <w:rFonts w:ascii="Arial" w:cs="Arial" w:eastAsia="Arial" w:hAnsi="Arial"/>
                <w:sz w:val="14"/>
                <w:szCs w:val="14"/>
                <w:color w:val="auto"/>
              </w:rPr>
              <w:t>2,374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rPr>
              <w:t>2,374</w:t>
            </w:r>
          </w:p>
        </w:tc>
        <w:tc>
          <w:tcPr>
            <w:tcW w:w="0" w:type="dxa"/>
            <w:vAlign w:val="bottom"/>
          </w:tcPr>
          <w:p>
            <w:pPr>
              <w:spacing w:after="0"/>
              <w:rPr>
                <w:sz w:val="1"/>
                <w:szCs w:val="1"/>
                <w:color w:val="auto"/>
              </w:rPr>
            </w:pPr>
          </w:p>
        </w:tc>
      </w:tr>
      <w:tr>
        <w:trPr>
          <w:trHeight w:val="71"/>
        </w:trPr>
        <w:tc>
          <w:tcPr>
            <w:tcW w:w="3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 net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89,408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2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8,246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8,247</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40"/>
              <w:spacing w:after="0"/>
              <w:rPr>
                <w:sz w:val="20"/>
                <w:szCs w:val="20"/>
                <w:color w:val="auto"/>
              </w:rPr>
            </w:pPr>
            <w:r>
              <w:rPr>
                <w:rFonts w:ascii="Arial" w:cs="Arial" w:eastAsia="Arial" w:hAnsi="Arial"/>
                <w:sz w:val="14"/>
                <w:szCs w:val="14"/>
                <w:color w:val="auto"/>
              </w:rPr>
              <w:t>Conversion and redemption of OP units</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tcPr>
          <w:p>
            <w:pPr>
              <w:jc w:val="right"/>
              <w:ind w:right="11"/>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71"/>
        </w:trPr>
        <w:tc>
          <w:tcPr>
            <w:tcW w:w="3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noncontrolling interest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(2,331)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(2,538)</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40"/>
              <w:spacing w:after="0"/>
              <w:rPr>
                <w:sz w:val="20"/>
                <w:szCs w:val="20"/>
                <w:color w:val="auto"/>
              </w:rPr>
            </w:pPr>
            <w:r>
              <w:rPr>
                <w:rFonts w:ascii="Arial" w:cs="Arial" w:eastAsia="Arial" w:hAnsi="Arial"/>
                <w:sz w:val="14"/>
                <w:szCs w:val="14"/>
                <w:color w:val="auto"/>
              </w:rPr>
              <w:t>Deconsolidation of VIE</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71"/>
        </w:trPr>
        <w:tc>
          <w:tcPr>
            <w:tcW w:w="3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4,279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4,279</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40"/>
              <w:spacing w:after="0"/>
              <w:rPr>
                <w:sz w:val="20"/>
                <w:szCs w:val="20"/>
                <w:color w:val="auto"/>
              </w:rPr>
            </w:pPr>
            <w:r>
              <w:rPr>
                <w:rFonts w:ascii="Arial" w:cs="Arial" w:eastAsia="Arial" w:hAnsi="Arial"/>
                <w:sz w:val="14"/>
                <w:szCs w:val="14"/>
                <w:color w:val="auto"/>
                <w:w w:val="97"/>
              </w:rPr>
              <w:t>Adjustment to redeemable noncontrolling interests</w:t>
            </w: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8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(9,427)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(9,427)</w:t>
            </w:r>
          </w:p>
        </w:tc>
        <w:tc>
          <w:tcPr>
            <w:tcW w:w="0" w:type="dxa"/>
            <w:vAlign w:val="bottom"/>
          </w:tcPr>
          <w:p>
            <w:pPr>
              <w:spacing w:after="0"/>
              <w:rPr>
                <w:sz w:val="1"/>
                <w:szCs w:val="1"/>
                <w:color w:val="auto"/>
              </w:rPr>
            </w:pPr>
          </w:p>
        </w:tc>
      </w:tr>
      <w:tr>
        <w:trPr>
          <w:trHeight w:val="71"/>
        </w:trPr>
        <w:tc>
          <w:tcPr>
            <w:tcW w:w="3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2011</w:t>
            </w:r>
          </w:p>
        </w:tc>
        <w:tc>
          <w:tcPr>
            <w:tcW w:w="6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399,896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9,997</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96"/>
              </w:rPr>
              <w:t>63,544,150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02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1,764,940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(555,541)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24,512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96"/>
              </w:rPr>
              <w:t>1,240,604</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100" w:type="dxa"/>
            <w:vAlign w:val="bottom"/>
          </w:tcPr>
          <w:p>
            <w:pPr>
              <w:ind w:left="40"/>
              <w:spacing w:after="0" w:line="151" w:lineRule="exact"/>
              <w:rPr>
                <w:sz w:val="20"/>
                <w:szCs w:val="20"/>
                <w:color w:val="auto"/>
              </w:rPr>
            </w:pPr>
            <w:r>
              <w:rPr>
                <w:rFonts w:ascii="Arial" w:cs="Arial" w:eastAsia="Arial" w:hAnsi="Arial"/>
                <w:sz w:val="14"/>
                <w:szCs w:val="14"/>
                <w:color w:val="auto"/>
              </w:rPr>
              <w:t>Net income, excluding $2,592 attributable to</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10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151,925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1,715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153,640</w:t>
            </w:r>
          </w:p>
        </w:tc>
        <w:tc>
          <w:tcPr>
            <w:tcW w:w="0" w:type="dxa"/>
            <w:vAlign w:val="bottom"/>
          </w:tcPr>
          <w:p>
            <w:pPr>
              <w:spacing w:after="0"/>
              <w:rPr>
                <w:sz w:val="1"/>
                <w:szCs w:val="1"/>
                <w:color w:val="auto"/>
              </w:rPr>
            </w:pPr>
          </w:p>
        </w:tc>
      </w:tr>
      <w:tr>
        <w:trPr>
          <w:trHeight w:val="157"/>
        </w:trPr>
        <w:tc>
          <w:tcPr>
            <w:tcW w:w="31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89"/>
              </w:rPr>
              <w:t>Other comprehensive loss - change in value of interest</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rate swaps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(8,448)</w:t>
            </w:r>
          </w:p>
        </w:tc>
        <w:tc>
          <w:tcPr>
            <w:tcW w:w="0" w:type="dxa"/>
            <w:vAlign w:val="bottom"/>
          </w:tcPr>
          <w:p>
            <w:pPr>
              <w:spacing w:after="0"/>
              <w:rPr>
                <w:sz w:val="1"/>
                <w:szCs w:val="1"/>
                <w:color w:val="auto"/>
              </w:rPr>
            </w:pPr>
          </w:p>
        </w:tc>
      </w:tr>
      <w:tr>
        <w:trPr>
          <w:trHeight w:val="183"/>
        </w:trPr>
        <w:tc>
          <w:tcPr>
            <w:tcW w:w="3100" w:type="dxa"/>
            <w:vAlign w:val="bottom"/>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(182,813)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(182,813)</w:t>
            </w:r>
          </w:p>
        </w:tc>
        <w:tc>
          <w:tcPr>
            <w:tcW w:w="0" w:type="dxa"/>
            <w:vAlign w:val="bottom"/>
          </w:tcPr>
          <w:p>
            <w:pPr>
              <w:spacing w:after="0"/>
              <w:rPr>
                <w:sz w:val="1"/>
                <w:szCs w:val="1"/>
                <w:color w:val="auto"/>
              </w:rPr>
            </w:pPr>
          </w:p>
        </w:tc>
      </w:tr>
      <w:tr>
        <w:trPr>
          <w:trHeight w:val="71"/>
        </w:trPr>
        <w:tc>
          <w:tcPr>
            <w:tcW w:w="3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(2,232)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(2,232)</w:t>
            </w:r>
          </w:p>
        </w:tc>
        <w:tc>
          <w:tcPr>
            <w:tcW w:w="0" w:type="dxa"/>
            <w:vAlign w:val="bottom"/>
          </w:tcPr>
          <w:p>
            <w:pPr>
              <w:spacing w:after="0"/>
              <w:rPr>
                <w:sz w:val="1"/>
                <w:szCs w:val="1"/>
                <w:color w:val="auto"/>
              </w:rPr>
            </w:pPr>
          </w:p>
        </w:tc>
      </w:tr>
      <w:tr>
        <w:trPr>
          <w:trHeight w:val="71"/>
        </w:trPr>
        <w:tc>
          <w:tcPr>
            <w:tcW w:w="3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issued</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1,039,405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2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106,209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106,219</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1"/>
              <w:spacing w:after="0"/>
              <w:rPr>
                <w:sz w:val="20"/>
                <w:szCs w:val="20"/>
                <w:color w:val="auto"/>
              </w:rPr>
            </w:pPr>
            <w:r>
              <w:rPr>
                <w:rFonts w:ascii="Arial" w:cs="Arial" w:eastAsia="Arial" w:hAnsi="Arial"/>
                <w:sz w:val="14"/>
                <w:szCs w:val="14"/>
                <w:color w:val="auto"/>
              </w:rPr>
              <w:t>97,430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20" w:type="dxa"/>
            <w:vAlign w:val="bottom"/>
            <w:gridSpan w:val="3"/>
            <w:vMerge w:val="restart"/>
          </w:tcPr>
          <w:p>
            <w:pPr>
              <w:jc w:val="right"/>
              <w:ind w:right="51"/>
              <w:spacing w:after="0"/>
              <w:rPr>
                <w:sz w:val="20"/>
                <w:szCs w:val="20"/>
                <w:color w:val="auto"/>
              </w:rPr>
            </w:pPr>
            <w:r>
              <w:rPr>
                <w:rFonts w:ascii="Arial" w:cs="Arial" w:eastAsia="Arial" w:hAnsi="Arial"/>
                <w:sz w:val="14"/>
                <w:szCs w:val="14"/>
                <w:color w:val="auto"/>
              </w:rPr>
              <w:t>5,666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rPr>
              <w:t>5,667</w:t>
            </w:r>
          </w:p>
        </w:tc>
        <w:tc>
          <w:tcPr>
            <w:tcW w:w="0" w:type="dxa"/>
            <w:vAlign w:val="bottom"/>
          </w:tcPr>
          <w:p>
            <w:pPr>
              <w:spacing w:after="0"/>
              <w:rPr>
                <w:sz w:val="1"/>
                <w:szCs w:val="1"/>
                <w:color w:val="auto"/>
              </w:rPr>
            </w:pPr>
          </w:p>
        </w:tc>
      </w:tr>
      <w:tr>
        <w:trPr>
          <w:trHeight w:val="71"/>
        </w:trPr>
        <w:tc>
          <w:tcPr>
            <w:tcW w:w="3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22,814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2,248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40"/>
              <w:spacing w:after="0"/>
              <w:rPr>
                <w:sz w:val="20"/>
                <w:szCs w:val="20"/>
                <w:color w:val="auto"/>
              </w:rPr>
            </w:pPr>
            <w:r>
              <w:rPr>
                <w:rFonts w:ascii="Arial" w:cs="Arial" w:eastAsia="Arial" w:hAnsi="Arial"/>
                <w:sz w:val="14"/>
                <w:szCs w:val="14"/>
                <w:color w:val="auto"/>
              </w:rPr>
              <w:t>Share-based compensation expense, net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1"/>
              <w:spacing w:after="0"/>
              <w:rPr>
                <w:sz w:val="20"/>
                <w:szCs w:val="20"/>
                <w:color w:val="auto"/>
              </w:rPr>
            </w:pPr>
            <w:r>
              <w:rPr>
                <w:rFonts w:ascii="Arial" w:cs="Arial" w:eastAsia="Arial" w:hAnsi="Arial"/>
                <w:sz w:val="14"/>
                <w:szCs w:val="14"/>
                <w:color w:val="auto"/>
              </w:rPr>
              <w:t>111,647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20" w:type="dxa"/>
            <w:vAlign w:val="bottom"/>
            <w:gridSpan w:val="3"/>
            <w:vMerge w:val="restart"/>
          </w:tcPr>
          <w:p>
            <w:pPr>
              <w:jc w:val="right"/>
              <w:ind w:right="51"/>
              <w:spacing w:after="0"/>
              <w:rPr>
                <w:sz w:val="20"/>
                <w:szCs w:val="20"/>
                <w:color w:val="auto"/>
              </w:rPr>
            </w:pPr>
            <w:r>
              <w:rPr>
                <w:rFonts w:ascii="Arial" w:cs="Arial" w:eastAsia="Arial" w:hAnsi="Arial"/>
                <w:sz w:val="14"/>
                <w:szCs w:val="14"/>
                <w:color w:val="auto"/>
              </w:rPr>
              <w:t>10,370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rPr>
              <w:t>10,371</w:t>
            </w:r>
          </w:p>
        </w:tc>
        <w:tc>
          <w:tcPr>
            <w:tcW w:w="0" w:type="dxa"/>
            <w:vAlign w:val="bottom"/>
          </w:tcPr>
          <w:p>
            <w:pPr>
              <w:spacing w:after="0"/>
              <w:rPr>
                <w:sz w:val="1"/>
                <w:szCs w:val="1"/>
                <w:color w:val="auto"/>
              </w:rPr>
            </w:pPr>
          </w:p>
        </w:tc>
      </w:tr>
      <w:tr>
        <w:trPr>
          <w:trHeight w:val="71"/>
        </w:trPr>
        <w:tc>
          <w:tcPr>
            <w:tcW w:w="3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and redemption of OP units</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(439)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3100" w:type="dxa"/>
            <w:vAlign w:val="bottom"/>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Adjustment to redeemable noncontrolling interests</w:t>
            </w:r>
          </w:p>
        </w:tc>
        <w:tc>
          <w:tcPr>
            <w:tcW w:w="6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spacing w:after="0"/>
              <w:rPr>
                <w:sz w:val="16"/>
                <w:szCs w:val="16"/>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(13,469)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(13,469)</w:t>
            </w:r>
          </w:p>
        </w:tc>
        <w:tc>
          <w:tcPr>
            <w:tcW w:w="0" w:type="dxa"/>
            <w:vAlign w:val="bottom"/>
          </w:tcPr>
          <w:p>
            <w:pPr>
              <w:spacing w:after="0"/>
              <w:rPr>
                <w:sz w:val="1"/>
                <w:szCs w:val="1"/>
                <w:color w:val="auto"/>
              </w:rPr>
            </w:pPr>
          </w:p>
        </w:tc>
      </w:tr>
      <w:tr>
        <w:trPr>
          <w:trHeight w:val="77"/>
        </w:trPr>
        <w:tc>
          <w:tcPr>
            <w:tcW w:w="3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100" w:type="dxa"/>
            <w:vAlign w:val="bottom"/>
          </w:tcPr>
          <w:p>
            <w:pPr>
              <w:ind w:left="40"/>
              <w:spacing w:after="0"/>
              <w:rPr>
                <w:sz w:val="20"/>
                <w:szCs w:val="20"/>
                <w:color w:val="auto"/>
              </w:rPr>
            </w:pPr>
            <w:r>
              <w:rPr>
                <w:rFonts w:ascii="Arial" w:cs="Arial" w:eastAsia="Arial" w:hAnsi="Arial"/>
                <w:sz w:val="14"/>
                <w:szCs w:val="14"/>
                <w:color w:val="auto"/>
              </w:rPr>
              <w:t>BALANCE AT DECEMBER 31, 2012</w:t>
            </w: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399,896</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31"/>
              <w:spacing w:after="0"/>
              <w:rPr>
                <w:sz w:val="20"/>
                <w:szCs w:val="20"/>
                <w:color w:val="auto"/>
              </w:rPr>
            </w:pPr>
            <w:r>
              <w:rPr>
                <w:rFonts w:ascii="Arial" w:cs="Arial" w:eastAsia="Arial" w:hAnsi="Arial"/>
                <w:sz w:val="14"/>
                <w:szCs w:val="14"/>
                <w:color w:val="auto"/>
              </w:rPr>
              <w:t>9,997</w:t>
            </w:r>
          </w:p>
        </w:tc>
        <w:tc>
          <w:tcPr>
            <w:tcW w:w="120" w:type="dxa"/>
            <w:vAlign w:val="bottom"/>
          </w:tcPr>
          <w:p>
            <w:pPr>
              <w:spacing w:after="0"/>
              <w:rPr>
                <w:sz w:val="14"/>
                <w:szCs w:val="14"/>
                <w:color w:val="auto"/>
              </w:rPr>
            </w:pPr>
          </w:p>
        </w:tc>
        <w:tc>
          <w:tcPr>
            <w:tcW w:w="820" w:type="dxa"/>
            <w:vAlign w:val="bottom"/>
            <w:vMerge w:val="restart"/>
          </w:tcPr>
          <w:p>
            <w:pPr>
              <w:jc w:val="right"/>
              <w:ind w:right="51"/>
              <w:spacing w:after="0"/>
              <w:rPr>
                <w:sz w:val="20"/>
                <w:szCs w:val="20"/>
                <w:color w:val="auto"/>
              </w:rPr>
            </w:pPr>
            <w:r>
              <w:rPr>
                <w:rFonts w:ascii="Arial" w:cs="Arial" w:eastAsia="Arial" w:hAnsi="Arial"/>
                <w:sz w:val="14"/>
                <w:szCs w:val="14"/>
                <w:color w:val="auto"/>
                <w:w w:val="96"/>
              </w:rPr>
              <w:t>64,815,446</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648</w:t>
            </w:r>
          </w:p>
        </w:tc>
        <w:tc>
          <w:tcPr>
            <w:tcW w:w="1020" w:type="dxa"/>
            <w:vAlign w:val="bottom"/>
            <w:gridSpan w:val="3"/>
            <w:vMerge w:val="restart"/>
          </w:tcPr>
          <w:p>
            <w:pPr>
              <w:jc w:val="right"/>
              <w:ind w:right="51"/>
              <w:spacing w:after="0"/>
              <w:rPr>
                <w:sz w:val="20"/>
                <w:szCs w:val="20"/>
                <w:color w:val="auto"/>
              </w:rPr>
            </w:pPr>
            <w:r>
              <w:rPr>
                <w:rFonts w:ascii="Arial" w:cs="Arial" w:eastAsia="Arial" w:hAnsi="Arial"/>
                <w:sz w:val="14"/>
                <w:szCs w:val="14"/>
                <w:color w:val="auto"/>
              </w:rPr>
              <w:t>$ 1,875,525</w:t>
            </w:r>
          </w:p>
        </w:tc>
        <w:tc>
          <w:tcPr>
            <w:tcW w:w="120" w:type="dxa"/>
            <w:vAlign w:val="bottom"/>
          </w:tcPr>
          <w:p>
            <w:pPr>
              <w:spacing w:after="0"/>
              <w:rPr>
                <w:sz w:val="14"/>
                <w:szCs w:val="14"/>
                <w:color w:val="auto"/>
              </w:rPr>
            </w:pPr>
          </w:p>
        </w:tc>
        <w:tc>
          <w:tcPr>
            <w:tcW w:w="160" w:type="dxa"/>
            <w:vAlign w:val="bottom"/>
            <w:vMerge w:val="restart"/>
          </w:tcPr>
          <w:p>
            <w:pPr>
              <w:jc w:val="right"/>
              <w:ind w:right="12"/>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(586,970)</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(12,388)</w:t>
            </w:r>
          </w:p>
        </w:tc>
        <w:tc>
          <w:tcPr>
            <w:tcW w:w="100" w:type="dxa"/>
            <w:vAlign w:val="bottom"/>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23,781</w:t>
            </w:r>
          </w:p>
        </w:tc>
        <w:tc>
          <w:tcPr>
            <w:tcW w:w="100" w:type="dxa"/>
            <w:vAlign w:val="bottom"/>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color w:val="auto"/>
                <w:w w:val="96"/>
              </w:rPr>
              <w:t>1,310,593</w:t>
            </w:r>
          </w:p>
        </w:tc>
        <w:tc>
          <w:tcPr>
            <w:tcW w:w="0" w:type="dxa"/>
            <w:vAlign w:val="bottom"/>
          </w:tcPr>
          <w:p>
            <w:pPr>
              <w:spacing w:after="0"/>
              <w:rPr>
                <w:sz w:val="1"/>
                <w:szCs w:val="1"/>
                <w:color w:val="auto"/>
              </w:rPr>
            </w:pPr>
          </w:p>
        </w:tc>
      </w:tr>
      <w:tr>
        <w:trPr>
          <w:trHeight w:val="58"/>
        </w:trPr>
        <w:tc>
          <w:tcPr>
            <w:tcW w:w="3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left="514"/>
              <w:spacing w:after="0"/>
              <w:rPr>
                <w:sz w:val="20"/>
                <w:szCs w:val="20"/>
                <w:color w:val="auto"/>
              </w:rPr>
            </w:pPr>
            <w:r>
              <w:rPr>
                <w:rFonts w:ascii="Arial" w:cs="Arial" w:eastAsia="Arial" w:hAnsi="Arial"/>
                <w:sz w:val="14"/>
                <w:szCs w:val="14"/>
                <w:b w:val="1"/>
                <w:bCs w:val="1"/>
                <w:color w:val="auto"/>
                <w:w w:val="89"/>
              </w:rPr>
              <w:t>Year Ended December 31,</w:t>
            </w:r>
          </w:p>
        </w:tc>
        <w:tc>
          <w:tcPr>
            <w:tcW w:w="860" w:type="dxa"/>
            <w:vAlign w:val="bottom"/>
            <w:tcBorders>
              <w:bottom w:val="single" w:sz="8" w:color="auto"/>
            </w:tcBorders>
          </w:tcPr>
          <w:p>
            <w:pPr>
              <w:spacing w:after="0"/>
              <w:rPr>
                <w:sz w:val="16"/>
                <w:szCs w:val="16"/>
                <w:color w:val="auto"/>
              </w:rPr>
            </w:pPr>
          </w:p>
        </w:tc>
      </w:tr>
      <w:tr>
        <w:trPr>
          <w:trHeight w:val="253"/>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2011</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2010</w:t>
            </w:r>
          </w:p>
        </w:tc>
      </w:tr>
      <w:tr>
        <w:trPr>
          <w:trHeight w:val="182"/>
        </w:trPr>
        <w:tc>
          <w:tcPr>
            <w:tcW w:w="7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6"/>
        </w:trPr>
        <w:tc>
          <w:tcPr>
            <w:tcW w:w="7780" w:type="dxa"/>
            <w:vAlign w:val="bottom"/>
          </w:tcPr>
          <w:p>
            <w:pPr>
              <w:ind w:left="40"/>
              <w:spacing w:after="0"/>
              <w:rPr>
                <w:sz w:val="20"/>
                <w:szCs w:val="20"/>
                <w:color w:val="auto"/>
              </w:rPr>
            </w:pPr>
            <w:r>
              <w:rPr>
                <w:rFonts w:ascii="Arial" w:cs="Arial" w:eastAsia="Arial" w:hAnsi="Arial"/>
                <w:sz w:val="17"/>
                <w:szCs w:val="17"/>
                <w:color w:val="auto"/>
              </w:rPr>
              <w:t>OPERATING ACTIVITIES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income</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156,232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149,612</w:t>
            </w:r>
          </w:p>
        </w:tc>
        <w:tc>
          <w:tcPr>
            <w:tcW w:w="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128,237</w:t>
            </w:r>
          </w:p>
        </w:tc>
      </w:tr>
      <w:tr>
        <w:trPr>
          <w:trHeight w:val="234"/>
        </w:trPr>
        <w:tc>
          <w:tcPr>
            <w:tcW w:w="7780" w:type="dxa"/>
            <w:vAlign w:val="bottom"/>
          </w:tcPr>
          <w:p>
            <w:pPr>
              <w:ind w:left="36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Depreciation and amortization, including discontinued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142,039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126,568</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119,817</w:t>
            </w:r>
          </w:p>
        </w:tc>
      </w:tr>
      <w:tr>
        <w:trPr>
          <w:trHeight w:val="234"/>
        </w:trPr>
        <w:tc>
          <w:tcPr>
            <w:tcW w:w="7780" w:type="dxa"/>
            <w:vAlign w:val="bottom"/>
          </w:tcPr>
          <w:p>
            <w:pPr>
              <w:ind w:left="680"/>
              <w:spacing w:after="0"/>
              <w:rPr>
                <w:sz w:val="20"/>
                <w:szCs w:val="20"/>
                <w:color w:val="auto"/>
              </w:rPr>
            </w:pPr>
            <w:r>
              <w:rPr>
                <w:rFonts w:ascii="Arial" w:cs="Arial" w:eastAsia="Arial" w:hAnsi="Arial"/>
                <w:sz w:val="17"/>
                <w:szCs w:val="17"/>
                <w:color w:val="auto"/>
              </w:rPr>
              <w:t>Litigation provision</w:t>
            </w: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(250)</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Gain on sale of real estate</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(11,860)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(15,075)</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(1,410)</w:t>
            </w:r>
          </w:p>
        </w:tc>
      </w:tr>
      <w:tr>
        <w:trPr>
          <w:trHeight w:val="234"/>
        </w:trPr>
        <w:tc>
          <w:tcPr>
            <w:tcW w:w="7780" w:type="dxa"/>
            <w:vAlign w:val="bottom"/>
          </w:tcPr>
          <w:p>
            <w:pPr>
              <w:ind w:left="680"/>
              <w:spacing w:after="0"/>
              <w:rPr>
                <w:sz w:val="20"/>
                <w:szCs w:val="20"/>
                <w:color w:val="auto"/>
              </w:rPr>
            </w:pPr>
            <w:r>
              <w:rPr>
                <w:rFonts w:ascii="Arial" w:cs="Arial" w:eastAsia="Arial" w:hAnsi="Arial"/>
                <w:sz w:val="17"/>
                <w:szCs w:val="17"/>
                <w:color w:val="auto"/>
              </w:rPr>
              <w:t>Gain on deconsolidation of VIE</w:t>
            </w: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(2,026)</w:t>
            </w:r>
          </w:p>
        </w:tc>
        <w:tc>
          <w:tcPr>
            <w:tcW w:w="3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Early extinguishment of debt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(296)</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2,801</w:t>
            </w:r>
          </w:p>
        </w:tc>
      </w:tr>
      <w:tr>
        <w:trPr>
          <w:trHeight w:val="234"/>
        </w:trPr>
        <w:tc>
          <w:tcPr>
            <w:tcW w:w="7780" w:type="dxa"/>
            <w:vAlign w:val="bottom"/>
          </w:tcPr>
          <w:p>
            <w:pPr>
              <w:ind w:left="680"/>
              <w:spacing w:after="0"/>
              <w:rPr>
                <w:sz w:val="20"/>
                <w:szCs w:val="20"/>
                <w:color w:val="auto"/>
              </w:rPr>
            </w:pPr>
            <w:r>
              <w:rPr>
                <w:rFonts w:ascii="Arial" w:cs="Arial" w:eastAsia="Arial" w:hAnsi="Arial"/>
                <w:sz w:val="17"/>
                <w:szCs w:val="17"/>
                <w:color w:val="auto"/>
              </w:rPr>
              <w:t>Income from real estate partnerships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(1,808)</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(1,060)</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Other, net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4,348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3,871</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4,099</w:t>
            </w:r>
          </w:p>
        </w:tc>
      </w:tr>
      <w:tr>
        <w:trPr>
          <w:trHeight w:val="234"/>
        </w:trPr>
        <w:tc>
          <w:tcPr>
            <w:tcW w:w="7780" w:type="dxa"/>
            <w:vAlign w:val="bottom"/>
          </w:tcPr>
          <w:p>
            <w:pPr>
              <w:ind w:left="360"/>
              <w:spacing w:after="0"/>
              <w:rPr>
                <w:sz w:val="20"/>
                <w:szCs w:val="20"/>
                <w:color w:val="auto"/>
              </w:rPr>
            </w:pPr>
            <w:r>
              <w:rPr>
                <w:rFonts w:ascii="Arial" w:cs="Arial" w:eastAsia="Arial" w:hAnsi="Arial"/>
                <w:sz w:val="17"/>
                <w:szCs w:val="17"/>
                <w:color w:val="auto"/>
              </w:rPr>
              <w:t>Changes in assets and liabilities, net of effects of acquisitions and dispositions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Increase in accounts receivable</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7,332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1,888</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7,461</w:t>
            </w:r>
          </w:p>
        </w:tc>
      </w:tr>
      <w:tr>
        <w:trPr>
          <w:trHeight w:val="234"/>
        </w:trPr>
        <w:tc>
          <w:tcPr>
            <w:tcW w:w="7780" w:type="dxa"/>
            <w:vAlign w:val="bottom"/>
          </w:tcPr>
          <w:p>
            <w:pPr>
              <w:ind w:left="680"/>
              <w:spacing w:after="0"/>
              <w:rPr>
                <w:sz w:val="20"/>
                <w:szCs w:val="20"/>
                <w:color w:val="auto"/>
              </w:rPr>
            </w:pPr>
            <w:r>
              <w:rPr>
                <w:rFonts w:ascii="Arial" w:cs="Arial" w:eastAsia="Arial" w:hAnsi="Arial"/>
                <w:sz w:val="17"/>
                <w:szCs w:val="17"/>
                <w:color w:val="auto"/>
              </w:rPr>
              <w:t>(Increase) decrease in prepaid expenses and other assets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74"/>
              <w:spacing w:after="0"/>
              <w:rPr>
                <w:sz w:val="20"/>
                <w:szCs w:val="20"/>
                <w:color w:val="auto"/>
              </w:rPr>
            </w:pPr>
            <w:r>
              <w:rPr>
                <w:rFonts w:ascii="Arial" w:cs="Arial" w:eastAsia="Arial" w:hAnsi="Arial"/>
                <w:sz w:val="17"/>
                <w:szCs w:val="17"/>
                <w:color w:val="auto"/>
              </w:rPr>
              <w:t>2,613</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(2,824)</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Increase (decrease) in accounts payable and accrued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3,259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(14,994)</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(879)</w:t>
            </w:r>
          </w:p>
        </w:tc>
      </w:tr>
      <w:tr>
        <w:trPr>
          <w:trHeight w:val="234"/>
        </w:trPr>
        <w:tc>
          <w:tcPr>
            <w:tcW w:w="7780" w:type="dxa"/>
            <w:vAlign w:val="bottom"/>
          </w:tcPr>
          <w:p>
            <w:pPr>
              <w:ind w:left="680"/>
              <w:spacing w:after="0"/>
              <w:rPr>
                <w:sz w:val="20"/>
                <w:szCs w:val="20"/>
                <w:color w:val="auto"/>
              </w:rPr>
            </w:pPr>
            <w:r>
              <w:rPr>
                <w:rFonts w:ascii="Arial" w:cs="Arial" w:eastAsia="Arial" w:hAnsi="Arial"/>
                <w:sz w:val="17"/>
                <w:szCs w:val="17"/>
                <w:color w:val="auto"/>
              </w:rPr>
              <w:t>Increase (decrease) in security deposits and other liabilities</w:t>
            </w:r>
          </w:p>
        </w:tc>
        <w:tc>
          <w:tcPr>
            <w:tcW w:w="28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4,833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(5,642)</w:t>
            </w:r>
          </w:p>
        </w:tc>
        <w:tc>
          <w:tcPr>
            <w:tcW w:w="3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743</w:t>
            </w: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296,633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244,711</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256,735</w:t>
            </w:r>
          </w:p>
        </w:tc>
      </w:tr>
      <w:tr>
        <w:trPr>
          <w:trHeight w:val="234"/>
        </w:trPr>
        <w:tc>
          <w:tcPr>
            <w:tcW w:w="7780" w:type="dxa"/>
            <w:vAlign w:val="bottom"/>
          </w:tcPr>
          <w:p>
            <w:pPr>
              <w:ind w:left="40"/>
              <w:spacing w:after="0"/>
              <w:rPr>
                <w:sz w:val="20"/>
                <w:szCs w:val="20"/>
                <w:color w:val="auto"/>
              </w:rPr>
            </w:pPr>
            <w:r>
              <w:rPr>
                <w:rFonts w:ascii="Arial" w:cs="Arial" w:eastAsia="Arial" w:hAnsi="Arial"/>
                <w:sz w:val="17"/>
                <w:szCs w:val="17"/>
                <w:color w:val="auto"/>
              </w:rPr>
              <w:t>INVESTING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Acquisition of real estate</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(80,865)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(103,557)</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(57,133)</w:t>
            </w:r>
          </w:p>
        </w:tc>
      </w:tr>
      <w:tr>
        <w:trPr>
          <w:trHeight w:val="234"/>
        </w:trPr>
        <w:tc>
          <w:tcPr>
            <w:tcW w:w="7780" w:type="dxa"/>
            <w:vAlign w:val="bottom"/>
          </w:tcPr>
          <w:p>
            <w:pPr>
              <w:ind w:left="360"/>
              <w:spacing w:after="0"/>
              <w:rPr>
                <w:sz w:val="20"/>
                <w:szCs w:val="20"/>
                <w:color w:val="auto"/>
              </w:rPr>
            </w:pPr>
            <w:r>
              <w:rPr>
                <w:rFonts w:ascii="Arial" w:cs="Arial" w:eastAsia="Arial" w:hAnsi="Arial"/>
                <w:sz w:val="17"/>
                <w:szCs w:val="17"/>
                <w:color w:val="auto"/>
              </w:rPr>
              <w:t>Capital expenditures - development and redevelopment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(129,346)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(91,922)</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(50,414)</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Capital expenditures - other</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(51,325)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(50,540)</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(38,681)</w:t>
            </w:r>
          </w:p>
        </w:tc>
      </w:tr>
      <w:tr>
        <w:trPr>
          <w:trHeight w:val="234"/>
        </w:trPr>
        <w:tc>
          <w:tcPr>
            <w:tcW w:w="7780" w:type="dxa"/>
            <w:vAlign w:val="bottom"/>
          </w:tcPr>
          <w:p>
            <w:pPr>
              <w:ind w:left="360"/>
              <w:spacing w:after="0"/>
              <w:rPr>
                <w:sz w:val="20"/>
                <w:szCs w:val="20"/>
                <w:color w:val="auto"/>
              </w:rPr>
            </w:pPr>
            <w:r>
              <w:rPr>
                <w:rFonts w:ascii="Arial" w:cs="Arial" w:eastAsia="Arial" w:hAnsi="Arial"/>
                <w:sz w:val="17"/>
                <w:szCs w:val="17"/>
                <w:color w:val="auto"/>
              </w:rPr>
              <w:t>Proceeds from sale of real estate</w:t>
            </w: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60" w:type="dxa"/>
            <w:vAlign w:val="bottom"/>
          </w:tcPr>
          <w:p>
            <w:pPr>
              <w:jc w:val="right"/>
              <w:ind w:right="74"/>
              <w:spacing w:after="0"/>
              <w:rPr>
                <w:sz w:val="20"/>
                <w:szCs w:val="20"/>
                <w:color w:val="auto"/>
              </w:rPr>
            </w:pPr>
            <w:r>
              <w:rPr>
                <w:rFonts w:ascii="Arial" w:cs="Arial" w:eastAsia="Arial" w:hAnsi="Arial"/>
                <w:sz w:val="17"/>
                <w:szCs w:val="17"/>
                <w:color w:val="auto"/>
              </w:rPr>
              <w:t>23,695</w:t>
            </w:r>
          </w:p>
        </w:tc>
        <w:tc>
          <w:tcPr>
            <w:tcW w:w="3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Investment in real estate partnerships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(6,947)</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(16,930)</w:t>
            </w:r>
          </w:p>
        </w:tc>
      </w:tr>
      <w:tr>
        <w:trPr>
          <w:trHeight w:val="234"/>
        </w:trPr>
        <w:tc>
          <w:tcPr>
            <w:tcW w:w="7780" w:type="dxa"/>
            <w:vAlign w:val="bottom"/>
          </w:tcPr>
          <w:p>
            <w:pPr>
              <w:ind w:left="360"/>
              <w:spacing w:after="0"/>
              <w:rPr>
                <w:sz w:val="20"/>
                <w:szCs w:val="20"/>
                <w:color w:val="auto"/>
              </w:rPr>
            </w:pPr>
            <w:r>
              <w:rPr>
                <w:rFonts w:ascii="Arial" w:cs="Arial" w:eastAsia="Arial" w:hAnsi="Arial"/>
                <w:sz w:val="17"/>
                <w:szCs w:val="17"/>
                <w:color w:val="auto"/>
              </w:rPr>
              <w:t>Distribution from real estate partnership in excess of earnings</w:t>
            </w:r>
          </w:p>
        </w:tc>
        <w:tc>
          <w:tcPr>
            <w:tcW w:w="28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1,116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74"/>
              <w:spacing w:after="0"/>
              <w:rPr>
                <w:sz w:val="20"/>
                <w:szCs w:val="20"/>
                <w:color w:val="auto"/>
              </w:rPr>
            </w:pPr>
            <w:r>
              <w:rPr>
                <w:rFonts w:ascii="Arial" w:cs="Arial" w:eastAsia="Arial" w:hAnsi="Arial"/>
                <w:sz w:val="17"/>
                <w:szCs w:val="17"/>
                <w:color w:val="auto"/>
              </w:rPr>
              <w:t>1,070</w:t>
            </w:r>
          </w:p>
        </w:tc>
        <w:tc>
          <w:tcPr>
            <w:tcW w:w="3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237</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Distribution from sale of real estate partnership properties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34,617</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4"/>
        </w:trPr>
        <w:tc>
          <w:tcPr>
            <w:tcW w:w="7780" w:type="dxa"/>
            <w:vAlign w:val="bottom"/>
          </w:tcPr>
          <w:p>
            <w:pPr>
              <w:ind w:left="360"/>
              <w:spacing w:after="0"/>
              <w:rPr>
                <w:sz w:val="20"/>
                <w:szCs w:val="20"/>
                <w:color w:val="auto"/>
              </w:rPr>
            </w:pPr>
            <w:r>
              <w:rPr>
                <w:rFonts w:ascii="Arial" w:cs="Arial" w:eastAsia="Arial" w:hAnsi="Arial"/>
                <w:sz w:val="17"/>
                <w:szCs w:val="17"/>
                <w:color w:val="auto"/>
              </w:rPr>
              <w:t>Leasing costs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(14,233)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(12,415)</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(10,272)</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Repayment of mortgage and other notes receivable, net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1,095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9,630</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(13,895)</w:t>
            </w:r>
          </w:p>
        </w:tc>
      </w:tr>
      <w:tr>
        <w:trPr>
          <w:trHeight w:val="227"/>
        </w:trPr>
        <w:tc>
          <w:tcPr>
            <w:tcW w:w="7780" w:type="dxa"/>
            <w:vAlign w:val="bottom"/>
          </w:tcPr>
          <w:p>
            <w:pPr>
              <w:ind w:left="36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(273,558)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(196,369)</w:t>
            </w: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(187,088)</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34"/>
        </w:trPr>
        <w:tc>
          <w:tcPr>
            <w:tcW w:w="7780" w:type="dxa"/>
            <w:vAlign w:val="bottom"/>
          </w:tcPr>
          <w:p>
            <w:pPr>
              <w:ind w:left="360"/>
              <w:spacing w:after="0"/>
              <w:rPr>
                <w:sz w:val="20"/>
                <w:szCs w:val="20"/>
                <w:color w:val="auto"/>
              </w:rPr>
            </w:pPr>
            <w:r>
              <w:rPr>
                <w:rFonts w:ascii="Arial" w:cs="Arial" w:eastAsia="Arial" w:hAnsi="Arial"/>
                <w:sz w:val="17"/>
                <w:szCs w:val="17"/>
                <w:color w:val="auto"/>
              </w:rPr>
              <w:t>Net (repayments) borrowings under revolving credit facility, net of costs</w:t>
            </w: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(81,159)</w:t>
            </w:r>
          </w:p>
        </w:tc>
        <w:tc>
          <w:tcPr>
            <w:tcW w:w="3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76,550</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Issuance of senior notes, net of costs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244,807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148,457</w:t>
            </w:r>
          </w:p>
        </w:tc>
      </w:tr>
      <w:tr>
        <w:trPr>
          <w:trHeight w:val="234"/>
        </w:trPr>
        <w:tc>
          <w:tcPr>
            <w:tcW w:w="7780" w:type="dxa"/>
            <w:vAlign w:val="bottom"/>
          </w:tcPr>
          <w:p>
            <w:pPr>
              <w:ind w:left="360"/>
              <w:spacing w:after="0"/>
              <w:rPr>
                <w:sz w:val="20"/>
                <w:szCs w:val="20"/>
                <w:color w:val="auto"/>
              </w:rPr>
            </w:pPr>
            <w:r>
              <w:rPr>
                <w:rFonts w:ascii="Arial" w:cs="Arial" w:eastAsia="Arial" w:hAnsi="Arial"/>
                <w:sz w:val="17"/>
                <w:szCs w:val="17"/>
                <w:color w:val="auto"/>
              </w:rPr>
              <w:t>Purchase and retirement of senior notes/debentures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(175,000)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(75,000)</w:t>
            </w:r>
          </w:p>
        </w:tc>
        <w:tc>
          <w:tcPr>
            <w:tcW w:w="3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Issuance of mortgages, capital leases and notes payable, net of costs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5,399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272,193</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9,950</w:t>
            </w:r>
          </w:p>
        </w:tc>
      </w:tr>
      <w:tr>
        <w:trPr>
          <w:trHeight w:val="234"/>
        </w:trPr>
        <w:tc>
          <w:tcPr>
            <w:tcW w:w="7780" w:type="dxa"/>
            <w:vAlign w:val="bottom"/>
          </w:tcPr>
          <w:p>
            <w:pPr>
              <w:ind w:left="360"/>
              <w:spacing w:after="0"/>
              <w:rPr>
                <w:sz w:val="20"/>
                <w:szCs w:val="20"/>
                <w:color w:val="auto"/>
              </w:rPr>
            </w:pPr>
            <w:r>
              <w:rPr>
                <w:rFonts w:ascii="Arial" w:cs="Arial" w:eastAsia="Arial" w:hAnsi="Arial"/>
                <w:sz w:val="17"/>
                <w:szCs w:val="17"/>
                <w:color w:val="auto"/>
              </w:rPr>
              <w:t>Repayment of mortgages, capital leases and notes payable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(53,414)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(91,952)</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(262,340)</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Issuance of common shares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114,134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156,862</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6,610</w:t>
            </w:r>
          </w:p>
        </w:tc>
      </w:tr>
      <w:tr>
        <w:trPr>
          <w:trHeight w:val="234"/>
        </w:trPr>
        <w:tc>
          <w:tcPr>
            <w:tcW w:w="7780" w:type="dxa"/>
            <w:vAlign w:val="bottom"/>
          </w:tcPr>
          <w:p>
            <w:pPr>
              <w:ind w:left="360"/>
              <w:spacing w:after="0"/>
              <w:rPr>
                <w:sz w:val="20"/>
                <w:szCs w:val="20"/>
                <w:color w:val="auto"/>
              </w:rPr>
            </w:pPr>
            <w:r>
              <w:rPr>
                <w:rFonts w:ascii="Arial" w:cs="Arial" w:eastAsia="Arial" w:hAnsi="Arial"/>
                <w:sz w:val="17"/>
                <w:szCs w:val="17"/>
                <w:color w:val="auto"/>
              </w:rPr>
              <w:t>Dividends paid to common and preferred shareholders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(179,884)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(169,254)</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(163,120)</w:t>
            </w: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Distributions to and redemptions of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(8,023)</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(5,346)</w:t>
            </w:r>
          </w:p>
        </w:tc>
      </w:tr>
      <w:tr>
        <w:trPr>
          <w:trHeight w:val="227"/>
        </w:trPr>
        <w:tc>
          <w:tcPr>
            <w:tcW w:w="7780" w:type="dxa"/>
            <w:vAlign w:val="bottom"/>
          </w:tcPr>
          <w:p>
            <w:pPr>
              <w:ind w:left="360"/>
              <w:spacing w:after="0"/>
              <w:rPr>
                <w:sz w:val="20"/>
                <w:szCs w:val="20"/>
                <w:color w:val="auto"/>
              </w:rPr>
            </w:pPr>
            <w:r>
              <w:rPr>
                <w:rFonts w:ascii="Arial" w:cs="Arial" w:eastAsia="Arial" w:hAnsi="Arial"/>
                <w:sz w:val="17"/>
                <w:szCs w:val="17"/>
                <w:color w:val="auto"/>
              </w:rPr>
              <w:t>Net cash (used in) provided by financing activities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(53,893)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3,667</w:t>
            </w: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(189,239)</w:t>
            </w: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(Decrease) increase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(30,818)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52,009</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(119,592)</w:t>
            </w:r>
          </w:p>
        </w:tc>
      </w:tr>
      <w:tr>
        <w:trPr>
          <w:trHeight w:val="234"/>
        </w:trPr>
        <w:tc>
          <w:tcPr>
            <w:tcW w:w="7780" w:type="dxa"/>
            <w:vAlign w:val="bottom"/>
          </w:tcPr>
          <w:p>
            <w:pPr>
              <w:ind w:left="40"/>
              <w:spacing w:after="0"/>
              <w:rPr>
                <w:sz w:val="20"/>
                <w:szCs w:val="20"/>
                <w:color w:val="auto"/>
              </w:rPr>
            </w:pPr>
            <w:r>
              <w:rPr>
                <w:rFonts w:ascii="Arial" w:cs="Arial" w:eastAsia="Arial" w:hAnsi="Arial"/>
                <w:sz w:val="17"/>
                <w:szCs w:val="17"/>
                <w:color w:val="auto"/>
              </w:rPr>
              <w:t>Cash and cash equivalents at beginning of year</w:t>
            </w:r>
          </w:p>
        </w:tc>
        <w:tc>
          <w:tcPr>
            <w:tcW w:w="28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67,806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74"/>
              <w:spacing w:after="0"/>
              <w:rPr>
                <w:sz w:val="20"/>
                <w:szCs w:val="20"/>
                <w:color w:val="auto"/>
              </w:rPr>
            </w:pPr>
            <w:r>
              <w:rPr>
                <w:rFonts w:ascii="Arial" w:cs="Arial" w:eastAsia="Arial" w:hAnsi="Arial"/>
                <w:sz w:val="17"/>
                <w:szCs w:val="17"/>
                <w:color w:val="auto"/>
              </w:rPr>
              <w:t>15,797</w:t>
            </w:r>
          </w:p>
        </w:tc>
        <w:tc>
          <w:tcPr>
            <w:tcW w:w="3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135,389</w:t>
            </w: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at end of year</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36,988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67,806</w:t>
            </w:r>
          </w:p>
        </w:tc>
        <w:tc>
          <w:tcPr>
            <w:tcW w:w="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15,797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Federal Realty Investment Trust</w:t>
      </w:r>
    </w:p>
    <w:p>
      <w:pPr>
        <w:spacing w:after="0" w:line="65"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2012, 2011 and 2010</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1—BUSINESS AND ORGANIZATION</w:t>
      </w:r>
    </w:p>
    <w:p>
      <w:pPr>
        <w:spacing w:after="0" w:line="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December 31, 2012, we owned or had a majority interest in community and neighborhood shopping centers and mixed-use properties which are operated as 88 predominantly retail real estate projects.</w:t>
      </w:r>
    </w:p>
    <w:p>
      <w:pPr>
        <w:spacing w:after="0" w:line="108"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9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2011 and 2010 amounts have been reclassified to conform to current period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97"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 and Accounts Receivable</w:t>
      </w:r>
    </w:p>
    <w:p>
      <w:pPr>
        <w:spacing w:after="0" w:line="9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3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make estimates of the collectability of our accounts receivable related to minimum rents, straight-line rents, expense reimbursements and other revenue. Accounts receivable is carried net of this allowance for doubtful accounts. Our determination as to the collectability of accounts receivable and correspondingly, the adequacy of this allowance, is based primarily upon evaluations of individual receivables, current economic conditions, historical experience and other relevant factors. The allowance for doubtful accounts is increased or decreased through bad debt expense. Accounts receivable are written-off when they are deemed to be uncollectible and we are no longer actively pursuing collection. At December 31, 2012 and 2011, our allowance for doubtful accounts was $15.9 million and $17.6 million, respectively.</w:t>
      </w:r>
    </w:p>
    <w:p>
      <w:pPr>
        <w:spacing w:after="0" w:line="12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some cases, primarily relating to straight-line rents, the collection of accounts receivable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2012 and 2011, accounts receivable include approximately $56.1 million and $50.5 million, respectively, related to straight-line rents.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w:t>
      </w:r>
    </w:p>
    <w:p>
      <w:pPr>
        <w:spacing w:after="0" w:line="9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2012, 2011 and 2010, real estate depreciation expense was $128.7 million, $114.2 million and $108.3 million, respectively, including amounts from discontinued operations and assets under capital lease obligations.</w:t>
      </w:r>
    </w:p>
    <w:p>
      <w:pPr>
        <w:spacing w:after="0" w:line="13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Sales of real estate are recognized only when sufficient down payments have been obtained, possession and other attributes of ownership have been transferred to the buyer and we have no significant continuing involvement. The application of this criteria can be complex and requires us to make assumptions. We believe this criteria was met for all real estate sold during the periods presented.</w:t>
      </w:r>
    </w:p>
    <w:p>
      <w:pPr>
        <w:spacing w:after="0" w:line="4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in-place leases, and to current assets and liabilities acquired, if any. The value allocated to in-place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1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Transaction costs related to the acquisition of a business, such as broker fees, transfer taxes, legal, accounting, valuation, and other professional and consulting fees, are expensed as incurred and included in “general and administrative expenses” in our consolidated statements of comprehensive income. The acquisition of an operating shopping center typically qualifies as a business. For asset acquisitions not meeting the definition of a business, transaction costs are capitalized as part of the acquisition cost.</w:t>
      </w:r>
    </w:p>
    <w:p>
      <w:pPr>
        <w:spacing w:after="0" w:line="125" w:lineRule="exact"/>
        <w:rPr>
          <w:sz w:val="20"/>
          <w:szCs w:val="20"/>
          <w:color w:val="auto"/>
        </w:rPr>
      </w:pPr>
    </w:p>
    <w:p>
      <w:pPr>
        <w:ind w:right="560"/>
        <w:spacing w:after="0" w:line="270" w:lineRule="auto"/>
        <w:rPr>
          <w:sz w:val="20"/>
          <w:szCs w:val="20"/>
          <w:color w:val="auto"/>
        </w:rPr>
      </w:pPr>
      <w:r>
        <w:rPr>
          <w:rFonts w:ascii="Arial" w:cs="Arial" w:eastAsia="Arial" w:hAnsi="Arial"/>
          <w:sz w:val="17"/>
          <w:szCs w:val="17"/>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2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capitalize certain costs related to the development and redevelopment of real estate including pre-construction costs, real estate taxes, insurance, construction costs and salaries and related costs of personnel directly involved.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12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 The sale or disposal of a “component of an entity” is treated as discontinued operations. The operating properties sold by us typically meet the definition of a component of an entity and as such the revenues and expenses associated with sold properties are reclassified to discontinued operations for all periods presented.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9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We define cash and cash equivalents as cash on hand, demand deposits with financial institutions and short term liquid investments with an initial maturity, when purchased, under three months. Cash balances in individual banks may exceed the federally insured limit by the Federal Deposit Insurance Corporation (the “FDIC”). At December 31, 2012, we had $33.6 million in excess of the FDIC insured limit.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Prepaid Expenses and Other Assets</w:t>
      </w:r>
    </w:p>
    <w:p>
      <w:pPr>
        <w:spacing w:after="0" w:line="9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Prepaid expenses and other assets consist primarily of lease costs, prepaid property taxes and acquired above market leases. Capitalized lease costs are direct costs incurred which were essential to originate a lease and would not have been incurred had the leasing transaction not taken place and include third party commissions and salaries and related costs of personnel directly related to time spent obtaining a lease. Capitalized lease costs are amortized over the life of the related lease. If a tenant vacates its space prior to the contractual termination of its lease, the unamortized balance of any previously capitalized lease costs are written off. Other assets also include the premiums paid for split dollar life insurance for one current officer and several former officers which were approximately $4.6 million at December 31, 2012 and 2011.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Issuance Costs</w:t>
      </w:r>
    </w:p>
    <w:p>
      <w:pPr>
        <w:spacing w:after="0" w:line="9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Costs related to the issuance of debt instruments are capitalized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times,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1"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$4.2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 worthiness of the counterparty. When ineffectiveness exists, the ineffective portion of changes in fair value of the interest rate swaps associated with our cash flow hedges is recognized in earnings in the period affected. Hedge ineffectiveness did not impact earnings in 2012 and 2011, and we do not anticipate it will have a significant effect in the future. We had no hedging instruments outstanding during 2010.</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Notes Receivable</w:t>
      </w:r>
    </w:p>
    <w:p>
      <w:pPr>
        <w:spacing w:after="0" w:line="9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have made certain mortgage loans that, because of their nature, qualify as loan receivables. At the time the loans were made,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 On some of the loans we receive additional interest, however, we never receive in excess of 50% of the residual profit in the project, and because the borrower has either a substantial investment in the project or has guaranteed all or a portion of our loan (or a combination thereof), the loans qualify for loan accounting. The amounts under these arrangements are presented as mortgage notes receivable at December 31, 2012 and 2011.</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380"/>
          </w:cols>
          <w:pgMar w:left="240" w:top="126" w:right="279" w:bottom="1440" w:gutter="0" w:footer="0" w:header="0"/>
        </w:sectPr>
      </w:pPr>
    </w:p>
    <w:bookmarkStart w:id="63" w:name="page64"/>
    <w:bookmarkEnd w:id="63"/>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Mortgage notes receivable are recorded at cost, net of any valuation adjustments. Interest income is accrued as earned. Mortgage notes receivable are considered past due based on the contractual terms of the note agreement. On a quarterly basis, we evaluate the collectability of each mortgage note receivable based on various factors which may include payment history, expected fair value of the collateral securing the loan, internal and external credit information and/or economic trends. A loan is considered impaired when, based upon current information and events,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Since all of our loans are collateralized by either a first or second mortgage, the loans have risk characteristics similar to the risks in owning commercial real estate.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Based Compensation</w:t>
      </w:r>
    </w:p>
    <w:p>
      <w:pPr>
        <w:spacing w:after="0" w:line="97"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We grant share based compensation awards to employees and trustees typically in the form of options, commons shares, and restricted common shares. We measure stock based compensation expense based on the grant date fair value of the award and recognize the expense ratably over the requisite service period, which is typically the vesting period. See Note 15 for further discussion regarding our share based compensation plans and policies.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Variable Interest Entities</w:t>
      </w:r>
    </w:p>
    <w:p>
      <w:pPr>
        <w:spacing w:after="0" w:line="97"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spacing w:after="0" w:line="125"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We have evaluated our investments in certain joint ventures including our real estate partnership with affiliates of a discretionary fund created and advised by ING Clarion Partners and our Taurus Newbury Street JV II Limited Partnership and determined that these joint ventures do not meet the requirements of a variable interest entity and, therefore, consolidation of these ventures is not required. These investments are accounted for using the equity method. We have also evaluated our mortgage loans receivable and determined that entities obligated under the mortgage loans are not VIEs except from March 30, 2010 to June 29, 2011 with respect to our mortgage loans on a shopping center and adjacent building located in Norwalk, Connecticut as further discussed in Note 4. Our investment balances from our real estate partnerships and mortgage notes receivable are presented separately in our consolidated balance sheets.</w:t>
      </w:r>
    </w:p>
    <w:p>
      <w:pPr>
        <w:spacing w:after="0" w:line="117"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On October 16, 2006, we acquired the leasehold interest in Melville Mall under a 20 year master lease. Additionally, we loaned the owner of Melville Mall $34.2 million secured by a second mortgage on the property. We have an option to purchase the shopping center on or after October 16, 2021 for a price of $5.0 million plus the assumption of the first mortgage and repayment of the second mortgage. If we fail to exercise our purchase option, the owner of Melville Mall has a put option which would require us to purchase Melville Mall in 2023 for $5.0 million and the assumption of the owner’s mortgage debt. We have determined that this property is held in a variable interest entity for which we are the primary beneficiary. Accordingly, beginning October 16, 2006, we consolidated this property and its operations. As of December 31, 2012 and 2011, $21.4 million and $22.1 million, respectively, are included in mortgages payable (net of unamortized discounts) for the mortgage loan secured by Melville Mall, however, the loan is not our legal obligation. At December 31, 2012 and 2011, net real estate assets related to Melville Mall included in our consolidated balance sheet are approximately $63.1 million and $64.0 million, respectively.</w:t>
      </w:r>
    </w:p>
    <w:p>
      <w:pPr>
        <w:spacing w:after="0" w:line="116"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In conjunction with the acquisitions of several of our properties, we entered into Reverse Section 1031 like-kind exchange agreements with a third party intermediary. The exchange agreements are for a maximum of 180 days and allow us, for tax purposes, to defer gains on sale of other properties sold within this period. Until the earlier of termination of the exchange agreements or 180 days after the respective acquisition dates, the third party intermediary is the legal owner of each property, although we control the activities that most significantly impact each property and retain all of the economic benefits and risks associated with each property. Each property is held by a third party intermediary in a variable interest entity for which we are the primary beneficiary. Accordingly, we consolidate these properties and their operations even during the period they are held by a third party intermediary. A summary of the significant properties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Property</w:t>
            </w:r>
          </w:p>
        </w:tc>
        <w:tc>
          <w:tcPr>
            <w:tcW w:w="140" w:type="dxa"/>
            <w:vAlign w:val="bottom"/>
          </w:tcPr>
          <w:p>
            <w:pPr>
              <w:spacing w:after="0"/>
              <w:rPr>
                <w:sz w:val="16"/>
                <w:szCs w:val="16"/>
                <w:color w:val="auto"/>
              </w:rPr>
            </w:pPr>
          </w:p>
        </w:tc>
        <w:tc>
          <w:tcPr>
            <w:tcW w:w="430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Dates Held by a Third Party Intermediary</w:t>
            </w:r>
          </w:p>
        </w:tc>
        <w:tc>
          <w:tcPr>
            <w:tcW w:w="120" w:type="dxa"/>
            <w:vAlign w:val="bottom"/>
          </w:tcPr>
          <w:p>
            <w:pPr>
              <w:spacing w:after="0"/>
              <w:rPr>
                <w:sz w:val="16"/>
                <w:szCs w:val="16"/>
                <w:color w:val="auto"/>
              </w:rPr>
            </w:pPr>
          </w:p>
        </w:tc>
        <w:tc>
          <w:tcPr>
            <w:tcW w:w="27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Date Consolidated</w:t>
            </w:r>
          </w:p>
        </w:tc>
      </w:tr>
      <w:tr>
        <w:trPr>
          <w:trHeight w:val="233"/>
        </w:trPr>
        <w:tc>
          <w:tcPr>
            <w:tcW w:w="3660" w:type="dxa"/>
            <w:vAlign w:val="bottom"/>
            <w:gridSpan w:val="2"/>
          </w:tcPr>
          <w:p>
            <w:pPr>
              <w:ind w:left="40"/>
              <w:spacing w:after="0"/>
              <w:rPr>
                <w:sz w:val="20"/>
                <w:szCs w:val="20"/>
                <w:color w:val="auto"/>
              </w:rPr>
            </w:pPr>
            <w:r>
              <w:rPr>
                <w:rFonts w:ascii="Arial" w:cs="Arial" w:eastAsia="Arial" w:hAnsi="Arial"/>
                <w:sz w:val="17"/>
                <w:szCs w:val="17"/>
                <w:color w:val="auto"/>
              </w:rPr>
              <w:t>Huntington Square</w:t>
            </w:r>
          </w:p>
        </w:tc>
        <w:tc>
          <w:tcPr>
            <w:tcW w:w="4420" w:type="dxa"/>
            <w:vAlign w:val="bottom"/>
            <w:gridSpan w:val="2"/>
          </w:tcPr>
          <w:p>
            <w:pPr>
              <w:ind w:left="20"/>
              <w:spacing w:after="0"/>
              <w:rPr>
                <w:sz w:val="20"/>
                <w:szCs w:val="20"/>
                <w:color w:val="auto"/>
              </w:rPr>
            </w:pPr>
            <w:r>
              <w:rPr>
                <w:rFonts w:ascii="Arial" w:cs="Arial" w:eastAsia="Arial" w:hAnsi="Arial"/>
                <w:sz w:val="17"/>
                <w:szCs w:val="17"/>
                <w:color w:val="auto"/>
              </w:rPr>
              <w:t>August 16, 2010 to February 12, 2011</w:t>
            </w:r>
          </w:p>
        </w:tc>
        <w:tc>
          <w:tcPr>
            <w:tcW w:w="2700" w:type="dxa"/>
            <w:vAlign w:val="bottom"/>
          </w:tcPr>
          <w:p>
            <w:pPr>
              <w:ind w:left="20"/>
              <w:spacing w:after="0"/>
              <w:rPr>
                <w:sz w:val="20"/>
                <w:szCs w:val="20"/>
                <w:color w:val="auto"/>
              </w:rPr>
            </w:pPr>
            <w:r>
              <w:rPr>
                <w:rFonts w:ascii="Arial" w:cs="Arial" w:eastAsia="Arial" w:hAnsi="Arial"/>
                <w:sz w:val="17"/>
                <w:szCs w:val="17"/>
                <w:color w:val="auto"/>
              </w:rPr>
              <w:t>August 16, 2010</w:t>
            </w:r>
          </w:p>
        </w:tc>
      </w:tr>
      <w:tr>
        <w:trPr>
          <w:trHeight w:val="260"/>
        </w:trPr>
        <w:tc>
          <w:tcPr>
            <w:tcW w:w="3660" w:type="dxa"/>
            <w:vAlign w:val="bottom"/>
            <w:gridSpan w:val="2"/>
          </w:tcPr>
          <w:p>
            <w:pPr>
              <w:ind w:left="40"/>
              <w:spacing w:after="0"/>
              <w:rPr>
                <w:sz w:val="20"/>
                <w:szCs w:val="20"/>
                <w:color w:val="auto"/>
              </w:rPr>
            </w:pPr>
            <w:r>
              <w:rPr>
                <w:rFonts w:ascii="Arial" w:cs="Arial" w:eastAsia="Arial" w:hAnsi="Arial"/>
                <w:sz w:val="17"/>
                <w:szCs w:val="17"/>
                <w:color w:val="auto"/>
              </w:rPr>
              <w:t>Tower Shops</w:t>
            </w:r>
          </w:p>
        </w:tc>
        <w:tc>
          <w:tcPr>
            <w:tcW w:w="4420" w:type="dxa"/>
            <w:vAlign w:val="bottom"/>
            <w:gridSpan w:val="2"/>
          </w:tcPr>
          <w:p>
            <w:pPr>
              <w:ind w:left="20"/>
              <w:spacing w:after="0"/>
              <w:rPr>
                <w:sz w:val="20"/>
                <w:szCs w:val="20"/>
                <w:color w:val="auto"/>
              </w:rPr>
            </w:pPr>
            <w:r>
              <w:rPr>
                <w:rFonts w:ascii="Arial" w:cs="Arial" w:eastAsia="Arial" w:hAnsi="Arial"/>
                <w:sz w:val="17"/>
                <w:szCs w:val="17"/>
                <w:color w:val="auto"/>
              </w:rPr>
              <w:t>January 19, 2011 to July 12, 2011</w:t>
            </w:r>
          </w:p>
        </w:tc>
        <w:tc>
          <w:tcPr>
            <w:tcW w:w="2700" w:type="dxa"/>
            <w:vAlign w:val="bottom"/>
          </w:tcPr>
          <w:p>
            <w:pPr>
              <w:ind w:left="20"/>
              <w:spacing w:after="0"/>
              <w:rPr>
                <w:sz w:val="20"/>
                <w:szCs w:val="20"/>
                <w:color w:val="auto"/>
              </w:rPr>
            </w:pPr>
            <w:r>
              <w:rPr>
                <w:rFonts w:ascii="Arial" w:cs="Arial" w:eastAsia="Arial" w:hAnsi="Arial"/>
                <w:sz w:val="17"/>
                <w:szCs w:val="17"/>
                <w:color w:val="auto"/>
              </w:rPr>
              <w:t>January 19, 2011</w:t>
            </w:r>
          </w:p>
        </w:tc>
      </w:tr>
      <w:tr>
        <w:trPr>
          <w:trHeight w:val="676"/>
        </w:trPr>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20" w:type="dxa"/>
            <w:vAlign w:val="bottom"/>
            <w:gridSpan w:val="2"/>
          </w:tcPr>
          <w:p>
            <w:pPr>
              <w:ind w:left="1900"/>
              <w:spacing w:after="0"/>
              <w:rPr>
                <w:sz w:val="20"/>
                <w:szCs w:val="20"/>
                <w:color w:val="auto"/>
              </w:rPr>
            </w:pPr>
            <w:r>
              <w:rPr>
                <w:rFonts w:ascii="Arial" w:cs="Arial" w:eastAsia="Arial" w:hAnsi="Arial"/>
                <w:sz w:val="17"/>
                <w:szCs w:val="17"/>
                <w:color w:val="auto"/>
              </w:rPr>
              <w:t>F-12</w:t>
            </w:r>
          </w:p>
        </w:tc>
        <w:tc>
          <w:tcPr>
            <w:tcW w:w="27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3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We determined the joint venture that owns Plaza El Segundo is a variable interest entity for which we are the primary beneficiary. We are the managing member and own 48.2% of the entity. We control the significant operating decisions, consequently having the power to direct the activities that most significantly impact economic performance of the VIE, and have the obligation to absorb the majority of the losses and receive the majority of the benefits. Therefore, the entity is consolidated in our financial statements as of December 30, 2011. As of December 31, 2012 and 2011, net real estate assets related to Plaza El Segundo included in our consolidated balance sheet are approximately $189.4 million and $194.6 million, respectively, and mortgages payable (net of unamortized premium) of $183.9 million and $185.6 million, respectively. Plaza El Segundo's creditors do not have recourse to our general credit. Our maximum exposure to loss is approximately $17.5 million.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Redeemable Noncontrolling Interests</w:t>
      </w:r>
    </w:p>
    <w:p>
      <w:pPr>
        <w:spacing w:after="0" w:line="9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rollforward of the redeemable noncontrolling interests: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0"/>
              </w:rPr>
              <w:t>Year Ended</w:t>
            </w:r>
          </w:p>
        </w:tc>
        <w:tc>
          <w:tcPr>
            <w:tcW w:w="820" w:type="dxa"/>
            <w:vAlign w:val="bottom"/>
          </w:tcPr>
          <w:p>
            <w:pPr>
              <w:spacing w:after="0"/>
              <w:rPr>
                <w:sz w:val="15"/>
                <w:szCs w:val="15"/>
                <w:color w:val="auto"/>
              </w:rPr>
            </w:pPr>
          </w:p>
        </w:tc>
      </w:tr>
      <w:tr>
        <w:trPr>
          <w:trHeight w:val="266"/>
        </w:trPr>
        <w:tc>
          <w:tcPr>
            <w:tcW w:w="88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0"/>
              </w:rPr>
              <w:t>December 31,</w:t>
            </w:r>
          </w:p>
        </w:tc>
        <w:tc>
          <w:tcPr>
            <w:tcW w:w="820" w:type="dxa"/>
            <w:vAlign w:val="bottom"/>
            <w:tcBorders>
              <w:bottom w:val="single" w:sz="8" w:color="auto"/>
            </w:tcBorders>
          </w:tcPr>
          <w:p>
            <w:pPr>
              <w:spacing w:after="0"/>
              <w:rPr>
                <w:sz w:val="23"/>
                <w:szCs w:val="23"/>
                <w:color w:val="auto"/>
              </w:rPr>
            </w:pPr>
          </w:p>
        </w:tc>
      </w:tr>
      <w:tr>
        <w:trPr>
          <w:trHeight w:val="253"/>
        </w:trPr>
        <w:tc>
          <w:tcPr>
            <w:tcW w:w="88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2011</w:t>
            </w:r>
          </w:p>
        </w:tc>
      </w:tr>
      <w:tr>
        <w:trPr>
          <w:trHeight w:val="240"/>
        </w:trPr>
        <w:tc>
          <w:tcPr>
            <w:tcW w:w="8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jc w:val="center"/>
              <w:ind w:left="460"/>
              <w:spacing w:after="0"/>
              <w:rPr>
                <w:sz w:val="20"/>
                <w:szCs w:val="20"/>
                <w:color w:val="auto"/>
              </w:rPr>
            </w:pPr>
            <w:r>
              <w:rPr>
                <w:rFonts w:ascii="Arial" w:cs="Arial" w:eastAsia="Arial" w:hAnsi="Arial"/>
                <w:sz w:val="14"/>
                <w:szCs w:val="14"/>
                <w:color w:val="auto"/>
                <w:w w:val="87"/>
              </w:rPr>
              <w:t>(in thousands)</w:t>
            </w:r>
          </w:p>
        </w:tc>
        <w:tc>
          <w:tcPr>
            <w:tcW w:w="820" w:type="dxa"/>
            <w:vAlign w:val="bottom"/>
          </w:tcPr>
          <w:p>
            <w:pPr>
              <w:spacing w:after="0"/>
              <w:rPr>
                <w:sz w:val="20"/>
                <w:szCs w:val="20"/>
                <w:color w:val="auto"/>
              </w:rPr>
            </w:pPr>
          </w:p>
        </w:tc>
      </w:tr>
      <w:tr>
        <w:trPr>
          <w:trHeight w:val="24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Beginning balance</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85,325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65,362</w:t>
            </w:r>
          </w:p>
        </w:tc>
      </w:tr>
      <w:tr>
        <w:trPr>
          <w:trHeight w:val="234"/>
        </w:trPr>
        <w:tc>
          <w:tcPr>
            <w:tcW w:w="8800" w:type="dxa"/>
            <w:vAlign w:val="bottom"/>
          </w:tcPr>
          <w:p>
            <w:pPr>
              <w:ind w:left="260"/>
              <w:spacing w:after="0"/>
              <w:rPr>
                <w:sz w:val="20"/>
                <w:szCs w:val="20"/>
                <w:color w:val="auto"/>
              </w:rPr>
            </w:pPr>
            <w:r>
              <w:rPr>
                <w:rFonts w:ascii="Arial" w:cs="Arial" w:eastAsia="Arial" w:hAnsi="Arial"/>
                <w:sz w:val="17"/>
                <w:szCs w:val="17"/>
                <w:color w:val="auto"/>
              </w:rPr>
              <w:t>Net income</w:t>
            </w:r>
          </w:p>
        </w:tc>
        <w:tc>
          <w:tcPr>
            <w:tcW w:w="3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7"/>
                <w:szCs w:val="17"/>
                <w:color w:val="auto"/>
              </w:rPr>
              <w:t>2,592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3,492</w:t>
            </w:r>
          </w:p>
        </w:tc>
      </w:tr>
      <w:tr>
        <w:trPr>
          <w:trHeight w:val="26"/>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0"/>
        </w:trPr>
        <w:tc>
          <w:tcPr>
            <w:tcW w:w="8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Distributions &amp; Redemptions</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(6,985)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(3,020)</w:t>
            </w:r>
          </w:p>
        </w:tc>
      </w:tr>
      <w:tr>
        <w:trPr>
          <w:trHeight w:val="234"/>
        </w:trPr>
        <w:tc>
          <w:tcPr>
            <w:tcW w:w="8800" w:type="dxa"/>
            <w:vAlign w:val="bottom"/>
          </w:tcPr>
          <w:p>
            <w:pPr>
              <w:ind w:left="260"/>
              <w:spacing w:after="0"/>
              <w:rPr>
                <w:sz w:val="20"/>
                <w:szCs w:val="20"/>
                <w:color w:val="auto"/>
              </w:rPr>
            </w:pPr>
            <w:r>
              <w:rPr>
                <w:rFonts w:ascii="Arial" w:cs="Arial" w:eastAsia="Arial" w:hAnsi="Arial"/>
                <w:sz w:val="17"/>
                <w:szCs w:val="17"/>
                <w:color w:val="auto"/>
              </w:rPr>
              <w:t>Contributions</w:t>
            </w:r>
          </w:p>
        </w:tc>
        <w:tc>
          <w:tcPr>
            <w:tcW w:w="3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10,064</w:t>
            </w:r>
          </w:p>
        </w:tc>
      </w:tr>
      <w:tr>
        <w:trPr>
          <w:trHeight w:val="26"/>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0"/>
        </w:trPr>
        <w:tc>
          <w:tcPr>
            <w:tcW w:w="8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Adjustment to redeemable noncontrolling interests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13,469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9,427</w:t>
            </w:r>
          </w:p>
        </w:tc>
      </w:tr>
      <w:tr>
        <w:trPr>
          <w:trHeight w:val="247"/>
        </w:trPr>
        <w:tc>
          <w:tcPr>
            <w:tcW w:w="8800" w:type="dxa"/>
            <w:vAlign w:val="bottom"/>
          </w:tcPr>
          <w:p>
            <w:pPr>
              <w:ind w:left="40"/>
              <w:spacing w:after="0"/>
              <w:rPr>
                <w:sz w:val="20"/>
                <w:szCs w:val="20"/>
                <w:color w:val="auto"/>
              </w:rPr>
            </w:pPr>
            <w:r>
              <w:rPr>
                <w:rFonts w:ascii="Arial" w:cs="Arial" w:eastAsia="Arial" w:hAnsi="Arial"/>
                <w:sz w:val="17"/>
                <w:szCs w:val="17"/>
                <w:color w:val="auto"/>
              </w:rPr>
              <w:t>Ending balance</w:t>
            </w: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94,420</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85,325</w:t>
            </w:r>
          </w:p>
        </w:tc>
      </w:tr>
      <w:tr>
        <w:trPr>
          <w:trHeight w:val="20"/>
        </w:trPr>
        <w:tc>
          <w:tcPr>
            <w:tcW w:w="8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97"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spacing w:after="0" w:line="12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With few exceptions, we are no longer subject to U.S. federal, state, and local tax examinations by tax authorities for years before 2008. As of December 31, 2012 and 2011, we had no material unrecognized tax benefits. While we currently have no material unrecognized tax benefits, as a policy, we recognize penalties and interest accrued related to unrecognized tax benefits as 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Information</w:t>
      </w:r>
    </w:p>
    <w:p>
      <w:pPr>
        <w:spacing w:after="0" w:line="9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other property income and mortgage interest income, less rental expenses and real estate taxes. No individual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97"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In May 2011, the Financial Accounting Standards Board (the "FASB") issued Accounting Standards Update ("ASU") 2011-04, “Fair Value Measurement (Topic 820): Amendments to Achieve Common Fair Value Measurement and Disclosure Requirements in U.S. GAAP and IFRSs.” The pronouncement was issued to provide a uniform framework for fair value measurements and related disclosures between U.S. GAAP and International Financial Reporting Standards (“IFRS”). ASU 2011-04 changes certain fair value measurement principles and enhances the disclosure requirements particularly for level 3 fair value measurements. We adopted the standard effective January 1, 2012 and it did not have a significant impact to our consolidated financial statements.</w:t>
      </w:r>
    </w:p>
    <w:p>
      <w:pPr>
        <w:spacing w:after="0" w:line="11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eliminates the option to present components of other comprehensive income solely as part of the statement of shareholders’ equity and requires the presentation of components of net income and components of other comprehensive income either in a single continuous statement of comprehensive income or in two separate but consecutive statements. In December 2011, the FASB deferred the requirement to present reclassification adjustments for each component of accumulated other comprehensive income in both net income and other comprehensive income on the face of the financial statements. We adopted the standards effective January 1, 2012 and modified the presentation in our consolidated financial statements accordingly. Other comprehensive loss in our financial statements relates to the change in valuation on our interest rate swap agreements as further discussed in Note 8.</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w:t>
      </w:r>
    </w:p>
    <w:p>
      <w:pPr>
        <w:spacing w:after="0" w:line="97" w:lineRule="exact"/>
        <w:rPr>
          <w:sz w:val="20"/>
          <w:szCs w:val="20"/>
          <w:color w:val="auto"/>
        </w:rPr>
      </w:pPr>
    </w:p>
    <w:p>
      <w:pPr>
        <w:spacing w:after="0" w:line="322" w:lineRule="auto"/>
        <w:rPr>
          <w:sz w:val="20"/>
          <w:szCs w:val="20"/>
          <w:color w:val="auto"/>
        </w:rPr>
      </w:pPr>
      <w:r>
        <w:rPr>
          <w:rFonts w:ascii="Arial" w:cs="Arial" w:eastAsia="Arial" w:hAnsi="Arial"/>
          <w:sz w:val="15"/>
          <w:szCs w:val="15"/>
          <w:color w:val="auto"/>
        </w:rPr>
        <w:t>In February 2013, the FASB issued ASU 2013-2, “Comprehensive Income (Topic 220): Reporting Amounts Reclassified Out of Accumulated Other Comprehensive Income.” ASU 2013-2 requires entities to disclose certain information relating to amounts reclassified out of accumulated other comprehensive income. This pronouncement is effective for us in the first quarter of 2013 and is not expected to have a significant impact to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Flows—Supplemental Disclosures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supplemental disclosures related to the Consolidated Statements of Cash Flows: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2011</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88"/>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SUPPLEMENTAL DISCLOSURES: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Total interest costs incurred</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123,441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6"/>
              <w:spacing w:after="0"/>
              <w:rPr>
                <w:sz w:val="20"/>
                <w:szCs w:val="20"/>
                <w:color w:val="auto"/>
              </w:rPr>
            </w:pPr>
            <w:r>
              <w:rPr>
                <w:rFonts w:ascii="Arial" w:cs="Arial" w:eastAsia="Arial" w:hAnsi="Arial"/>
                <w:sz w:val="17"/>
                <w:szCs w:val="17"/>
                <w:color w:val="auto"/>
              </w:rPr>
              <w:t>106,562</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108,167</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Interest capitalized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(8,097)</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(6,285)</w:t>
            </w:r>
          </w:p>
        </w:tc>
        <w:tc>
          <w:tcPr>
            <w:tcW w:w="0" w:type="dxa"/>
            <w:vAlign w:val="bottom"/>
          </w:tcPr>
          <w:p>
            <w:pPr>
              <w:spacing w:after="0"/>
              <w:rPr>
                <w:sz w:val="1"/>
                <w:szCs w:val="1"/>
                <w:color w:val="auto"/>
              </w:rPr>
            </w:pPr>
          </w:p>
        </w:tc>
      </w:tr>
      <w:tr>
        <w:trPr>
          <w:trHeight w:val="227"/>
        </w:trPr>
        <w:tc>
          <w:tcPr>
            <w:tcW w:w="7100" w:type="dxa"/>
            <w:vAlign w:val="bottom"/>
          </w:tcPr>
          <w:p>
            <w:pPr>
              <w:ind w:left="680"/>
              <w:spacing w:after="0"/>
              <w:rPr>
                <w:sz w:val="20"/>
                <w:szCs w:val="20"/>
                <w:color w:val="auto"/>
              </w:rPr>
            </w:pPr>
            <w:r>
              <w:rPr>
                <w:rFonts w:ascii="Arial" w:cs="Arial" w:eastAsia="Arial" w:hAnsi="Arial"/>
                <w:sz w:val="17"/>
                <w:szCs w:val="17"/>
                <w:color w:val="auto"/>
              </w:rPr>
              <w:t>Interest expense</w:t>
            </w:r>
          </w:p>
        </w:tc>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113,336</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98,465</w:t>
            </w: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101,882</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360"/>
              <w:spacing w:after="0" w:line="187" w:lineRule="exact"/>
              <w:rPr>
                <w:sz w:val="20"/>
                <w:szCs w:val="20"/>
                <w:color w:val="auto"/>
              </w:rPr>
            </w:pPr>
            <w:r>
              <w:rPr>
                <w:rFonts w:ascii="Arial" w:cs="Arial" w:eastAsia="Arial" w:hAnsi="Arial"/>
                <w:sz w:val="17"/>
                <w:szCs w:val="17"/>
                <w:color w:val="auto"/>
              </w:rPr>
              <w:t>Cash paid for interest, net of amounts capitalized</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114,419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95,424</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98,932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7"/>
                <w:szCs w:val="17"/>
                <w:color w:val="auto"/>
              </w:rPr>
              <w:t>Cash (refunded) paid for 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00" w:type="dxa"/>
            <w:vAlign w:val="bottom"/>
            <w:vMerge w:val="continue"/>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(1,151)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6"/>
              <w:spacing w:after="0"/>
              <w:rPr>
                <w:sz w:val="20"/>
                <w:szCs w:val="20"/>
                <w:color w:val="auto"/>
              </w:rPr>
            </w:pPr>
            <w:r>
              <w:rPr>
                <w:rFonts w:ascii="Arial" w:cs="Arial" w:eastAsia="Arial" w:hAnsi="Arial"/>
                <w:sz w:val="17"/>
                <w:szCs w:val="17"/>
                <w:color w:val="auto"/>
              </w:rPr>
              <w:t>832</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7100" w:type="dxa"/>
            <w:vAlign w:val="bottom"/>
            <w:tcBorders>
              <w:bottom w:val="single" w:sz="8" w:color="CCEEFF"/>
            </w:tcBorders>
            <w:shd w:val="clear" w:color="auto" w:fill="CCEEFF"/>
          </w:tcPr>
          <w:p>
            <w:pPr>
              <w:ind w:left="40"/>
              <w:spacing w:after="0" w:line="187" w:lineRule="exact"/>
              <w:rPr>
                <w:sz w:val="20"/>
                <w:szCs w:val="20"/>
                <w:color w:val="auto"/>
              </w:rPr>
            </w:pPr>
            <w:r>
              <w:rPr>
                <w:rFonts w:ascii="Arial" w:cs="Arial" w:eastAsia="Arial" w:hAnsi="Arial"/>
                <w:sz w:val="17"/>
                <w:szCs w:val="17"/>
                <w:color w:val="auto"/>
              </w:rPr>
              <w:t>NON-CASH INVESTING AND FINANCING TRANSACTIONS: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Mortgage loan assumed/entered into with acquisition</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67,615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6"/>
              <w:spacing w:after="0"/>
              <w:rPr>
                <w:sz w:val="20"/>
                <w:szCs w:val="20"/>
                <w:color w:val="auto"/>
              </w:rPr>
            </w:pPr>
            <w:r>
              <w:rPr>
                <w:rFonts w:ascii="Arial" w:cs="Arial" w:eastAsia="Arial" w:hAnsi="Arial"/>
                <w:sz w:val="17"/>
                <w:szCs w:val="17"/>
                <w:color w:val="auto"/>
              </w:rPr>
              <w:t>308,506</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Deconsolidation of VIE</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18,311</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Capital lease obligation</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6"/>
              <w:spacing w:after="0"/>
              <w:rPr>
                <w:sz w:val="20"/>
                <w:szCs w:val="20"/>
                <w:color w:val="auto"/>
              </w:rPr>
            </w:pPr>
            <w:r>
              <w:rPr>
                <w:rFonts w:ascii="Arial" w:cs="Arial" w:eastAsia="Arial" w:hAnsi="Arial"/>
                <w:sz w:val="17"/>
                <w:szCs w:val="17"/>
                <w:color w:val="auto"/>
              </w:rPr>
              <w:t>4,556</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Extinguishment of deferred ground rent liability</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8,832</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Extinguishment of capital lease obligation</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1,031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Capitalized lease costs are direct costs incurred which were essential to originate a lease and would not have been incurred had the leasing transaction not taken place. These costs include third party commissions and salaries and personnel costs related to obtaining a lease. Capitalized lease costs are amortized over the initial term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3—REAL ESTATE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real estate investments and related encumbrances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Accumulated</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9"/>
              </w:rPr>
              <w:t>Depreciation and</w:t>
            </w:r>
          </w:p>
        </w:tc>
        <w:tc>
          <w:tcPr>
            <w:tcW w:w="260" w:type="dxa"/>
            <w:vAlign w:val="bottom"/>
          </w:tcPr>
          <w:p>
            <w:pPr>
              <w:spacing w:after="0"/>
              <w:rPr>
                <w:sz w:val="12"/>
                <w:szCs w:val="12"/>
                <w:color w:val="auto"/>
              </w:rPr>
            </w:pPr>
          </w:p>
        </w:tc>
        <w:tc>
          <w:tcPr>
            <w:tcW w:w="14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Encumbrances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Amortization</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December 31, 2012</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0" w:type="dxa"/>
            <w:vAlign w:val="bottom"/>
            <w:tcBorders>
              <w:top w:val="single" w:sz="8" w:color="CCEEFF"/>
            </w:tcBorders>
            <w:shd w:val="clear" w:color="auto" w:fill="CCEEFF"/>
          </w:tcPr>
          <w:p>
            <w:pPr>
              <w:spacing w:after="0"/>
              <w:rPr>
                <w:sz w:val="3"/>
                <w:szCs w:val="3"/>
                <w:color w:val="auto"/>
              </w:rPr>
            </w:pPr>
          </w:p>
        </w:tc>
        <w:tc>
          <w:tcPr>
            <w:tcW w:w="1380" w:type="dxa"/>
            <w:vAlign w:val="bottom"/>
            <w:tcBorders>
              <w:top w:val="single" w:sz="8" w:color="auto"/>
            </w:tcBorders>
            <w:shd w:val="clear" w:color="auto" w:fill="CCEEFF"/>
          </w:tcPr>
          <w:p>
            <w:pPr>
              <w:spacing w:after="0"/>
              <w:rPr>
                <w:sz w:val="3"/>
                <w:szCs w:val="3"/>
                <w:color w:val="auto"/>
              </w:rPr>
            </w:pPr>
          </w:p>
        </w:tc>
        <w:tc>
          <w:tcPr>
            <w:tcW w:w="46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3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060" w:type="dxa"/>
            <w:vAlign w:val="bottom"/>
            <w:gridSpan w:val="3"/>
          </w:tcPr>
          <w:p>
            <w:pPr>
              <w:ind w:left="40"/>
              <w:spacing w:after="0"/>
              <w:rPr>
                <w:sz w:val="20"/>
                <w:szCs w:val="20"/>
                <w:color w:val="auto"/>
              </w:rPr>
            </w:pPr>
            <w:r>
              <w:rPr>
                <w:rFonts w:ascii="Arial" w:cs="Arial" w:eastAsia="Arial" w:hAnsi="Arial"/>
                <w:sz w:val="17"/>
                <w:szCs w:val="17"/>
                <w:color w:val="auto"/>
              </w:rPr>
              <w:t>Retail and mixed-use properties</w:t>
            </w: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4,655,943</w:t>
            </w:r>
          </w:p>
        </w:tc>
        <w:tc>
          <w:tcPr>
            <w:tcW w:w="12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(1,187,993)</w:t>
            </w:r>
          </w:p>
        </w:tc>
        <w:tc>
          <w:tcPr>
            <w:tcW w:w="100" w:type="dxa"/>
            <w:vAlign w:val="bottom"/>
          </w:tcPr>
          <w:p>
            <w:pPr>
              <w:spacing w:after="0"/>
              <w:rPr>
                <w:sz w:val="20"/>
                <w:szCs w:val="20"/>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737,899</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Retail properties under capital leases</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114,571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71,693</w:t>
            </w:r>
          </w:p>
        </w:tc>
        <w:tc>
          <w:tcPr>
            <w:tcW w:w="0" w:type="dxa"/>
            <w:vAlign w:val="bottom"/>
          </w:tcPr>
          <w:p>
            <w:pPr>
              <w:spacing w:after="0"/>
              <w:rPr>
                <w:sz w:val="1"/>
                <w:szCs w:val="1"/>
                <w:color w:val="auto"/>
              </w:rPr>
            </w:pPr>
          </w:p>
        </w:tc>
      </w:tr>
      <w:tr>
        <w:trPr>
          <w:trHeight w:val="234"/>
        </w:trPr>
        <w:tc>
          <w:tcPr>
            <w:tcW w:w="6060" w:type="dxa"/>
            <w:vAlign w:val="bottom"/>
            <w:gridSpan w:val="3"/>
          </w:tcPr>
          <w:p>
            <w:pPr>
              <w:ind w:left="40"/>
              <w:spacing w:after="0"/>
              <w:rPr>
                <w:sz w:val="20"/>
                <w:szCs w:val="20"/>
                <w:color w:val="auto"/>
              </w:rPr>
            </w:pPr>
            <w:r>
              <w:rPr>
                <w:rFonts w:ascii="Arial" w:cs="Arial" w:eastAsia="Arial" w:hAnsi="Arial"/>
                <w:sz w:val="17"/>
                <w:szCs w:val="17"/>
                <w:color w:val="auto"/>
              </w:rPr>
              <w:t>Residential</w:t>
            </w:r>
          </w:p>
        </w:tc>
        <w:tc>
          <w:tcPr>
            <w:tcW w:w="42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9,160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(7,251)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22,890</w:t>
            </w:r>
          </w:p>
        </w:tc>
        <w:tc>
          <w:tcPr>
            <w:tcW w:w="0" w:type="dxa"/>
            <w:vAlign w:val="bottom"/>
          </w:tcPr>
          <w:p>
            <w:pPr>
              <w:spacing w:after="0"/>
              <w:rPr>
                <w:sz w:val="1"/>
                <w:szCs w:val="1"/>
                <w:color w:val="auto"/>
              </w:rPr>
            </w:pPr>
          </w:p>
        </w:tc>
      </w:tr>
      <w:tr>
        <w:trPr>
          <w:trHeight w:val="26"/>
        </w:trPr>
        <w:tc>
          <w:tcPr>
            <w:tcW w:w="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46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4,779,674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(1,224,295)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832,482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3"/>
            <w:vMerge w:val="restart"/>
          </w:tcPr>
          <w:p>
            <w:pPr>
              <w:ind w:left="40"/>
              <w:spacing w:after="0" w:line="188" w:lineRule="exact"/>
              <w:rPr>
                <w:sz w:val="20"/>
                <w:szCs w:val="20"/>
                <w:color w:val="auto"/>
              </w:rPr>
            </w:pPr>
            <w:r>
              <w:rPr>
                <w:rFonts w:ascii="Arial" w:cs="Arial" w:eastAsia="Arial" w:hAnsi="Arial"/>
                <w:sz w:val="17"/>
                <w:szCs w:val="17"/>
                <w:b w:val="1"/>
                <w:bCs w:val="1"/>
                <w:color w:val="auto"/>
              </w:rPr>
              <w:t>December 31, 2011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0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380" w:type="dxa"/>
            <w:vAlign w:val="bottom"/>
            <w:tcBorders>
              <w:top w:val="single" w:sz="8" w:color="auto"/>
            </w:tcBorders>
          </w:tcPr>
          <w:p>
            <w:pPr>
              <w:spacing w:after="0"/>
              <w:rPr>
                <w:sz w:val="6"/>
                <w:szCs w:val="6"/>
                <w:color w:val="auto"/>
              </w:rPr>
            </w:pPr>
          </w:p>
        </w:tc>
        <w:tc>
          <w:tcPr>
            <w:tcW w:w="4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Retail and mixed-use properties</w:t>
            </w: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4,304,089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(1,087,704)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724,287</w:t>
            </w:r>
          </w:p>
        </w:tc>
        <w:tc>
          <w:tcPr>
            <w:tcW w:w="0" w:type="dxa"/>
            <w:vAlign w:val="bottom"/>
          </w:tcPr>
          <w:p>
            <w:pPr>
              <w:spacing w:after="0"/>
              <w:rPr>
                <w:sz w:val="1"/>
                <w:szCs w:val="1"/>
                <w:color w:val="auto"/>
              </w:rPr>
            </w:pPr>
          </w:p>
        </w:tc>
      </w:tr>
      <w:tr>
        <w:trPr>
          <w:trHeight w:val="234"/>
        </w:trPr>
        <w:tc>
          <w:tcPr>
            <w:tcW w:w="6060" w:type="dxa"/>
            <w:vAlign w:val="bottom"/>
            <w:gridSpan w:val="3"/>
          </w:tcPr>
          <w:p>
            <w:pPr>
              <w:ind w:left="40"/>
              <w:spacing w:after="0"/>
              <w:rPr>
                <w:sz w:val="20"/>
                <w:szCs w:val="20"/>
                <w:color w:val="auto"/>
              </w:rPr>
            </w:pPr>
            <w:r>
              <w:rPr>
                <w:rFonts w:ascii="Arial" w:cs="Arial" w:eastAsia="Arial" w:hAnsi="Arial"/>
                <w:sz w:val="17"/>
                <w:szCs w:val="17"/>
                <w:color w:val="auto"/>
              </w:rPr>
              <w:t>Retail properties under capital leases</w:t>
            </w:r>
          </w:p>
        </w:tc>
        <w:tc>
          <w:tcPr>
            <w:tcW w:w="42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113,605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(33,019)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63,093</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Residential</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8,750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23,236</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20" w:type="dxa"/>
            <w:vAlign w:val="bottom"/>
            <w:tcBorders>
              <w:top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4,426,444</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(1,127,588)</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810,616</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Retail and mixed-use properties includes the residential portion of Santana Row, Bethesda Row and Congressional Plaza. The residential property investment is our investment in Rollingwood Apartments.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2012 Significant Property Acquisitions</w:t>
      </w:r>
    </w:p>
    <w:p>
      <w:pPr>
        <w:spacing w:after="0" w:line="17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July and September 2012, we acquired three residential apartment buildings with 47 units located adjacent to Santana Row for $9.0 million. These properties provide potential future redevelopment opportunities for Santana Row.</w:t>
      </w:r>
    </w:p>
    <w:p>
      <w:pPr>
        <w:spacing w:after="0" w:line="158"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On December 21, 2012, we acquired the fee interest in East Bay Bridge, a 438,000 square foot shopping center located in Emeryville and Oakland, California. The purchase price was $116.6 million which included the assumption of a mortgage loan with a face amount of $62.9 million and a fair value of approximately $67.6 million. Approximately $0.9 million and $47.8 million of net assets acquired were allocated to other assets for “above market leases” and other liabilities for “below market leases”, respectively. Additionally, we acquired a 37,000 square foot single-tenant office/warehouse building in Ontario, California for $2.5 million as part of the transaction. We incurred a total of $0.9 million of acquisition costs which are included in “general and administrative expenses” in 2012.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Significant Acquisitions and Disposition</w:t>
      </w:r>
    </w:p>
    <w:p>
      <w:pPr>
        <w:spacing w:after="0" w:line="17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January 19, 2011, we acquired the fee interest in Tower Shops located in Davie, Florida for a net purchase price of $66.1 million which included the assumption of a mortgage loan with a face amount of $41.0 million and a fair value of approximately $42.9 million. The property contains approximately 368,000 square feet of gross leasable area on 67 acres and is shadow-anchored by Home Depot and Costco. Approximately $1.2 million and $4.4 million of net assets acquired were allocated to other assets for “above market leases” and other liabilities for “below market leases”, respectively. We incurred a total of $0.4 million of acquisition costs of which $0.2 million were incurred in 2011 and are included in “general and administrative expenses” for the year ended December 31, 2011.</w:t>
      </w:r>
    </w:p>
    <w:p>
      <w:pPr>
        <w:spacing w:after="0" w:line="11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On July 12, 2011, we sold Feasterville Shopping Center located in Feasterville, Pennsylvania for a sales price of $20.0 million resulting in a gain of $14.8 million. The operations of this property are included in “discontinued operations” in the consolidated statements of comprehensive income for all periods presented. The sale was completed as a Section 1031 tax deferred exchange transaction with the acquisition of Tower Shops.</w:t>
      </w:r>
    </w:p>
    <w:p>
      <w:pPr>
        <w:spacing w:after="0" w:line="121"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On December 27, 2011, we acquired an 89.9% controlling interest in Montrose Crossing, a 357,000 square foot shopping center located in Rockville, Maryland. The purchase price was $141.5 million and our 89.9% ownership interest was $127.2 million which was funded with cash and our pro-rata share of $80.0 million of new mortgage debt. We are the managing member of the entity, control all significant operating decisions, and receive approximately 89.9% of the cash flow of the entity. Therefore, we have consolidated the property and its operations effective on the acquisition date. Approximately $2.9 million and $3.8 million of net assets acquired were allocated to other assets for "above market leases" and other liabilities for "below market leases", respectively. We incurred approximately $2.4 million of acquisition costs which are included in “general and administrative expenses” in 2011.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On December 30, 2011, we acquired a 48.2% controlling interest in Plaza El Segundo, a 381,000 square foot shopping center located in El Segundo, California. The purchase price was $192.7 million and our 48.2% ownership interest was funded with $8.5 million of cash and the assumption of our pro-rata share of the existing $175.0 million mortgage debt. We are the managing member of the entity, control all significant decisions, and receive the majority of the cash flow of the entity. Therefore, we have consolidated the property and its operations effective on the acquisition date. Approximately $7.5 million and $2.3 million of net assets acquired were allocated to other assets for "above market leases" and other liabilities for "below market leases", respectively. We incurred approximately $1.0 million of acquisition costs which are included in “general and administrative expenses” in 2011.</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December 30, 2011, we acquired an 8.1 acre land parcel adjacent to Plaza El Segundo for a purchase price of $15.9 million. We intend to use the land parcel for future development.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4—MORTGAGE NOTES RECEIVABLE</w:t>
      </w:r>
    </w:p>
    <w:p>
      <w:pPr>
        <w:spacing w:after="0" w:line="9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At December 31, 2012 and 2011, we had five mortgage notes receivable with an aggregate carrying amount of $55.6 million and $56.0 million, respectively. Approximately $44.9 million and $44.7 million of the loans are secured by first mortgages on retail buildings at December 31, 2012 and 2011, respectively. One of the loans, which is secured by a second mortgage on a hotel at our Santana Row property, was considered impaired when it was amended in August 2006. At December 31, 2012 and 2011, the loan has an outstanding face amount of $12.9 million and $14.2 million, respectively, and is carried net of a valuation allowance of $2.1 million and $2.9 million, respectively. At December 31, 2012 and 2011, our mortgages had a weighted average interest rate of 9.4% and 9.2%, respectively. Under the terms of certain of these mortgages, we receive additional interest based upon the gross income of the secured properties and upon sale, share in the appreciation of the properties.</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Prior to June 30, 2011, we were the lender on a first and second mortgage loan on a shopping center and an adjacent commercial building in Norwalk, Connecticut. Our carrying amount of the loans was approximately $18.3 million. The loans were in default and foreclosure proceedings had been filed, however, we were in negotiations with the borrower to refinance the loans. On June 30, 2011, we refinanced the existing loans with a first mortgage loan which had an initial principal balance of $11.9 million, bears interest at 6.0%, and matures on June 30, 2014, subject to a one year extension option. The loan is secured by the shopping center in Norwalk, Connecticut. As part of the refinancing, we received approximately $8.7 million in cash.</w:t>
      </w:r>
    </w:p>
    <w:p>
      <w:pPr>
        <w:spacing w:after="0" w:line="12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Because the loans were in default, we had certain rights under the first mortgage loan agreement that gave us the ability to direct the activities that most significantly impacted the shopping center. Although we did not exercise those rights, the existence of those rights in the loan agreement resulted in the entity being a VIE. Additionally, given our investment in both the first and second mortgage on the property, the overall decline in fair market value since the loans were initiated, and the default status of the loans, we also had the obligation to absorb losses or rights to receive benefits that could potentially be significant to the VIE. Consequently, we were the primary beneficiary of this VIE and consolidated the shopping center and adjacent building from March 30, 2010 to June 29, 2011; the operations of the entity are included in “discontinued operations”.</w:t>
      </w:r>
    </w:p>
    <w:p>
      <w:pPr>
        <w:spacing w:after="0" w:line="12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conjunction with the refinancing of the loans, we re-evaluated our status as the primary beneficiary of the VIE. Because the loan is not in default, we no longer have those certain rights that give us the ability to control the activities that most significantly impact the shopping center. Our current involvement in the property is solely as the lender on the mortgage loan with protective rights as the lender. Therefore, we are no longer the primary beneficiary and deconsolidated the entity as of June 30, 2011. The mortgage loan receivable was recorded at its estimated fair value of $11.9 million and we recognized a $2.0 million gain on deconsolidation as part of the refinancing which is included in “discontinued operations - gain on deconsolidation of VIE” for the year ended December 31, 2011. As of December 31, 2012, the loan was performing and the carrying amount of the mortgage loan of $11.7 million is included in “mortgage notes receivable” on the balance sheet. This amount also reflects our maximum exposure to loss related to this investment.</w:t>
      </w:r>
    </w:p>
    <w:p>
      <w:pPr>
        <w:spacing w:after="0" w:line="11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change in design of the entity including the refinancing of the loan was a VIE reconsideration event. Given that the loan is no longer in default, we, as lender, do not have the power to direct the activities that most significantly impact the entity, and the additional equity investment at risk provided by the entity’s equity holders, the entity is no longer a VIE.</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5—REAL ESTATE PARTNERSHIPS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Federal/Lion Venture LP</w:t>
      </w:r>
    </w:p>
    <w:p>
      <w:pPr>
        <w:spacing w:after="0" w:line="91" w:lineRule="exact"/>
        <w:rPr>
          <w:sz w:val="20"/>
          <w:szCs w:val="20"/>
          <w:color w:val="auto"/>
        </w:rPr>
      </w:pPr>
    </w:p>
    <w:p>
      <w:pPr>
        <w:jc w:val="both"/>
        <w:ind w:right="180"/>
        <w:spacing w:after="0" w:line="265" w:lineRule="auto"/>
        <w:rPr>
          <w:sz w:val="20"/>
          <w:szCs w:val="20"/>
          <w:color w:val="auto"/>
        </w:rPr>
      </w:pPr>
      <w:r>
        <w:rPr>
          <w:rFonts w:ascii="Arial" w:cs="Arial" w:eastAsia="Arial" w:hAnsi="Arial"/>
          <w:sz w:val="17"/>
          <w:szCs w:val="17"/>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12"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the equity method. As of December 31, 2012,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 As of December 31, 2012, we have made total contributions of $42.1 million and received total distributions of $15.7 million.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summarized operating results and the financial position of the Partnership: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88"/>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RESULTS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color w:val="auto"/>
              </w:rPr>
              <w:t>Revenue</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19,051</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19,289</w:t>
            </w:r>
          </w:p>
        </w:tc>
        <w:tc>
          <w:tcPr>
            <w:tcW w:w="120" w:type="dxa"/>
            <w:vAlign w:val="bottom"/>
          </w:tcPr>
          <w:p>
            <w:pPr>
              <w:spacing w:after="0"/>
              <w:rPr>
                <w:sz w:val="20"/>
                <w:szCs w:val="20"/>
                <w:color w:val="auto"/>
              </w:rPr>
            </w:pP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18,639</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Expenses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Other operating expenses</w:t>
            </w:r>
          </w:p>
        </w:tc>
        <w:tc>
          <w:tcPr>
            <w:tcW w:w="32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5,234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5,593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6,149</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5,508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5,179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5,046</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3,376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3,388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3,400</w:t>
            </w:r>
          </w:p>
        </w:tc>
        <w:tc>
          <w:tcPr>
            <w:tcW w:w="0" w:type="dxa"/>
            <w:vAlign w:val="bottom"/>
          </w:tcPr>
          <w:p>
            <w:pPr>
              <w:spacing w:after="0"/>
              <w:rPr>
                <w:sz w:val="1"/>
                <w:szCs w:val="1"/>
                <w:color w:val="auto"/>
              </w:rPr>
            </w:pP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14,118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14,160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14,595</w:t>
            </w:r>
          </w:p>
        </w:tc>
        <w:tc>
          <w:tcPr>
            <w:tcW w:w="0" w:type="dxa"/>
            <w:vAlign w:val="bottom"/>
          </w:tcPr>
          <w:p>
            <w:pPr>
              <w:spacing w:after="0"/>
              <w:rPr>
                <w:sz w:val="1"/>
                <w:szCs w:val="1"/>
                <w:color w:val="auto"/>
              </w:rPr>
            </w:pPr>
          </w:p>
        </w:tc>
      </w:tr>
      <w:tr>
        <w:trPr>
          <w:trHeight w:val="227"/>
        </w:trPr>
        <w:tc>
          <w:tcPr>
            <w:tcW w:w="710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4,933</w:t>
            </w:r>
          </w:p>
        </w:tc>
        <w:tc>
          <w:tcPr>
            <w:tcW w:w="120" w:type="dxa"/>
            <w:vAlign w:val="bottom"/>
            <w:gridSpan w:val="2"/>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5,129</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4,044</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line="187" w:lineRule="exact"/>
              <w:rPr>
                <w:sz w:val="20"/>
                <w:szCs w:val="20"/>
                <w:color w:val="auto"/>
              </w:rPr>
            </w:pPr>
            <w:r>
              <w:rPr>
                <w:rFonts w:ascii="Arial" w:cs="Arial" w:eastAsia="Arial" w:hAnsi="Arial"/>
                <w:sz w:val="17"/>
                <w:szCs w:val="17"/>
                <w:color w:val="auto"/>
              </w:rPr>
              <w:t>Our share of net income from real estate partnership</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1,815</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1,771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1,449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82"/>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7100" w:type="dxa"/>
            <w:vAlign w:val="bottom"/>
          </w:tcPr>
          <w:p>
            <w:pPr>
              <w:ind w:left="40"/>
              <w:spacing w:after="0"/>
              <w:rPr>
                <w:sz w:val="20"/>
                <w:szCs w:val="20"/>
                <w:color w:val="auto"/>
              </w:rPr>
            </w:pPr>
            <w:r>
              <w:rPr>
                <w:rFonts w:ascii="Arial" w:cs="Arial" w:eastAsia="Arial" w:hAnsi="Arial"/>
                <w:sz w:val="17"/>
                <w:szCs w:val="17"/>
                <w:color w:val="auto"/>
              </w:rPr>
              <w:t>BALANCE SHEETS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 estate, net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174,509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178,693</w:t>
            </w:r>
          </w:p>
        </w:tc>
        <w:tc>
          <w:tcPr>
            <w:tcW w:w="0" w:type="dxa"/>
            <w:vAlign w:val="bottom"/>
          </w:tcPr>
          <w:p>
            <w:pPr>
              <w:spacing w:after="0"/>
              <w:rPr>
                <w:sz w:val="1"/>
                <w:szCs w:val="1"/>
                <w:color w:val="auto"/>
              </w:rPr>
            </w:pP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color w:val="auto"/>
              </w:rPr>
              <w:t>Cash</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2,735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3,035</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5,536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6,116</w:t>
            </w:r>
          </w:p>
        </w:tc>
        <w:tc>
          <w:tcPr>
            <w:tcW w:w="0" w:type="dxa"/>
            <w:vAlign w:val="bottom"/>
          </w:tcPr>
          <w:p>
            <w:pPr>
              <w:spacing w:after="0"/>
              <w:rPr>
                <w:sz w:val="1"/>
                <w:szCs w:val="1"/>
                <w:color w:val="auto"/>
              </w:rPr>
            </w:pPr>
          </w:p>
        </w:tc>
      </w:tr>
      <w:tr>
        <w:trPr>
          <w:trHeight w:val="227"/>
        </w:trPr>
        <w:tc>
          <w:tcPr>
            <w:tcW w:w="7100" w:type="dxa"/>
            <w:vAlign w:val="bottom"/>
          </w:tcPr>
          <w:p>
            <w:pPr>
              <w:ind w:left="360"/>
              <w:spacing w:after="0"/>
              <w:rPr>
                <w:sz w:val="20"/>
                <w:szCs w:val="20"/>
                <w:color w:val="auto"/>
              </w:rPr>
            </w:pPr>
            <w:r>
              <w:rPr>
                <w:rFonts w:ascii="Arial" w:cs="Arial" w:eastAsia="Arial" w:hAnsi="Arial"/>
                <w:sz w:val="17"/>
                <w:szCs w:val="17"/>
                <w:color w:val="auto"/>
              </w:rPr>
              <w:t>Total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182,780</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187,844</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7100" w:type="dxa"/>
            <w:vAlign w:val="bottom"/>
            <w:tcBorders>
              <w:bottom w:val="single" w:sz="8" w:color="CCEEFF"/>
            </w:tcBorders>
            <w:shd w:val="clear" w:color="auto" w:fill="CCEEFF"/>
          </w:tcPr>
          <w:p>
            <w:pPr>
              <w:ind w:left="40"/>
              <w:spacing w:after="0" w:line="187" w:lineRule="exact"/>
              <w:rPr>
                <w:sz w:val="20"/>
                <w:szCs w:val="20"/>
                <w:color w:val="auto"/>
              </w:rPr>
            </w:pPr>
            <w:r>
              <w:rPr>
                <w:rFonts w:ascii="Arial" w:cs="Arial" w:eastAsia="Arial" w:hAnsi="Arial"/>
                <w:sz w:val="17"/>
                <w:szCs w:val="17"/>
                <w:color w:val="auto"/>
              </w:rPr>
              <w:t>Mortgages payable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57,155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57,376</w:t>
            </w:r>
          </w:p>
        </w:tc>
        <w:tc>
          <w:tcPr>
            <w:tcW w:w="0" w:type="dxa"/>
            <w:vAlign w:val="bottom"/>
          </w:tcPr>
          <w:p>
            <w:pPr>
              <w:spacing w:after="0"/>
              <w:rPr>
                <w:sz w:val="1"/>
                <w:szCs w:val="1"/>
                <w:color w:val="auto"/>
              </w:rPr>
            </w:pP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color w:val="auto"/>
              </w:rPr>
              <w:t>Other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4,771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5,391</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Partners’ capital</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120,854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125,077</w:t>
            </w:r>
          </w:p>
        </w:tc>
        <w:tc>
          <w:tcPr>
            <w:tcW w:w="0" w:type="dxa"/>
            <w:vAlign w:val="bottom"/>
          </w:tcPr>
          <w:p>
            <w:pPr>
              <w:spacing w:after="0"/>
              <w:rPr>
                <w:sz w:val="1"/>
                <w:szCs w:val="1"/>
                <w:color w:val="auto"/>
              </w:rPr>
            </w:pPr>
          </w:p>
        </w:tc>
      </w:tr>
      <w:tr>
        <w:trPr>
          <w:trHeight w:val="227"/>
        </w:trPr>
        <w:tc>
          <w:tcPr>
            <w:tcW w:w="7100" w:type="dxa"/>
            <w:vAlign w:val="bottom"/>
          </w:tcPr>
          <w:p>
            <w:pPr>
              <w:ind w:left="360"/>
              <w:spacing w:after="0"/>
              <w:rPr>
                <w:sz w:val="20"/>
                <w:szCs w:val="20"/>
                <w:color w:val="auto"/>
              </w:rPr>
            </w:pPr>
            <w:r>
              <w:rPr>
                <w:rFonts w:ascii="Arial" w:cs="Arial" w:eastAsia="Arial" w:hAnsi="Arial"/>
                <w:sz w:val="17"/>
                <w:szCs w:val="17"/>
                <w:color w:val="auto"/>
              </w:rPr>
              <w:t>Total liabilities and partners’ capital</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182,780</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ind w:right="25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187,844</w:t>
            </w:r>
          </w:p>
        </w:tc>
        <w:tc>
          <w:tcPr>
            <w:tcW w:w="0" w:type="dxa"/>
            <w:vAlign w:val="bottom"/>
          </w:tcPr>
          <w:p>
            <w:pPr>
              <w:spacing w:after="0"/>
              <w:rPr>
                <w:sz w:val="1"/>
                <w:szCs w:val="1"/>
                <w:color w:val="auto"/>
              </w:rPr>
            </w:pPr>
          </w:p>
        </w:tc>
      </w:tr>
      <w:tr>
        <w:trPr>
          <w:trHeight w:val="66"/>
        </w:trPr>
        <w:tc>
          <w:tcPr>
            <w:tcW w:w="710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line="187" w:lineRule="exact"/>
              <w:rPr>
                <w:sz w:val="20"/>
                <w:szCs w:val="20"/>
                <w:color w:val="auto"/>
              </w:rPr>
            </w:pPr>
            <w:r>
              <w:rPr>
                <w:rFonts w:ascii="Arial" w:cs="Arial" w:eastAsia="Arial" w:hAnsi="Arial"/>
                <w:sz w:val="17"/>
                <w:szCs w:val="17"/>
                <w:color w:val="auto"/>
              </w:rPr>
              <w:t>Our share of unconsolidated debt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17,147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17,213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Our investment in real estate partnership</w:t>
            </w: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3"/>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33,169</w:t>
            </w:r>
          </w:p>
        </w:tc>
        <w:tc>
          <w:tcPr>
            <w:tcW w:w="120" w:type="dxa"/>
            <w:vAlign w:val="bottom"/>
          </w:tcPr>
          <w:p>
            <w:pPr>
              <w:spacing w:after="0"/>
              <w:rPr>
                <w:sz w:val="18"/>
                <w:szCs w:val="18"/>
                <w:color w:val="auto"/>
              </w:rPr>
            </w:pP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34,352</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Taurus Newbury Street JV II Limited Partnership</w:t>
      </w:r>
    </w:p>
    <w:p>
      <w:pPr>
        <w:spacing w:after="0" w:line="9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May 2010, we formed Taurus Newbury Street JV II Limited Partnership (“Newbury Street Partnership”), a joint venture with an affiliate of Taurus Investment Holdings, LLC (“Taurus”), to acquire, operate and redevelop properties located primarily in the Back Bay section of Boston, Massachusetts. We held an 85% limited partnership interest in Newbury Street Partnership and Taurus held a 15% limited partnership interest and served as general partner. As general partner, Taurus was responsible for the operation and management of the properties, subject to our approval on major decisions. We evaluated the entity and determined that it was not a VIE. Accordingly, given Taurus’ role as general partner, we accounted for our interest in Newbury Street Partnership using the equity method. Accounting policies for the Newbury Street Partnership were similar to accounting policies followed by the Trust. Intercompany profit generated from interest income on loans we provided to the partnership are eliminated in consolidation. Due to the timing of receiving financial information from the general partner, our share of earnings was recorded one quarter in arrears. Our share of earnings in the consolidated statements of comprehensive income in 2011 was income of less than $0.1 million.</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May 26, 2010, Newbury Street Partnership acquired the fee interest in two buildings located on Newbury Street in Boston, Massachusetts for a purchase price of $17.5 million. We contributed $7.8 million towards the acquisition and provided an $8.8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million interest-only loan secured by the buildings. On May 26, 2011, Newbury Street Partnership acquired the fee interest in a third building for a purchase price of $6.2 million. We contributed approximately $2.8 million towards the acquisition and provided a $3.1 million interest-only loan secured by the building. The $11.8 million loans bore interest at LIBOR plus 400 basis points and were to mature on May 25, 2012.</w:t>
      </w:r>
    </w:p>
    <w:p>
      <w:pPr>
        <w:spacing w:after="0" w:line="121" w:lineRule="exact"/>
        <w:rPr>
          <w:sz w:val="20"/>
          <w:szCs w:val="20"/>
          <w:color w:val="auto"/>
        </w:rPr>
      </w:pPr>
    </w:p>
    <w:p>
      <w:pPr>
        <w:jc w:val="both"/>
        <w:ind w:right="40"/>
        <w:spacing w:after="0" w:line="322" w:lineRule="auto"/>
        <w:rPr>
          <w:sz w:val="20"/>
          <w:szCs w:val="20"/>
          <w:color w:val="auto"/>
        </w:rPr>
      </w:pPr>
      <w:r>
        <w:rPr>
          <w:rFonts w:ascii="Arial" w:cs="Arial" w:eastAsia="Arial" w:hAnsi="Arial"/>
          <w:sz w:val="15"/>
          <w:szCs w:val="15"/>
          <w:color w:val="auto"/>
        </w:rPr>
        <w:t>On October 31, 2011, our Newbury Street Partnership sold its entire portfolio of three buildings for $44.0 million. As part of the sale, we received $34.6 million of the net proceeds which included the repayment of our $11.8 million loans. Due to our earnings being recorded one quarter in arrears, we recognized the gain on sale of $11.9 million in the first quarter of 2012. At December 31, 2011, the deferred gain was included in "other liabilities and deferred credits" on the balance sheet.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6—ACQUIRED IN-PLACE LEASES</w:t>
      </w:r>
    </w:p>
    <w:p>
      <w:pPr>
        <w:spacing w:after="0" w:line="9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Acquired above market leases are included in prepaid expenses and other assets and had a balance of $31.8 million at both December 31, 2012 and 2011, and accumulated amortization of $14.3 million and $11.9 million at December 31, 2012 and 2011, respectively. Acquired below market leases are included in other liabilities and deferred credits and had a balance of $110.1 million and $63.4 million and accumulated amortization of $29.8 million and $26.3 million at December 31, 2012 and 2011, respectively. The value allocated to in-place leases is amortized over the related lease term and reflected as additional rental income for below market leases or a reduction of rental income for above market leases in the statement of operations. Rental income included amortization from acquired above market leases of $3.4 million, $2.4 million and $2.0 million in 2012, 2011 and 2010, respectively and amortization from acquired below market leases of $4.5 million, $3.8 million and $3.6 million in 2012, 2011 and 2010, respectively. The remaining weighted-average amortization period as of December 31, 2012, is 6.6 years and 22.7 years for above market leases and below market leases,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amortization for acquired in-place leases during the next five years and thereafter, assuming no early lease terminations,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Above Market</w:t>
            </w:r>
          </w:p>
        </w:tc>
        <w:tc>
          <w:tcPr>
            <w:tcW w:w="480" w:type="dxa"/>
            <w:vAlign w:val="bottom"/>
          </w:tcPr>
          <w:p>
            <w:pPr>
              <w:spacing w:after="0"/>
              <w:rPr>
                <w:sz w:val="14"/>
                <w:szCs w:val="14"/>
                <w:color w:val="auto"/>
              </w:rPr>
            </w:pPr>
          </w:p>
        </w:tc>
        <w:tc>
          <w:tcPr>
            <w:tcW w:w="1440" w:type="dxa"/>
            <w:vAlign w:val="bottom"/>
          </w:tcPr>
          <w:p>
            <w:pPr>
              <w:jc w:val="right"/>
              <w:ind w:right="457"/>
              <w:spacing w:after="0"/>
              <w:rPr>
                <w:sz w:val="20"/>
                <w:szCs w:val="20"/>
                <w:color w:val="auto"/>
              </w:rPr>
            </w:pPr>
            <w:r>
              <w:rPr>
                <w:rFonts w:ascii="Arial" w:cs="Arial" w:eastAsia="Arial" w:hAnsi="Arial"/>
                <w:sz w:val="14"/>
                <w:szCs w:val="14"/>
                <w:b w:val="1"/>
                <w:bCs w:val="1"/>
                <w:color w:val="auto"/>
                <w:w w:val="97"/>
              </w:rPr>
              <w:t>Below Market</w:t>
            </w:r>
          </w:p>
        </w:tc>
      </w:tr>
      <w:tr>
        <w:trPr>
          <w:trHeight w:val="186"/>
        </w:trPr>
        <w:tc>
          <w:tcPr>
            <w:tcW w:w="37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79"/>
              </w:rPr>
              <w:t>Leases</w:t>
            </w: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Leases</w:t>
            </w:r>
          </w:p>
        </w:tc>
      </w:tr>
      <w:tr>
        <w:trPr>
          <w:trHeight w:val="240"/>
        </w:trPr>
        <w:tc>
          <w:tcPr>
            <w:tcW w:w="37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0"/>
                <w:szCs w:val="20"/>
                <w:color w:val="auto"/>
              </w:rPr>
            </w:pPr>
          </w:p>
        </w:tc>
      </w:tr>
      <w:tr>
        <w:trPr>
          <w:trHeight w:val="24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Year ending December 31,</w:t>
            </w:r>
          </w:p>
        </w:tc>
        <w:tc>
          <w:tcPr>
            <w:tcW w:w="3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4"/>
        </w:trPr>
        <w:tc>
          <w:tcPr>
            <w:tcW w:w="3720" w:type="dxa"/>
            <w:vAlign w:val="bottom"/>
          </w:tcPr>
          <w:p>
            <w:pPr>
              <w:ind w:left="40"/>
              <w:spacing w:after="0"/>
              <w:rPr>
                <w:sz w:val="20"/>
                <w:szCs w:val="20"/>
                <w:color w:val="auto"/>
              </w:rPr>
            </w:pPr>
            <w:r>
              <w:rPr>
                <w:rFonts w:ascii="Arial" w:cs="Arial" w:eastAsia="Arial" w:hAnsi="Arial"/>
                <w:sz w:val="17"/>
                <w:szCs w:val="17"/>
                <w:color w:val="auto"/>
              </w:rPr>
              <w:t>2013</w:t>
            </w:r>
          </w:p>
        </w:tc>
        <w:tc>
          <w:tcPr>
            <w:tcW w:w="414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39"/>
              <w:spacing w:after="0"/>
              <w:rPr>
                <w:sz w:val="20"/>
                <w:szCs w:val="20"/>
                <w:color w:val="auto"/>
              </w:rPr>
            </w:pPr>
            <w:r>
              <w:rPr>
                <w:rFonts w:ascii="Arial" w:cs="Arial" w:eastAsia="Arial" w:hAnsi="Arial"/>
                <w:sz w:val="17"/>
                <w:szCs w:val="17"/>
                <w:color w:val="auto"/>
              </w:rPr>
              <w:t>2,749</w:t>
            </w:r>
          </w:p>
        </w:tc>
        <w:tc>
          <w:tcPr>
            <w:tcW w:w="100" w:type="dxa"/>
            <w:vAlign w:val="bottom"/>
          </w:tcPr>
          <w:p>
            <w:pPr>
              <w:spacing w:after="0"/>
              <w:rPr>
                <w:sz w:val="20"/>
                <w:szCs w:val="20"/>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7"/>
              <w:spacing w:after="0"/>
              <w:rPr>
                <w:sz w:val="20"/>
                <w:szCs w:val="20"/>
                <w:color w:val="auto"/>
              </w:rPr>
            </w:pPr>
            <w:r>
              <w:rPr>
                <w:rFonts w:ascii="Arial" w:cs="Arial" w:eastAsia="Arial" w:hAnsi="Arial"/>
                <w:sz w:val="17"/>
                <w:szCs w:val="17"/>
                <w:color w:val="auto"/>
              </w:rPr>
              <w:t>5,716</w:t>
            </w:r>
          </w:p>
        </w:tc>
      </w:tr>
      <w:tr>
        <w:trPr>
          <w:trHeight w:val="26"/>
        </w:trPr>
        <w:tc>
          <w:tcPr>
            <w:tcW w:w="37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2014</w:t>
            </w:r>
          </w:p>
        </w:tc>
        <w:tc>
          <w:tcPr>
            <w:tcW w:w="38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2,632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5,103</w:t>
            </w:r>
          </w:p>
        </w:tc>
      </w:tr>
      <w:tr>
        <w:trPr>
          <w:trHeight w:val="234"/>
        </w:trPr>
        <w:tc>
          <w:tcPr>
            <w:tcW w:w="3720" w:type="dxa"/>
            <w:vAlign w:val="bottom"/>
          </w:tcPr>
          <w:p>
            <w:pPr>
              <w:ind w:left="40"/>
              <w:spacing w:after="0"/>
              <w:rPr>
                <w:sz w:val="20"/>
                <w:szCs w:val="20"/>
                <w:color w:val="auto"/>
              </w:rPr>
            </w:pPr>
            <w:r>
              <w:rPr>
                <w:rFonts w:ascii="Arial" w:cs="Arial" w:eastAsia="Arial" w:hAnsi="Arial"/>
                <w:sz w:val="17"/>
                <w:szCs w:val="17"/>
                <w:color w:val="auto"/>
              </w:rPr>
              <w:t>2015</w:t>
            </w:r>
          </w:p>
        </w:tc>
        <w:tc>
          <w:tcPr>
            <w:tcW w:w="3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7"/>
                <w:szCs w:val="17"/>
                <w:color w:val="auto"/>
              </w:rPr>
              <w:t>2,503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jc w:val="right"/>
              <w:ind w:right="17"/>
              <w:spacing w:after="0"/>
              <w:rPr>
                <w:sz w:val="20"/>
                <w:szCs w:val="20"/>
                <w:color w:val="auto"/>
              </w:rPr>
            </w:pPr>
            <w:r>
              <w:rPr>
                <w:rFonts w:ascii="Arial" w:cs="Arial" w:eastAsia="Arial" w:hAnsi="Arial"/>
                <w:sz w:val="17"/>
                <w:szCs w:val="17"/>
                <w:color w:val="auto"/>
              </w:rPr>
              <w:t>4,824</w:t>
            </w:r>
          </w:p>
        </w:tc>
      </w:tr>
      <w:tr>
        <w:trPr>
          <w:trHeight w:val="26"/>
        </w:trPr>
        <w:tc>
          <w:tcPr>
            <w:tcW w:w="37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2016</w:t>
            </w:r>
          </w:p>
        </w:tc>
        <w:tc>
          <w:tcPr>
            <w:tcW w:w="38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2,199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4,487</w:t>
            </w:r>
          </w:p>
        </w:tc>
      </w:tr>
      <w:tr>
        <w:trPr>
          <w:trHeight w:val="234"/>
        </w:trPr>
        <w:tc>
          <w:tcPr>
            <w:tcW w:w="3720" w:type="dxa"/>
            <w:vAlign w:val="bottom"/>
          </w:tcPr>
          <w:p>
            <w:pPr>
              <w:ind w:left="40"/>
              <w:spacing w:after="0"/>
              <w:rPr>
                <w:sz w:val="20"/>
                <w:szCs w:val="20"/>
                <w:color w:val="auto"/>
              </w:rPr>
            </w:pPr>
            <w:r>
              <w:rPr>
                <w:rFonts w:ascii="Arial" w:cs="Arial" w:eastAsia="Arial" w:hAnsi="Arial"/>
                <w:sz w:val="17"/>
                <w:szCs w:val="17"/>
                <w:color w:val="auto"/>
              </w:rPr>
              <w:t>2017</w:t>
            </w:r>
          </w:p>
        </w:tc>
        <w:tc>
          <w:tcPr>
            <w:tcW w:w="3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7"/>
                <w:szCs w:val="17"/>
                <w:color w:val="auto"/>
              </w:rPr>
              <w:t>1,574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jc w:val="right"/>
              <w:ind w:right="17"/>
              <w:spacing w:after="0"/>
              <w:rPr>
                <w:sz w:val="20"/>
                <w:szCs w:val="20"/>
                <w:color w:val="auto"/>
              </w:rPr>
            </w:pPr>
            <w:r>
              <w:rPr>
                <w:rFonts w:ascii="Arial" w:cs="Arial" w:eastAsia="Arial" w:hAnsi="Arial"/>
                <w:sz w:val="17"/>
                <w:szCs w:val="17"/>
                <w:color w:val="auto"/>
              </w:rPr>
              <w:t>4,117</w:t>
            </w:r>
          </w:p>
        </w:tc>
      </w:tr>
      <w:tr>
        <w:trPr>
          <w:trHeight w:val="26"/>
        </w:trPr>
        <w:tc>
          <w:tcPr>
            <w:tcW w:w="37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Thereafter</w:t>
            </w:r>
          </w:p>
        </w:tc>
        <w:tc>
          <w:tcPr>
            <w:tcW w:w="38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5,868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56,087</w:t>
            </w:r>
          </w:p>
        </w:tc>
      </w:tr>
      <w:tr>
        <w:trPr>
          <w:trHeight w:val="227"/>
        </w:trPr>
        <w:tc>
          <w:tcPr>
            <w:tcW w:w="37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17,525</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3"/>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80,334</w:t>
            </w:r>
          </w:p>
        </w:tc>
      </w:tr>
      <w:tr>
        <w:trPr>
          <w:trHeight w:val="26"/>
        </w:trPr>
        <w:tc>
          <w:tcPr>
            <w:tcW w:w="37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29"/>
        </w:trPr>
        <w:tc>
          <w:tcPr>
            <w:tcW w:w="3720" w:type="dxa"/>
            <w:vAlign w:val="bottom"/>
          </w:tcPr>
          <w:p>
            <w:pPr>
              <w:spacing w:after="0"/>
              <w:rPr>
                <w:sz w:val="24"/>
                <w:szCs w:val="24"/>
                <w:color w:val="auto"/>
              </w:rPr>
            </w:pPr>
          </w:p>
        </w:tc>
        <w:tc>
          <w:tcPr>
            <w:tcW w:w="4140" w:type="dxa"/>
            <w:vAlign w:val="bottom"/>
            <w:gridSpan w:val="2"/>
          </w:tcPr>
          <w:p>
            <w:pPr>
              <w:jc w:val="right"/>
              <w:ind w:right="1893"/>
              <w:spacing w:after="0"/>
              <w:rPr>
                <w:sz w:val="20"/>
                <w:szCs w:val="20"/>
                <w:color w:val="auto"/>
              </w:rPr>
            </w:pPr>
            <w:r>
              <w:rPr>
                <w:rFonts w:ascii="Arial" w:cs="Arial" w:eastAsia="Arial" w:hAnsi="Arial"/>
                <w:sz w:val="17"/>
                <w:szCs w:val="17"/>
                <w:color w:val="auto"/>
              </w:rPr>
              <w:t>F-18</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7—DEBT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total debt outstanding as of December 31, 2012 and 2011:</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4"/>
                <w:szCs w:val="14"/>
                <w:b w:val="1"/>
                <w:bCs w:val="1"/>
                <w:color w:val="auto"/>
                <w:w w:val="95"/>
              </w:rPr>
              <w:t>Principal Balance as of December 31,</w:t>
            </w:r>
          </w:p>
        </w:tc>
        <w:tc>
          <w:tcPr>
            <w:tcW w:w="100" w:type="dxa"/>
            <w:vAlign w:val="bottom"/>
          </w:tcPr>
          <w:p>
            <w:pPr>
              <w:spacing w:after="0"/>
              <w:rPr>
                <w:sz w:val="16"/>
                <w:szCs w:val="16"/>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Stated Interest Rate as of</w:t>
            </w:r>
          </w:p>
        </w:tc>
        <w:tc>
          <w:tcPr>
            <w:tcW w:w="1940" w:type="dxa"/>
            <w:vAlign w:val="bottom"/>
          </w:tcPr>
          <w:p>
            <w:pPr>
              <w:spacing w:after="0"/>
              <w:rPr>
                <w:sz w:val="16"/>
                <w:szCs w:val="16"/>
                <w:color w:val="auto"/>
              </w:rPr>
            </w:pPr>
          </w:p>
        </w:tc>
      </w:tr>
      <w:tr>
        <w:trPr>
          <w:trHeight w:val="183"/>
        </w:trPr>
        <w:tc>
          <w:tcPr>
            <w:tcW w:w="4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280" w:type="dxa"/>
            <w:vAlign w:val="bottom"/>
          </w:tcPr>
          <w:p>
            <w:pPr>
              <w:spacing w:after="0"/>
              <w:rPr>
                <w:sz w:val="15"/>
                <w:szCs w:val="15"/>
                <w:color w:val="auto"/>
              </w:rPr>
            </w:pPr>
          </w:p>
        </w:tc>
        <w:tc>
          <w:tcPr>
            <w:tcW w:w="12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522"/>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December 31, 2012</w:t>
            </w:r>
          </w:p>
        </w:tc>
        <w:tc>
          <w:tcPr>
            <w:tcW w:w="1940" w:type="dxa"/>
            <w:vAlign w:val="bottom"/>
          </w:tcPr>
          <w:p>
            <w:pPr>
              <w:jc w:val="right"/>
              <w:ind w:right="262"/>
              <w:spacing w:after="0"/>
              <w:rPr>
                <w:sz w:val="20"/>
                <w:szCs w:val="20"/>
                <w:color w:val="auto"/>
              </w:rPr>
            </w:pPr>
            <w:r>
              <w:rPr>
                <w:rFonts w:ascii="Arial" w:cs="Arial" w:eastAsia="Arial" w:hAnsi="Arial"/>
                <w:sz w:val="14"/>
                <w:szCs w:val="14"/>
                <w:b w:val="1"/>
                <w:bCs w:val="1"/>
                <w:color w:val="auto"/>
              </w:rPr>
              <w:t>Stated Maturity Date</w:t>
            </w:r>
          </w:p>
        </w:tc>
      </w:tr>
      <w:tr>
        <w:trPr>
          <w:trHeight w:val="77"/>
        </w:trPr>
        <w:tc>
          <w:tcPr>
            <w:tcW w:w="43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r>
      <w:tr>
        <w:trPr>
          <w:trHeight w:val="233"/>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Courtyard Shops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0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7,045</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July 1, 2012</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Bethesda Row</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19,993</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2013</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Bethesda Row</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4,016</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February 1, 2013</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White Marsh Plaza</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8,970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9,284</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2013</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Crow Canyon</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19,485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19,951</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11, 2013</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Idylwood Plaza</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15,987</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16,276</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Leesburg Plaza</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27,818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28,320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June 5, 2014</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Loehmann’s Plaza</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35,972</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36,621</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2014</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Pentagon Row</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51,640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52,572</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June 5, 2014</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Melville Mall</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21,536</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22,325</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2014</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THE AVENUE at White Marsh</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55,336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56,603</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 2015</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Barracks Road</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38,070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38,995</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Hauppauge</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14,352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14,700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November 1, 2015</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Lawrence Park</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26,984</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27,640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Wildwood</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23,719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24,295</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November 1, 2015</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Wynnewood</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27,500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28,168</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Brick Plaza</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28,033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28,757</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November 1, 2015</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East Bay Bridge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62,946</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2016</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Plaza El Segundo</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175,000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175,000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5, 2017</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Rollingwood Apartments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22,890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23,236</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r>
      <w:tr>
        <w:trPr>
          <w:trHeight w:val="260"/>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29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Place (Shoppers’ World)</w:t>
            </w:r>
          </w:p>
        </w:tc>
        <w:tc>
          <w:tcPr>
            <w:tcW w:w="280" w:type="dxa"/>
            <w:vAlign w:val="bottom"/>
          </w:tcPr>
          <w:p>
            <w:pPr>
              <w:spacing w:after="0"/>
              <w:rPr>
                <w:sz w:val="22"/>
                <w:szCs w:val="22"/>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5,286</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5,444</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31, 2021</w:t>
            </w: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Montrose Crossing</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78,755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80,000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Mount Vernon</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10,554</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April 15, 2028</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6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Chelsea</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7,454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7,628</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r>
      <w:tr>
        <w:trPr>
          <w:trHeight w:val="208"/>
        </w:trPr>
        <w:tc>
          <w:tcPr>
            <w:tcW w:w="4460" w:type="dxa"/>
            <w:vAlign w:val="bottom"/>
            <w:gridSpan w:val="2"/>
          </w:tcPr>
          <w:p>
            <w:pPr>
              <w:ind w:left="680"/>
              <w:spacing w:after="0"/>
              <w:rPr>
                <w:sz w:val="20"/>
                <w:szCs w:val="20"/>
                <w:color w:val="auto"/>
              </w:rPr>
            </w:pPr>
            <w:r>
              <w:rPr>
                <w:rFonts w:ascii="Arial" w:cs="Arial" w:eastAsia="Arial" w:hAnsi="Arial"/>
                <w:sz w:val="16"/>
                <w:szCs w:val="16"/>
                <w:color w:val="auto"/>
              </w:rPr>
              <w:t>Subtotal</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747,733</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737,423</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60"/>
        </w:trPr>
        <w:tc>
          <w:tcPr>
            <w:tcW w:w="44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Net unamortized premium</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13,056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10,100</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r>
      <w:tr>
        <w:trPr>
          <w:trHeight w:val="208"/>
        </w:trPr>
        <w:tc>
          <w:tcPr>
            <w:tcW w:w="4460" w:type="dxa"/>
            <w:vAlign w:val="bottom"/>
            <w:gridSpan w:val="2"/>
          </w:tcPr>
          <w:p>
            <w:pPr>
              <w:ind w:left="680"/>
              <w:spacing w:after="0"/>
              <w:rPr>
                <w:sz w:val="20"/>
                <w:szCs w:val="20"/>
                <w:color w:val="auto"/>
              </w:rPr>
            </w:pPr>
            <w:r>
              <w:rPr>
                <w:rFonts w:ascii="Arial" w:cs="Arial" w:eastAsia="Arial" w:hAnsi="Arial"/>
                <w:sz w:val="16"/>
                <w:szCs w:val="16"/>
                <w:color w:val="auto"/>
              </w:rPr>
              <w:t>Total mortgages payable</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760,789</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747,523</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2"/>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33"/>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Revolving credit facility</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LIBOR + 1.15%</w:t>
            </w:r>
          </w:p>
        </w:tc>
        <w:tc>
          <w:tcPr>
            <w:tcW w:w="1940" w:type="dxa"/>
            <w:vAlign w:val="bottom"/>
          </w:tcPr>
          <w:p>
            <w:pPr>
              <w:jc w:val="right"/>
              <w:spacing w:after="0"/>
              <w:rPr>
                <w:sz w:val="20"/>
                <w:szCs w:val="20"/>
                <w:color w:val="auto"/>
              </w:rPr>
            </w:pPr>
            <w:r>
              <w:rPr>
                <w:rFonts w:ascii="Arial" w:cs="Arial" w:eastAsia="Arial" w:hAnsi="Arial"/>
                <w:sz w:val="16"/>
                <w:szCs w:val="16"/>
                <w:color w:val="auto"/>
              </w:rPr>
              <w:t>July 6, 2015</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Escondido (municipal bonds)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9,400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9,400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2016</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Term loan</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LIBOR + 1.45%</w:t>
            </w:r>
          </w:p>
        </w:tc>
        <w:tc>
          <w:tcPr>
            <w:tcW w:w="1940" w:type="dxa"/>
            <w:vAlign w:val="bottom"/>
          </w:tcPr>
          <w:p>
            <w:pPr>
              <w:jc w:val="right"/>
              <w:spacing w:after="0"/>
              <w:rPr>
                <w:sz w:val="20"/>
                <w:szCs w:val="20"/>
                <w:color w:val="auto"/>
              </w:rPr>
            </w:pPr>
            <w:r>
              <w:rPr>
                <w:rFonts w:ascii="Arial" w:cs="Arial" w:eastAsia="Arial" w:hAnsi="Arial"/>
                <w:sz w:val="16"/>
                <w:szCs w:val="16"/>
                <w:color w:val="auto"/>
              </w:rPr>
              <w:t>November 21, 2018</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6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15,175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10,759</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2027</w:t>
            </w:r>
          </w:p>
        </w:tc>
      </w:tr>
      <w:tr>
        <w:trPr>
          <w:trHeight w:val="208"/>
        </w:trPr>
        <w:tc>
          <w:tcPr>
            <w:tcW w:w="4460" w:type="dxa"/>
            <w:vAlign w:val="bottom"/>
            <w:gridSpan w:val="2"/>
          </w:tcPr>
          <w:p>
            <w:pPr>
              <w:ind w:left="680"/>
              <w:spacing w:after="0"/>
              <w:rPr>
                <w:sz w:val="20"/>
                <w:szCs w:val="20"/>
                <w:color w:val="auto"/>
              </w:rPr>
            </w:pPr>
            <w:r>
              <w:rPr>
                <w:rFonts w:ascii="Arial" w:cs="Arial" w:eastAsia="Arial" w:hAnsi="Arial"/>
                <w:sz w:val="16"/>
                <w:szCs w:val="16"/>
                <w:color w:val="auto"/>
              </w:rPr>
              <w:t>Total notes payable</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299,575</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295,159</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2"/>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33"/>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6.00% notes</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175,000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July 16, 2012</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5.40% notes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135,000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135,000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2013</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5.95% notes</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150,000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15, 2014</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5.65% notes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125,000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2016</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6.20% notes</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200,000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15, 2017</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5.90% notes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150,000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2020</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3.00% notes</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 2022</w:t>
            </w: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7.48% debentures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29,200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29,200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r>
      <w:tr>
        <w:trPr>
          <w:trHeight w:val="228"/>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6.82% medium term notes</w:t>
            </w:r>
          </w:p>
        </w:tc>
        <w:tc>
          <w:tcPr>
            <w:tcW w:w="28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40,000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 2027</w:t>
            </w:r>
          </w:p>
        </w:tc>
      </w:tr>
      <w:tr>
        <w:trPr>
          <w:trHeight w:val="32"/>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20"/>
        </w:trPr>
        <w:tc>
          <w:tcPr>
            <w:tcW w:w="44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1,079,200</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1,004,200</w:t>
            </w: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r>
      <w:tr>
        <w:trPr>
          <w:trHeight w:val="228"/>
        </w:trPr>
        <w:tc>
          <w:tcPr>
            <w:tcW w:w="4460" w:type="dxa"/>
            <w:vAlign w:val="bottom"/>
            <w:gridSpan w:val="2"/>
          </w:tcPr>
          <w:p>
            <w:pPr>
              <w:ind w:left="880"/>
              <w:spacing w:after="0"/>
              <w:rPr>
                <w:sz w:val="20"/>
                <w:szCs w:val="20"/>
                <w:color w:val="auto"/>
              </w:rPr>
            </w:pPr>
            <w:r>
              <w:rPr>
                <w:rFonts w:ascii="Arial" w:cs="Arial" w:eastAsia="Arial" w:hAnsi="Arial"/>
                <w:sz w:val="16"/>
                <w:szCs w:val="16"/>
                <w:color w:val="auto"/>
              </w:rPr>
              <w:t>Net unamortized (discount) premium</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2"/>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0"/>
        </w:trPr>
        <w:tc>
          <w:tcPr>
            <w:tcW w:w="44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Total senior notes and debentures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1,076,545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1,004,635</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195"/>
        </w:trPr>
        <w:tc>
          <w:tcPr>
            <w:tcW w:w="446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58"/>
        </w:trPr>
        <w:tc>
          <w:tcPr>
            <w:tcW w:w="4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Pr>
          <w:p>
            <w:pPr>
              <w:spacing w:after="0"/>
              <w:rPr>
                <w:sz w:val="5"/>
                <w:szCs w:val="5"/>
                <w:color w:val="auto"/>
              </w:rPr>
            </w:pPr>
          </w:p>
        </w:tc>
      </w:tr>
      <w:tr>
        <w:trPr>
          <w:trHeight w:val="260"/>
        </w:trPr>
        <w:tc>
          <w:tcPr>
            <w:tcW w:w="44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Various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71,693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63,093</w:t>
            </w: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Various</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2106</w:t>
            </w:r>
          </w:p>
        </w:tc>
      </w:tr>
      <w:tr>
        <w:trPr>
          <w:trHeight w:val="208"/>
        </w:trPr>
        <w:tc>
          <w:tcPr>
            <w:tcW w:w="44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2,208,602</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ind w:right="402"/>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2,110,410</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2"/>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60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1420"/>
          </w:cols>
          <w:pgMar w:left="240" w:top="125" w:right="239" w:bottom="600" w:gutter="0" w:footer="0" w:header="0"/>
          <w:type w:val="continuous"/>
        </w:sectPr>
      </w:pPr>
    </w:p>
    <w:bookmarkStart w:id="71" w:name="page72"/>
    <w:bookmarkEnd w:id="71"/>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During 2012, we repaid the following loans at par: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18"/>
              <w:spacing w:after="0"/>
              <w:rPr>
                <w:sz w:val="20"/>
                <w:szCs w:val="20"/>
                <w:color w:val="auto"/>
              </w:rPr>
            </w:pPr>
            <w:r>
              <w:rPr>
                <w:rFonts w:ascii="Arial" w:cs="Arial" w:eastAsia="Arial" w:hAnsi="Arial"/>
                <w:sz w:val="14"/>
                <w:szCs w:val="14"/>
                <w:b w:val="1"/>
                <w:bCs w:val="1"/>
                <w:color w:val="auto"/>
                <w:w w:val="98"/>
              </w:rPr>
              <w:t>Payoff Amount</w:t>
            </w:r>
          </w:p>
        </w:tc>
        <w:tc>
          <w:tcPr>
            <w:tcW w:w="220" w:type="dxa"/>
            <w:vAlign w:val="bottom"/>
          </w:tcPr>
          <w:p>
            <w:pPr>
              <w:spacing w:after="0"/>
              <w:rPr>
                <w:sz w:val="16"/>
                <w:szCs w:val="16"/>
                <w:color w:val="auto"/>
              </w:rPr>
            </w:pPr>
          </w:p>
        </w:tc>
        <w:tc>
          <w:tcPr>
            <w:tcW w:w="2040" w:type="dxa"/>
            <w:vAlign w:val="bottom"/>
            <w:gridSpan w:val="2"/>
          </w:tcPr>
          <w:p>
            <w:pPr>
              <w:ind w:left="420"/>
              <w:spacing w:after="0"/>
              <w:rPr>
                <w:sz w:val="20"/>
                <w:szCs w:val="20"/>
                <w:color w:val="auto"/>
              </w:rPr>
            </w:pPr>
            <w:r>
              <w:rPr>
                <w:rFonts w:ascii="Arial" w:cs="Arial" w:eastAsia="Arial" w:hAnsi="Arial"/>
                <w:sz w:val="14"/>
                <w:szCs w:val="14"/>
                <w:b w:val="1"/>
                <w:bCs w:val="1"/>
                <w:color w:val="auto"/>
              </w:rPr>
              <w:t>Repayment Date</w:t>
            </w:r>
          </w:p>
        </w:tc>
        <w:tc>
          <w:tcPr>
            <w:tcW w:w="1820" w:type="dxa"/>
            <w:vAlign w:val="bottom"/>
          </w:tcPr>
          <w:p>
            <w:pPr>
              <w:jc w:val="right"/>
              <w:ind w:right="396"/>
              <w:spacing w:after="0"/>
              <w:rPr>
                <w:sz w:val="20"/>
                <w:szCs w:val="20"/>
                <w:color w:val="auto"/>
              </w:rPr>
            </w:pPr>
            <w:r>
              <w:rPr>
                <w:rFonts w:ascii="Arial" w:cs="Arial" w:eastAsia="Arial" w:hAnsi="Arial"/>
                <w:sz w:val="14"/>
                <w:szCs w:val="14"/>
                <w:b w:val="1"/>
                <w:bCs w:val="1"/>
                <w:color w:val="auto"/>
              </w:rPr>
              <w:t>Maturity Date</w:t>
            </w:r>
          </w:p>
        </w:tc>
      </w:tr>
      <w:tr>
        <w:trPr>
          <w:trHeight w:val="253"/>
        </w:trPr>
        <w:tc>
          <w:tcPr>
            <w:tcW w:w="58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r>
      <w:tr>
        <w:trPr>
          <w:trHeight w:val="246"/>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Courtyard Shops Mortgage Loan</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6.9</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June 1, 2012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July 1, 2012</w:t>
            </w:r>
          </w:p>
        </w:tc>
      </w:tr>
      <w:tr>
        <w:trPr>
          <w:trHeight w:val="234"/>
        </w:trPr>
        <w:tc>
          <w:tcPr>
            <w:tcW w:w="5840" w:type="dxa"/>
            <w:vAlign w:val="bottom"/>
          </w:tcPr>
          <w:p>
            <w:pPr>
              <w:ind w:left="40"/>
              <w:spacing w:after="0"/>
              <w:rPr>
                <w:sz w:val="20"/>
                <w:szCs w:val="20"/>
                <w:color w:val="auto"/>
              </w:rPr>
            </w:pPr>
            <w:r>
              <w:rPr>
                <w:rFonts w:ascii="Arial" w:cs="Arial" w:eastAsia="Arial" w:hAnsi="Arial"/>
                <w:sz w:val="17"/>
                <w:szCs w:val="17"/>
                <w:color w:val="auto"/>
              </w:rPr>
              <w:t>6.00% Senior Notes</w:t>
            </w:r>
          </w:p>
        </w:tc>
        <w:tc>
          <w:tcPr>
            <w:tcW w:w="200" w:type="dxa"/>
            <w:vAlign w:val="bottom"/>
          </w:tcPr>
          <w:p>
            <w:pPr>
              <w:spacing w:after="0"/>
              <w:rPr>
                <w:sz w:val="20"/>
                <w:szCs w:val="20"/>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175.0</w:t>
            </w:r>
          </w:p>
        </w:tc>
        <w:tc>
          <w:tcPr>
            <w:tcW w:w="220" w:type="dxa"/>
            <w:vAlign w:val="bottom"/>
          </w:tcPr>
          <w:p>
            <w:pPr>
              <w:spacing w:after="0"/>
              <w:rPr>
                <w:sz w:val="20"/>
                <w:szCs w:val="20"/>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7"/>
                <w:szCs w:val="17"/>
                <w:color w:val="auto"/>
              </w:rPr>
              <w:t>July 16, 2012</w:t>
            </w:r>
          </w:p>
        </w:tc>
        <w:tc>
          <w:tcPr>
            <w:tcW w:w="1820" w:type="dxa"/>
            <w:vAlign w:val="bottom"/>
          </w:tcPr>
          <w:p>
            <w:pPr>
              <w:jc w:val="right"/>
              <w:spacing w:after="0"/>
              <w:rPr>
                <w:sz w:val="20"/>
                <w:szCs w:val="20"/>
                <w:color w:val="auto"/>
              </w:rPr>
            </w:pPr>
            <w:r>
              <w:rPr>
                <w:rFonts w:ascii="Arial" w:cs="Arial" w:eastAsia="Arial" w:hAnsi="Arial"/>
                <w:sz w:val="17"/>
                <w:szCs w:val="17"/>
                <w:color w:val="auto"/>
              </w:rPr>
              <w:t>July 16, 2012</w:t>
            </w:r>
          </w:p>
        </w:tc>
      </w:tr>
      <w:tr>
        <w:trPr>
          <w:trHeight w:val="26"/>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Mount Vernon Mortgage Loan</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10.2</w:t>
            </w:r>
          </w:p>
        </w:tc>
        <w:tc>
          <w:tcPr>
            <w:tcW w:w="2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October 22, 2012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April 15, 2028</w:t>
            </w:r>
          </w:p>
        </w:tc>
      </w:tr>
      <w:tr>
        <w:trPr>
          <w:trHeight w:val="234"/>
        </w:trPr>
        <w:tc>
          <w:tcPr>
            <w:tcW w:w="5840" w:type="dxa"/>
            <w:vAlign w:val="bottom"/>
          </w:tcPr>
          <w:p>
            <w:pPr>
              <w:ind w:left="40"/>
              <w:spacing w:after="0"/>
              <w:rPr>
                <w:sz w:val="20"/>
                <w:szCs w:val="20"/>
                <w:color w:val="auto"/>
              </w:rPr>
            </w:pPr>
            <w:r>
              <w:rPr>
                <w:rFonts w:ascii="Arial" w:cs="Arial" w:eastAsia="Arial" w:hAnsi="Arial"/>
                <w:sz w:val="17"/>
                <w:szCs w:val="17"/>
                <w:color w:val="auto"/>
              </w:rPr>
              <w:t>Bethesda Row Mortgage Loan</w:t>
            </w:r>
          </w:p>
        </w:tc>
        <w:tc>
          <w:tcPr>
            <w:tcW w:w="200" w:type="dxa"/>
            <w:vAlign w:val="bottom"/>
          </w:tcPr>
          <w:p>
            <w:pPr>
              <w:spacing w:after="0"/>
              <w:rPr>
                <w:sz w:val="20"/>
                <w:szCs w:val="20"/>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20.0</w:t>
            </w:r>
          </w:p>
        </w:tc>
        <w:tc>
          <w:tcPr>
            <w:tcW w:w="220" w:type="dxa"/>
            <w:vAlign w:val="bottom"/>
          </w:tcPr>
          <w:p>
            <w:pPr>
              <w:spacing w:after="0"/>
              <w:rPr>
                <w:sz w:val="20"/>
                <w:szCs w:val="20"/>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7"/>
                <w:szCs w:val="17"/>
                <w:color w:val="auto"/>
              </w:rPr>
              <w:t>November 2, 2012</w:t>
            </w:r>
          </w:p>
        </w:tc>
        <w:tc>
          <w:tcPr>
            <w:tcW w:w="1820" w:type="dxa"/>
            <w:vAlign w:val="bottom"/>
          </w:tcPr>
          <w:p>
            <w:pPr>
              <w:jc w:val="right"/>
              <w:spacing w:after="0"/>
              <w:rPr>
                <w:sz w:val="20"/>
                <w:szCs w:val="20"/>
                <w:color w:val="auto"/>
              </w:rPr>
            </w:pPr>
            <w:r>
              <w:rPr>
                <w:rFonts w:ascii="Arial" w:cs="Arial" w:eastAsia="Arial" w:hAnsi="Arial"/>
                <w:sz w:val="17"/>
                <w:szCs w:val="17"/>
                <w:color w:val="auto"/>
              </w:rPr>
              <w:t>January 1, 2013</w:t>
            </w:r>
          </w:p>
        </w:tc>
      </w:tr>
      <w:tr>
        <w:trPr>
          <w:trHeight w:val="26"/>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Bethesda Row Mortgage Loan</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3.9</w:t>
            </w:r>
          </w:p>
        </w:tc>
        <w:tc>
          <w:tcPr>
            <w:tcW w:w="2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December 3, 2012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February 1, 2013</w:t>
            </w:r>
          </w:p>
        </w:tc>
      </w:tr>
      <w:tr>
        <w:trPr>
          <w:trHeight w:val="227"/>
        </w:trPr>
        <w:tc>
          <w:tcPr>
            <w:tcW w:w="5840" w:type="dxa"/>
            <w:vAlign w:val="bottom"/>
          </w:tcPr>
          <w:p>
            <w:pPr>
              <w:spacing w:after="0"/>
              <w:rPr>
                <w:sz w:val="19"/>
                <w:szCs w:val="19"/>
                <w:color w:val="auto"/>
              </w:rPr>
            </w:pPr>
          </w:p>
        </w:tc>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216.0</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6"/>
        </w:trPr>
        <w:tc>
          <w:tcPr>
            <w:tcW w:w="5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6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On July 19, 2012, we issued $250.0 million of fixed rate senior notes that mature on August 1, 2022 and bear interest at 3.00%. The net proceeds from this note offering after issuance discounts, underwriting fees, and other costs were approximately $244.8 million.</w:t>
      </w:r>
    </w:p>
    <w:p>
      <w:pPr>
        <w:spacing w:after="0" w:line="10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acquisition of East Bay Bridge on December 21, 2012, we assumed a mortgage loan with a face amount of $62.9 million and a fair value of approximately $67.6 million. The mortgage loan bears interest at 5.13% and matures on March 1, 2016.</w:t>
      </w:r>
    </w:p>
    <w:p>
      <w:pPr>
        <w:spacing w:after="0" w:line="106"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During 2012, 2011 and 2010, the maximum amount of borrowings outstanding under our revolving credit facility was $186.0 million, $265.0 million and $82.0 million, respectively. The weighted average amount of borrowings outstanding was $1.5 million, $163.5 million and $23.4 million, respectively, and the weighted average interest rate, before amortization of debt fees, was 1.4%, 1.0% and 0.7%, respectively. The revolving credit facility requires an annual facility fee of $0.8 million. At December 31, 2012 and 2011, our revolving credit facility had no amounts outstanding.</w:t>
      </w:r>
    </w:p>
    <w:p>
      <w:pPr>
        <w:spacing w:after="0" w:line="125"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auto"/>
        </w:rPr>
        <w:t>Our revolving credit facility and certain notes require us to comply with various financial covenants, including the maintenance of minimum shareholders’ equity and debt coverage ratios and a maximum ratio of debt to net worth. As of December 31, 2012, we were in compliance with all loan covenants.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payments on mortgages payable, notes payable, senior notes and debentures as of December 31, 2012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Mortgages</w:t>
            </w:r>
          </w:p>
        </w:tc>
        <w:tc>
          <w:tcPr>
            <w:tcW w:w="300" w:type="dxa"/>
            <w:vAlign w:val="bottom"/>
          </w:tcPr>
          <w:p>
            <w:pPr>
              <w:spacing w:after="0"/>
              <w:rPr>
                <w:sz w:val="14"/>
                <w:szCs w:val="14"/>
                <w:color w:val="auto"/>
              </w:rPr>
            </w:pPr>
          </w:p>
        </w:tc>
        <w:tc>
          <w:tcPr>
            <w:tcW w:w="1200" w:type="dxa"/>
            <w:vAlign w:val="bottom"/>
          </w:tcPr>
          <w:p>
            <w:pPr>
              <w:jc w:val="right"/>
              <w:ind w:right="499"/>
              <w:spacing w:after="0"/>
              <w:rPr>
                <w:sz w:val="20"/>
                <w:szCs w:val="20"/>
                <w:color w:val="auto"/>
              </w:rPr>
            </w:pPr>
            <w:r>
              <w:rPr>
                <w:rFonts w:ascii="Arial" w:cs="Arial" w:eastAsia="Arial" w:hAnsi="Arial"/>
                <w:sz w:val="14"/>
                <w:szCs w:val="14"/>
                <w:b w:val="1"/>
                <w:bCs w:val="1"/>
                <w:color w:val="auto"/>
              </w:rPr>
              <w:t>Notes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Senior Notes and</w:t>
            </w:r>
          </w:p>
        </w:tc>
        <w:tc>
          <w:tcPr>
            <w:tcW w:w="280" w:type="dxa"/>
            <w:vAlign w:val="bottom"/>
          </w:tcPr>
          <w:p>
            <w:pPr>
              <w:spacing w:after="0"/>
              <w:rPr>
                <w:sz w:val="14"/>
                <w:szCs w:val="14"/>
                <w:color w:val="auto"/>
              </w:rPr>
            </w:pPr>
          </w:p>
        </w:tc>
        <w:tc>
          <w:tcPr>
            <w:tcW w:w="1180" w:type="dxa"/>
            <w:vAlign w:val="bottom"/>
          </w:tcPr>
          <w:p>
            <w:pPr>
              <w:jc w:val="right"/>
              <w:ind w:right="497"/>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880"/>
              <w:spacing w:after="0"/>
              <w:rPr>
                <w:sz w:val="20"/>
                <w:szCs w:val="20"/>
                <w:color w:val="auto"/>
              </w:rPr>
            </w:pPr>
            <w:r>
              <w:rPr>
                <w:rFonts w:ascii="Arial" w:cs="Arial" w:eastAsia="Arial" w:hAnsi="Arial"/>
                <w:sz w:val="14"/>
                <w:szCs w:val="14"/>
                <w:b w:val="1"/>
                <w:bCs w:val="1"/>
                <w:color w:val="auto"/>
                <w:w w:val="86"/>
              </w:rPr>
              <w:t>Payable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Payable</w:t>
            </w: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Debentures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Principal</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40"/>
              <w:spacing w:after="0"/>
              <w:rPr>
                <w:sz w:val="20"/>
                <w:szCs w:val="20"/>
                <w:color w:val="auto"/>
              </w:rPr>
            </w:pPr>
            <w:r>
              <w:rPr>
                <w:rFonts w:ascii="Arial" w:cs="Arial" w:eastAsia="Arial" w:hAnsi="Arial"/>
                <w:sz w:val="17"/>
                <w:szCs w:val="17"/>
                <w:color w:val="auto"/>
              </w:rPr>
              <w:t>2013</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40,296</w:t>
            </w:r>
          </w:p>
        </w:tc>
        <w:tc>
          <w:tcPr>
            <w:tcW w:w="60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39"/>
              <w:spacing w:after="0"/>
              <w:rPr>
                <w:sz w:val="20"/>
                <w:szCs w:val="20"/>
                <w:color w:val="auto"/>
              </w:rPr>
            </w:pPr>
            <w:r>
              <w:rPr>
                <w:rFonts w:ascii="Arial" w:cs="Arial" w:eastAsia="Arial" w:hAnsi="Arial"/>
                <w:sz w:val="17"/>
                <w:szCs w:val="17"/>
                <w:color w:val="auto"/>
              </w:rPr>
              <w:t>256</w:t>
            </w:r>
          </w:p>
        </w:tc>
        <w:tc>
          <w:tcPr>
            <w:tcW w:w="5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7"/>
              <w:spacing w:after="0"/>
              <w:rPr>
                <w:sz w:val="20"/>
                <w:szCs w:val="20"/>
                <w:color w:val="auto"/>
              </w:rPr>
            </w:pPr>
            <w:r>
              <w:rPr>
                <w:rFonts w:ascii="Arial" w:cs="Arial" w:eastAsia="Arial" w:hAnsi="Arial"/>
                <w:sz w:val="17"/>
                <w:szCs w:val="17"/>
                <w:color w:val="auto"/>
              </w:rPr>
              <w:t>135,000</w:t>
            </w:r>
          </w:p>
        </w:tc>
        <w:tc>
          <w:tcPr>
            <w:tcW w:w="10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175,552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2014</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158,855</w:t>
            </w:r>
          </w:p>
        </w:tc>
        <w:tc>
          <w:tcPr>
            <w:tcW w:w="6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10,249</w:t>
            </w: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319,104</w:t>
            </w: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40"/>
              <w:spacing w:after="0"/>
              <w:rPr>
                <w:sz w:val="20"/>
                <w:szCs w:val="20"/>
                <w:color w:val="auto"/>
              </w:rPr>
            </w:pPr>
            <w:r>
              <w:rPr>
                <w:rFonts w:ascii="Arial" w:cs="Arial" w:eastAsia="Arial" w:hAnsi="Arial"/>
                <w:sz w:val="17"/>
                <w:szCs w:val="17"/>
                <w:color w:val="auto"/>
              </w:rPr>
              <w:t>2015</w:t>
            </w:r>
          </w:p>
        </w:tc>
        <w:tc>
          <w:tcPr>
            <w:tcW w:w="28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206,007</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7"/>
                <w:szCs w:val="17"/>
                <w:color w:val="auto"/>
              </w:rPr>
              <w:t>275</w:t>
            </w:r>
          </w:p>
        </w:tc>
        <w:tc>
          <w:tcPr>
            <w:tcW w:w="56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206,282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2016</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62,412</w:t>
            </w:r>
          </w:p>
        </w:tc>
        <w:tc>
          <w:tcPr>
            <w:tcW w:w="6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9,702</w:t>
            </w: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125,000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197,114</w:t>
            </w: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40"/>
              <w:spacing w:after="0"/>
              <w:rPr>
                <w:sz w:val="20"/>
                <w:szCs w:val="20"/>
                <w:color w:val="auto"/>
              </w:rPr>
            </w:pPr>
            <w:r>
              <w:rPr>
                <w:rFonts w:ascii="Arial" w:cs="Arial" w:eastAsia="Arial" w:hAnsi="Arial"/>
                <w:sz w:val="17"/>
                <w:szCs w:val="17"/>
                <w:color w:val="auto"/>
              </w:rPr>
              <w:t>2017</w:t>
            </w:r>
          </w:p>
        </w:tc>
        <w:tc>
          <w:tcPr>
            <w:tcW w:w="28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177,654</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7"/>
                <w:szCs w:val="17"/>
                <w:color w:val="auto"/>
              </w:rPr>
              <w:t>335</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37"/>
              <w:spacing w:after="0"/>
              <w:rPr>
                <w:sz w:val="20"/>
                <w:szCs w:val="20"/>
                <w:color w:val="auto"/>
              </w:rPr>
            </w:pPr>
            <w:r>
              <w:rPr>
                <w:rFonts w:ascii="Arial" w:cs="Arial" w:eastAsia="Arial" w:hAnsi="Arial"/>
                <w:sz w:val="17"/>
                <w:szCs w:val="17"/>
                <w:color w:val="auto"/>
              </w:rPr>
              <w:t>200,000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377,989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Thereafter</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102,509</w:t>
            </w:r>
          </w:p>
        </w:tc>
        <w:tc>
          <w:tcPr>
            <w:tcW w:w="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278,758</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469,200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850,467</w:t>
            </w:r>
          </w:p>
        </w:tc>
        <w:tc>
          <w:tcPr>
            <w:tcW w:w="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6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747,733</w:t>
            </w:r>
          </w:p>
        </w:tc>
        <w:tc>
          <w:tcPr>
            <w:tcW w:w="6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color w:val="auto"/>
              </w:rPr>
              <w:t>299,575</w:t>
            </w:r>
          </w:p>
        </w:tc>
        <w:tc>
          <w:tcPr>
            <w:tcW w:w="5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1,079,200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2,126,508</w:t>
            </w:r>
          </w:p>
        </w:tc>
        <w:tc>
          <w:tcPr>
            <w:tcW w:w="560" w:type="dxa"/>
            <w:vAlign w:val="bottom"/>
          </w:tcPr>
          <w:p>
            <w:pPr>
              <w:jc w:val="right"/>
              <w:ind w:right="33"/>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40"/>
              <w:spacing w:after="0"/>
              <w:rPr>
                <w:sz w:val="20"/>
                <w:szCs w:val="20"/>
                <w:color w:val="auto"/>
              </w:rPr>
            </w:pPr>
            <w:r>
              <w:rPr>
                <w:rFonts w:ascii="Arial" w:cs="Arial" w:eastAsia="Arial" w:hAnsi="Arial"/>
                <w:sz w:val="17"/>
                <w:szCs w:val="17"/>
                <w:color w:val="auto"/>
              </w:rPr>
              <w:t>_____________________</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20" w:right="300" w:hanging="304"/>
        <w:spacing w:after="0" w:line="255" w:lineRule="auto"/>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$400.0 million revolving credit facility matures on July 6, 2015, subject to a one-year extension at our option. As of December 31, 2012, there was nothing drawn under this credit facility.</w:t>
      </w:r>
    </w:p>
    <w:p>
      <w:pPr>
        <w:ind w:left="620" w:right="380" w:hanging="304"/>
        <w:spacing w:after="0" w:line="271" w:lineRule="auto"/>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total debt maturities differ from the total reported on the consolidated balance sheet due to the unamortized discount or premium on certain senior notes, debentures and mortgages payable.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and their present value for property under capital leases as of December 31, 2012, are as follows: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(In thousands)</w:t>
            </w:r>
          </w:p>
        </w:tc>
      </w:tr>
      <w:tr>
        <w:trPr>
          <w:trHeight w:val="24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Year ending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4"/>
        </w:trPr>
        <w:tc>
          <w:tcPr>
            <w:tcW w:w="10060" w:type="dxa"/>
            <w:vAlign w:val="bottom"/>
          </w:tcPr>
          <w:p>
            <w:pPr>
              <w:ind w:left="40"/>
              <w:spacing w:after="0"/>
              <w:rPr>
                <w:sz w:val="20"/>
                <w:szCs w:val="20"/>
                <w:color w:val="auto"/>
              </w:rPr>
            </w:pPr>
            <w:r>
              <w:rPr>
                <w:rFonts w:ascii="Arial" w:cs="Arial" w:eastAsia="Arial" w:hAnsi="Arial"/>
                <w:sz w:val="17"/>
                <w:szCs w:val="17"/>
                <w:color w:val="auto"/>
              </w:rPr>
              <w:t>2013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5,787</w:t>
            </w:r>
          </w:p>
        </w:tc>
      </w:tr>
      <w:tr>
        <w:trPr>
          <w:trHeight w:val="26"/>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5,788</w:t>
            </w:r>
          </w:p>
        </w:tc>
      </w:tr>
      <w:tr>
        <w:trPr>
          <w:trHeight w:val="234"/>
        </w:trPr>
        <w:tc>
          <w:tcPr>
            <w:tcW w:w="10060" w:type="dxa"/>
            <w:vAlign w:val="bottom"/>
          </w:tcPr>
          <w:p>
            <w:pPr>
              <w:ind w:left="40"/>
              <w:spacing w:after="0"/>
              <w:rPr>
                <w:sz w:val="20"/>
                <w:szCs w:val="20"/>
                <w:color w:val="auto"/>
              </w:rPr>
            </w:pPr>
            <w:r>
              <w:rPr>
                <w:rFonts w:ascii="Arial" w:cs="Arial" w:eastAsia="Arial" w:hAnsi="Arial"/>
                <w:sz w:val="17"/>
                <w:szCs w:val="17"/>
                <w:color w:val="auto"/>
              </w:rPr>
              <w:t>2015</w:t>
            </w: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5,787</w:t>
            </w:r>
          </w:p>
        </w:tc>
      </w:tr>
      <w:tr>
        <w:trPr>
          <w:trHeight w:val="26"/>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2016</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5,788</w:t>
            </w:r>
          </w:p>
        </w:tc>
      </w:tr>
      <w:tr>
        <w:trPr>
          <w:trHeight w:val="234"/>
        </w:trPr>
        <w:tc>
          <w:tcPr>
            <w:tcW w:w="10060" w:type="dxa"/>
            <w:vAlign w:val="bottom"/>
          </w:tcPr>
          <w:p>
            <w:pPr>
              <w:ind w:left="40"/>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5,797</w:t>
            </w:r>
          </w:p>
        </w:tc>
      </w:tr>
      <w:tr>
        <w:trPr>
          <w:trHeight w:val="26"/>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171,810</w:t>
            </w:r>
          </w:p>
        </w:tc>
      </w:tr>
      <w:tr>
        <w:trPr>
          <w:trHeight w:val="227"/>
        </w:trPr>
        <w:tc>
          <w:tcPr>
            <w:tcW w:w="10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200,757</w:t>
            </w:r>
          </w:p>
        </w:tc>
      </w:tr>
      <w:tr>
        <w:trPr>
          <w:trHeight w:val="26"/>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amount representing interest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(129,064)</w:t>
            </w:r>
          </w:p>
        </w:tc>
      </w:tr>
      <w:tr>
        <w:trPr>
          <w:trHeight w:val="227"/>
        </w:trPr>
        <w:tc>
          <w:tcPr>
            <w:tcW w:w="10060" w:type="dxa"/>
            <w:vAlign w:val="bottom"/>
          </w:tcPr>
          <w:p>
            <w:pPr>
              <w:ind w:left="40"/>
              <w:spacing w:after="0"/>
              <w:rPr>
                <w:sz w:val="20"/>
                <w:szCs w:val="20"/>
                <w:color w:val="auto"/>
              </w:rPr>
            </w:pPr>
            <w:r>
              <w:rPr>
                <w:rFonts w:ascii="Arial" w:cs="Arial" w:eastAsia="Arial" w:hAnsi="Arial"/>
                <w:sz w:val="17"/>
                <w:szCs w:val="17"/>
                <w:color w:val="auto"/>
              </w:rPr>
              <w:t>Present value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71,693</w:t>
            </w:r>
          </w:p>
        </w:tc>
      </w:tr>
      <w:tr>
        <w:trPr>
          <w:trHeight w:val="26"/>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8—FAIR VALUE OF FINANCIAL INSTRUMENTS</w:t>
      </w:r>
    </w:p>
    <w:p>
      <w:pPr>
        <w:spacing w:after="0" w:line="9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 fair value measurement is based on the assumptions that market participants would use in pricing an asset or liability in an orderly transaction. The hierarchy for inputs used in measuring fair value are as follows:</w:t>
      </w:r>
    </w:p>
    <w:p>
      <w:pPr>
        <w:spacing w:after="0" w:line="106" w:lineRule="exact"/>
        <w:rPr>
          <w:sz w:val="20"/>
          <w:szCs w:val="20"/>
          <w:color w:val="auto"/>
        </w:rPr>
      </w:pPr>
    </w:p>
    <w:p>
      <w:pPr>
        <w:ind w:left="560" w:hanging="530"/>
        <w:spacing w:after="0"/>
        <w:tabs>
          <w:tab w:leader="none" w:pos="5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Level 1 Inputs—quoted prices in active markets for identical assets or liabilities</w:t>
      </w:r>
    </w:p>
    <w:p>
      <w:pPr>
        <w:spacing w:after="0" w:line="194" w:lineRule="exact"/>
        <w:rPr>
          <w:rFonts w:ascii="Arial" w:cs="Arial" w:eastAsia="Arial" w:hAnsi="Arial"/>
          <w:sz w:val="17"/>
          <w:szCs w:val="17"/>
          <w:color w:val="auto"/>
        </w:rPr>
      </w:pPr>
    </w:p>
    <w:p>
      <w:pPr>
        <w:ind w:left="560" w:hanging="530"/>
        <w:spacing w:after="0"/>
        <w:tabs>
          <w:tab w:leader="none" w:pos="5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Level 2 Inputs—observable inputs other than quoted prices in active markets for identical assets and liabilities</w:t>
      </w:r>
    </w:p>
    <w:p>
      <w:pPr>
        <w:spacing w:after="0" w:line="194" w:lineRule="exact"/>
        <w:rPr>
          <w:rFonts w:ascii="Arial" w:cs="Arial" w:eastAsia="Arial" w:hAnsi="Arial"/>
          <w:sz w:val="17"/>
          <w:szCs w:val="17"/>
          <w:color w:val="auto"/>
        </w:rPr>
      </w:pPr>
    </w:p>
    <w:p>
      <w:pPr>
        <w:ind w:left="560" w:right="3500" w:hanging="530"/>
        <w:spacing w:after="0" w:line="286" w:lineRule="auto"/>
        <w:tabs>
          <w:tab w:leader="none" w:pos="5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Level 3 Inputs—prices or valuation techniques that require inputs that are both significant to the fair value measurement and unobservable</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28" w:lineRule="exact"/>
        <w:rPr>
          <w:sz w:val="20"/>
          <w:szCs w:val="20"/>
          <w:color w:val="auto"/>
        </w:rPr>
      </w:pPr>
    </w:p>
    <w:p>
      <w:pPr>
        <w:jc w:val="both"/>
        <w:ind w:right="220"/>
        <w:spacing w:after="0" w:line="295" w:lineRule="auto"/>
        <w:rPr>
          <w:sz w:val="20"/>
          <w:szCs w:val="20"/>
          <w:color w:val="auto"/>
        </w:rPr>
      </w:pPr>
      <w:r>
        <w:rPr>
          <w:rFonts w:ascii="Arial" w:cs="Arial" w:eastAsia="Arial" w:hAnsi="Arial"/>
          <w:sz w:val="15"/>
          <w:szCs w:val="15"/>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w:t>
      </w:r>
    </w:p>
    <w:p>
      <w:pPr>
        <w:spacing w:after="0" w:line="1" w:lineRule="exact"/>
        <w:rPr>
          <w:sz w:val="20"/>
          <w:szCs w:val="20"/>
          <w:color w:val="auto"/>
        </w:rPr>
      </w:pPr>
    </w:p>
    <w:p>
      <w:pPr>
        <w:jc w:val="both"/>
        <w:ind w:right="120"/>
        <w:spacing w:after="0" w:line="263" w:lineRule="auto"/>
        <w:rPr>
          <w:sz w:val="20"/>
          <w:szCs w:val="20"/>
          <w:color w:val="auto"/>
        </w:rPr>
      </w:pPr>
      <w:r>
        <w:rPr>
          <w:rFonts w:ascii="Arial" w:cs="Arial" w:eastAsia="Arial" w:hAnsi="Arial"/>
          <w:sz w:val="17"/>
          <w:szCs w:val="17"/>
          <w:color w:val="auto"/>
        </w:rPr>
        <w:t>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64"/>
              <w:spacing w:after="0" w:line="146"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2"/>
                <w:szCs w:val="12"/>
                <w:color w:val="auto"/>
              </w:rPr>
            </w:pPr>
          </w:p>
        </w:tc>
        <w:tc>
          <w:tcPr>
            <w:tcW w:w="1000" w:type="dxa"/>
            <w:vAlign w:val="bottom"/>
          </w:tcPr>
          <w:p>
            <w:pPr>
              <w:jc w:val="right"/>
              <w:ind w:right="344"/>
              <w:spacing w:after="0" w:line="146"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2"/>
                <w:szCs w:val="12"/>
                <w:color w:val="auto"/>
              </w:rPr>
            </w:pPr>
          </w:p>
        </w:tc>
        <w:tc>
          <w:tcPr>
            <w:tcW w:w="11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Mortgages and notes payable</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7"/>
                <w:szCs w:val="17"/>
                <w:color w:val="auto"/>
              </w:rPr>
              <w:t>1,060,364</w:t>
            </w:r>
          </w:p>
        </w:tc>
        <w:tc>
          <w:tcPr>
            <w:tcW w:w="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1,110,757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1,042,682</w:t>
            </w:r>
          </w:p>
        </w:tc>
        <w:tc>
          <w:tcPr>
            <w:tcW w:w="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1,099,273</w:t>
            </w:r>
          </w:p>
        </w:tc>
        <w:tc>
          <w:tcPr>
            <w:tcW w:w="0" w:type="dxa"/>
            <w:vAlign w:val="bottom"/>
          </w:tcPr>
          <w:p>
            <w:pPr>
              <w:spacing w:after="0"/>
              <w:rPr>
                <w:sz w:val="1"/>
                <w:szCs w:val="1"/>
                <w:color w:val="auto"/>
              </w:rPr>
            </w:pPr>
          </w:p>
        </w:tc>
      </w:tr>
      <w:tr>
        <w:trPr>
          <w:trHeight w:val="234"/>
        </w:trPr>
        <w:tc>
          <w:tcPr>
            <w:tcW w:w="5600" w:type="dxa"/>
            <w:vAlign w:val="bottom"/>
          </w:tcPr>
          <w:p>
            <w:pPr>
              <w:ind w:left="40"/>
              <w:spacing w:after="0"/>
              <w:rPr>
                <w:sz w:val="20"/>
                <w:szCs w:val="20"/>
                <w:color w:val="auto"/>
              </w:rPr>
            </w:pPr>
            <w:r>
              <w:rPr>
                <w:rFonts w:ascii="Arial" w:cs="Arial" w:eastAsia="Arial" w:hAnsi="Arial"/>
                <w:sz w:val="17"/>
                <w:szCs w:val="17"/>
                <w:color w:val="auto"/>
              </w:rPr>
              <w:t>Senior notes and debentures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64"/>
              <w:spacing w:after="0"/>
              <w:rPr>
                <w:sz w:val="20"/>
                <w:szCs w:val="20"/>
                <w:color w:val="auto"/>
              </w:rPr>
            </w:pPr>
            <w:r>
              <w:rPr>
                <w:rFonts w:ascii="Arial" w:cs="Arial" w:eastAsia="Arial" w:hAnsi="Arial"/>
                <w:sz w:val="17"/>
                <w:szCs w:val="17"/>
                <w:color w:val="auto"/>
              </w:rPr>
              <w:t>1,076,545</w:t>
            </w:r>
          </w:p>
        </w:tc>
        <w:tc>
          <w:tcPr>
            <w:tcW w:w="3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42"/>
              <w:spacing w:after="0"/>
              <w:rPr>
                <w:sz w:val="20"/>
                <w:szCs w:val="20"/>
                <w:color w:val="auto"/>
              </w:rPr>
            </w:pPr>
            <w:r>
              <w:rPr>
                <w:rFonts w:ascii="Arial" w:cs="Arial" w:eastAsia="Arial" w:hAnsi="Arial"/>
                <w:sz w:val="17"/>
                <w:szCs w:val="17"/>
                <w:color w:val="auto"/>
              </w:rPr>
              <w:t>1,190,833</w:t>
            </w:r>
          </w:p>
        </w:tc>
        <w:tc>
          <w:tcPr>
            <w:tcW w:w="10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44"/>
              <w:spacing w:after="0"/>
              <w:rPr>
                <w:sz w:val="20"/>
                <w:szCs w:val="20"/>
                <w:color w:val="auto"/>
              </w:rPr>
            </w:pPr>
            <w:r>
              <w:rPr>
                <w:rFonts w:ascii="Arial" w:cs="Arial" w:eastAsia="Arial" w:hAnsi="Arial"/>
                <w:sz w:val="17"/>
                <w:szCs w:val="17"/>
                <w:color w:val="auto"/>
              </w:rPr>
              <w:t>1,004,635</w:t>
            </w:r>
          </w:p>
        </w:tc>
        <w:tc>
          <w:tcPr>
            <w:tcW w:w="3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1,085,309</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As of December 31, 2012, we have two interest rate swap agreements with a notional amount of $275.0 million that are measured at fair value on a recurring basis. The interest rate swap agreements fix the variable portion of our $275.0 million term loan at 1.72% from December 1, 2011 through November 1, 2018, and effectively fix the rate of the term loan at 3.17%. We assess effectiveness of our cash flow hedges both at inception and on an ongoing basis. The effective portion of changes in fair value of the interest rate swaps associated with our cash flow hedges is recorded in accumulated other comprehensive income/loss and is subsequently reclassified into interest expense as interest is incurred on the related variable debt. Within the next 12 months, we expect to reclassify an estimated $4.2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1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changes in fair value of the interest rate swaps associated with our cash flow hedges is recognized in earnings in the period affected. Hedge ineffectiveness has not impacted earnings as of December 31, 2012, and we do not anticipate it will have a significant effect in the future.</w:t>
      </w:r>
    </w:p>
    <w:p>
      <w:pPr>
        <w:spacing w:after="0" w:line="106"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December 31, 2012 and 2011, was a liability of $12.4 million, and $3.9 million, respectively, and are included in "accounts payable and accrued expenses" on our consolidated balance sheet. The changes in valuation on our interest rate swaps were $8.4 million and $3.9 million (including $4.1 million and $0.3 million, respectively, reclassified from other comprehensive loss to earnings) for 2012 and 2011, and are included in "accumulated other comprehensive loss". A summary of our financial liabilities that are measured at fair value on a recurring basis, by level within the fair value hierarchy is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rPr>
              <w:t>December 31, 2012</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December 31, 2011</w:t>
            </w:r>
          </w:p>
        </w:tc>
        <w:tc>
          <w:tcPr>
            <w:tcW w:w="780" w:type="dxa"/>
            <w:vAlign w:val="bottom"/>
            <w:tcBorders>
              <w:bottom w:val="single" w:sz="8" w:color="auto"/>
            </w:tcBorders>
          </w:tcPr>
          <w:p>
            <w:pPr>
              <w:spacing w:after="0"/>
              <w:rPr>
                <w:sz w:val="16"/>
                <w:szCs w:val="16"/>
                <w:color w:val="auto"/>
              </w:rPr>
            </w:pPr>
          </w:p>
        </w:tc>
      </w:tr>
      <w:tr>
        <w:trPr>
          <w:trHeight w:val="253"/>
        </w:trPr>
        <w:tc>
          <w:tcPr>
            <w:tcW w:w="286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Total</w:t>
            </w:r>
          </w:p>
        </w:tc>
      </w:tr>
      <w:tr>
        <w:trPr>
          <w:trHeight w:val="240"/>
        </w:trPr>
        <w:tc>
          <w:tcPr>
            <w:tcW w:w="2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gridSpan w:val="4"/>
          </w:tcPr>
          <w:p>
            <w:pPr>
              <w:ind w:left="56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0"/>
        </w:trPr>
        <w:tc>
          <w:tcPr>
            <w:tcW w:w="2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Interest rate swaps</w:t>
            </w:r>
          </w:p>
        </w:tc>
        <w:tc>
          <w:tcPr>
            <w:tcW w:w="760" w:type="dxa"/>
            <w:vAlign w:val="bottom"/>
            <w:shd w:val="clear" w:color="auto" w:fill="CCEEFF"/>
          </w:tcPr>
          <w:p>
            <w:pPr>
              <w:jc w:val="right"/>
              <w:ind w:right="562"/>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   12,388</w:t>
            </w:r>
          </w:p>
        </w:tc>
        <w:tc>
          <w:tcPr>
            <w:tcW w:w="860" w:type="dxa"/>
            <w:vAlign w:val="bottom"/>
            <w:shd w:val="clear" w:color="auto" w:fill="CCEEFF"/>
          </w:tcPr>
          <w:p>
            <w:pPr>
              <w:jc w:val="right"/>
              <w:ind w:right="562"/>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rPr>
              <w:t>$   12,388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   $</w:t>
            </w:r>
          </w:p>
        </w:tc>
        <w:tc>
          <w:tcPr>
            <w:tcW w:w="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3,940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   $</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3,940</w:t>
            </w:r>
          </w:p>
        </w:tc>
      </w:tr>
      <w:tr>
        <w:trPr>
          <w:trHeight w:val="26"/>
        </w:trPr>
        <w:tc>
          <w:tcPr>
            <w:tcW w:w="28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9—COMMITMENTS AND CONTINGENCIES</w:t>
      </w:r>
    </w:p>
    <w:p>
      <w:pPr>
        <w:spacing w:after="0" w:line="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0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3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In May 2003, a breach of contract action was filed against us in the United States District Court for the Northern District of California, San Jose Division, alleging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w:t>
      </w:r>
    </w:p>
    <w:p>
      <w:pPr>
        <w:spacing w:after="0" w:line="12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 trial on the issue of damages was held in April 2008, the court issued a final judgment awarding damages of $15.9 million plus costs of suit in June 2009, and in July 2009, we and the plaintiff both filed a notice of appeal with the United States Court of Appeals for the Ninth Circuit. In December 2009, the plaintiff filed an “appellee’s principal and response brief” providing additional information regarding the issues the plaintiff is appealing; our accrual of $16.4 million at December 31, 2009 reflected our best estimate of the litigation liability. A final ruling on the appeal was issued in February 2011 rejecting both appeals and consequently, affirmed the final judgment against us. Therefore, in December 2010, we adjusted our accrual to $16.2 million which reflects the amount we paid in first quarter 2011. The net change in our accrual in 2010 as well as additional legal and other costs related to the lawsuit and appeal process are included in “litigation provision” in our consolidated statements of comprehensive income.</w:t>
      </w:r>
    </w:p>
    <w:p>
      <w:pPr>
        <w:spacing w:after="0" w:line="130"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increases to our estimated warranty losses would usually result in a decrease in net income.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In 2005 and 2006, warranty reserves for condominium units sold at Santana Row were established to cover potential costs for materials, labor and other items associated with warranty-type claims that may arise within the ten-year statutorily mandated latent construction defect warranty period. In 2006 and 2007, we increased our warranty reserves related to defective work done by third party contractors while upgrades were made to certain units being prepared for sale. Due to the inherent uncertainty, these amounts did not reflect any recoveries from the contractors responsible for the defective work. However, in 2010, we reached a settlement with the contractors responsible for performing the defective work for approximately $1.0 million which is included in “Discontinued operations—gain on sale of real estate”.</w:t>
      </w:r>
    </w:p>
    <w:p>
      <w:pPr>
        <w:spacing w:after="0" w:line="129"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and future increases in costs of claims, when making these determinations. If our liability costs exceed these accruals, it will reduce our net income.</w:t>
      </w:r>
    </w:p>
    <w:p>
      <w:pPr>
        <w:spacing w:after="0" w:line="12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At December 31, 2012 and 2011, our reserves for warranties and general liability costs were $7.1 million for both periods and are included in “accounts payable and accrued expenses” in our consolidated balance sheets. Any potential losses which exceed our estimates would result in a decrease in our net income. During 2012 and 2011, we made payments from these reserves of $1.3 million and $0.9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12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At December 31, 2012, we had letters of credit outstanding of approximately $15.9 million which are collateral for existing indebtedness and other obligations of the Trust.</w:t>
      </w:r>
    </w:p>
    <w:p>
      <w:pPr>
        <w:spacing w:after="0" w:line="10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December 31, 2012 in connection with capital improvement, development, and redevelopment projects, the Trust has contractual obligations of approximately $233.0 million.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ground lease agreements on several shopping centers requiring minimum annual payments as follows, as of December 31, 2012:</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(In thousands)</w:t>
            </w:r>
          </w:p>
        </w:tc>
      </w:tr>
      <w:tr>
        <w:trPr>
          <w:trHeight w:val="24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Year ending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4"/>
        </w:trPr>
        <w:tc>
          <w:tcPr>
            <w:tcW w:w="10060" w:type="dxa"/>
            <w:vAlign w:val="bottom"/>
          </w:tcPr>
          <w:p>
            <w:pPr>
              <w:ind w:left="40"/>
              <w:spacing w:after="0"/>
              <w:rPr>
                <w:sz w:val="20"/>
                <w:szCs w:val="20"/>
                <w:color w:val="auto"/>
              </w:rPr>
            </w:pPr>
            <w:r>
              <w:rPr>
                <w:rFonts w:ascii="Arial" w:cs="Arial" w:eastAsia="Arial" w:hAnsi="Arial"/>
                <w:sz w:val="17"/>
                <w:szCs w:val="17"/>
                <w:color w:val="auto"/>
              </w:rPr>
              <w:t>2013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1,488</w:t>
            </w:r>
          </w:p>
        </w:tc>
      </w:tr>
      <w:tr>
        <w:trPr>
          <w:trHeight w:val="26"/>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1,478</w:t>
            </w:r>
          </w:p>
        </w:tc>
      </w:tr>
      <w:tr>
        <w:trPr>
          <w:trHeight w:val="234"/>
        </w:trPr>
        <w:tc>
          <w:tcPr>
            <w:tcW w:w="10060" w:type="dxa"/>
            <w:vAlign w:val="bottom"/>
          </w:tcPr>
          <w:p>
            <w:pPr>
              <w:ind w:left="40"/>
              <w:spacing w:after="0"/>
              <w:rPr>
                <w:sz w:val="20"/>
                <w:szCs w:val="20"/>
                <w:color w:val="auto"/>
              </w:rPr>
            </w:pPr>
            <w:r>
              <w:rPr>
                <w:rFonts w:ascii="Arial" w:cs="Arial" w:eastAsia="Arial" w:hAnsi="Arial"/>
                <w:sz w:val="17"/>
                <w:szCs w:val="17"/>
                <w:color w:val="auto"/>
              </w:rPr>
              <w:t>2015</w:t>
            </w: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1,428</w:t>
            </w:r>
          </w:p>
        </w:tc>
      </w:tr>
      <w:tr>
        <w:trPr>
          <w:trHeight w:val="26"/>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2016</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1,372</w:t>
            </w:r>
          </w:p>
        </w:tc>
      </w:tr>
      <w:tr>
        <w:trPr>
          <w:trHeight w:val="234"/>
        </w:trPr>
        <w:tc>
          <w:tcPr>
            <w:tcW w:w="10060" w:type="dxa"/>
            <w:vAlign w:val="bottom"/>
          </w:tcPr>
          <w:p>
            <w:pPr>
              <w:ind w:left="40"/>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1,088</w:t>
            </w:r>
          </w:p>
        </w:tc>
      </w:tr>
      <w:tr>
        <w:trPr>
          <w:trHeight w:val="26"/>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50,207</w:t>
            </w:r>
          </w:p>
        </w:tc>
      </w:tr>
      <w:tr>
        <w:trPr>
          <w:trHeight w:val="227"/>
        </w:trPr>
        <w:tc>
          <w:tcPr>
            <w:tcW w:w="100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57,061</w:t>
            </w:r>
          </w:p>
        </w:tc>
      </w:tr>
      <w:tr>
        <w:trPr>
          <w:trHeight w:val="26"/>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10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Under the terms of the Congressional Plaza partnership agreement, from and after January 1, 1986, an unaffiliated third party has the right to require us and the other minority partner to purchase its 29.47% interest in Congressional Plaza at the interest’s then-current fair market value. If the other minority partner defaults in their obligation, we must purchase the full interest. Based on management’s current estimate of fair market value as of December 31, 2012, our estimated maximum liability upon exercise of the put option would range from approximately $65 million to $71 million.</w:t>
      </w:r>
    </w:p>
    <w:p>
      <w:pPr>
        <w:spacing w:after="0" w:line="12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Under the terms of a partnership which owns a project in southern California, if certain leasing and revenue levels are obtained for the property owned by the partnership, the other partner may require us to purchase their 10% partnership interest at a formula price based upon property operating income. The purchase price for the partnership interest will be paid using our common shares or, subject to certain conditions, cash. If the other partner does not redeem their interest, we may choose to purchase the partnership interest upon the same terms.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jc w:val="both"/>
        <w:ind w:right="300"/>
        <w:spacing w:after="0" w:line="270" w:lineRule="auto"/>
        <w:rPr>
          <w:sz w:val="20"/>
          <w:szCs w:val="20"/>
          <w:color w:val="auto"/>
        </w:rPr>
      </w:pPr>
      <w:r>
        <w:rPr>
          <w:rFonts w:ascii="Arial" w:cs="Arial" w:eastAsia="Arial" w:hAnsi="Arial"/>
          <w:sz w:val="17"/>
          <w:szCs w:val="17"/>
          <w:color w:val="auto"/>
        </w:rPr>
        <w:t>A master lease for Melville Mall includes a fixed purchase price option in 2021 for $5 million and the assumption of the owner’s debt which is $21.5 million at December 31, 2012. If we fail to exercise our purchase option, the owner of Melville Mall has a put option which would require us to purchase Melville Mall in 2023 for $5 million and the assumption of the owner’s mortgage debt.</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Effective December 27, 2013, 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Effective December 30, 2013, two of the members have the right to require us to purchase their 10.0% and 11.8% ownership interests in Plaza El Segundo at the interests' then-current fair market value. If the members fail to exercise their put options, we have the right to purchase each of their interests on or after December 30, 2026 at fair market value. Also, between January 1, 2017 and February 1, 2017, we have an option to purchase the preferred interest of another member in Plaza El Segundo. The purchase price will be the lesser of fair value or the $4.9 million stated value of the preferred interest plus any accrued and unpaid preferred returns.</w:t>
      </w:r>
    </w:p>
    <w:p>
      <w:pPr>
        <w:spacing w:after="0" w:line="126"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Under the terms of certain partnership agreements, the partners have the right to exchange their operating partnership units for cash or the same number of our common shares, at our option. A total of 320,646 operating partnership units are outstanding which have a total fair value of $33.4 million, based on our closing stock price on December 31, 2012.</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10—SHAREHOLDERS’ EQUITY</w:t>
      </w:r>
    </w:p>
    <w:p>
      <w:pPr>
        <w:spacing w:after="0" w:line="9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have a Dividend Reinvestment Plan (the “Plan”), whereby shareholders may use their dividends and optional cash payments to purchase shares. In 2012, 2011 and 2010, 22,814 shares, 28,823 shares and 34,401 shares, respectively, were issued under the Plan.</w:t>
      </w:r>
    </w:p>
    <w:p>
      <w:pPr>
        <w:spacing w:after="0" w:line="106"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As of December 31, 2012, 2011, and 2010, we had 399,896 shares of 5.417% Series 1 Cumulative Convertible Preferred Shares (“Series 1 Preferred Shares”) outstanding that have a liquidation preference of $25 per share and</w:t>
      </w:r>
    </w:p>
    <w:p>
      <w:pPr>
        <w:ind w:right="20"/>
        <w:spacing w:after="0" w:line="263" w:lineRule="auto"/>
        <w:rPr>
          <w:sz w:val="20"/>
          <w:szCs w:val="20"/>
          <w:color w:val="auto"/>
        </w:rPr>
      </w:pPr>
      <w:r>
        <w:rPr>
          <w:rFonts w:ascii="Arial" w:cs="Arial" w:eastAsia="Arial" w:hAnsi="Arial"/>
          <w:sz w:val="17"/>
          <w:szCs w:val="17"/>
          <w:color w:val="auto"/>
        </w:rPr>
        <w:t>par value $0.01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177"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On May 8, 2012, we replaced our existing at the market (“ATM”) equity program with a new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year ended December 31, 2012, we issued 1,040,946 common shares at a weighted average price per share of $103.69 for net cash proceeds of $106.4 million and paid $1.4 million in commissions related to the sales of these common shares. For the year ended December 31, 2011, we issued 1,662,038 common shares at a weighted average price per share of $85.26 for net cash proceeds of $139.3 million and paid $2.1 million in commissions related to the sales of these common shares. As of December 31, 2012, we had the capacity to issue up to $213.4 million in common shares under our ATM equity program.</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11—DIVIDENDS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dividends declared and paid per share:</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53"/>
        </w:trPr>
        <w:tc>
          <w:tcPr>
            <w:tcW w:w="5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3"/>
              </w:rPr>
              <w:t>2011</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2010</w:t>
            </w:r>
          </w:p>
        </w:tc>
        <w:tc>
          <w:tcPr>
            <w:tcW w:w="680" w:type="dxa"/>
            <w:vAlign w:val="bottom"/>
            <w:tcBorders>
              <w:bottom w:val="single" w:sz="8" w:color="auto"/>
            </w:tcBorders>
          </w:tcPr>
          <w:p>
            <w:pPr>
              <w:spacing w:after="0"/>
              <w:rPr>
                <w:sz w:val="22"/>
                <w:szCs w:val="22"/>
                <w:color w:val="auto"/>
              </w:rPr>
            </w:pPr>
          </w:p>
        </w:tc>
      </w:tr>
      <w:tr>
        <w:trPr>
          <w:trHeight w:val="253"/>
        </w:trPr>
        <w:tc>
          <w:tcPr>
            <w:tcW w:w="5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7"/>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Paid</w:t>
            </w:r>
          </w:p>
        </w:tc>
      </w:tr>
      <w:tr>
        <w:trPr>
          <w:trHeight w:val="239"/>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2.840</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2.800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2.700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2.660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2.650</w:t>
            </w:r>
          </w:p>
        </w:tc>
      </w:tr>
      <w:tr>
        <w:trPr>
          <w:trHeight w:val="234"/>
        </w:trPr>
        <w:tc>
          <w:tcPr>
            <w:tcW w:w="5360" w:type="dxa"/>
            <w:vAlign w:val="bottom"/>
          </w:tcPr>
          <w:p>
            <w:pPr>
              <w:ind w:left="40"/>
              <w:spacing w:after="0"/>
              <w:rPr>
                <w:sz w:val="20"/>
                <w:szCs w:val="20"/>
                <w:color w:val="auto"/>
              </w:rPr>
            </w:pPr>
            <w:r>
              <w:rPr>
                <w:rFonts w:ascii="Arial" w:cs="Arial" w:eastAsia="Arial" w:hAnsi="Arial"/>
                <w:sz w:val="17"/>
                <w:szCs w:val="17"/>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1.354</w:t>
            </w:r>
          </w:p>
        </w:tc>
        <w:tc>
          <w:tcPr>
            <w:tcW w:w="4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9"/>
              <w:spacing w:after="0"/>
              <w:rPr>
                <w:sz w:val="20"/>
                <w:szCs w:val="20"/>
                <w:color w:val="auto"/>
              </w:rPr>
            </w:pPr>
            <w:r>
              <w:rPr>
                <w:rFonts w:ascii="Arial" w:cs="Arial" w:eastAsia="Arial" w:hAnsi="Arial"/>
                <w:sz w:val="17"/>
                <w:szCs w:val="17"/>
                <w:color w:val="auto"/>
              </w:rPr>
              <w:t>1.354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1.354</w:t>
            </w:r>
          </w:p>
        </w:tc>
        <w:tc>
          <w:tcPr>
            <w:tcW w:w="4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1.354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1.354</w:t>
            </w:r>
          </w:p>
        </w:tc>
        <w:tc>
          <w:tcPr>
            <w:tcW w:w="4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1.354</w:t>
            </w:r>
          </w:p>
        </w:tc>
      </w:tr>
      <w:tr>
        <w:trPr>
          <w:trHeight w:val="468"/>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238"/>
              <w:spacing w:after="0"/>
              <w:rPr>
                <w:sz w:val="20"/>
                <w:szCs w:val="20"/>
                <w:color w:val="auto"/>
              </w:rPr>
            </w:pPr>
            <w:r>
              <w:rPr>
                <w:rFonts w:ascii="Arial" w:cs="Arial" w:eastAsia="Arial" w:hAnsi="Arial"/>
                <w:sz w:val="17"/>
                <w:szCs w:val="17"/>
                <w:color w:val="auto"/>
                <w:w w:val="97"/>
              </w:rPr>
              <w:t>F-24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income tax status of dividends per share paid is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3"/>
        </w:trPr>
        <w:tc>
          <w:tcPr>
            <w:tcW w:w="7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r>
      <w:tr>
        <w:trPr>
          <w:trHeight w:val="23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Common shares</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Ordinary dividend</w:t>
            </w:r>
          </w:p>
        </w:tc>
        <w:tc>
          <w:tcPr>
            <w:tcW w:w="860" w:type="dxa"/>
            <w:vAlign w:val="bottom"/>
          </w:tcPr>
          <w:p>
            <w:pPr>
              <w:jc w:val="right"/>
              <w:ind w:right="678"/>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ind w:right="33"/>
              <w:spacing w:after="0"/>
              <w:rPr>
                <w:sz w:val="20"/>
                <w:szCs w:val="20"/>
                <w:color w:val="auto"/>
              </w:rPr>
            </w:pPr>
            <w:r>
              <w:rPr>
                <w:rFonts w:ascii="Arial" w:cs="Arial" w:eastAsia="Arial" w:hAnsi="Arial"/>
                <w:sz w:val="17"/>
                <w:szCs w:val="17"/>
                <w:color w:val="auto"/>
                <w:w w:val="89"/>
              </w:rPr>
              <w:t>2.772</w:t>
            </w:r>
          </w:p>
        </w:tc>
        <w:tc>
          <w:tcPr>
            <w:tcW w:w="46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2.349</w:t>
            </w:r>
          </w:p>
        </w:tc>
        <w:tc>
          <w:tcPr>
            <w:tcW w:w="12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2.519</w:t>
            </w:r>
          </w:p>
        </w:tc>
      </w:tr>
      <w:tr>
        <w:trPr>
          <w:trHeight w:val="26"/>
        </w:trPr>
        <w:tc>
          <w:tcPr>
            <w:tcW w:w="7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Ordinary dividend eligible for 15% rate</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0.025</w:t>
            </w: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Return of capital</w:t>
            </w:r>
          </w:p>
        </w:tc>
        <w:tc>
          <w:tcPr>
            <w:tcW w:w="860" w:type="dxa"/>
            <w:vAlign w:val="bottom"/>
          </w:tcPr>
          <w:p>
            <w:pPr>
              <w:spacing w:after="0"/>
              <w:rPr>
                <w:sz w:val="20"/>
                <w:szCs w:val="20"/>
                <w:color w:val="auto"/>
              </w:rPr>
            </w:pPr>
          </w:p>
        </w:tc>
        <w:tc>
          <w:tcPr>
            <w:tcW w:w="5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0.162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0.106</w:t>
            </w:r>
          </w:p>
        </w:tc>
      </w:tr>
      <w:tr>
        <w:trPr>
          <w:trHeight w:val="26"/>
        </w:trPr>
        <w:tc>
          <w:tcPr>
            <w:tcW w:w="7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Capital gain</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9"/>
              </w:rPr>
              <w:t>0.028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27"/>
        </w:trPr>
        <w:tc>
          <w:tcPr>
            <w:tcW w:w="7100" w:type="dxa"/>
            <w:vAlign w:val="bottom"/>
          </w:tcPr>
          <w:p>
            <w:pPr>
              <w:spacing w:after="0"/>
              <w:rPr>
                <w:sz w:val="19"/>
                <w:szCs w:val="19"/>
                <w:color w:val="auto"/>
              </w:rPr>
            </w:pPr>
          </w:p>
        </w:tc>
        <w:tc>
          <w:tcPr>
            <w:tcW w:w="860" w:type="dxa"/>
            <w:vAlign w:val="bottom"/>
            <w:tcBorders>
              <w:top w:val="single" w:sz="8" w:color="auto"/>
            </w:tcBorders>
          </w:tcPr>
          <w:p>
            <w:pPr>
              <w:jc w:val="right"/>
              <w:ind w:right="678"/>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w w:val="89"/>
              </w:rPr>
              <w:t>2.800</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2.700</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2.650</w:t>
            </w:r>
          </w:p>
        </w:tc>
      </w:tr>
      <w:tr>
        <w:trPr>
          <w:trHeight w:val="66"/>
        </w:trPr>
        <w:tc>
          <w:tcPr>
            <w:tcW w:w="710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19"/>
        </w:trPr>
        <w:tc>
          <w:tcPr>
            <w:tcW w:w="7100" w:type="dxa"/>
            <w:vAlign w:val="bottom"/>
            <w:tcBorders>
              <w:bottom w:val="single" w:sz="8" w:color="CCEEFF"/>
            </w:tcBorders>
            <w:shd w:val="clear" w:color="auto" w:fill="CCEEFF"/>
          </w:tcPr>
          <w:p>
            <w:pPr>
              <w:ind w:left="40"/>
              <w:spacing w:after="0" w:line="187" w:lineRule="exact"/>
              <w:rPr>
                <w:sz w:val="20"/>
                <w:szCs w:val="20"/>
                <w:color w:val="auto"/>
              </w:rPr>
            </w:pPr>
            <w:r>
              <w:rPr>
                <w:rFonts w:ascii="Arial" w:cs="Arial" w:eastAsia="Arial" w:hAnsi="Arial"/>
                <w:sz w:val="17"/>
                <w:szCs w:val="17"/>
                <w:color w:val="auto"/>
              </w:rPr>
              <w:t>5.417% Series 1 Cumulative Convertible Preferred shares</w:t>
            </w:r>
          </w:p>
        </w:tc>
        <w:tc>
          <w:tcPr>
            <w:tcW w:w="8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Ordinary dividend</w:t>
            </w:r>
          </w:p>
        </w:tc>
        <w:tc>
          <w:tcPr>
            <w:tcW w:w="860" w:type="dxa"/>
            <w:vAlign w:val="bottom"/>
          </w:tcPr>
          <w:p>
            <w:pPr>
              <w:spacing w:after="0"/>
              <w:rPr>
                <w:sz w:val="20"/>
                <w:szCs w:val="20"/>
                <w:color w:val="auto"/>
              </w:rPr>
            </w:pPr>
          </w:p>
        </w:tc>
        <w:tc>
          <w:tcPr>
            <w:tcW w:w="520" w:type="dxa"/>
            <w:vAlign w:val="bottom"/>
          </w:tcPr>
          <w:p>
            <w:pPr>
              <w:jc w:val="right"/>
              <w:ind w:right="33"/>
              <w:spacing w:after="0"/>
              <w:rPr>
                <w:sz w:val="20"/>
                <w:szCs w:val="20"/>
                <w:color w:val="auto"/>
              </w:rPr>
            </w:pPr>
            <w:r>
              <w:rPr>
                <w:rFonts w:ascii="Arial" w:cs="Arial" w:eastAsia="Arial" w:hAnsi="Arial"/>
                <w:sz w:val="17"/>
                <w:szCs w:val="17"/>
                <w:color w:val="auto"/>
                <w:w w:val="89"/>
              </w:rPr>
              <w:t>1.340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1.246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1.341</w:t>
            </w:r>
          </w:p>
        </w:tc>
      </w:tr>
      <w:tr>
        <w:trPr>
          <w:trHeight w:val="26"/>
        </w:trPr>
        <w:tc>
          <w:tcPr>
            <w:tcW w:w="7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Ordinary dividend eligible for 15% rate</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0.013</w:t>
            </w: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Capital gain</w:t>
            </w:r>
          </w:p>
        </w:tc>
        <w:tc>
          <w:tcPr>
            <w:tcW w:w="860" w:type="dxa"/>
            <w:vAlign w:val="bottom"/>
          </w:tcPr>
          <w:p>
            <w:pPr>
              <w:spacing w:after="0"/>
              <w:rPr>
                <w:sz w:val="20"/>
                <w:szCs w:val="20"/>
                <w:color w:val="auto"/>
              </w:rPr>
            </w:pPr>
          </w:p>
        </w:tc>
        <w:tc>
          <w:tcPr>
            <w:tcW w:w="520" w:type="dxa"/>
            <w:vAlign w:val="bottom"/>
          </w:tcPr>
          <w:p>
            <w:pPr>
              <w:jc w:val="right"/>
              <w:ind w:right="33"/>
              <w:spacing w:after="0"/>
              <w:rPr>
                <w:sz w:val="20"/>
                <w:szCs w:val="20"/>
                <w:color w:val="auto"/>
              </w:rPr>
            </w:pPr>
            <w:r>
              <w:rPr>
                <w:rFonts w:ascii="Arial" w:cs="Arial" w:eastAsia="Arial" w:hAnsi="Arial"/>
                <w:sz w:val="17"/>
                <w:szCs w:val="17"/>
                <w:color w:val="auto"/>
                <w:w w:val="89"/>
              </w:rPr>
              <w:t>0.014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0.095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6"/>
        </w:trPr>
        <w:tc>
          <w:tcPr>
            <w:tcW w:w="7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8"/>
        </w:trPr>
        <w:tc>
          <w:tcPr>
            <w:tcW w:w="7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78"/>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9"/>
              </w:rPr>
              <w:t>1.354</w:t>
            </w:r>
          </w:p>
        </w:tc>
        <w:tc>
          <w:tcPr>
            <w:tcW w:w="460" w:type="dxa"/>
            <w:vAlign w:val="bottom"/>
            <w:tcBorders>
              <w:bottom w:val="single" w:sz="8" w:color="CCEEFF"/>
            </w:tcBorders>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On November 1, 2012, the Trustees declared a quarterly cash dividend of $0.73 per common share, payable January 15, 2013 to common shareholders of record on January 2, 2013.</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12—OPERATING LEASES</w:t>
      </w:r>
    </w:p>
    <w:p>
      <w:pPr>
        <w:spacing w:after="0" w:line="9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At December 31, 2012, our 88 predominantly retail shopping center and mixed-use properties are located in 13 states and the District of Columbia. There are approximately 2,500 leases with tenants providing a wide range of retail products and services. These tenants range from sole proprietorships to national retailers; no one tenant or corporate group of tenants accounts for more than 3.2% of annualized base rent.</w:t>
      </w:r>
    </w:p>
    <w:p>
      <w:pPr>
        <w:spacing w:after="0" w:line="12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w:t>
      </w:r>
    </w:p>
    <w:p>
      <w:pPr>
        <w:spacing w:after="0" w:line="102"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As of December 31, 2012, minimum future commercial property rentals from noncancelable operating leases, before any reserve for uncollectible amounts and assuming no early lease terminations, at our operating properties are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(In thousands)</w:t>
            </w:r>
          </w:p>
        </w:tc>
      </w:tr>
      <w:tr>
        <w:trPr>
          <w:trHeight w:val="24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Year ending December 31,</w:t>
            </w:r>
          </w:p>
        </w:tc>
        <w:tc>
          <w:tcPr>
            <w:tcW w:w="6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4"/>
        </w:trPr>
        <w:tc>
          <w:tcPr>
            <w:tcW w:w="3720" w:type="dxa"/>
            <w:vAlign w:val="bottom"/>
          </w:tcPr>
          <w:p>
            <w:pPr>
              <w:ind w:left="40"/>
              <w:spacing w:after="0"/>
              <w:rPr>
                <w:sz w:val="20"/>
                <w:szCs w:val="20"/>
                <w:color w:val="auto"/>
              </w:rPr>
            </w:pPr>
            <w:r>
              <w:rPr>
                <w:rFonts w:ascii="Arial" w:cs="Arial" w:eastAsia="Arial" w:hAnsi="Arial"/>
                <w:sz w:val="17"/>
                <w:szCs w:val="17"/>
                <w:color w:val="auto"/>
              </w:rPr>
              <w:t>2013</w:t>
            </w:r>
          </w:p>
        </w:tc>
        <w:tc>
          <w:tcPr>
            <w:tcW w:w="6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434,042</w:t>
            </w:r>
          </w:p>
        </w:tc>
      </w:tr>
      <w:tr>
        <w:trPr>
          <w:trHeight w:val="26"/>
        </w:trPr>
        <w:tc>
          <w:tcPr>
            <w:tcW w:w="37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2014</w:t>
            </w:r>
          </w:p>
        </w:tc>
        <w:tc>
          <w:tcPr>
            <w:tcW w:w="6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399,040</w:t>
            </w:r>
          </w:p>
        </w:tc>
      </w:tr>
      <w:tr>
        <w:trPr>
          <w:trHeight w:val="234"/>
        </w:trPr>
        <w:tc>
          <w:tcPr>
            <w:tcW w:w="3720" w:type="dxa"/>
            <w:vAlign w:val="bottom"/>
          </w:tcPr>
          <w:p>
            <w:pPr>
              <w:ind w:left="40"/>
              <w:spacing w:after="0"/>
              <w:rPr>
                <w:sz w:val="20"/>
                <w:szCs w:val="20"/>
                <w:color w:val="auto"/>
              </w:rPr>
            </w:pPr>
            <w:r>
              <w:rPr>
                <w:rFonts w:ascii="Arial" w:cs="Arial" w:eastAsia="Arial" w:hAnsi="Arial"/>
                <w:sz w:val="17"/>
                <w:szCs w:val="17"/>
                <w:color w:val="auto"/>
              </w:rPr>
              <w:t>2015</w:t>
            </w:r>
          </w:p>
        </w:tc>
        <w:tc>
          <w:tcPr>
            <w:tcW w:w="6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355,013</w:t>
            </w:r>
          </w:p>
        </w:tc>
      </w:tr>
      <w:tr>
        <w:trPr>
          <w:trHeight w:val="26"/>
        </w:trPr>
        <w:tc>
          <w:tcPr>
            <w:tcW w:w="37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2016</w:t>
            </w:r>
          </w:p>
        </w:tc>
        <w:tc>
          <w:tcPr>
            <w:tcW w:w="6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311,820</w:t>
            </w:r>
          </w:p>
        </w:tc>
      </w:tr>
      <w:tr>
        <w:trPr>
          <w:trHeight w:val="234"/>
        </w:trPr>
        <w:tc>
          <w:tcPr>
            <w:tcW w:w="3720" w:type="dxa"/>
            <w:vAlign w:val="bottom"/>
          </w:tcPr>
          <w:p>
            <w:pPr>
              <w:ind w:left="40"/>
              <w:spacing w:after="0"/>
              <w:rPr>
                <w:sz w:val="20"/>
                <w:szCs w:val="20"/>
                <w:color w:val="auto"/>
              </w:rPr>
            </w:pPr>
            <w:r>
              <w:rPr>
                <w:rFonts w:ascii="Arial" w:cs="Arial" w:eastAsia="Arial" w:hAnsi="Arial"/>
                <w:sz w:val="17"/>
                <w:szCs w:val="17"/>
                <w:color w:val="auto"/>
              </w:rPr>
              <w:t>2017</w:t>
            </w:r>
          </w:p>
        </w:tc>
        <w:tc>
          <w:tcPr>
            <w:tcW w:w="6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254,413</w:t>
            </w:r>
          </w:p>
        </w:tc>
      </w:tr>
      <w:tr>
        <w:trPr>
          <w:trHeight w:val="26"/>
        </w:trPr>
        <w:tc>
          <w:tcPr>
            <w:tcW w:w="37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Thereafter</w:t>
            </w:r>
          </w:p>
        </w:tc>
        <w:tc>
          <w:tcPr>
            <w:tcW w:w="6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1,384,196</w:t>
            </w:r>
          </w:p>
        </w:tc>
      </w:tr>
      <w:tr>
        <w:trPr>
          <w:trHeight w:val="227"/>
        </w:trPr>
        <w:tc>
          <w:tcPr>
            <w:tcW w:w="37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3,138,524</w:t>
            </w:r>
          </w:p>
        </w:tc>
      </w:tr>
      <w:tr>
        <w:trPr>
          <w:trHeight w:val="26"/>
        </w:trPr>
        <w:tc>
          <w:tcPr>
            <w:tcW w:w="37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37"/>
        </w:trPr>
        <w:tc>
          <w:tcPr>
            <w:tcW w:w="3720" w:type="dxa"/>
            <w:vAlign w:val="bottom"/>
          </w:tcPr>
          <w:p>
            <w:pPr>
              <w:spacing w:after="0"/>
              <w:rPr>
                <w:sz w:val="24"/>
                <w:szCs w:val="24"/>
                <w:color w:val="auto"/>
              </w:rPr>
            </w:pPr>
          </w:p>
        </w:tc>
        <w:tc>
          <w:tcPr>
            <w:tcW w:w="6520" w:type="dxa"/>
            <w:vAlign w:val="bottom"/>
            <w:gridSpan w:val="2"/>
          </w:tcPr>
          <w:p>
            <w:pPr>
              <w:jc w:val="right"/>
              <w:ind w:right="4273"/>
              <w:spacing w:after="0"/>
              <w:rPr>
                <w:sz w:val="20"/>
                <w:szCs w:val="20"/>
                <w:color w:val="auto"/>
              </w:rPr>
            </w:pPr>
            <w:r>
              <w:rPr>
                <w:rFonts w:ascii="Arial" w:cs="Arial" w:eastAsia="Arial" w:hAnsi="Arial"/>
                <w:sz w:val="17"/>
                <w:szCs w:val="17"/>
                <w:color w:val="auto"/>
              </w:rPr>
              <w:t>F-25</w:t>
            </w: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13—COMPONENTS OF RENTAL INCOME AND EXPENSE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principal components of rental income are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82"/>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7100" w:type="dxa"/>
            <w:vAlign w:val="bottom"/>
          </w:tcPr>
          <w:p>
            <w:pPr>
              <w:ind w:left="40"/>
              <w:spacing w:after="0"/>
              <w:rPr>
                <w:sz w:val="20"/>
                <w:szCs w:val="20"/>
                <w:color w:val="auto"/>
              </w:rPr>
            </w:pPr>
            <w:r>
              <w:rPr>
                <w:rFonts w:ascii="Arial" w:cs="Arial" w:eastAsia="Arial" w:hAnsi="Arial"/>
                <w:sz w:val="17"/>
                <w:szCs w:val="17"/>
                <w:color w:val="auto"/>
              </w:rPr>
              <w:t>Minimum rents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Retail and commercial</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422,894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392,657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378,836</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Residential (1)</w:t>
            </w:r>
          </w:p>
        </w:tc>
        <w:tc>
          <w:tcPr>
            <w:tcW w:w="32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27,611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23,101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21,583</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reimbursement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112,740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106,347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107,008</w:t>
            </w:r>
          </w:p>
        </w:tc>
        <w:tc>
          <w:tcPr>
            <w:tcW w:w="0" w:type="dxa"/>
            <w:vAlign w:val="bottom"/>
          </w:tcPr>
          <w:p>
            <w:pPr>
              <w:spacing w:after="0"/>
              <w:rPr>
                <w:sz w:val="1"/>
                <w:szCs w:val="1"/>
                <w:color w:val="auto"/>
              </w:rPr>
            </w:pP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color w:val="auto"/>
              </w:rPr>
              <w:t>Percentage rent</w:t>
            </w:r>
          </w:p>
        </w:tc>
        <w:tc>
          <w:tcPr>
            <w:tcW w:w="32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8,568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7,576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6,358</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10,522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9,020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8,866</w:t>
            </w:r>
          </w:p>
        </w:tc>
        <w:tc>
          <w:tcPr>
            <w:tcW w:w="0" w:type="dxa"/>
            <w:vAlign w:val="bottom"/>
          </w:tcPr>
          <w:p>
            <w:pPr>
              <w:spacing w:after="0"/>
              <w:rPr>
                <w:sz w:val="1"/>
                <w:szCs w:val="1"/>
                <w:color w:val="auto"/>
              </w:rPr>
            </w:pPr>
          </w:p>
        </w:tc>
      </w:tr>
      <w:tr>
        <w:trPr>
          <w:trHeight w:val="227"/>
        </w:trPr>
        <w:tc>
          <w:tcPr>
            <w:tcW w:w="7100" w:type="dxa"/>
            <w:vAlign w:val="bottom"/>
          </w:tcPr>
          <w:p>
            <w:pPr>
              <w:ind w:left="40"/>
              <w:spacing w:after="0"/>
              <w:rPr>
                <w:sz w:val="20"/>
                <w:szCs w:val="20"/>
                <w:color w:val="auto"/>
              </w:rPr>
            </w:pPr>
            <w:r>
              <w:rPr>
                <w:rFonts w:ascii="Arial" w:cs="Arial" w:eastAsia="Arial" w:hAnsi="Arial"/>
                <w:sz w:val="17"/>
                <w:szCs w:val="17"/>
                <w:color w:val="auto"/>
              </w:rPr>
              <w:t>Total rental income</w:t>
            </w:r>
          </w:p>
        </w:tc>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582,335</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538,701</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522,651</w:t>
            </w:r>
          </w:p>
        </w:tc>
        <w:tc>
          <w:tcPr>
            <w:tcW w:w="0" w:type="dxa"/>
            <w:vAlign w:val="bottom"/>
          </w:tcPr>
          <w:p>
            <w:pPr>
              <w:spacing w:after="0"/>
              <w:rPr>
                <w:sz w:val="1"/>
                <w:szCs w:val="1"/>
                <w:color w:val="auto"/>
              </w:rPr>
            </w:pPr>
          </w:p>
        </w:tc>
      </w:tr>
      <w:tr>
        <w:trPr>
          <w:trHeight w:val="26"/>
        </w:trPr>
        <w:tc>
          <w:tcPr>
            <w:tcW w:w="7100" w:type="dxa"/>
            <w:vAlign w:val="bottom"/>
            <w:vMerge w:val="restart"/>
          </w:tcPr>
          <w:p>
            <w:pPr>
              <w:spacing w:after="0"/>
              <w:rPr>
                <w:sz w:val="20"/>
                <w:szCs w:val="20"/>
                <w:color w:val="auto"/>
              </w:rPr>
            </w:pPr>
            <w:r>
              <w:rPr>
                <w:rFonts w:ascii="Arial" w:cs="Arial" w:eastAsia="Arial" w:hAnsi="Arial"/>
                <w:sz w:val="17"/>
                <w:szCs w:val="17"/>
                <w:color w:val="auto"/>
              </w:rPr>
              <w:t>_____________________</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20" w:right="240" w:hanging="616"/>
        <w:spacing w:after="0" w:line="271" w:lineRule="auto"/>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Residential minimum rents consist of the rental amounts for residential units at Rollingwood Apartments, The Crest at Congressional Plaza Apartments, Santana Row and Bethesda Row.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Minimum rents include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3"/>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2010</w:t>
            </w:r>
          </w:p>
        </w:tc>
      </w:tr>
      <w:tr>
        <w:trPr>
          <w:trHeight w:val="182"/>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6"/>
        </w:trPr>
        <w:tc>
          <w:tcPr>
            <w:tcW w:w="7100" w:type="dxa"/>
            <w:vAlign w:val="bottom"/>
          </w:tcPr>
          <w:p>
            <w:pPr>
              <w:ind w:left="40"/>
              <w:spacing w:after="0"/>
              <w:rPr>
                <w:sz w:val="20"/>
                <w:szCs w:val="20"/>
                <w:color w:val="auto"/>
              </w:rPr>
            </w:pPr>
            <w:r>
              <w:rPr>
                <w:rFonts w:ascii="Arial" w:cs="Arial" w:eastAsia="Arial" w:hAnsi="Arial"/>
                <w:sz w:val="17"/>
                <w:szCs w:val="17"/>
                <w:color w:val="auto"/>
              </w:rPr>
              <w:t>Straight-line rents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6.1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21"/>
                <w:szCs w:val="21"/>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4.6</w:t>
            </w: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amortization of above and below market leases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r>
      <w:tr>
        <w:trPr>
          <w:trHeight w:val="364"/>
        </w:trPr>
        <w:tc>
          <w:tcPr>
            <w:tcW w:w="7100" w:type="dxa"/>
            <w:vAlign w:val="bottom"/>
          </w:tcPr>
          <w:p>
            <w:pPr>
              <w:spacing w:after="0"/>
              <w:rPr>
                <w:sz w:val="20"/>
                <w:szCs w:val="20"/>
                <w:color w:val="auto"/>
              </w:rPr>
            </w:pPr>
            <w:r>
              <w:rPr>
                <w:rFonts w:ascii="Arial" w:cs="Arial" w:eastAsia="Arial" w:hAnsi="Arial"/>
                <w:sz w:val="17"/>
                <w:szCs w:val="17"/>
                <w:color w:val="auto"/>
              </w:rPr>
              <w:t>The principal components of rental expenses are as follows: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9"/>
        </w:trPr>
        <w:tc>
          <w:tcPr>
            <w:tcW w:w="7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53"/>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2010</w:t>
            </w:r>
          </w:p>
        </w:tc>
      </w:tr>
      <w:tr>
        <w:trPr>
          <w:trHeight w:val="188"/>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Repairs and maintenance</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41,616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41,977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42,278</w:t>
            </w: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color w:val="auto"/>
              </w:rPr>
              <w:t>Utilities</w:t>
            </w:r>
          </w:p>
        </w:tc>
        <w:tc>
          <w:tcPr>
            <w:tcW w:w="32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19,213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18,823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18,545</w:t>
            </w: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Management fees and costs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15,167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14,989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14,641</w:t>
            </w: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color w:val="auto"/>
              </w:rPr>
              <w:t>Payroll</w:t>
            </w:r>
          </w:p>
        </w:tc>
        <w:tc>
          <w:tcPr>
            <w:tcW w:w="32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8,704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8,080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7,909</w:t>
            </w: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Bad debt expense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6,396</w:t>
            </w: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color w:val="auto"/>
              </w:rPr>
              <w:t>Ground rent</w:t>
            </w:r>
          </w:p>
        </w:tc>
        <w:tc>
          <w:tcPr>
            <w:tcW w:w="32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2,189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2,047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3,049</w:t>
            </w: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Insurance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6,298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5,282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5,054</w:t>
            </w: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color w:val="auto"/>
              </w:rPr>
              <w:t>Marketing</w:t>
            </w:r>
          </w:p>
        </w:tc>
        <w:tc>
          <w:tcPr>
            <w:tcW w:w="32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7,321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6,868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4,789</w:t>
            </w: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operating</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10,101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8,834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7,858</w:t>
            </w:r>
          </w:p>
        </w:tc>
      </w:tr>
      <w:tr>
        <w:trPr>
          <w:trHeight w:val="227"/>
        </w:trPr>
        <w:tc>
          <w:tcPr>
            <w:tcW w:w="7100" w:type="dxa"/>
            <w:vAlign w:val="bottom"/>
          </w:tcPr>
          <w:p>
            <w:pPr>
              <w:ind w:left="40"/>
              <w:spacing w:after="0"/>
              <w:rPr>
                <w:sz w:val="20"/>
                <w:szCs w:val="20"/>
                <w:color w:val="auto"/>
              </w:rPr>
            </w:pPr>
            <w:r>
              <w:rPr>
                <w:rFonts w:ascii="Arial" w:cs="Arial" w:eastAsia="Arial" w:hAnsi="Arial"/>
                <w:sz w:val="17"/>
                <w:szCs w:val="17"/>
                <w:color w:val="auto"/>
              </w:rPr>
              <w:t>Total rental expenses</w:t>
            </w:r>
          </w:p>
        </w:tc>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112,760</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109,549</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110,519</w:t>
            </w:r>
          </w:p>
        </w:tc>
      </w:tr>
      <w:tr>
        <w:trPr>
          <w:trHeight w:val="26"/>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14—DISCONTINUED OPERATIONS</w:t>
      </w:r>
    </w:p>
    <w:p>
      <w:pPr>
        <w:spacing w:after="0" w:line="97" w:lineRule="exact"/>
        <w:rPr>
          <w:sz w:val="20"/>
          <w:szCs w:val="20"/>
          <w:color w:val="auto"/>
        </w:rPr>
      </w:pPr>
    </w:p>
    <w:p>
      <w:pPr>
        <w:ind w:right="160"/>
        <w:spacing w:after="0" w:line="356" w:lineRule="auto"/>
        <w:rPr>
          <w:sz w:val="20"/>
          <w:szCs w:val="20"/>
          <w:color w:val="auto"/>
        </w:rPr>
      </w:pPr>
      <w:r>
        <w:rPr>
          <w:rFonts w:ascii="Arial" w:cs="Arial" w:eastAsia="Arial" w:hAnsi="Arial"/>
          <w:sz w:val="15"/>
          <w:szCs w:val="15"/>
          <w:color w:val="auto"/>
        </w:rPr>
        <w:t>Results of properties disposed or held for disposal which meet certain requirements, constitute discontinued operations and as such, the operations of these properties are classified as discontinued operations for all periods presented. A summary of the financial information for the discontinued operations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3"/>
        </w:trPr>
        <w:tc>
          <w:tcPr>
            <w:tcW w:w="4140" w:type="dxa"/>
            <w:vAlign w:val="bottom"/>
          </w:tcPr>
          <w:p>
            <w:pPr>
              <w:spacing w:after="0"/>
              <w:rPr>
                <w:sz w:val="22"/>
                <w:szCs w:val="22"/>
                <w:color w:val="auto"/>
              </w:rPr>
            </w:pPr>
          </w:p>
        </w:tc>
        <w:tc>
          <w:tcPr>
            <w:tcW w:w="3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center"/>
              <w:ind w:right="242"/>
              <w:spacing w:after="0"/>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22"/>
                <w:szCs w:val="22"/>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2010</w:t>
            </w:r>
          </w:p>
        </w:tc>
      </w:tr>
      <w:tr>
        <w:trPr>
          <w:trHeight w:val="182"/>
        </w:trPr>
        <w:tc>
          <w:tcPr>
            <w:tcW w:w="41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89"/>
              </w:rPr>
              <w:t>(in millions)</w:t>
            </w: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246"/>
        </w:trPr>
        <w:tc>
          <w:tcPr>
            <w:tcW w:w="4140" w:type="dxa"/>
            <w:vAlign w:val="bottom"/>
          </w:tcPr>
          <w:p>
            <w:pPr>
              <w:ind w:left="40"/>
              <w:spacing w:after="0"/>
              <w:rPr>
                <w:sz w:val="20"/>
                <w:szCs w:val="20"/>
                <w:color w:val="auto"/>
              </w:rPr>
            </w:pPr>
            <w:r>
              <w:rPr>
                <w:rFonts w:ascii="Arial" w:cs="Arial" w:eastAsia="Arial" w:hAnsi="Arial"/>
                <w:sz w:val="17"/>
                <w:szCs w:val="17"/>
                <w:color w:val="auto"/>
              </w:rPr>
              <w:t>Revenue from discontinued operations</w:t>
            </w:r>
          </w:p>
        </w:tc>
        <w:tc>
          <w:tcPr>
            <w:tcW w:w="392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22"/>
              <w:spacing w:after="0"/>
              <w:rPr>
                <w:sz w:val="20"/>
                <w:szCs w:val="20"/>
                <w:color w:val="auto"/>
              </w:rPr>
            </w:pPr>
            <w:r>
              <w:rPr>
                <w:rFonts w:ascii="Arial" w:cs="Arial" w:eastAsia="Arial" w:hAnsi="Arial"/>
                <w:sz w:val="17"/>
                <w:szCs w:val="17"/>
                <w:color w:val="auto"/>
              </w:rPr>
              <w:t>2.3</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9"/>
              <w:spacing w:after="0"/>
              <w:rPr>
                <w:sz w:val="20"/>
                <w:szCs w:val="20"/>
                <w:color w:val="auto"/>
              </w:rPr>
            </w:pPr>
            <w:r>
              <w:rPr>
                <w:rFonts w:ascii="Arial" w:cs="Arial" w:eastAsia="Arial" w:hAnsi="Arial"/>
                <w:sz w:val="17"/>
                <w:szCs w:val="17"/>
                <w:color w:val="auto"/>
              </w:rPr>
              <w:t>3.5</w:t>
            </w:r>
          </w:p>
        </w:tc>
      </w:tr>
      <w:tr>
        <w:trPr>
          <w:trHeight w:val="26"/>
        </w:trPr>
        <w:tc>
          <w:tcPr>
            <w:tcW w:w="4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discontinued operations</w:t>
            </w:r>
          </w:p>
        </w:tc>
        <w:tc>
          <w:tcPr>
            <w:tcW w:w="392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7"/>
                <w:szCs w:val="17"/>
                <w:color w:val="auto"/>
              </w:rPr>
              <w:t>1.0</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w:t>
            </w:r>
          </w:p>
        </w:tc>
      </w:tr>
      <w:tr>
        <w:trPr>
          <w:trHeight w:val="650"/>
        </w:trPr>
        <w:tc>
          <w:tcPr>
            <w:tcW w:w="4140" w:type="dxa"/>
            <w:vAlign w:val="bottom"/>
          </w:tcPr>
          <w:p>
            <w:pPr>
              <w:spacing w:after="0"/>
              <w:rPr>
                <w:sz w:val="24"/>
                <w:szCs w:val="24"/>
                <w:color w:val="auto"/>
              </w:rPr>
            </w:pPr>
          </w:p>
        </w:tc>
        <w:tc>
          <w:tcPr>
            <w:tcW w:w="3920" w:type="dxa"/>
            <w:vAlign w:val="bottom"/>
            <w:gridSpan w:val="2"/>
          </w:tcPr>
          <w:p>
            <w:pPr>
              <w:jc w:val="right"/>
              <w:ind w:right="2180"/>
              <w:spacing w:after="0"/>
              <w:rPr>
                <w:sz w:val="20"/>
                <w:szCs w:val="20"/>
                <w:color w:val="auto"/>
              </w:rPr>
            </w:pPr>
            <w:r>
              <w:rPr>
                <w:rFonts w:ascii="Arial" w:cs="Arial" w:eastAsia="Arial" w:hAnsi="Arial"/>
                <w:sz w:val="17"/>
                <w:szCs w:val="17"/>
                <w:color w:val="auto"/>
              </w:rPr>
              <w:t>F-26</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15—SHARE-BASED COMPENSATION PLANS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 summary of share-based compensation expense included in net income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3"/>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2011</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2010</w:t>
            </w:r>
          </w:p>
        </w:tc>
      </w:tr>
      <w:tr>
        <w:trPr>
          <w:trHeight w:val="182"/>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218"/>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6"/>
        </w:trPr>
        <w:tc>
          <w:tcPr>
            <w:tcW w:w="7100" w:type="dxa"/>
            <w:vAlign w:val="bottom"/>
          </w:tcPr>
          <w:p>
            <w:pPr>
              <w:ind w:left="40"/>
              <w:spacing w:after="0"/>
              <w:rPr>
                <w:sz w:val="20"/>
                <w:szCs w:val="20"/>
                <w:color w:val="auto"/>
              </w:rPr>
            </w:pPr>
            <w:r>
              <w:rPr>
                <w:rFonts w:ascii="Arial" w:cs="Arial" w:eastAsia="Arial" w:hAnsi="Arial"/>
                <w:sz w:val="17"/>
                <w:szCs w:val="17"/>
                <w:color w:val="auto"/>
              </w:rPr>
              <w:t>Share-based compensation incurred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Grants of common shares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9,846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7,308</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5,232</w:t>
            </w:r>
          </w:p>
        </w:tc>
      </w:tr>
      <w:tr>
        <w:trPr>
          <w:trHeight w:val="234"/>
        </w:trPr>
        <w:tc>
          <w:tcPr>
            <w:tcW w:w="7100" w:type="dxa"/>
            <w:vAlign w:val="bottom"/>
          </w:tcPr>
          <w:p>
            <w:pPr>
              <w:ind w:left="360"/>
              <w:spacing w:after="0"/>
              <w:rPr>
                <w:sz w:val="20"/>
                <w:szCs w:val="20"/>
                <w:color w:val="auto"/>
              </w:rPr>
            </w:pPr>
            <w:r>
              <w:rPr>
                <w:rFonts w:ascii="Arial" w:cs="Arial" w:eastAsia="Arial" w:hAnsi="Arial"/>
                <w:sz w:val="17"/>
                <w:szCs w:val="17"/>
                <w:color w:val="auto"/>
              </w:rPr>
              <w:t>Grants of options</w:t>
            </w:r>
          </w:p>
        </w:tc>
        <w:tc>
          <w:tcPr>
            <w:tcW w:w="32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525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18"/>
              <w:spacing w:after="0"/>
              <w:rPr>
                <w:sz w:val="20"/>
                <w:szCs w:val="20"/>
                <w:color w:val="auto"/>
              </w:rPr>
            </w:pPr>
            <w:r>
              <w:rPr>
                <w:rFonts w:ascii="Arial" w:cs="Arial" w:eastAsia="Arial" w:hAnsi="Arial"/>
                <w:sz w:val="17"/>
                <w:szCs w:val="17"/>
                <w:color w:val="auto"/>
              </w:rPr>
              <w:t>939</w:t>
            </w:r>
          </w:p>
        </w:tc>
        <w:tc>
          <w:tcPr>
            <w:tcW w:w="34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1,255</w:t>
            </w: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7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10,371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8,247</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6,487</w:t>
            </w:r>
          </w:p>
        </w:tc>
      </w:tr>
      <w:tr>
        <w:trPr>
          <w:trHeight w:val="234"/>
        </w:trPr>
        <w:tc>
          <w:tcPr>
            <w:tcW w:w="7100" w:type="dxa"/>
            <w:vAlign w:val="bottom"/>
          </w:tcPr>
          <w:p>
            <w:pPr>
              <w:ind w:left="40"/>
              <w:spacing w:after="0"/>
              <w:rPr>
                <w:sz w:val="20"/>
                <w:szCs w:val="20"/>
                <w:color w:val="auto"/>
              </w:rPr>
            </w:pPr>
            <w:r>
              <w:rPr>
                <w:rFonts w:ascii="Arial" w:cs="Arial" w:eastAsia="Arial" w:hAnsi="Arial"/>
                <w:sz w:val="17"/>
                <w:szCs w:val="17"/>
                <w:color w:val="auto"/>
              </w:rPr>
              <w:t>Capitalized share-based compensation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58"/>
              <w:spacing w:after="0"/>
              <w:rPr>
                <w:sz w:val="20"/>
                <w:szCs w:val="20"/>
                <w:color w:val="auto"/>
              </w:rPr>
            </w:pPr>
            <w:r>
              <w:rPr>
                <w:rFonts w:ascii="Arial" w:cs="Arial" w:eastAsia="Arial" w:hAnsi="Arial"/>
                <w:sz w:val="17"/>
                <w:szCs w:val="17"/>
                <w:color w:val="auto"/>
              </w:rPr>
              <w:t>(663)</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(745)</w:t>
            </w:r>
          </w:p>
        </w:tc>
      </w:tr>
      <w:tr>
        <w:trPr>
          <w:trHeight w:val="26"/>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8"/>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Share-based compensation expense</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9,463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7,584</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5,742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As of December 31, 2012, we have grants outstanding under two share-based compensation plans. In May 2010, our shareholders approved the 2010 Performance Incentive Plan, as amended (“the 2010 Plan”), which authorized the grant of share options, common shares and other share-based awards for up to 2,450,000 common shares of beneficial interest. Our 2001 Long Term Incentive Plan (the “2001 Plan”), which expired in May 2010, authorized the grant of share options, common shares and other share-based awards of 3,250,000 common shares of beneficial interest.</w:t>
      </w:r>
    </w:p>
    <w:p>
      <w:pPr>
        <w:spacing w:after="0" w:line="125"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Option awards under both plans are required to have an exercise price at least equal to the closing trading price of our common shares on the date of grant. Options and restricted share awards under these plans generally vest over three to six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 or upon termination without cause.</w:t>
      </w:r>
    </w:p>
    <w:p>
      <w:pPr>
        <w:spacing w:after="0" w:line="10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2012 and 2011.</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weighted-average assumption used to value options in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91"/>
              </w:rPr>
              <w:t>Year Ended December</w:t>
            </w: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40"/>
        </w:trPr>
        <w:tc>
          <w:tcPr>
            <w:tcW w:w="46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39"/>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Volatility</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34"/>
        </w:trPr>
        <w:tc>
          <w:tcPr>
            <w:tcW w:w="5020" w:type="dxa"/>
            <w:vAlign w:val="bottom"/>
            <w:gridSpan w:val="2"/>
          </w:tcPr>
          <w:p>
            <w:pPr>
              <w:ind w:left="40"/>
              <w:spacing w:after="0"/>
              <w:rPr>
                <w:sz w:val="20"/>
                <w:szCs w:val="20"/>
                <w:color w:val="auto"/>
              </w:rPr>
            </w:pPr>
            <w:r>
              <w:rPr>
                <w:rFonts w:ascii="Arial" w:cs="Arial" w:eastAsia="Arial" w:hAnsi="Arial"/>
                <w:sz w:val="17"/>
                <w:szCs w:val="17"/>
                <w:color w:val="auto"/>
              </w:rPr>
              <w:t>Expected dividend yield</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Expected term (in years)</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34"/>
        </w:trPr>
        <w:tc>
          <w:tcPr>
            <w:tcW w:w="5020" w:type="dxa"/>
            <w:vAlign w:val="bottom"/>
            <w:gridSpan w:val="2"/>
          </w:tcPr>
          <w:p>
            <w:pPr>
              <w:ind w:left="40"/>
              <w:spacing w:after="0"/>
              <w:rPr>
                <w:sz w:val="20"/>
                <w:szCs w:val="20"/>
                <w:color w:val="auto"/>
              </w:rPr>
            </w:pPr>
            <w:r>
              <w:rPr>
                <w:rFonts w:ascii="Arial" w:cs="Arial" w:eastAsia="Arial" w:hAnsi="Arial"/>
                <w:sz w:val="17"/>
                <w:szCs w:val="17"/>
                <w:color w:val="auto"/>
              </w:rPr>
              <w:t>Risk free interest rate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390"/>
        </w:trPr>
        <w:tc>
          <w:tcPr>
            <w:tcW w:w="5020" w:type="dxa"/>
            <w:vAlign w:val="bottom"/>
            <w:gridSpan w:val="2"/>
          </w:tcPr>
          <w:p>
            <w:pPr>
              <w:spacing w:after="0"/>
              <w:rPr>
                <w:sz w:val="20"/>
                <w:szCs w:val="20"/>
                <w:color w:val="auto"/>
              </w:rPr>
            </w:pPr>
            <w:r>
              <w:rPr>
                <w:rFonts w:ascii="Arial" w:cs="Arial" w:eastAsia="Arial" w:hAnsi="Arial"/>
                <w:sz w:val="17"/>
                <w:szCs w:val="17"/>
                <w:color w:val="auto"/>
              </w:rPr>
              <w:t>The following table provides a summary of option activity for 2012:</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120" w:type="dxa"/>
            <w:vAlign w:val="bottom"/>
          </w:tcPr>
          <w:p>
            <w:pPr>
              <w:jc w:val="center"/>
              <w:ind w:left="423"/>
              <w:spacing w:after="0"/>
              <w:rPr>
                <w:sz w:val="20"/>
                <w:szCs w:val="20"/>
                <w:color w:val="auto"/>
              </w:rPr>
            </w:pPr>
            <w:r>
              <w:rPr>
                <w:rFonts w:ascii="Arial" w:cs="Arial" w:eastAsia="Arial" w:hAnsi="Arial"/>
                <w:sz w:val="14"/>
                <w:szCs w:val="14"/>
                <w:b w:val="1"/>
                <w:bCs w:val="1"/>
                <w:color w:val="auto"/>
                <w:w w:val="91"/>
              </w:rPr>
              <w:t>Weighted-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3"/>
        </w:trPr>
        <w:tc>
          <w:tcPr>
            <w:tcW w:w="4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20" w:type="dxa"/>
            <w:vAlign w:val="bottom"/>
          </w:tcPr>
          <w:p>
            <w:pPr>
              <w:jc w:val="center"/>
              <w:ind w:left="423"/>
              <w:spacing w:after="0" w:line="143"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ind w:left="280"/>
              <w:spacing w:after="0" w:line="143" w:lineRule="exact"/>
              <w:rPr>
                <w:sz w:val="20"/>
                <w:szCs w:val="20"/>
                <w:color w:val="auto"/>
              </w:rPr>
            </w:pPr>
            <w:r>
              <w:rPr>
                <w:rFonts w:ascii="Arial" w:cs="Arial" w:eastAsia="Arial" w:hAnsi="Arial"/>
                <w:sz w:val="14"/>
                <w:szCs w:val="14"/>
                <w:b w:val="1"/>
                <w:bCs w:val="1"/>
                <w:color w:val="auto"/>
              </w:rPr>
              <w:t>Under</w:t>
            </w:r>
          </w:p>
        </w:tc>
        <w:tc>
          <w:tcPr>
            <w:tcW w:w="1120" w:type="dxa"/>
            <w:vAlign w:val="bottom"/>
          </w:tcPr>
          <w:p>
            <w:pPr>
              <w:jc w:val="center"/>
              <w:ind w:left="423"/>
              <w:spacing w:after="0" w:line="143" w:lineRule="exact"/>
              <w:rPr>
                <w:sz w:val="20"/>
                <w:szCs w:val="20"/>
                <w:color w:val="auto"/>
              </w:rPr>
            </w:pPr>
            <w:r>
              <w:rPr>
                <w:rFonts w:ascii="Arial" w:cs="Arial" w:eastAsia="Arial" w:hAnsi="Arial"/>
                <w:sz w:val="14"/>
                <w:szCs w:val="14"/>
                <w:b w:val="1"/>
                <w:bCs w:val="1"/>
                <w:color w:val="auto"/>
                <w:w w:val="86"/>
              </w:rPr>
              <w:t>Exercise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3"/>
              <w:spacing w:after="0" w:line="143"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Option</w:t>
            </w:r>
          </w:p>
        </w:tc>
        <w:tc>
          <w:tcPr>
            <w:tcW w:w="1120" w:type="dxa"/>
            <w:vAlign w:val="bottom"/>
          </w:tcPr>
          <w:p>
            <w:pPr>
              <w:jc w:val="center"/>
              <w:ind w:left="423"/>
              <w:spacing w:after="0"/>
              <w:rPr>
                <w:sz w:val="20"/>
                <w:szCs w:val="20"/>
                <w:color w:val="auto"/>
              </w:rPr>
            </w:pPr>
            <w:r>
              <w:rPr>
                <w:rFonts w:ascii="Arial" w:cs="Arial" w:eastAsia="Arial" w:hAnsi="Arial"/>
                <w:sz w:val="14"/>
                <w:szCs w:val="14"/>
                <w:b w:val="1"/>
                <w:bCs w:val="1"/>
                <w:color w:val="auto"/>
                <w:w w:val="87"/>
              </w:rPr>
              <w:t>Price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Contractual Term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8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46"/>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Outstanding at December 31, 2011</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517,653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4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61.08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40"/>
              <w:spacing w:after="0"/>
              <w:rPr>
                <w:sz w:val="20"/>
                <w:szCs w:val="20"/>
                <w:color w:val="auto"/>
              </w:rPr>
            </w:pPr>
            <w:r>
              <w:rPr>
                <w:rFonts w:ascii="Arial" w:cs="Arial" w:eastAsia="Arial" w:hAnsi="Arial"/>
                <w:sz w:val="17"/>
                <w:szCs w:val="17"/>
                <w:color w:val="auto"/>
              </w:rPr>
              <w:t>Granted</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(97,430)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58.46</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40"/>
              <w:spacing w:after="0"/>
              <w:rPr>
                <w:sz w:val="20"/>
                <w:szCs w:val="20"/>
                <w:color w:val="auto"/>
              </w:rPr>
            </w:pPr>
            <w:r>
              <w:rPr>
                <w:rFonts w:ascii="Arial" w:cs="Arial" w:eastAsia="Arial" w:hAnsi="Arial"/>
                <w:sz w:val="17"/>
                <w:szCs w:val="17"/>
                <w:color w:val="auto"/>
              </w:rPr>
              <w:t>Forfeited or expired</w:t>
            </w:r>
          </w:p>
        </w:tc>
        <w:tc>
          <w:tcPr>
            <w:tcW w:w="1280" w:type="dxa"/>
            <w:vAlign w:val="bottom"/>
          </w:tcPr>
          <w:p>
            <w:pPr>
              <w:jc w:val="right"/>
              <w:spacing w:after="0"/>
              <w:rPr>
                <w:sz w:val="20"/>
                <w:szCs w:val="20"/>
                <w:color w:val="auto"/>
              </w:rPr>
            </w:pPr>
            <w:r>
              <w:rPr>
                <w:rFonts w:ascii="Arial" w:cs="Arial" w:eastAsia="Arial" w:hAnsi="Arial"/>
                <w:sz w:val="17"/>
                <w:szCs w:val="17"/>
                <w:color w:val="auto"/>
              </w:rPr>
              <w:t>(29,334)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jc w:val="right"/>
              <w:ind w:right="33"/>
              <w:spacing w:after="0"/>
              <w:rPr>
                <w:sz w:val="20"/>
                <w:szCs w:val="20"/>
                <w:color w:val="auto"/>
              </w:rPr>
            </w:pPr>
            <w:r>
              <w:rPr>
                <w:rFonts w:ascii="Arial" w:cs="Arial" w:eastAsia="Arial" w:hAnsi="Arial"/>
                <w:sz w:val="17"/>
                <w:szCs w:val="17"/>
                <w:color w:val="auto"/>
                <w:w w:val="84"/>
              </w:rPr>
              <w:t>44.61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 at December 31, 2012</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390,889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4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62.96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16,048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80" w:type="dxa"/>
            <w:vAlign w:val="bottom"/>
          </w:tcPr>
          <w:p>
            <w:pPr>
              <w:ind w:left="40"/>
              <w:spacing w:after="0"/>
              <w:rPr>
                <w:sz w:val="20"/>
                <w:szCs w:val="20"/>
                <w:color w:val="auto"/>
              </w:rPr>
            </w:pPr>
            <w:r>
              <w:rPr>
                <w:rFonts w:ascii="Arial" w:cs="Arial" w:eastAsia="Arial" w:hAnsi="Arial"/>
                <w:sz w:val="17"/>
                <w:szCs w:val="17"/>
                <w:color w:val="auto"/>
              </w:rPr>
              <w:t>Exercisable at December 31, 2012</w:t>
            </w:r>
          </w:p>
        </w:tc>
        <w:tc>
          <w:tcPr>
            <w:tcW w:w="3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7"/>
                <w:szCs w:val="17"/>
                <w:color w:val="auto"/>
              </w:rPr>
              <w:t>293,946</w:t>
            </w:r>
          </w:p>
        </w:tc>
        <w:tc>
          <w:tcPr>
            <w:tcW w:w="120" w:type="dxa"/>
            <w:vAlign w:val="bottom"/>
          </w:tcPr>
          <w:p>
            <w:pPr>
              <w:spacing w:after="0"/>
              <w:rPr>
                <w:sz w:val="18"/>
                <w:szCs w:val="18"/>
                <w:color w:val="auto"/>
              </w:rPr>
            </w:pPr>
          </w:p>
        </w:tc>
        <w:tc>
          <w:tcPr>
            <w:tcW w:w="1120" w:type="dxa"/>
            <w:vAlign w:val="bottom"/>
          </w:tcPr>
          <w:p>
            <w:pPr>
              <w:jc w:val="right"/>
              <w:ind w:right="943"/>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ind w:right="33"/>
              <w:spacing w:after="0"/>
              <w:rPr>
                <w:sz w:val="20"/>
                <w:szCs w:val="20"/>
                <w:color w:val="auto"/>
              </w:rPr>
            </w:pPr>
            <w:r>
              <w:rPr>
                <w:rFonts w:ascii="Arial" w:cs="Arial" w:eastAsia="Arial" w:hAnsi="Arial"/>
                <w:sz w:val="17"/>
                <w:szCs w:val="17"/>
                <w:color w:val="auto"/>
                <w:w w:val="84"/>
              </w:rPr>
              <w:t>65.66</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23"/>
              <w:spacing w:after="0"/>
              <w:rPr>
                <w:sz w:val="20"/>
                <w:szCs w:val="20"/>
                <w:color w:val="auto"/>
              </w:rPr>
            </w:pPr>
            <w:r>
              <w:rPr>
                <w:rFonts w:ascii="Arial" w:cs="Arial" w:eastAsia="Arial" w:hAnsi="Arial"/>
                <w:sz w:val="17"/>
                <w:szCs w:val="17"/>
                <w:color w:val="auto"/>
              </w:rPr>
              <w:t>11,276</w:t>
            </w: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weighted-average grant-date fair value of options granted during 2010 was $11.77 per share. The total cash received from options exercised during 2012, 2011 and 2010 was $5.7 million, $15.2 million and $4.2 million, respectively. The total intrinsic value of options exercised during the year ended December 31, 2012, 2011 and 2010 was $4.2 million, $5.6 million and $4.2 million, respectively.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restricted share activity for 2012: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43"/>
        </w:trPr>
        <w:tc>
          <w:tcPr>
            <w:tcW w:w="8120" w:type="dxa"/>
            <w:vAlign w:val="bottom"/>
          </w:tcPr>
          <w:p>
            <w:pPr>
              <w:spacing w:after="0"/>
              <w:rPr>
                <w:sz w:val="12"/>
                <w:szCs w:val="12"/>
                <w:color w:val="auto"/>
              </w:rPr>
            </w:pPr>
          </w:p>
        </w:tc>
        <w:tc>
          <w:tcPr>
            <w:tcW w:w="162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00"/>
              <w:spacing w:after="0" w:line="143" w:lineRule="exact"/>
              <w:rPr>
                <w:sz w:val="20"/>
                <w:szCs w:val="20"/>
                <w:color w:val="auto"/>
              </w:rPr>
            </w:pPr>
            <w:r>
              <w:rPr>
                <w:rFonts w:ascii="Arial" w:cs="Arial" w:eastAsia="Arial" w:hAnsi="Arial"/>
                <w:sz w:val="14"/>
                <w:szCs w:val="14"/>
                <w:b w:val="1"/>
                <w:bCs w:val="1"/>
                <w:color w:val="auto"/>
                <w:w w:val="96"/>
              </w:rPr>
              <w:t>Grant-Date Fair</w:t>
            </w:r>
          </w:p>
        </w:tc>
        <w:tc>
          <w:tcPr>
            <w:tcW w:w="0" w:type="dxa"/>
            <w:vAlign w:val="bottom"/>
          </w:tcPr>
          <w:p>
            <w:pPr>
              <w:spacing w:after="0"/>
              <w:rPr>
                <w:sz w:val="1"/>
                <w:szCs w:val="1"/>
                <w:color w:val="auto"/>
              </w:rPr>
            </w:pPr>
          </w:p>
        </w:tc>
      </w:tr>
      <w:tr>
        <w:trPr>
          <w:trHeight w:val="186"/>
        </w:trPr>
        <w:tc>
          <w:tcPr>
            <w:tcW w:w="8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Unvested at December 31, 2011</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282,837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74.00</w:t>
            </w:r>
          </w:p>
        </w:tc>
        <w:tc>
          <w:tcPr>
            <w:tcW w:w="0" w:type="dxa"/>
            <w:vAlign w:val="bottom"/>
          </w:tcPr>
          <w:p>
            <w:pPr>
              <w:spacing w:after="0"/>
              <w:rPr>
                <w:sz w:val="1"/>
                <w:szCs w:val="1"/>
                <w:color w:val="auto"/>
              </w:rPr>
            </w:pPr>
          </w:p>
        </w:tc>
      </w:tr>
      <w:tr>
        <w:trPr>
          <w:trHeight w:val="234"/>
        </w:trPr>
        <w:tc>
          <w:tcPr>
            <w:tcW w:w="8120" w:type="dxa"/>
            <w:vAlign w:val="bottom"/>
          </w:tcPr>
          <w:p>
            <w:pPr>
              <w:ind w:left="40"/>
              <w:spacing w:after="0"/>
              <w:rPr>
                <w:sz w:val="20"/>
                <w:szCs w:val="20"/>
                <w:color w:val="auto"/>
              </w:rPr>
            </w:pPr>
            <w:r>
              <w:rPr>
                <w:rFonts w:ascii="Arial" w:cs="Arial" w:eastAsia="Arial" w:hAnsi="Arial"/>
                <w:sz w:val="17"/>
                <w:szCs w:val="17"/>
                <w:color w:val="auto"/>
              </w:rPr>
              <w:t>Granted</w:t>
            </w:r>
          </w:p>
        </w:tc>
        <w:tc>
          <w:tcPr>
            <w:tcW w:w="1620" w:type="dxa"/>
            <w:vAlign w:val="bottom"/>
          </w:tcPr>
          <w:p>
            <w:pPr>
              <w:jc w:val="right"/>
              <w:ind w:right="36"/>
              <w:spacing w:after="0"/>
              <w:rPr>
                <w:sz w:val="20"/>
                <w:szCs w:val="20"/>
                <w:color w:val="auto"/>
              </w:rPr>
            </w:pPr>
            <w:r>
              <w:rPr>
                <w:rFonts w:ascii="Arial" w:cs="Arial" w:eastAsia="Arial" w:hAnsi="Arial"/>
                <w:sz w:val="17"/>
                <w:szCs w:val="17"/>
                <w:color w:val="auto"/>
              </w:rPr>
              <w:t>126,169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7"/>
                <w:szCs w:val="17"/>
                <w:color w:val="auto"/>
              </w:rPr>
              <w:t>96.35</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(106,804)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72.78</w:t>
            </w:r>
          </w:p>
        </w:tc>
        <w:tc>
          <w:tcPr>
            <w:tcW w:w="0" w:type="dxa"/>
            <w:vAlign w:val="bottom"/>
          </w:tcPr>
          <w:p>
            <w:pPr>
              <w:spacing w:after="0"/>
              <w:rPr>
                <w:sz w:val="1"/>
                <w:szCs w:val="1"/>
                <w:color w:val="auto"/>
              </w:rPr>
            </w:pPr>
          </w:p>
        </w:tc>
      </w:tr>
      <w:tr>
        <w:trPr>
          <w:trHeight w:val="234"/>
        </w:trPr>
        <w:tc>
          <w:tcPr>
            <w:tcW w:w="8120" w:type="dxa"/>
            <w:vAlign w:val="bottom"/>
          </w:tcPr>
          <w:p>
            <w:pPr>
              <w:ind w:left="40"/>
              <w:spacing w:after="0"/>
              <w:rPr>
                <w:sz w:val="20"/>
                <w:szCs w:val="20"/>
                <w:color w:val="auto"/>
              </w:rPr>
            </w:pPr>
            <w:r>
              <w:rPr>
                <w:rFonts w:ascii="Arial" w:cs="Arial" w:eastAsia="Arial" w:hAnsi="Arial"/>
                <w:sz w:val="17"/>
                <w:szCs w:val="17"/>
                <w:color w:val="auto"/>
              </w:rPr>
              <w:t>Forfeited</w:t>
            </w:r>
          </w:p>
        </w:tc>
        <w:tc>
          <w:tcPr>
            <w:tcW w:w="1620" w:type="dxa"/>
            <w:vAlign w:val="bottom"/>
          </w:tcPr>
          <w:p>
            <w:pPr>
              <w:jc w:val="right"/>
              <w:spacing w:after="0"/>
              <w:rPr>
                <w:sz w:val="20"/>
                <w:szCs w:val="20"/>
                <w:color w:val="auto"/>
              </w:rPr>
            </w:pPr>
            <w:r>
              <w:rPr>
                <w:rFonts w:ascii="Arial" w:cs="Arial" w:eastAsia="Arial" w:hAnsi="Arial"/>
                <w:sz w:val="17"/>
                <w:szCs w:val="17"/>
                <w:color w:val="auto"/>
              </w:rPr>
              <w:t>(14,522)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7"/>
                <w:szCs w:val="17"/>
                <w:color w:val="auto"/>
              </w:rPr>
              <w:t>53.76</w:t>
            </w:r>
          </w:p>
        </w:tc>
        <w:tc>
          <w:tcPr>
            <w:tcW w:w="0" w:type="dxa"/>
            <w:vAlign w:val="bottom"/>
          </w:tcPr>
          <w:p>
            <w:pPr>
              <w:spacing w:after="0"/>
              <w:rPr>
                <w:sz w:val="1"/>
                <w:szCs w:val="1"/>
                <w:color w:val="auto"/>
              </w:rPr>
            </w:pPr>
          </w:p>
        </w:tc>
      </w:tr>
      <w:tr>
        <w:trPr>
          <w:trHeight w:val="26"/>
        </w:trPr>
        <w:tc>
          <w:tcPr>
            <w:tcW w:w="8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Unvested at December 31, 2012</w:t>
            </w:r>
          </w:p>
        </w:tc>
        <w:tc>
          <w:tcPr>
            <w:tcW w:w="1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287,680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85.28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100"/>
        <w:spacing w:after="0" w:line="319" w:lineRule="auto"/>
        <w:rPr>
          <w:sz w:val="20"/>
          <w:szCs w:val="20"/>
          <w:color w:val="auto"/>
        </w:rPr>
      </w:pPr>
      <w:r>
        <w:rPr>
          <w:rFonts w:ascii="Arial" w:cs="Arial" w:eastAsia="Arial" w:hAnsi="Arial"/>
          <w:sz w:val="16"/>
          <w:szCs w:val="16"/>
          <w:color w:val="auto"/>
        </w:rPr>
        <w:t>The weighted-average grant-date fair value of stock awarded in 2012, 2011 and 2010 was $96.35, $81.94 and $73.51, respectively. The total vesting-date fair value of shares vested during the year ended December 31, 2012, 2011 and 2010, was $10.3 million, $6.3 million and $4.3 million, respectively.</w:t>
      </w:r>
    </w:p>
    <w:p>
      <w:pPr>
        <w:spacing w:after="0" w:line="83" w:lineRule="exact"/>
        <w:rPr>
          <w:sz w:val="20"/>
          <w:szCs w:val="20"/>
          <w:color w:val="auto"/>
        </w:rPr>
      </w:pPr>
    </w:p>
    <w:p>
      <w:pPr>
        <w:spacing w:after="0" w:line="356" w:lineRule="auto"/>
        <w:rPr>
          <w:sz w:val="20"/>
          <w:szCs w:val="20"/>
          <w:color w:val="auto"/>
        </w:rPr>
      </w:pPr>
      <w:r>
        <w:rPr>
          <w:rFonts w:ascii="Arial" w:cs="Arial" w:eastAsia="Arial" w:hAnsi="Arial"/>
          <w:sz w:val="15"/>
          <w:szCs w:val="15"/>
          <w:color w:val="auto"/>
        </w:rPr>
        <w:t>As of December 31, 2012, there was $15.3 million of total unrecognized compensation cost related to unvested share-based compensation arrangements (i.e. options and unvested shares) granted under our plans. This cost is expected to be recognized over the next 4.6 years with a weighted-average period of 2.3 years.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Subsequent to December 31, 2012, common shares were awarded under various compensation plans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Date</w:t>
            </w: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Award</w:t>
            </w:r>
          </w:p>
        </w:tc>
        <w:tc>
          <w:tcPr>
            <w:tcW w:w="14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Vesting Term</w:t>
            </w:r>
          </w:p>
        </w:tc>
        <w:tc>
          <w:tcPr>
            <w:tcW w:w="14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Beneficiary</w:t>
            </w:r>
          </w:p>
        </w:tc>
      </w:tr>
      <w:tr>
        <w:trPr>
          <w:trHeight w:val="239"/>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February 7, 2013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98,913</w:t>
            </w:r>
          </w:p>
        </w:tc>
        <w:tc>
          <w:tcPr>
            <w:tcW w:w="2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Restricted shares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3 years</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Officers and key employees</w:t>
            </w:r>
          </w:p>
        </w:tc>
      </w:tr>
      <w:tr>
        <w:trPr>
          <w:trHeight w:val="234"/>
        </w:trPr>
        <w:tc>
          <w:tcPr>
            <w:tcW w:w="2420" w:type="dxa"/>
            <w:vAlign w:val="bottom"/>
            <w:gridSpan w:val="2"/>
          </w:tcPr>
          <w:p>
            <w:pPr>
              <w:ind w:left="40"/>
              <w:spacing w:after="0"/>
              <w:rPr>
                <w:sz w:val="20"/>
                <w:szCs w:val="20"/>
                <w:color w:val="auto"/>
              </w:rPr>
            </w:pPr>
            <w:r>
              <w:rPr>
                <w:rFonts w:ascii="Arial" w:cs="Arial" w:eastAsia="Arial" w:hAnsi="Arial"/>
                <w:sz w:val="17"/>
                <w:szCs w:val="17"/>
                <w:color w:val="auto"/>
              </w:rPr>
              <w:t>January 2, 2013</w:t>
            </w:r>
          </w:p>
        </w:tc>
        <w:tc>
          <w:tcPr>
            <w:tcW w:w="960" w:type="dxa"/>
            <w:vAlign w:val="bottom"/>
          </w:tcPr>
          <w:p>
            <w:pPr>
              <w:jc w:val="right"/>
              <w:spacing w:after="0"/>
              <w:rPr>
                <w:sz w:val="20"/>
                <w:szCs w:val="20"/>
                <w:color w:val="auto"/>
              </w:rPr>
            </w:pPr>
            <w:r>
              <w:rPr>
                <w:rFonts w:ascii="Arial" w:cs="Arial" w:eastAsia="Arial" w:hAnsi="Arial"/>
                <w:sz w:val="17"/>
                <w:szCs w:val="17"/>
                <w:color w:val="auto"/>
              </w:rPr>
              <w:t>5,767</w:t>
            </w:r>
          </w:p>
        </w:tc>
        <w:tc>
          <w:tcPr>
            <w:tcW w:w="2460" w:type="dxa"/>
            <w:vAlign w:val="bottom"/>
            <w:gridSpan w:val="2"/>
          </w:tcPr>
          <w:p>
            <w:pPr>
              <w:ind w:left="80"/>
              <w:spacing w:after="0"/>
              <w:rPr>
                <w:sz w:val="20"/>
                <w:szCs w:val="20"/>
                <w:color w:val="auto"/>
              </w:rPr>
            </w:pPr>
            <w:r>
              <w:rPr>
                <w:rFonts w:ascii="Arial" w:cs="Arial" w:eastAsia="Arial" w:hAnsi="Arial"/>
                <w:sz w:val="17"/>
                <w:szCs w:val="17"/>
                <w:color w:val="auto"/>
              </w:rPr>
              <w:t>Shares</w:t>
            </w:r>
          </w:p>
        </w:tc>
        <w:tc>
          <w:tcPr>
            <w:tcW w:w="2400" w:type="dxa"/>
            <w:vAlign w:val="bottom"/>
            <w:gridSpan w:val="2"/>
          </w:tcPr>
          <w:p>
            <w:pPr>
              <w:ind w:left="20"/>
              <w:spacing w:after="0"/>
              <w:rPr>
                <w:sz w:val="20"/>
                <w:szCs w:val="20"/>
                <w:color w:val="auto"/>
              </w:rPr>
            </w:pPr>
            <w:r>
              <w:rPr>
                <w:rFonts w:ascii="Arial" w:cs="Arial" w:eastAsia="Arial" w:hAnsi="Arial"/>
                <w:sz w:val="17"/>
                <w:szCs w:val="17"/>
                <w:color w:val="auto"/>
              </w:rPr>
              <w:t>Immediate</w:t>
            </w:r>
          </w:p>
        </w:tc>
        <w:tc>
          <w:tcPr>
            <w:tcW w:w="3180" w:type="dxa"/>
            <w:vAlign w:val="bottom"/>
          </w:tcPr>
          <w:p>
            <w:pPr>
              <w:ind w:left="20"/>
              <w:spacing w:after="0"/>
              <w:rPr>
                <w:sz w:val="20"/>
                <w:szCs w:val="20"/>
                <w:color w:val="auto"/>
              </w:rPr>
            </w:pPr>
            <w:r>
              <w:rPr>
                <w:rFonts w:ascii="Arial" w:cs="Arial" w:eastAsia="Arial" w:hAnsi="Arial"/>
                <w:sz w:val="17"/>
                <w:szCs w:val="17"/>
                <w:color w:val="auto"/>
              </w:rPr>
              <w:t>Trustees</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16—SAVINGS AND RETIREMENT PLANS</w:t>
      </w:r>
    </w:p>
    <w:p>
      <w:pPr>
        <w:spacing w:after="0" w:line="9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have a savings and retirement plan in accordance with the provisions of Section 401(k) of the Code. Generally, employees can elect, at their discretion, to contribute a portion of their compensation up to a maximum of $17,000 for 2012 and $16,500 for 2011 and 2010.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for new employees who joined the Trust after December 31, 2011, and their first anniversary of employment for all other participants. Our expense for the years ended December 31, 2012, 2011 and 2010 was approximately $427,000, $365,000 and $596,000, respectively.</w:t>
      </w:r>
    </w:p>
    <w:p>
      <w:pPr>
        <w:spacing w:after="0" w:line="130"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A non-qualified deferred compensation plan for our officers and certain other employees was established in 1994 that allows the participants to defer a portion of their income. As of December 31, 2012 and 2011, we are liable to participants for approximately $7.2 million and $5.9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17—EARNINGS PER SHARE</w:t>
      </w:r>
    </w:p>
    <w:p>
      <w:pPr>
        <w:spacing w:after="0" w:line="9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2012, 2011 and 2010, we had 0.3 million, 0.3 million and 0.2 million weighted average unvested shares outstanding, respectively,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26"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In the dilutive EPS calculation, dilutive stock options were calculated using the treasury stock method consistent with prior periods. There were no anti-dilutive stock options in 2012. Approximately 0.1 million and 0.2 million stock options have been excluded in 2011 and 2010, respectively, as they were anti-dilutive.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left="356"/>
              <w:spacing w:after="0"/>
              <w:rPr>
                <w:sz w:val="20"/>
                <w:szCs w:val="20"/>
                <w:color w:val="auto"/>
              </w:rPr>
            </w:pPr>
            <w:r>
              <w:rPr>
                <w:rFonts w:ascii="Arial" w:cs="Arial" w:eastAsia="Arial" w:hAnsi="Arial"/>
                <w:sz w:val="14"/>
                <w:szCs w:val="14"/>
                <w:b w:val="1"/>
                <w:bCs w:val="1"/>
                <w:color w:val="auto"/>
                <w:w w:val="89"/>
              </w:rPr>
              <w:t>Year Ended December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2011</w:t>
            </w:r>
          </w:p>
        </w:tc>
        <w:tc>
          <w:tcPr>
            <w:tcW w:w="4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2010</w:t>
            </w:r>
          </w:p>
        </w:tc>
        <w:tc>
          <w:tcPr>
            <w:tcW w:w="0" w:type="dxa"/>
            <w:vAlign w:val="bottom"/>
          </w:tcPr>
          <w:p>
            <w:pPr>
              <w:spacing w:after="0"/>
              <w:rPr>
                <w:sz w:val="1"/>
                <w:szCs w:val="1"/>
                <w:color w:val="auto"/>
              </w:rPr>
            </w:pPr>
          </w:p>
        </w:tc>
      </w:tr>
      <w:tr>
        <w:trPr>
          <w:trHeight w:val="182"/>
        </w:trPr>
        <w:tc>
          <w:tcPr>
            <w:tcW w:w="7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gridSpan w:val="5"/>
          </w:tcPr>
          <w:p>
            <w:pPr>
              <w:jc w:val="center"/>
              <w:ind w:left="376"/>
              <w:spacing w:after="0"/>
              <w:rPr>
                <w:sz w:val="20"/>
                <w:szCs w:val="20"/>
                <w:color w:val="auto"/>
              </w:rPr>
            </w:pPr>
            <w:r>
              <w:rPr>
                <w:rFonts w:ascii="Arial" w:cs="Arial" w:eastAsia="Arial" w:hAnsi="Arial"/>
                <w:sz w:val="14"/>
                <w:szCs w:val="14"/>
                <w:b w:val="1"/>
                <w:bCs w:val="1"/>
                <w:color w:val="auto"/>
                <w:w w:val="88"/>
              </w:rPr>
              <w:t>(In thousands, except per share data)</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7780" w:type="dxa"/>
            <w:vAlign w:val="bottom"/>
          </w:tcPr>
          <w:p>
            <w:pPr>
              <w:ind w:left="40"/>
              <w:spacing w:after="0"/>
              <w:rPr>
                <w:sz w:val="20"/>
                <w:szCs w:val="20"/>
                <w:color w:val="auto"/>
              </w:rPr>
            </w:pPr>
            <w:r>
              <w:rPr>
                <w:rFonts w:ascii="Arial" w:cs="Arial" w:eastAsia="Arial" w:hAnsi="Arial"/>
                <w:sz w:val="17"/>
                <w:szCs w:val="17"/>
                <w:color w:val="auto"/>
              </w:rPr>
              <w:t>NUMERATOR</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continuing operations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144,372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131,554</w:t>
            </w:r>
          </w:p>
        </w:tc>
        <w:tc>
          <w:tcPr>
            <w:tcW w:w="4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94"/>
              </w:rPr>
              <w:t>125,851</w:t>
            </w:r>
          </w:p>
        </w:tc>
        <w:tc>
          <w:tcPr>
            <w:tcW w:w="0" w:type="dxa"/>
            <w:vAlign w:val="bottom"/>
          </w:tcPr>
          <w:p>
            <w:pPr>
              <w:spacing w:after="0"/>
              <w:rPr>
                <w:sz w:val="1"/>
                <w:szCs w:val="1"/>
                <w:color w:val="auto"/>
              </w:rPr>
            </w:pPr>
          </w:p>
        </w:tc>
      </w:tr>
      <w:tr>
        <w:trPr>
          <w:trHeight w:val="234"/>
        </w:trPr>
        <w:tc>
          <w:tcPr>
            <w:tcW w:w="7780" w:type="dxa"/>
            <w:vAlign w:val="bottom"/>
          </w:tcPr>
          <w:p>
            <w:pPr>
              <w:ind w:left="40"/>
              <w:spacing w:after="0"/>
              <w:rPr>
                <w:sz w:val="20"/>
                <w:szCs w:val="20"/>
                <w:color w:val="auto"/>
              </w:rPr>
            </w:pPr>
            <w:r>
              <w:rPr>
                <w:rFonts w:ascii="Arial" w:cs="Arial" w:eastAsia="Arial" w:hAnsi="Arial"/>
                <w:sz w:val="17"/>
                <w:szCs w:val="17"/>
                <w:color w:val="auto"/>
              </w:rPr>
              <w:t>Less: Preferred share dividends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(541)</w:t>
            </w: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Income from continuing operations attributable to noncontrolling interests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(5,475)</w:t>
            </w:r>
          </w:p>
        </w:tc>
        <w:tc>
          <w:tcPr>
            <w:tcW w:w="4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(5,247)</w:t>
            </w:r>
          </w:p>
        </w:tc>
        <w:tc>
          <w:tcPr>
            <w:tcW w:w="0" w:type="dxa"/>
            <w:vAlign w:val="bottom"/>
          </w:tcPr>
          <w:p>
            <w:pPr>
              <w:spacing w:after="0"/>
              <w:rPr>
                <w:sz w:val="1"/>
                <w:szCs w:val="1"/>
                <w:color w:val="auto"/>
              </w:rPr>
            </w:pPr>
          </w:p>
        </w:tc>
      </w:tr>
      <w:tr>
        <w:trPr>
          <w:trHeight w:val="234"/>
        </w:trPr>
        <w:tc>
          <w:tcPr>
            <w:tcW w:w="7780" w:type="dxa"/>
            <w:vAlign w:val="bottom"/>
          </w:tcPr>
          <w:p>
            <w:pPr>
              <w:ind w:left="40"/>
              <w:spacing w:after="0"/>
              <w:rPr>
                <w:sz w:val="20"/>
                <w:szCs w:val="20"/>
                <w:color w:val="auto"/>
              </w:rPr>
            </w:pPr>
            <w:r>
              <w:rPr>
                <w:rFonts w:ascii="Arial" w:cs="Arial" w:eastAsia="Arial" w:hAnsi="Arial"/>
                <w:sz w:val="17"/>
                <w:szCs w:val="17"/>
                <w:color w:val="auto"/>
              </w:rPr>
              <w:t>Less: Earnings allocated to unvested shares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(705)</w:t>
            </w: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continuing operations available for common shareholders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138,679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124,833</w:t>
            </w:r>
          </w:p>
        </w:tc>
        <w:tc>
          <w:tcPr>
            <w:tcW w:w="4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94"/>
              </w:rPr>
              <w:t>119,491</w:t>
            </w:r>
          </w:p>
        </w:tc>
        <w:tc>
          <w:tcPr>
            <w:tcW w:w="0" w:type="dxa"/>
            <w:vAlign w:val="bottom"/>
          </w:tcPr>
          <w:p>
            <w:pPr>
              <w:spacing w:after="0"/>
              <w:rPr>
                <w:sz w:val="1"/>
                <w:szCs w:val="1"/>
                <w:color w:val="auto"/>
              </w:rPr>
            </w:pPr>
          </w:p>
        </w:tc>
      </w:tr>
      <w:tr>
        <w:trPr>
          <w:trHeight w:val="234"/>
        </w:trPr>
        <w:tc>
          <w:tcPr>
            <w:tcW w:w="7780" w:type="dxa"/>
            <w:vAlign w:val="bottom"/>
          </w:tcPr>
          <w:p>
            <w:pPr>
              <w:ind w:left="40"/>
              <w:spacing w:after="0"/>
              <w:rPr>
                <w:sz w:val="20"/>
                <w:szCs w:val="20"/>
                <w:color w:val="auto"/>
              </w:rPr>
            </w:pPr>
            <w:r>
              <w:rPr>
                <w:rFonts w:ascii="Arial" w:cs="Arial" w:eastAsia="Arial" w:hAnsi="Arial"/>
                <w:sz w:val="17"/>
                <w:szCs w:val="17"/>
                <w:color w:val="auto"/>
              </w:rPr>
              <w:t>Results from discontinued operations attributable to the Trust</w:t>
            </w: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ind w:right="74"/>
              <w:spacing w:after="0"/>
              <w:rPr>
                <w:sz w:val="20"/>
                <w:szCs w:val="20"/>
                <w:color w:val="auto"/>
              </w:rPr>
            </w:pPr>
            <w:r>
              <w:rPr>
                <w:rFonts w:ascii="Arial" w:cs="Arial" w:eastAsia="Arial" w:hAnsi="Arial"/>
                <w:sz w:val="17"/>
                <w:szCs w:val="17"/>
                <w:color w:val="auto"/>
              </w:rPr>
              <w:t>17,838</w:t>
            </w:r>
          </w:p>
        </w:tc>
        <w:tc>
          <w:tcPr>
            <w:tcW w:w="48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1,776</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on sale of real estate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11,860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27"/>
        </w:trPr>
        <w:tc>
          <w:tcPr>
            <w:tcW w:w="7780" w:type="dxa"/>
            <w:vAlign w:val="bottom"/>
          </w:tcPr>
          <w:p>
            <w:pPr>
              <w:ind w:left="40"/>
              <w:spacing w:after="0"/>
              <w:rPr>
                <w:sz w:val="20"/>
                <w:szCs w:val="20"/>
                <w:color w:val="auto"/>
              </w:rPr>
            </w:pPr>
            <w:r>
              <w:rPr>
                <w:rFonts w:ascii="Arial" w:cs="Arial" w:eastAsia="Arial" w:hAnsi="Arial"/>
                <w:sz w:val="17"/>
                <w:szCs w:val="17"/>
                <w:color w:val="auto"/>
              </w:rPr>
              <w:t>Net income available for common shareholders, basic and diluted</w:t>
            </w: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150,539</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142,671</w:t>
            </w:r>
          </w:p>
        </w:tc>
        <w:tc>
          <w:tcPr>
            <w:tcW w:w="48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w w:val="94"/>
              </w:rPr>
              <w:t>121,677</w:t>
            </w:r>
          </w:p>
        </w:tc>
        <w:tc>
          <w:tcPr>
            <w:tcW w:w="0" w:type="dxa"/>
            <w:vAlign w:val="bottom"/>
          </w:tcPr>
          <w:p>
            <w:pPr>
              <w:spacing w:after="0"/>
              <w:rPr>
                <w:sz w:val="1"/>
                <w:szCs w:val="1"/>
                <w:color w:val="auto"/>
              </w:rPr>
            </w:pPr>
          </w:p>
        </w:tc>
      </w:tr>
      <w:tr>
        <w:trPr>
          <w:trHeight w:val="66"/>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7780" w:type="dxa"/>
            <w:vAlign w:val="bottom"/>
            <w:tcBorders>
              <w:bottom w:val="single" w:sz="8" w:color="CCEEFF"/>
            </w:tcBorders>
            <w:shd w:val="clear" w:color="auto" w:fill="CCEEFF"/>
          </w:tcPr>
          <w:p>
            <w:pPr>
              <w:ind w:left="40"/>
              <w:spacing w:after="0" w:line="187" w:lineRule="exact"/>
              <w:rPr>
                <w:sz w:val="20"/>
                <w:szCs w:val="20"/>
                <w:color w:val="auto"/>
              </w:rPr>
            </w:pPr>
            <w:r>
              <w:rPr>
                <w:rFonts w:ascii="Arial" w:cs="Arial" w:eastAsia="Arial" w:hAnsi="Arial"/>
                <w:sz w:val="17"/>
                <w:szCs w:val="17"/>
                <w:color w:val="auto"/>
              </w:rPr>
              <w:t>DENOMINATOR</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40"/>
              <w:spacing w:after="0"/>
              <w:rPr>
                <w:sz w:val="20"/>
                <w:szCs w:val="20"/>
                <w:color w:val="auto"/>
              </w:rPr>
            </w:pPr>
            <w:r>
              <w:rPr>
                <w:rFonts w:ascii="Arial" w:cs="Arial" w:eastAsia="Arial" w:hAnsi="Arial"/>
                <w:sz w:val="17"/>
                <w:szCs w:val="17"/>
                <w:color w:val="auto"/>
              </w:rPr>
              <w:t>Weighted average common shares outstanding—basic</w:t>
            </w:r>
          </w:p>
        </w:tc>
        <w:tc>
          <w:tcPr>
            <w:tcW w:w="28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63,881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74"/>
              <w:spacing w:after="0"/>
              <w:rPr>
                <w:sz w:val="20"/>
                <w:szCs w:val="20"/>
                <w:color w:val="auto"/>
              </w:rPr>
            </w:pPr>
            <w:r>
              <w:rPr>
                <w:rFonts w:ascii="Arial" w:cs="Arial" w:eastAsia="Arial" w:hAnsi="Arial"/>
                <w:sz w:val="17"/>
                <w:szCs w:val="17"/>
                <w:color w:val="auto"/>
              </w:rPr>
              <w:t>62,438</w:t>
            </w:r>
          </w:p>
        </w:tc>
        <w:tc>
          <w:tcPr>
            <w:tcW w:w="48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61,182</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 of dilutive securities: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360"/>
              <w:spacing w:after="0"/>
              <w:rPr>
                <w:sz w:val="20"/>
                <w:szCs w:val="20"/>
                <w:color w:val="auto"/>
              </w:rPr>
            </w:pPr>
            <w:r>
              <w:rPr>
                <w:rFonts w:ascii="Arial" w:cs="Arial" w:eastAsia="Arial" w:hAnsi="Arial"/>
                <w:sz w:val="17"/>
                <w:szCs w:val="17"/>
                <w:color w:val="auto"/>
              </w:rPr>
              <w:t>Stock options</w:t>
            </w:r>
          </w:p>
        </w:tc>
        <w:tc>
          <w:tcPr>
            <w:tcW w:w="28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74"/>
              <w:spacing w:after="0"/>
              <w:rPr>
                <w:sz w:val="20"/>
                <w:szCs w:val="20"/>
                <w:color w:val="auto"/>
              </w:rPr>
            </w:pPr>
            <w:r>
              <w:rPr>
                <w:rFonts w:ascii="Arial" w:cs="Arial" w:eastAsia="Arial" w:hAnsi="Arial"/>
                <w:sz w:val="17"/>
                <w:szCs w:val="17"/>
                <w:color w:val="auto"/>
              </w:rPr>
              <w:t>165</w:t>
            </w:r>
          </w:p>
        </w:tc>
        <w:tc>
          <w:tcPr>
            <w:tcW w:w="48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Weighted average common shares outstanding—diluted</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64,056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62,603</w:t>
            </w:r>
          </w:p>
        </w:tc>
        <w:tc>
          <w:tcPr>
            <w:tcW w:w="4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61,324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EARNINGS PER COMMON SHARE,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7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Continuing operations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2.00</w:t>
            </w:r>
          </w:p>
        </w:tc>
        <w:tc>
          <w:tcPr>
            <w:tcW w:w="4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34"/>
        </w:trPr>
        <w:tc>
          <w:tcPr>
            <w:tcW w:w="7780" w:type="dxa"/>
            <w:vAlign w:val="bottom"/>
          </w:tcPr>
          <w:p>
            <w:pPr>
              <w:ind w:left="40"/>
              <w:spacing w:after="0"/>
              <w:rPr>
                <w:sz w:val="20"/>
                <w:szCs w:val="20"/>
                <w:color w:val="auto"/>
              </w:rPr>
            </w:pPr>
            <w:r>
              <w:rPr>
                <w:rFonts w:ascii="Arial" w:cs="Arial" w:eastAsia="Arial" w:hAnsi="Arial"/>
                <w:sz w:val="17"/>
                <w:szCs w:val="17"/>
                <w:color w:val="auto"/>
              </w:rPr>
              <w:t>Discontinued operations</w:t>
            </w: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ind w:right="74"/>
              <w:spacing w:after="0"/>
              <w:rPr>
                <w:sz w:val="20"/>
                <w:szCs w:val="20"/>
                <w:color w:val="auto"/>
              </w:rPr>
            </w:pPr>
            <w:r>
              <w:rPr>
                <w:rFonts w:ascii="Arial" w:cs="Arial" w:eastAsia="Arial" w:hAnsi="Arial"/>
                <w:sz w:val="17"/>
                <w:szCs w:val="17"/>
                <w:color w:val="auto"/>
              </w:rPr>
              <w:t>0.29</w:t>
            </w:r>
          </w:p>
        </w:tc>
        <w:tc>
          <w:tcPr>
            <w:tcW w:w="48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on sale of real estate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27"/>
        </w:trPr>
        <w:tc>
          <w:tcPr>
            <w:tcW w:w="7780" w:type="dxa"/>
            <w:vAlign w:val="bottom"/>
          </w:tcPr>
          <w:p>
            <w:pPr>
              <w:spacing w:after="0"/>
              <w:rPr>
                <w:sz w:val="19"/>
                <w:szCs w:val="19"/>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2.29</w:t>
            </w:r>
          </w:p>
        </w:tc>
        <w:tc>
          <w:tcPr>
            <w:tcW w:w="480" w:type="dxa"/>
            <w:vAlign w:val="bottom"/>
            <w:tcBorders>
              <w:top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66"/>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7780" w:type="dxa"/>
            <w:vAlign w:val="bottom"/>
            <w:tcBorders>
              <w:bottom w:val="single" w:sz="8" w:color="CCEEFF"/>
            </w:tcBorders>
            <w:shd w:val="clear" w:color="auto" w:fill="CCEEFF"/>
          </w:tcPr>
          <w:p>
            <w:pPr>
              <w:ind w:left="40"/>
              <w:spacing w:after="0" w:line="187" w:lineRule="exact"/>
              <w:rPr>
                <w:sz w:val="20"/>
                <w:szCs w:val="20"/>
                <w:color w:val="auto"/>
              </w:rPr>
            </w:pPr>
            <w:r>
              <w:rPr>
                <w:rFonts w:ascii="Arial" w:cs="Arial" w:eastAsia="Arial" w:hAnsi="Arial"/>
                <w:sz w:val="17"/>
                <w:szCs w:val="17"/>
                <w:color w:val="auto"/>
              </w:rPr>
              <w:t>EARNINGS PER COMMON SHARE, DILUTED</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40"/>
              <w:spacing w:after="0"/>
              <w:rPr>
                <w:sz w:val="20"/>
                <w:szCs w:val="20"/>
                <w:color w:val="auto"/>
              </w:rPr>
            </w:pPr>
            <w:r>
              <w:rPr>
                <w:rFonts w:ascii="Arial" w:cs="Arial" w:eastAsia="Arial" w:hAnsi="Arial"/>
                <w:sz w:val="17"/>
                <w:szCs w:val="17"/>
                <w:color w:val="auto"/>
              </w:rPr>
              <w:t>Continuing operations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74"/>
              <w:spacing w:after="0"/>
              <w:rPr>
                <w:sz w:val="20"/>
                <w:szCs w:val="20"/>
                <w:color w:val="auto"/>
              </w:rPr>
            </w:pPr>
            <w:r>
              <w:rPr>
                <w:rFonts w:ascii="Arial" w:cs="Arial" w:eastAsia="Arial" w:hAnsi="Arial"/>
                <w:sz w:val="17"/>
                <w:szCs w:val="17"/>
                <w:color w:val="auto"/>
              </w:rPr>
              <w:t>1.99</w:t>
            </w:r>
          </w:p>
        </w:tc>
        <w:tc>
          <w:tcPr>
            <w:tcW w:w="48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Discontinued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0.29</w:t>
            </w:r>
          </w:p>
        </w:tc>
        <w:tc>
          <w:tcPr>
            <w:tcW w:w="4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34"/>
        </w:trPr>
        <w:tc>
          <w:tcPr>
            <w:tcW w:w="7780" w:type="dxa"/>
            <w:vAlign w:val="bottom"/>
          </w:tcPr>
          <w:p>
            <w:pPr>
              <w:ind w:left="40"/>
              <w:spacing w:after="0"/>
              <w:rPr>
                <w:sz w:val="20"/>
                <w:szCs w:val="20"/>
                <w:color w:val="auto"/>
              </w:rPr>
            </w:pPr>
            <w:r>
              <w:rPr>
                <w:rFonts w:ascii="Arial" w:cs="Arial" w:eastAsia="Arial" w:hAnsi="Arial"/>
                <w:sz w:val="17"/>
                <w:szCs w:val="17"/>
                <w:color w:val="auto"/>
              </w:rPr>
              <w:t>Gain on sale of real estate</w:t>
            </w:r>
          </w:p>
        </w:tc>
        <w:tc>
          <w:tcPr>
            <w:tcW w:w="28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6"/>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2.28</w:t>
            </w:r>
          </w:p>
        </w:tc>
        <w:tc>
          <w:tcPr>
            <w:tcW w:w="4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Income from continuing operations attributable to the Trust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80" w:type="dxa"/>
            <w:vAlign w:val="bottom"/>
            <w:vMerge w:val="continue"/>
          </w:tcPr>
          <w:p>
            <w:pPr>
              <w:spacing w:after="0"/>
              <w:rPr>
                <w:sz w:val="18"/>
                <w:szCs w:val="18"/>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140,065</w:t>
            </w:r>
          </w:p>
        </w:tc>
        <w:tc>
          <w:tcPr>
            <w:tcW w:w="10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74"/>
              <w:spacing w:after="0"/>
              <w:rPr>
                <w:sz w:val="20"/>
                <w:szCs w:val="20"/>
                <w:color w:val="auto"/>
              </w:rPr>
            </w:pPr>
            <w:r>
              <w:rPr>
                <w:rFonts w:ascii="Arial" w:cs="Arial" w:eastAsia="Arial" w:hAnsi="Arial"/>
                <w:sz w:val="17"/>
                <w:szCs w:val="17"/>
                <w:color w:val="auto"/>
              </w:rPr>
              <w:t>126,079</w:t>
            </w:r>
          </w:p>
        </w:tc>
        <w:tc>
          <w:tcPr>
            <w:tcW w:w="48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4"/>
              <w:spacing w:after="0"/>
              <w:rPr>
                <w:sz w:val="20"/>
                <w:szCs w:val="20"/>
                <w:color w:val="auto"/>
              </w:rPr>
            </w:pPr>
            <w:r>
              <w:rPr>
                <w:rFonts w:ascii="Arial" w:cs="Arial" w:eastAsia="Arial" w:hAnsi="Arial"/>
                <w:sz w:val="17"/>
                <w:szCs w:val="17"/>
                <w:color w:val="auto"/>
                <w:w w:val="94"/>
              </w:rPr>
              <w:t>120,604</w:t>
            </w:r>
          </w:p>
        </w:tc>
        <w:tc>
          <w:tcPr>
            <w:tcW w:w="0" w:type="dxa"/>
            <w:vAlign w:val="bottom"/>
          </w:tcPr>
          <w:p>
            <w:pPr>
              <w:spacing w:after="0"/>
              <w:rPr>
                <w:sz w:val="1"/>
                <w:szCs w:val="1"/>
                <w:color w:val="auto"/>
              </w:rPr>
            </w:pPr>
          </w:p>
        </w:tc>
      </w:tr>
      <w:tr>
        <w:trPr>
          <w:trHeight w:val="884"/>
        </w:trPr>
        <w:tc>
          <w:tcPr>
            <w:tcW w:w="7780" w:type="dxa"/>
            <w:vAlign w:val="bottom"/>
          </w:tcPr>
          <w:p>
            <w:pPr>
              <w:ind w:left="5560"/>
              <w:spacing w:after="0"/>
              <w:rPr>
                <w:sz w:val="20"/>
                <w:szCs w:val="20"/>
                <w:color w:val="auto"/>
              </w:rPr>
            </w:pPr>
            <w:r>
              <w:rPr>
                <w:rFonts w:ascii="Arial" w:cs="Arial" w:eastAsia="Arial" w:hAnsi="Arial"/>
                <w:sz w:val="17"/>
                <w:szCs w:val="17"/>
                <w:color w:val="auto"/>
              </w:rPr>
              <w:t>F-29</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18—SELECTED QUARTERLY FINANCIAL DATA (UNAUDITED)</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Summarized quarterly financial data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37"/>
              <w:spacing w:after="0"/>
              <w:rPr>
                <w:sz w:val="20"/>
                <w:szCs w:val="20"/>
                <w:color w:val="auto"/>
              </w:rPr>
            </w:pPr>
            <w:r>
              <w:rPr>
                <w:rFonts w:ascii="Arial" w:cs="Arial" w:eastAsia="Arial" w:hAnsi="Arial"/>
                <w:sz w:val="14"/>
                <w:szCs w:val="14"/>
                <w:b w:val="1"/>
                <w:bCs w:val="1"/>
                <w:color w:val="auto"/>
                <w:w w:val="92"/>
              </w:rPr>
              <w:t>First</w:t>
            </w:r>
          </w:p>
        </w:tc>
        <w:tc>
          <w:tcPr>
            <w:tcW w:w="320" w:type="dxa"/>
            <w:vAlign w:val="bottom"/>
          </w:tcPr>
          <w:p>
            <w:pPr>
              <w:spacing w:after="0"/>
              <w:rPr>
                <w:sz w:val="14"/>
                <w:szCs w:val="14"/>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w w:val="82"/>
              </w:rPr>
              <w:t>Second</w:t>
            </w:r>
          </w:p>
        </w:tc>
        <w:tc>
          <w:tcPr>
            <w:tcW w:w="360" w:type="dxa"/>
            <w:vAlign w:val="bottom"/>
          </w:tcPr>
          <w:p>
            <w:pPr>
              <w:spacing w:after="0"/>
              <w:rPr>
                <w:sz w:val="14"/>
                <w:szCs w:val="14"/>
                <w:color w:val="auto"/>
              </w:rPr>
            </w:pPr>
          </w:p>
        </w:tc>
        <w:tc>
          <w:tcPr>
            <w:tcW w:w="1100" w:type="dxa"/>
            <w:vAlign w:val="bottom"/>
          </w:tcPr>
          <w:p>
            <w:pPr>
              <w:jc w:val="center"/>
              <w:ind w:right="197"/>
              <w:spacing w:after="0"/>
              <w:rPr>
                <w:sz w:val="20"/>
                <w:szCs w:val="20"/>
                <w:color w:val="auto"/>
              </w:rPr>
            </w:pPr>
            <w:r>
              <w:rPr>
                <w:rFonts w:ascii="Arial" w:cs="Arial" w:eastAsia="Arial" w:hAnsi="Arial"/>
                <w:sz w:val="14"/>
                <w:szCs w:val="14"/>
                <w:b w:val="1"/>
                <w:bCs w:val="1"/>
                <w:color w:val="auto"/>
                <w:w w:val="97"/>
              </w:rPr>
              <w:t>Third</w:t>
            </w:r>
          </w:p>
        </w:tc>
        <w:tc>
          <w:tcPr>
            <w:tcW w:w="360" w:type="dxa"/>
            <w:vAlign w:val="bottom"/>
          </w:tcPr>
          <w:p>
            <w:pPr>
              <w:spacing w:after="0"/>
              <w:rPr>
                <w:sz w:val="14"/>
                <w:szCs w:val="14"/>
                <w:color w:val="auto"/>
              </w:rPr>
            </w:pPr>
          </w:p>
        </w:tc>
        <w:tc>
          <w:tcPr>
            <w:tcW w:w="108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Fourth</w:t>
            </w:r>
          </w:p>
        </w:tc>
      </w:tr>
      <w:tr>
        <w:trPr>
          <w:trHeight w:val="186"/>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4"/>
              </w:rPr>
              <w:t>Quarter</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8"/>
              </w:rPr>
              <w:t>Quarter</w:t>
            </w:r>
          </w:p>
        </w:tc>
      </w:tr>
      <w:tr>
        <w:trPr>
          <w:trHeight w:val="188"/>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3"/>
          </w:tcPr>
          <w:p>
            <w:pPr>
              <w:jc w:val="right"/>
              <w:ind w:right="277"/>
              <w:spacing w:after="0"/>
              <w:rPr>
                <w:sz w:val="20"/>
                <w:szCs w:val="20"/>
                <w:color w:val="auto"/>
              </w:rPr>
            </w:pPr>
            <w:r>
              <w:rPr>
                <w:rFonts w:ascii="Arial" w:cs="Arial" w:eastAsia="Arial" w:hAnsi="Arial"/>
                <w:sz w:val="14"/>
                <w:szCs w:val="14"/>
                <w:b w:val="1"/>
                <w:bCs w:val="1"/>
                <w:color w:val="auto"/>
                <w:w w:val="91"/>
              </w:rPr>
              <w:t>(In thousands, except per share data)</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2012</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4"/>
        </w:trPr>
        <w:tc>
          <w:tcPr>
            <w:tcW w:w="5600" w:type="dxa"/>
            <w:vAlign w:val="bottom"/>
          </w:tcPr>
          <w:p>
            <w:pPr>
              <w:ind w:left="40"/>
              <w:spacing w:after="0"/>
              <w:rPr>
                <w:sz w:val="20"/>
                <w:szCs w:val="20"/>
                <w:color w:val="auto"/>
              </w:rPr>
            </w:pPr>
            <w:r>
              <w:rPr>
                <w:rFonts w:ascii="Arial" w:cs="Arial" w:eastAsia="Arial" w:hAnsi="Arial"/>
                <w:sz w:val="17"/>
                <w:szCs w:val="17"/>
                <w:color w:val="auto"/>
              </w:rPr>
              <w:t>Revenue</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146,289</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147,560</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157,805</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156,364</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60,547</w:t>
            </w:r>
          </w:p>
        </w:tc>
        <w:tc>
          <w:tcPr>
            <w:tcW w:w="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61,779</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67,123</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65,813</w:t>
            </w:r>
          </w:p>
        </w:tc>
      </w:tr>
      <w:tr>
        <w:trPr>
          <w:trHeight w:val="234"/>
        </w:trPr>
        <w:tc>
          <w:tcPr>
            <w:tcW w:w="560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44,122</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33,596</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39,656</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38,858</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the Trust</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42,986</w:t>
            </w:r>
          </w:p>
        </w:tc>
        <w:tc>
          <w:tcPr>
            <w:tcW w:w="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32,603</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38,644</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37,692</w:t>
            </w:r>
          </w:p>
        </w:tc>
      </w:tr>
      <w:tr>
        <w:trPr>
          <w:trHeight w:val="234"/>
        </w:trPr>
        <w:tc>
          <w:tcPr>
            <w:tcW w:w="5600" w:type="dxa"/>
            <w:vAlign w:val="bottom"/>
          </w:tcPr>
          <w:p>
            <w:pPr>
              <w:ind w:left="40"/>
              <w:spacing w:after="0"/>
              <w:rPr>
                <w:sz w:val="20"/>
                <w:szCs w:val="20"/>
                <w:color w:val="auto"/>
              </w:rPr>
            </w:pPr>
            <w:r>
              <w:rPr>
                <w:rFonts w:ascii="Arial" w:cs="Arial" w:eastAsia="Arial" w:hAnsi="Arial"/>
                <w:sz w:val="17"/>
                <w:szCs w:val="17"/>
                <w:color w:val="auto"/>
              </w:rPr>
              <w:t>Net income available for common shareholders</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42,851</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32,468</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38,508</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37,557</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per common share—basic</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0.67</w:t>
            </w:r>
          </w:p>
        </w:tc>
        <w:tc>
          <w:tcPr>
            <w:tcW w:w="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0.51</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0.60</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0.58</w:t>
            </w:r>
          </w:p>
        </w:tc>
      </w:tr>
      <w:tr>
        <w:trPr>
          <w:trHeight w:val="234"/>
        </w:trPr>
        <w:tc>
          <w:tcPr>
            <w:tcW w:w="5600" w:type="dxa"/>
            <w:vAlign w:val="bottom"/>
          </w:tcPr>
          <w:p>
            <w:pPr>
              <w:ind w:left="40"/>
              <w:spacing w:after="0"/>
              <w:rPr>
                <w:sz w:val="20"/>
                <w:szCs w:val="20"/>
                <w:color w:val="auto"/>
              </w:rPr>
            </w:pPr>
            <w:r>
              <w:rPr>
                <w:rFonts w:ascii="Arial" w:cs="Arial" w:eastAsia="Arial" w:hAnsi="Arial"/>
                <w:sz w:val="17"/>
                <w:szCs w:val="17"/>
                <w:color w:val="auto"/>
              </w:rPr>
              <w:t>Earnings per common share—diluted</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0.67</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0.51</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0.60</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0.58</w:t>
            </w:r>
          </w:p>
        </w:tc>
      </w:tr>
      <w:tr>
        <w:trPr>
          <w:trHeight w:val="173"/>
        </w:trPr>
        <w:tc>
          <w:tcPr>
            <w:tcW w:w="5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center"/>
              <w:ind w:right="237"/>
              <w:spacing w:after="0"/>
              <w:rPr>
                <w:sz w:val="20"/>
                <w:szCs w:val="20"/>
                <w:color w:val="auto"/>
              </w:rPr>
            </w:pPr>
            <w:r>
              <w:rPr>
                <w:rFonts w:ascii="Arial" w:cs="Arial" w:eastAsia="Arial" w:hAnsi="Arial"/>
                <w:sz w:val="14"/>
                <w:szCs w:val="14"/>
                <w:b w:val="1"/>
                <w:bCs w:val="1"/>
                <w:color w:val="auto"/>
                <w:w w:val="92"/>
              </w:rPr>
              <w:t>First</w:t>
            </w:r>
          </w:p>
        </w:tc>
        <w:tc>
          <w:tcPr>
            <w:tcW w:w="320" w:type="dxa"/>
            <w:vAlign w:val="bottom"/>
          </w:tcPr>
          <w:p>
            <w:pPr>
              <w:spacing w:after="0"/>
              <w:rPr>
                <w:sz w:val="15"/>
                <w:szCs w:val="15"/>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w w:val="82"/>
              </w:rPr>
              <w:t>Second</w:t>
            </w:r>
          </w:p>
        </w:tc>
        <w:tc>
          <w:tcPr>
            <w:tcW w:w="360" w:type="dxa"/>
            <w:vAlign w:val="bottom"/>
          </w:tcPr>
          <w:p>
            <w:pPr>
              <w:spacing w:after="0"/>
              <w:rPr>
                <w:sz w:val="15"/>
                <w:szCs w:val="15"/>
                <w:color w:val="auto"/>
              </w:rPr>
            </w:pPr>
          </w:p>
        </w:tc>
        <w:tc>
          <w:tcPr>
            <w:tcW w:w="1100" w:type="dxa"/>
            <w:vAlign w:val="bottom"/>
          </w:tcPr>
          <w:p>
            <w:pPr>
              <w:jc w:val="center"/>
              <w:ind w:right="197"/>
              <w:spacing w:after="0"/>
              <w:rPr>
                <w:sz w:val="20"/>
                <w:szCs w:val="20"/>
                <w:color w:val="auto"/>
              </w:rPr>
            </w:pPr>
            <w:r>
              <w:rPr>
                <w:rFonts w:ascii="Arial" w:cs="Arial" w:eastAsia="Arial" w:hAnsi="Arial"/>
                <w:sz w:val="14"/>
                <w:szCs w:val="14"/>
                <w:b w:val="1"/>
                <w:bCs w:val="1"/>
                <w:color w:val="auto"/>
                <w:w w:val="97"/>
              </w:rPr>
              <w:t>Third</w:t>
            </w:r>
          </w:p>
        </w:tc>
        <w:tc>
          <w:tcPr>
            <w:tcW w:w="360" w:type="dxa"/>
            <w:vAlign w:val="bottom"/>
          </w:tcPr>
          <w:p>
            <w:pPr>
              <w:spacing w:after="0"/>
              <w:rPr>
                <w:sz w:val="15"/>
                <w:szCs w:val="15"/>
                <w:color w:val="auto"/>
              </w:rPr>
            </w:pPr>
          </w:p>
        </w:tc>
        <w:tc>
          <w:tcPr>
            <w:tcW w:w="108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Fourth</w:t>
            </w:r>
          </w:p>
        </w:tc>
      </w:tr>
      <w:tr>
        <w:trPr>
          <w:trHeight w:val="186"/>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4"/>
              </w:rPr>
              <w:t>Quarter</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8"/>
              </w:rPr>
              <w:t>Quarter</w:t>
            </w:r>
          </w:p>
        </w:tc>
      </w:tr>
      <w:tr>
        <w:trPr>
          <w:trHeight w:val="188"/>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3"/>
          </w:tcPr>
          <w:p>
            <w:pPr>
              <w:jc w:val="right"/>
              <w:ind w:right="277"/>
              <w:spacing w:after="0"/>
              <w:rPr>
                <w:sz w:val="20"/>
                <w:szCs w:val="20"/>
                <w:color w:val="auto"/>
              </w:rPr>
            </w:pPr>
            <w:r>
              <w:rPr>
                <w:rFonts w:ascii="Arial" w:cs="Arial" w:eastAsia="Arial" w:hAnsi="Arial"/>
                <w:sz w:val="14"/>
                <w:szCs w:val="14"/>
                <w:b w:val="1"/>
                <w:bCs w:val="1"/>
                <w:color w:val="auto"/>
                <w:w w:val="91"/>
              </w:rPr>
              <w:t>(In thousands, except per share data)</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2011</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4"/>
        </w:trPr>
        <w:tc>
          <w:tcPr>
            <w:tcW w:w="5600" w:type="dxa"/>
            <w:vAlign w:val="bottom"/>
          </w:tcPr>
          <w:p>
            <w:pPr>
              <w:ind w:left="40"/>
              <w:spacing w:after="0"/>
              <w:rPr>
                <w:sz w:val="20"/>
                <w:szCs w:val="20"/>
                <w:color w:val="auto"/>
              </w:rPr>
            </w:pPr>
            <w:r>
              <w:rPr>
                <w:rFonts w:ascii="Arial" w:cs="Arial" w:eastAsia="Arial" w:hAnsi="Arial"/>
                <w:sz w:val="17"/>
                <w:szCs w:val="17"/>
                <w:color w:val="auto"/>
              </w:rPr>
              <w:t>Revenue(1)</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137,650</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136,279</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137,664</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141,466</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Income(2)</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56,373</w:t>
            </w:r>
          </w:p>
        </w:tc>
        <w:tc>
          <w:tcPr>
            <w:tcW w:w="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57,334</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56,757</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57,233</w:t>
            </w:r>
          </w:p>
        </w:tc>
      </w:tr>
      <w:tr>
        <w:trPr>
          <w:trHeight w:val="234"/>
        </w:trPr>
        <w:tc>
          <w:tcPr>
            <w:tcW w:w="5600" w:type="dxa"/>
            <w:vAlign w:val="bottom"/>
          </w:tcPr>
          <w:p>
            <w:pPr>
              <w:ind w:left="40"/>
              <w:spacing w:after="0"/>
              <w:rPr>
                <w:sz w:val="20"/>
                <w:szCs w:val="20"/>
                <w:color w:val="auto"/>
              </w:rPr>
            </w:pPr>
            <w:r>
              <w:rPr>
                <w:rFonts w:ascii="Arial" w:cs="Arial" w:eastAsia="Arial" w:hAnsi="Arial"/>
                <w:sz w:val="17"/>
                <w:szCs w:val="17"/>
                <w:color w:val="auto"/>
              </w:rPr>
              <w:t>Net income(2)</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32,384</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36,471</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48,302</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32,455</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the Trust(2)</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31,186</w:t>
            </w:r>
          </w:p>
        </w:tc>
        <w:tc>
          <w:tcPr>
            <w:tcW w:w="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34,757</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47,053</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30,921</w:t>
            </w:r>
          </w:p>
        </w:tc>
      </w:tr>
      <w:tr>
        <w:trPr>
          <w:trHeight w:val="234"/>
        </w:trPr>
        <w:tc>
          <w:tcPr>
            <w:tcW w:w="5600" w:type="dxa"/>
            <w:vAlign w:val="bottom"/>
          </w:tcPr>
          <w:p>
            <w:pPr>
              <w:ind w:left="40"/>
              <w:spacing w:after="0"/>
              <w:rPr>
                <w:sz w:val="20"/>
                <w:szCs w:val="20"/>
                <w:color w:val="auto"/>
              </w:rPr>
            </w:pPr>
            <w:r>
              <w:rPr>
                <w:rFonts w:ascii="Arial" w:cs="Arial" w:eastAsia="Arial" w:hAnsi="Arial"/>
                <w:sz w:val="17"/>
                <w:szCs w:val="17"/>
                <w:color w:val="auto"/>
              </w:rPr>
              <w:t>Net income available for common shareholders(2)</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31,051</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34,622</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46,917</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30,786</w:t>
            </w: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per common share—basic(2)</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0.50</w:t>
            </w:r>
          </w:p>
        </w:tc>
        <w:tc>
          <w:tcPr>
            <w:tcW w:w="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0.55</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0.74</w:t>
            </w: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0.48</w:t>
            </w:r>
          </w:p>
        </w:tc>
      </w:tr>
      <w:tr>
        <w:trPr>
          <w:trHeight w:val="234"/>
        </w:trPr>
        <w:tc>
          <w:tcPr>
            <w:tcW w:w="5600" w:type="dxa"/>
            <w:vAlign w:val="bottom"/>
          </w:tcPr>
          <w:p>
            <w:pPr>
              <w:ind w:left="40"/>
              <w:spacing w:after="0"/>
              <w:rPr>
                <w:sz w:val="20"/>
                <w:szCs w:val="20"/>
                <w:color w:val="auto"/>
              </w:rPr>
            </w:pPr>
            <w:r>
              <w:rPr>
                <w:rFonts w:ascii="Arial" w:cs="Arial" w:eastAsia="Arial" w:hAnsi="Arial"/>
                <w:sz w:val="17"/>
                <w:szCs w:val="17"/>
                <w:color w:val="auto"/>
              </w:rPr>
              <w:t>Earnings per common share—diluted(2)</w:t>
            </w: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0.50</w:t>
            </w: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0.55</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0.74</w:t>
            </w:r>
          </w:p>
        </w:tc>
        <w:tc>
          <w:tcPr>
            <w:tcW w:w="3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0.48</w:t>
            </w:r>
          </w:p>
        </w:tc>
      </w:tr>
    </w:tbl>
    <w:p>
      <w:pPr>
        <w:spacing w:after="0" w:line="222" w:lineRule="exact"/>
        <w:rPr>
          <w:sz w:val="20"/>
          <w:szCs w:val="20"/>
          <w:color w:val="auto"/>
        </w:rPr>
      </w:pPr>
    </w:p>
    <w:p>
      <w:pPr>
        <w:ind w:left="620" w:hanging="616"/>
        <w:spacing w:after="0"/>
        <w:tabs>
          <w:tab w:leader="none" w:pos="620"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Revenue has been reduced to reflect the results of discontinued operations. Revenue from discontinued operations, by quarter, is summarized as follows:</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ind w:right="205"/>
              <w:spacing w:after="0"/>
              <w:rPr>
                <w:sz w:val="20"/>
                <w:szCs w:val="20"/>
                <w:color w:val="auto"/>
              </w:rPr>
            </w:pPr>
            <w:r>
              <w:rPr>
                <w:rFonts w:ascii="Arial" w:cs="Arial" w:eastAsia="Arial" w:hAnsi="Arial"/>
                <w:sz w:val="14"/>
                <w:szCs w:val="14"/>
                <w:b w:val="1"/>
                <w:bCs w:val="1"/>
                <w:color w:val="auto"/>
                <w:w w:val="92"/>
              </w:rPr>
              <w:t>First</w:t>
            </w:r>
          </w:p>
        </w:tc>
        <w:tc>
          <w:tcPr>
            <w:tcW w:w="380" w:type="dxa"/>
            <w:vAlign w:val="bottom"/>
          </w:tcPr>
          <w:p>
            <w:pPr>
              <w:spacing w:after="0"/>
              <w:rPr>
                <w:sz w:val="14"/>
                <w:szCs w:val="14"/>
                <w:color w:val="auto"/>
              </w:rPr>
            </w:pPr>
          </w:p>
        </w:tc>
        <w:tc>
          <w:tcPr>
            <w:tcW w:w="1120" w:type="dxa"/>
            <w:vAlign w:val="bottom"/>
          </w:tcPr>
          <w:p>
            <w:pPr>
              <w:jc w:val="center"/>
              <w:ind w:right="226"/>
              <w:spacing w:after="0"/>
              <w:rPr>
                <w:sz w:val="20"/>
                <w:szCs w:val="20"/>
                <w:color w:val="auto"/>
              </w:rPr>
            </w:pPr>
            <w:r>
              <w:rPr>
                <w:rFonts w:ascii="Arial" w:cs="Arial" w:eastAsia="Arial" w:hAnsi="Arial"/>
                <w:sz w:val="14"/>
                <w:szCs w:val="14"/>
                <w:b w:val="1"/>
                <w:bCs w:val="1"/>
                <w:color w:val="auto"/>
                <w:w w:val="82"/>
              </w:rPr>
              <w:t>Second</w:t>
            </w:r>
          </w:p>
        </w:tc>
        <w:tc>
          <w:tcPr>
            <w:tcW w:w="500" w:type="dxa"/>
            <w:vAlign w:val="bottom"/>
          </w:tcPr>
          <w:p>
            <w:pPr>
              <w:spacing w:after="0"/>
              <w:rPr>
                <w:sz w:val="14"/>
                <w:szCs w:val="14"/>
                <w:color w:val="auto"/>
              </w:rPr>
            </w:pPr>
          </w:p>
        </w:tc>
        <w:tc>
          <w:tcPr>
            <w:tcW w:w="980" w:type="dxa"/>
            <w:vAlign w:val="bottom"/>
          </w:tcPr>
          <w:p>
            <w:pPr>
              <w:jc w:val="center"/>
              <w:ind w:right="365"/>
              <w:spacing w:after="0"/>
              <w:rPr>
                <w:sz w:val="20"/>
                <w:szCs w:val="20"/>
                <w:color w:val="auto"/>
              </w:rPr>
            </w:pPr>
            <w:r>
              <w:rPr>
                <w:rFonts w:ascii="Arial" w:cs="Arial" w:eastAsia="Arial" w:hAnsi="Arial"/>
                <w:sz w:val="14"/>
                <w:szCs w:val="14"/>
                <w:b w:val="1"/>
                <w:bCs w:val="1"/>
                <w:color w:val="auto"/>
                <w:w w:val="97"/>
              </w:rPr>
              <w:t>Third</w:t>
            </w:r>
          </w:p>
        </w:tc>
        <w:tc>
          <w:tcPr>
            <w:tcW w:w="360" w:type="dxa"/>
            <w:vAlign w:val="bottom"/>
          </w:tcPr>
          <w:p>
            <w:pPr>
              <w:spacing w:after="0"/>
              <w:rPr>
                <w:sz w:val="14"/>
                <w:szCs w:val="14"/>
                <w:color w:val="auto"/>
              </w:rPr>
            </w:pPr>
          </w:p>
        </w:tc>
        <w:tc>
          <w:tcPr>
            <w:tcW w:w="1100" w:type="dxa"/>
            <w:vAlign w:val="bottom"/>
          </w:tcPr>
          <w:p>
            <w:pPr>
              <w:jc w:val="center"/>
              <w:ind w:right="205"/>
              <w:spacing w:after="0"/>
              <w:rPr>
                <w:sz w:val="20"/>
                <w:szCs w:val="20"/>
                <w:color w:val="auto"/>
              </w:rPr>
            </w:pPr>
            <w:r>
              <w:rPr>
                <w:rFonts w:ascii="Arial" w:cs="Arial" w:eastAsia="Arial" w:hAnsi="Arial"/>
                <w:sz w:val="14"/>
                <w:szCs w:val="14"/>
                <w:b w:val="1"/>
                <w:bCs w:val="1"/>
                <w:color w:val="auto"/>
                <w:w w:val="94"/>
              </w:rPr>
              <w:t>Fourth</w:t>
            </w:r>
          </w:p>
        </w:tc>
      </w:tr>
      <w:tr>
        <w:trPr>
          <w:trHeight w:val="186"/>
        </w:trPr>
        <w:tc>
          <w:tcPr>
            <w:tcW w:w="4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4"/>
              </w:rPr>
              <w:t>Quarter</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26"/>
              <w:spacing w:after="0"/>
              <w:rPr>
                <w:sz w:val="20"/>
                <w:szCs w:val="20"/>
                <w:color w:val="auto"/>
              </w:rPr>
            </w:pPr>
            <w:r>
              <w:rPr>
                <w:rFonts w:ascii="Arial" w:cs="Arial" w:eastAsia="Arial" w:hAnsi="Arial"/>
                <w:sz w:val="14"/>
                <w:szCs w:val="14"/>
                <w:b w:val="1"/>
                <w:bCs w:val="1"/>
                <w:color w:val="auto"/>
                <w:w w:val="98"/>
              </w:rPr>
              <w:t>Quarter</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65"/>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94"/>
              </w:rPr>
              <w:t>Quarter</w:t>
            </w:r>
          </w:p>
        </w:tc>
      </w:tr>
      <w:tr>
        <w:trPr>
          <w:trHeight w:val="240"/>
        </w:trPr>
        <w:tc>
          <w:tcPr>
            <w:tcW w:w="4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0"/>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2011 revenue from discontinued operations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rPr>
              <w:t>978</w:t>
            </w:r>
          </w:p>
        </w:tc>
        <w:tc>
          <w:tcPr>
            <w:tcW w:w="3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46"/>
              <w:spacing w:after="0"/>
              <w:rPr>
                <w:sz w:val="20"/>
                <w:szCs w:val="20"/>
                <w:color w:val="auto"/>
              </w:rPr>
            </w:pPr>
            <w:r>
              <w:rPr>
                <w:rFonts w:ascii="Arial" w:cs="Arial" w:eastAsia="Arial" w:hAnsi="Arial"/>
                <w:sz w:val="17"/>
                <w:szCs w:val="17"/>
                <w:color w:val="auto"/>
              </w:rPr>
              <w:t>1,048</w:t>
            </w:r>
          </w:p>
        </w:tc>
        <w:tc>
          <w:tcPr>
            <w:tcW w:w="5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163</w:t>
            </w:r>
          </w:p>
        </w:tc>
        <w:tc>
          <w:tcPr>
            <w:tcW w:w="3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rPr>
              <w:t>93</w:t>
            </w:r>
          </w:p>
        </w:tc>
      </w:tr>
      <w:tr>
        <w:trPr>
          <w:trHeight w:val="26"/>
        </w:trPr>
        <w:tc>
          <w:tcPr>
            <w:tcW w:w="4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70" w:lineRule="exact"/>
        <w:rPr>
          <w:sz w:val="20"/>
          <w:szCs w:val="20"/>
          <w:color w:val="auto"/>
        </w:rPr>
      </w:pPr>
    </w:p>
    <w:p>
      <w:pPr>
        <w:ind w:left="620" w:hanging="616"/>
        <w:spacing w:after="0"/>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Third quarter 2011 amounts include a $14.8 million gain on sale of our Feasterville Shopping Center as further discussed in Note 3.</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19—SUBSEQUENT EVENT</w:t>
      </w:r>
    </w:p>
    <w:p>
      <w:pPr>
        <w:spacing w:after="0" w:line="17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January 2, 2013, we repaid the mortgage loan at par on White Marsh Plaza prior to its original maturity date for $9.0 million. The loan had an original maturity date of April 1, 2013.</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III</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OF REAL ESTATE AND ACCUMULATED DEPRECIATION</w:t>
      </w:r>
    </w:p>
    <w:p>
      <w:pPr>
        <w:spacing w:after="0" w:line="13"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DECEMBER 31, 2012</w:t>
      </w:r>
    </w:p>
    <w:p>
      <w:pPr>
        <w:spacing w:after="0" w:line="13"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(Dollars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60" w:type="dxa"/>
            <w:vAlign w:val="bottom"/>
          </w:tcPr>
          <w:p>
            <w:pPr>
              <w:ind w:left="40"/>
              <w:spacing w:after="0"/>
              <w:rPr>
                <w:sz w:val="20"/>
                <w:szCs w:val="20"/>
                <w:color w:val="auto"/>
              </w:rPr>
            </w:pPr>
            <w:r>
              <w:rPr>
                <w:rFonts w:ascii="Arial" w:cs="Arial" w:eastAsia="Arial" w:hAnsi="Arial"/>
                <w:sz w:val="12"/>
                <w:szCs w:val="12"/>
                <w:b w:val="1"/>
                <w:bCs w:val="1"/>
                <w:color w:val="auto"/>
              </w:rPr>
              <w:t>COLUMN A</w:t>
            </w:r>
          </w:p>
        </w:tc>
        <w:tc>
          <w:tcPr>
            <w:tcW w:w="48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COLUMN B</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C</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COLUMN D</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COLUMN 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COLUMN F</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COLUMN G</w:t>
            </w: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COLUMN H</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COLUMN I</w:t>
            </w:r>
          </w:p>
        </w:tc>
        <w:tc>
          <w:tcPr>
            <w:tcW w:w="0" w:type="dxa"/>
            <w:vAlign w:val="bottom"/>
          </w:tcPr>
          <w:p>
            <w:pPr>
              <w:spacing w:after="0"/>
              <w:rPr>
                <w:sz w:val="1"/>
                <w:szCs w:val="1"/>
                <w:color w:val="auto"/>
              </w:rPr>
            </w:pPr>
          </w:p>
        </w:tc>
      </w:tr>
      <w:tr>
        <w:trPr>
          <w:trHeight w:val="138"/>
        </w:trPr>
        <w:tc>
          <w:tcPr>
            <w:tcW w:w="18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Life on</w:t>
            </w:r>
          </w:p>
        </w:tc>
        <w:tc>
          <w:tcPr>
            <w:tcW w:w="0" w:type="dxa"/>
            <w:vAlign w:val="bottom"/>
          </w:tcPr>
          <w:p>
            <w:pPr>
              <w:spacing w:after="0"/>
              <w:rPr>
                <w:sz w:val="1"/>
                <w:szCs w:val="1"/>
                <w:color w:val="auto"/>
              </w:rPr>
            </w:pPr>
          </w:p>
        </w:tc>
      </w:tr>
      <w:tr>
        <w:trPr>
          <w:trHeight w:val="130"/>
        </w:trPr>
        <w:tc>
          <w:tcPr>
            <w:tcW w:w="1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6"/>
            <w:vMerge w:val="restart"/>
          </w:tcPr>
          <w:p>
            <w:pPr>
              <w:jc w:val="center"/>
              <w:ind w:right="80"/>
              <w:spacing w:after="0"/>
              <w:rPr>
                <w:sz w:val="20"/>
                <w:szCs w:val="20"/>
                <w:color w:val="auto"/>
              </w:rPr>
            </w:pPr>
            <w:r>
              <w:rPr>
                <w:rFonts w:ascii="Arial" w:cs="Arial" w:eastAsia="Arial" w:hAnsi="Arial"/>
                <w:sz w:val="12"/>
                <w:szCs w:val="12"/>
                <w:b w:val="1"/>
                <w:bCs w:val="1"/>
                <w:color w:val="auto"/>
                <w:w w:val="91"/>
              </w:rPr>
              <w:t>Gross amount at which carried at</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which</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gridSpan w:val="6"/>
            <w:vMerge w:val="continue"/>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2"/>
                <w:szCs w:val="12"/>
                <w:b w:val="1"/>
                <w:bCs w:val="1"/>
                <w:color w:val="auto"/>
                <w:w w:val="89"/>
              </w:rPr>
              <w:t>depreciation</w:t>
            </w:r>
          </w:p>
        </w:tc>
        <w:tc>
          <w:tcPr>
            <w:tcW w:w="0" w:type="dxa"/>
            <w:vAlign w:val="bottom"/>
          </w:tcPr>
          <w:p>
            <w:pPr>
              <w:spacing w:after="0"/>
              <w:rPr>
                <w:sz w:val="1"/>
                <w:szCs w:val="1"/>
                <w:color w:val="auto"/>
              </w:rPr>
            </w:pPr>
          </w:p>
        </w:tc>
      </w:tr>
      <w:tr>
        <w:trPr>
          <w:trHeight w:val="143"/>
        </w:trPr>
        <w:tc>
          <w:tcPr>
            <w:tcW w:w="1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bottom w:val="single" w:sz="8" w:color="auto"/>
            </w:tcBorders>
            <w:gridSpan w:val="3"/>
          </w:tcPr>
          <w:p>
            <w:pPr>
              <w:ind w:left="240"/>
              <w:spacing w:after="0"/>
              <w:rPr>
                <w:sz w:val="20"/>
                <w:szCs w:val="20"/>
                <w:color w:val="auto"/>
              </w:rPr>
            </w:pPr>
            <w:r>
              <w:rPr>
                <w:rFonts w:ascii="Arial" w:cs="Arial" w:eastAsia="Arial" w:hAnsi="Arial"/>
                <w:sz w:val="12"/>
                <w:szCs w:val="12"/>
                <w:b w:val="1"/>
                <w:bCs w:val="1"/>
                <w:color w:val="auto"/>
              </w:rPr>
              <w:t>Initial cost to company</w:t>
            </w:r>
          </w:p>
        </w:tc>
        <w:tc>
          <w:tcPr>
            <w:tcW w:w="10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Cost</w:t>
            </w:r>
          </w:p>
        </w:tc>
        <w:tc>
          <w:tcPr>
            <w:tcW w:w="7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2"/>
                <w:szCs w:val="12"/>
                <w:b w:val="1"/>
                <w:bCs w:val="1"/>
                <w:color w:val="auto"/>
                <w:w w:val="86"/>
              </w:rPr>
              <w:t>close of period</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88"/>
              </w:rPr>
              <w:t>in latest</w:t>
            </w:r>
          </w:p>
        </w:tc>
        <w:tc>
          <w:tcPr>
            <w:tcW w:w="0" w:type="dxa"/>
            <w:vAlign w:val="bottom"/>
          </w:tcPr>
          <w:p>
            <w:pPr>
              <w:spacing w:after="0"/>
              <w:rPr>
                <w:sz w:val="1"/>
                <w:szCs w:val="1"/>
                <w:color w:val="auto"/>
              </w:rPr>
            </w:pPr>
          </w:p>
        </w:tc>
      </w:tr>
      <w:tr>
        <w:trPr>
          <w:trHeight w:val="105"/>
        </w:trPr>
        <w:tc>
          <w:tcPr>
            <w:tcW w:w="1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20"/>
              <w:spacing w:after="0" w:line="105" w:lineRule="exact"/>
              <w:rPr>
                <w:sz w:val="20"/>
                <w:szCs w:val="20"/>
                <w:color w:val="auto"/>
              </w:rPr>
            </w:pPr>
            <w:r>
              <w:rPr>
                <w:rFonts w:ascii="Arial" w:cs="Arial" w:eastAsia="Arial" w:hAnsi="Arial"/>
                <w:sz w:val="12"/>
                <w:szCs w:val="12"/>
                <w:b w:val="1"/>
                <w:bCs w:val="1"/>
                <w:color w:val="auto"/>
                <w:w w:val="94"/>
              </w:rPr>
              <w:t>Capitalized</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00"/>
              <w:spacing w:after="0" w:line="105" w:lineRule="exact"/>
              <w:rPr>
                <w:sz w:val="20"/>
                <w:szCs w:val="20"/>
                <w:color w:val="auto"/>
              </w:rPr>
            </w:pPr>
            <w:r>
              <w:rPr>
                <w:rFonts w:ascii="Arial" w:cs="Arial" w:eastAsia="Arial" w:hAnsi="Arial"/>
                <w:sz w:val="12"/>
                <w:szCs w:val="12"/>
                <w:b w:val="1"/>
                <w:bCs w:val="1"/>
                <w:color w:val="auto"/>
                <w:w w:val="90"/>
              </w:rPr>
              <w:t>Accumulated</w:t>
            </w: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85"/>
              </w:rPr>
              <w:t>income</w:t>
            </w:r>
          </w:p>
        </w:tc>
        <w:tc>
          <w:tcPr>
            <w:tcW w:w="0" w:type="dxa"/>
            <w:vAlign w:val="bottom"/>
          </w:tcPr>
          <w:p>
            <w:pPr>
              <w:spacing w:after="0"/>
              <w:rPr>
                <w:sz w:val="1"/>
                <w:szCs w:val="1"/>
                <w:color w:val="auto"/>
              </w:rPr>
            </w:pPr>
          </w:p>
        </w:tc>
      </w:tr>
      <w:tr>
        <w:trPr>
          <w:trHeight w:val="130"/>
        </w:trPr>
        <w:tc>
          <w:tcPr>
            <w:tcW w:w="1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87"/>
              </w:rPr>
              <w:t>Subsequent</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3"/>
              </w:rPr>
              <w:t>Depreciation</w:t>
            </w:r>
          </w:p>
        </w:tc>
        <w:tc>
          <w:tcPr>
            <w:tcW w:w="106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2"/>
              </w:rPr>
              <w:t>Date</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8"/>
              </w:rPr>
              <w:t>statements</w:t>
            </w:r>
          </w:p>
        </w:tc>
        <w:tc>
          <w:tcPr>
            <w:tcW w:w="0" w:type="dxa"/>
            <w:vAlign w:val="bottom"/>
          </w:tcPr>
          <w:p>
            <w:pPr>
              <w:spacing w:after="0"/>
              <w:rPr>
                <w:sz w:val="1"/>
                <w:szCs w:val="1"/>
                <w:color w:val="auto"/>
              </w:rPr>
            </w:pPr>
          </w:p>
        </w:tc>
      </w:tr>
      <w:tr>
        <w:trPr>
          <w:trHeight w:val="130"/>
        </w:trPr>
        <w:tc>
          <w:tcPr>
            <w:tcW w:w="1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2"/>
                <w:szCs w:val="12"/>
                <w:b w:val="1"/>
                <w:bCs w:val="1"/>
                <w:color w:val="auto"/>
                <w:w w:val="96"/>
              </w:rPr>
              <w:t>Building and</w:t>
            </w:r>
          </w:p>
        </w:tc>
        <w:tc>
          <w:tcPr>
            <w:tcW w:w="100" w:type="dxa"/>
            <w:vAlign w:val="bottom"/>
          </w:tcPr>
          <w:p>
            <w:pPr>
              <w:spacing w:after="0"/>
              <w:rPr>
                <w:sz w:val="11"/>
                <w:szCs w:val="11"/>
                <w:color w:val="auto"/>
              </w:rPr>
            </w:pPr>
          </w:p>
        </w:tc>
        <w:tc>
          <w:tcPr>
            <w:tcW w:w="84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7"/>
              </w:rPr>
              <w:t>to</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93"/>
              </w:rPr>
              <w:t>Building and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3"/>
              </w:rPr>
              <w:t>and</w:t>
            </w:r>
          </w:p>
        </w:tc>
        <w:tc>
          <w:tcPr>
            <w:tcW w:w="106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87"/>
              </w:rPr>
              <w:t>of</w:t>
            </w:r>
          </w:p>
        </w:tc>
        <w:tc>
          <w:tcPr>
            <w:tcW w:w="84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9"/>
              </w:rPr>
              <w:t>Date</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79"/>
              </w:rPr>
              <w:t>is</w:t>
            </w:r>
          </w:p>
        </w:tc>
        <w:tc>
          <w:tcPr>
            <w:tcW w:w="0" w:type="dxa"/>
            <w:vAlign w:val="bottom"/>
          </w:tcPr>
          <w:p>
            <w:pPr>
              <w:spacing w:after="0"/>
              <w:rPr>
                <w:sz w:val="1"/>
                <w:szCs w:val="1"/>
                <w:color w:val="auto"/>
              </w:rPr>
            </w:pPr>
          </w:p>
        </w:tc>
      </w:tr>
      <w:tr>
        <w:trPr>
          <w:trHeight w:val="167"/>
        </w:trPr>
        <w:tc>
          <w:tcPr>
            <w:tcW w:w="1860" w:type="dxa"/>
            <w:vAlign w:val="bottom"/>
          </w:tcPr>
          <w:p>
            <w:pPr>
              <w:ind w:left="40"/>
              <w:spacing w:after="0"/>
              <w:rPr>
                <w:sz w:val="20"/>
                <w:szCs w:val="20"/>
                <w:color w:val="auto"/>
              </w:rPr>
            </w:pPr>
            <w:r>
              <w:rPr>
                <w:rFonts w:ascii="Arial" w:cs="Arial" w:eastAsia="Arial" w:hAnsi="Arial"/>
                <w:sz w:val="12"/>
                <w:szCs w:val="12"/>
                <w:b w:val="1"/>
                <w:bCs w:val="1"/>
                <w:color w:val="auto"/>
              </w:rPr>
              <w:t>Descriptions</w:t>
            </w:r>
          </w:p>
        </w:tc>
        <w:tc>
          <w:tcPr>
            <w:tcW w:w="48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Encumbrance</w:t>
            </w:r>
          </w:p>
        </w:tc>
        <w:tc>
          <w:tcPr>
            <w:tcW w:w="840" w:type="dxa"/>
            <w:vAlign w:val="bottom"/>
            <w:gridSpan w:val="2"/>
          </w:tcPr>
          <w:p>
            <w:pPr>
              <w:ind w:left="220"/>
              <w:spacing w:after="0"/>
              <w:rPr>
                <w:sz w:val="20"/>
                <w:szCs w:val="20"/>
                <w:color w:val="auto"/>
              </w:rPr>
            </w:pPr>
            <w:r>
              <w:rPr>
                <w:rFonts w:ascii="Arial" w:cs="Arial" w:eastAsia="Arial" w:hAnsi="Arial"/>
                <w:sz w:val="12"/>
                <w:szCs w:val="12"/>
                <w:b w:val="1"/>
                <w:bCs w:val="1"/>
                <w:color w:val="auto"/>
              </w:rPr>
              <w:t>Land</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w w:val="92"/>
              </w:rPr>
              <w:t>Improvements</w:t>
            </w: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Acquisition</w:t>
            </w:r>
          </w:p>
        </w:tc>
        <w:tc>
          <w:tcPr>
            <w:tcW w:w="720" w:type="dxa"/>
            <w:vAlign w:val="bottom"/>
          </w:tcPr>
          <w:p>
            <w:pPr>
              <w:jc w:val="right"/>
              <w:ind w:right="152"/>
              <w:spacing w:after="0"/>
              <w:rPr>
                <w:sz w:val="20"/>
                <w:szCs w:val="20"/>
                <w:color w:val="auto"/>
              </w:rPr>
            </w:pPr>
            <w:r>
              <w:rPr>
                <w:rFonts w:ascii="Arial" w:cs="Arial" w:eastAsia="Arial" w:hAnsi="Arial"/>
                <w:sz w:val="12"/>
                <w:szCs w:val="12"/>
                <w:b w:val="1"/>
                <w:bCs w:val="1"/>
                <w:color w:val="auto"/>
              </w:rPr>
              <w:t>Land</w:t>
            </w:r>
          </w:p>
        </w:tc>
        <w:tc>
          <w:tcPr>
            <w:tcW w:w="10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0"/>
              </w:rPr>
              <w:t>Improvements</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Amortization</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Construction</w:t>
            </w: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Acquired</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0"/>
              </w:rPr>
              <w:t>computed</w:t>
            </w:r>
          </w:p>
        </w:tc>
        <w:tc>
          <w:tcPr>
            <w:tcW w:w="0" w:type="dxa"/>
            <w:vAlign w:val="bottom"/>
          </w:tcPr>
          <w:p>
            <w:pPr>
              <w:spacing w:after="0"/>
              <w:rPr>
                <w:sz w:val="1"/>
                <w:szCs w:val="1"/>
                <w:color w:val="auto"/>
              </w:rPr>
            </w:pPr>
          </w:p>
        </w:tc>
      </w:tr>
      <w:tr>
        <w:trPr>
          <w:trHeight w:val="151"/>
        </w:trPr>
        <w:tc>
          <w:tcPr>
            <w:tcW w:w="1860" w:type="dxa"/>
            <w:vAlign w:val="bottom"/>
            <w:tcBorders>
              <w:top w:val="single" w:sz="8" w:color="auto"/>
            </w:tcBorders>
            <w:shd w:val="clear" w:color="auto" w:fill="CCEEFF"/>
          </w:tcPr>
          <w:p>
            <w:pPr>
              <w:ind w:left="40"/>
              <w:spacing w:after="0" w:line="151" w:lineRule="exact"/>
              <w:rPr>
                <w:sz w:val="20"/>
                <w:szCs w:val="20"/>
                <w:color w:val="auto"/>
              </w:rPr>
            </w:pPr>
            <w:r>
              <w:rPr>
                <w:rFonts w:ascii="Arial" w:cs="Arial" w:eastAsia="Arial" w:hAnsi="Arial"/>
                <w:sz w:val="14"/>
                <w:szCs w:val="14"/>
                <w:color w:val="auto"/>
              </w:rPr>
              <w:t>150 POST STREET</w:t>
            </w:r>
          </w:p>
        </w:tc>
        <w:tc>
          <w:tcPr>
            <w:tcW w:w="4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6"/>
              </w:rPr>
              <w:t>$   11,685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91"/>
              </w:rPr>
              <w:t>$9,181</w:t>
            </w:r>
          </w:p>
        </w:tc>
        <w:tc>
          <w:tcPr>
            <w:tcW w:w="8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  16,863</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6"/>
              </w:rPr>
              <w:t>$   11,685</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   26,044</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8"/>
              </w:rPr>
              <w:t>$ 37,729</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99"/>
              </w:rPr>
              <w:t>$   14,825</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1908, 1965</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10/23/1997</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860" w:type="dxa"/>
            <w:vAlign w:val="bottom"/>
          </w:tcPr>
          <w:p>
            <w:pPr>
              <w:ind w:left="40"/>
              <w:spacing w:after="0" w:line="151" w:lineRule="exact"/>
              <w:rPr>
                <w:sz w:val="20"/>
                <w:szCs w:val="20"/>
                <w:color w:val="auto"/>
              </w:rPr>
            </w:pPr>
            <w:r>
              <w:rPr>
                <w:rFonts w:ascii="Arial" w:cs="Arial" w:eastAsia="Arial" w:hAnsi="Arial"/>
                <w:sz w:val="14"/>
                <w:szCs w:val="14"/>
                <w:color w:val="auto"/>
              </w:rPr>
              <w:t>29TH PLACE (SHOPPERS'</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40"/>
              <w:spacing w:after="0"/>
              <w:rPr>
                <w:sz w:val="20"/>
                <w:szCs w:val="20"/>
                <w:color w:val="auto"/>
              </w:rPr>
            </w:pPr>
            <w:r>
              <w:rPr>
                <w:rFonts w:ascii="Arial" w:cs="Arial" w:eastAsia="Arial" w:hAnsi="Arial"/>
                <w:sz w:val="14"/>
                <w:szCs w:val="14"/>
                <w:color w:val="auto"/>
              </w:rPr>
              <w:t>WORLD) (Virginia)</w:t>
            </w:r>
          </w:p>
        </w:tc>
        <w:tc>
          <w:tcPr>
            <w:tcW w:w="480" w:type="dxa"/>
            <w:vAlign w:val="bottom"/>
          </w:tcPr>
          <w:p>
            <w:pPr>
              <w:ind w:left="120"/>
              <w:spacing w:after="0"/>
              <w:rPr>
                <w:sz w:val="20"/>
                <w:szCs w:val="20"/>
                <w:color w:val="auto"/>
              </w:rPr>
            </w:pPr>
            <w:r>
              <w:rPr>
                <w:rFonts w:ascii="Arial" w:cs="Arial" w:eastAsia="Arial" w:hAnsi="Arial"/>
                <w:sz w:val="14"/>
                <w:szCs w:val="14"/>
                <w:color w:val="auto"/>
              </w:rPr>
              <w:t>VA</w:t>
            </w:r>
          </w:p>
        </w:tc>
        <w:tc>
          <w:tcPr>
            <w:tcW w:w="180" w:type="dxa"/>
            <w:vAlign w:val="bottom"/>
          </w:tcPr>
          <w:p>
            <w:pPr>
              <w:spacing w:after="0"/>
              <w:rPr>
                <w:sz w:val="15"/>
                <w:szCs w:val="15"/>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color w:val="auto"/>
              </w:rPr>
              <w:t>5,253</w:t>
            </w:r>
          </w:p>
        </w:tc>
        <w:tc>
          <w:tcPr>
            <w:tcW w:w="10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10,211</w:t>
            </w:r>
          </w:p>
        </w:tc>
        <w:tc>
          <w:tcPr>
            <w:tcW w:w="100" w:type="dxa"/>
            <w:vAlign w:val="bottom"/>
          </w:tcPr>
          <w:p>
            <w:pPr>
              <w:spacing w:after="0"/>
              <w:rPr>
                <w:sz w:val="15"/>
                <w:szCs w:val="15"/>
                <w:color w:val="auto"/>
              </w:rPr>
            </w:pPr>
          </w:p>
        </w:tc>
        <w:tc>
          <w:tcPr>
            <w:tcW w:w="780" w:type="dxa"/>
            <w:vAlign w:val="bottom"/>
          </w:tcPr>
          <w:p>
            <w:pPr>
              <w:jc w:val="right"/>
              <w:ind w:right="35"/>
              <w:spacing w:after="0"/>
              <w:rPr>
                <w:sz w:val="20"/>
                <w:szCs w:val="20"/>
                <w:color w:val="auto"/>
              </w:rPr>
            </w:pPr>
            <w:r>
              <w:rPr>
                <w:rFonts w:ascii="Arial" w:cs="Arial" w:eastAsia="Arial" w:hAnsi="Arial"/>
                <w:sz w:val="14"/>
                <w:szCs w:val="14"/>
                <w:color w:val="auto"/>
              </w:rPr>
              <w:t>18,863</w:t>
            </w:r>
          </w:p>
        </w:tc>
        <w:tc>
          <w:tcPr>
            <w:tcW w:w="820" w:type="dxa"/>
            <w:vAlign w:val="bottom"/>
            <w:gridSpan w:val="2"/>
          </w:tcPr>
          <w:p>
            <w:pPr>
              <w:jc w:val="right"/>
              <w:ind w:right="39"/>
              <w:spacing w:after="0"/>
              <w:rPr>
                <w:sz w:val="20"/>
                <w:szCs w:val="20"/>
                <w:color w:val="auto"/>
              </w:rPr>
            </w:pPr>
            <w:r>
              <w:rPr>
                <w:rFonts w:ascii="Arial" w:cs="Arial" w:eastAsia="Arial" w:hAnsi="Arial"/>
                <w:sz w:val="14"/>
                <w:szCs w:val="14"/>
                <w:color w:val="auto"/>
              </w:rPr>
              <w:t>7,695</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10,225</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26,544</w:t>
            </w:r>
          </w:p>
        </w:tc>
        <w:tc>
          <w:tcPr>
            <w:tcW w:w="10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36,769</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4,287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1975 - 2001</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5/30/2007</w:t>
            </w:r>
          </w:p>
        </w:tc>
        <w:tc>
          <w:tcPr>
            <w:tcW w:w="1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66"/>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ANDORRA (Pennsylvania)</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w:t>
            </w:r>
          </w:p>
        </w:tc>
        <w:tc>
          <w:tcPr>
            <w:tcW w:w="1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2,432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12,346</w:t>
            </w:r>
          </w:p>
        </w:tc>
        <w:tc>
          <w:tcPr>
            <w:tcW w:w="8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10,346</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2,432</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22,692</w:t>
            </w: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25,124</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15,264</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1/12/1988</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860" w:type="dxa"/>
            <w:vAlign w:val="bottom"/>
          </w:tcPr>
          <w:p>
            <w:pPr>
              <w:ind w:left="40"/>
              <w:spacing w:after="0" w:line="151" w:lineRule="exact"/>
              <w:rPr>
                <w:sz w:val="20"/>
                <w:szCs w:val="20"/>
                <w:color w:val="auto"/>
              </w:rPr>
            </w:pPr>
            <w:r>
              <w:rPr>
                <w:rFonts w:ascii="Arial" w:cs="Arial" w:eastAsia="Arial" w:hAnsi="Arial"/>
                <w:sz w:val="14"/>
                <w:szCs w:val="14"/>
                <w:color w:val="auto"/>
              </w:rPr>
              <w:t>ASSEMBLY SQUARE</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60" w:type="dxa"/>
            <w:vAlign w:val="bottom"/>
          </w:tcPr>
          <w:p>
            <w:pPr>
              <w:ind w:left="40"/>
              <w:spacing w:after="0" w:line="143" w:lineRule="exact"/>
              <w:rPr>
                <w:sz w:val="20"/>
                <w:szCs w:val="20"/>
                <w:color w:val="auto"/>
              </w:rPr>
            </w:pPr>
            <w:r>
              <w:rPr>
                <w:rFonts w:ascii="Arial" w:cs="Arial" w:eastAsia="Arial" w:hAnsi="Arial"/>
                <w:sz w:val="14"/>
                <w:szCs w:val="14"/>
                <w:color w:val="auto"/>
                <w:w w:val="98"/>
              </w:rPr>
              <w:t>MARKETPLACE/ASSEMBLY</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40"/>
              <w:spacing w:after="0"/>
              <w:rPr>
                <w:sz w:val="20"/>
                <w:szCs w:val="20"/>
                <w:color w:val="auto"/>
              </w:rPr>
            </w:pPr>
            <w:r>
              <w:rPr>
                <w:rFonts w:ascii="Arial" w:cs="Arial" w:eastAsia="Arial" w:hAnsi="Arial"/>
                <w:sz w:val="14"/>
                <w:szCs w:val="14"/>
                <w:color w:val="auto"/>
              </w:rPr>
              <w:t>ROW (Massachusetts)</w:t>
            </w:r>
          </w:p>
        </w:tc>
        <w:tc>
          <w:tcPr>
            <w:tcW w:w="480" w:type="dxa"/>
            <w:vAlign w:val="bottom"/>
          </w:tcPr>
          <w:p>
            <w:pPr>
              <w:ind w:left="120"/>
              <w:spacing w:after="0"/>
              <w:rPr>
                <w:sz w:val="20"/>
                <w:szCs w:val="20"/>
                <w:color w:val="auto"/>
              </w:rPr>
            </w:pPr>
            <w:r>
              <w:rPr>
                <w:rFonts w:ascii="Arial" w:cs="Arial" w:eastAsia="Arial" w:hAnsi="Arial"/>
                <w:sz w:val="14"/>
                <w:szCs w:val="14"/>
                <w:color w:val="auto"/>
              </w:rPr>
              <w:t>MA</w:t>
            </w: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75,139</w:t>
            </w:r>
          </w:p>
        </w:tc>
        <w:tc>
          <w:tcPr>
            <w:tcW w:w="100" w:type="dxa"/>
            <w:vAlign w:val="bottom"/>
          </w:tcPr>
          <w:p>
            <w:pPr>
              <w:spacing w:after="0"/>
              <w:rPr>
                <w:sz w:val="15"/>
                <w:szCs w:val="15"/>
                <w:color w:val="auto"/>
              </w:rPr>
            </w:pPr>
          </w:p>
        </w:tc>
        <w:tc>
          <w:tcPr>
            <w:tcW w:w="780" w:type="dxa"/>
            <w:vAlign w:val="bottom"/>
          </w:tcPr>
          <w:p>
            <w:pPr>
              <w:jc w:val="right"/>
              <w:ind w:right="35"/>
              <w:spacing w:after="0"/>
              <w:rPr>
                <w:sz w:val="20"/>
                <w:szCs w:val="20"/>
                <w:color w:val="auto"/>
              </w:rPr>
            </w:pPr>
            <w:r>
              <w:rPr>
                <w:rFonts w:ascii="Arial" w:cs="Arial" w:eastAsia="Arial" w:hAnsi="Arial"/>
                <w:sz w:val="14"/>
                <w:szCs w:val="14"/>
                <w:color w:val="auto"/>
              </w:rPr>
              <w:t>34,196</w:t>
            </w:r>
          </w:p>
        </w:tc>
        <w:tc>
          <w:tcPr>
            <w:tcW w:w="820" w:type="dxa"/>
            <w:vAlign w:val="bottom"/>
            <w:gridSpan w:val="2"/>
          </w:tcPr>
          <w:p>
            <w:pPr>
              <w:jc w:val="right"/>
              <w:ind w:right="39"/>
              <w:spacing w:after="0"/>
              <w:rPr>
                <w:sz w:val="20"/>
                <w:szCs w:val="20"/>
                <w:color w:val="auto"/>
              </w:rPr>
            </w:pPr>
            <w:r>
              <w:rPr>
                <w:rFonts w:ascii="Arial" w:cs="Arial" w:eastAsia="Arial" w:hAnsi="Arial"/>
                <w:sz w:val="14"/>
                <w:szCs w:val="14"/>
                <w:color w:val="auto"/>
              </w:rPr>
              <w:t>143,053</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75,139</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177,249</w:t>
            </w:r>
          </w:p>
        </w:tc>
        <w:tc>
          <w:tcPr>
            <w:tcW w:w="10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252,388</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15,525</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2005-2012</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2005-2011</w:t>
            </w:r>
          </w:p>
        </w:tc>
        <w:tc>
          <w:tcPr>
            <w:tcW w:w="1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THE AVENUE AT WHITE</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MARSH (Maryland)</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MD</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55,353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20,682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72,432</w:t>
            </w:r>
          </w:p>
        </w:tc>
        <w:tc>
          <w:tcPr>
            <w:tcW w:w="8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3,522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20,685</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75,951</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96,636</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16,277</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860" w:type="dxa"/>
            <w:vAlign w:val="bottom"/>
          </w:tcPr>
          <w:p>
            <w:pPr>
              <w:ind w:left="40"/>
              <w:spacing w:after="0" w:line="151" w:lineRule="exact"/>
              <w:rPr>
                <w:sz w:val="20"/>
                <w:szCs w:val="20"/>
                <w:color w:val="auto"/>
              </w:rPr>
            </w:pPr>
            <w:r>
              <w:rPr>
                <w:rFonts w:ascii="Arial" w:cs="Arial" w:eastAsia="Arial" w:hAnsi="Arial"/>
                <w:sz w:val="14"/>
                <w:szCs w:val="14"/>
                <w:color w:val="auto"/>
              </w:rPr>
              <w:t>BALA CYNWYD</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480" w:type="dxa"/>
            <w:vAlign w:val="bottom"/>
          </w:tcPr>
          <w:p>
            <w:pPr>
              <w:ind w:left="120"/>
              <w:spacing w:after="0"/>
              <w:rPr>
                <w:sz w:val="20"/>
                <w:szCs w:val="20"/>
                <w:color w:val="auto"/>
              </w:rPr>
            </w:pPr>
            <w:r>
              <w:rPr>
                <w:rFonts w:ascii="Arial" w:cs="Arial" w:eastAsia="Arial" w:hAnsi="Arial"/>
                <w:sz w:val="14"/>
                <w:szCs w:val="14"/>
                <w:color w:val="auto"/>
              </w:rPr>
              <w:t>PA</w:t>
            </w: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3,565</w:t>
            </w:r>
          </w:p>
        </w:tc>
        <w:tc>
          <w:tcPr>
            <w:tcW w:w="100" w:type="dxa"/>
            <w:vAlign w:val="bottom"/>
          </w:tcPr>
          <w:p>
            <w:pPr>
              <w:spacing w:after="0"/>
              <w:rPr>
                <w:sz w:val="15"/>
                <w:szCs w:val="15"/>
                <w:color w:val="auto"/>
              </w:rPr>
            </w:pPr>
          </w:p>
        </w:tc>
        <w:tc>
          <w:tcPr>
            <w:tcW w:w="780" w:type="dxa"/>
            <w:vAlign w:val="bottom"/>
          </w:tcPr>
          <w:p>
            <w:pPr>
              <w:jc w:val="right"/>
              <w:ind w:right="35"/>
              <w:spacing w:after="0"/>
              <w:rPr>
                <w:sz w:val="20"/>
                <w:szCs w:val="20"/>
                <w:color w:val="auto"/>
              </w:rPr>
            </w:pPr>
            <w:r>
              <w:rPr>
                <w:rFonts w:ascii="Arial" w:cs="Arial" w:eastAsia="Arial" w:hAnsi="Arial"/>
                <w:sz w:val="14"/>
                <w:szCs w:val="14"/>
                <w:color w:val="auto"/>
              </w:rPr>
              <w:t>14,466</w:t>
            </w:r>
          </w:p>
        </w:tc>
        <w:tc>
          <w:tcPr>
            <w:tcW w:w="820" w:type="dxa"/>
            <w:vAlign w:val="bottom"/>
            <w:gridSpan w:val="2"/>
          </w:tcPr>
          <w:p>
            <w:pPr>
              <w:jc w:val="right"/>
              <w:ind w:right="39"/>
              <w:spacing w:after="0"/>
              <w:rPr>
                <w:sz w:val="20"/>
                <w:szCs w:val="20"/>
                <w:color w:val="auto"/>
              </w:rPr>
            </w:pPr>
            <w:r>
              <w:rPr>
                <w:rFonts w:ascii="Arial" w:cs="Arial" w:eastAsia="Arial" w:hAnsi="Arial"/>
                <w:sz w:val="14"/>
                <w:szCs w:val="14"/>
                <w:color w:val="auto"/>
              </w:rPr>
              <w:t>21,347</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3,566</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35,812</w:t>
            </w:r>
          </w:p>
        </w:tc>
        <w:tc>
          <w:tcPr>
            <w:tcW w:w="10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39,378</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13,795</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1955</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9/22/1993</w:t>
            </w:r>
          </w:p>
        </w:tc>
        <w:tc>
          <w:tcPr>
            <w:tcW w:w="1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66"/>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BARRACKS ROAD (Virginia)</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w:t>
            </w: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38,070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4,363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16,459</w:t>
            </w:r>
          </w:p>
        </w:tc>
        <w:tc>
          <w:tcPr>
            <w:tcW w:w="8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34,946</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4,363</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51,405</w:t>
            </w: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55,768</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33,651</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12/31/1985</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12/31/93,</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1/20/06,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9/25/08,</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9/30/08, &amp;</w:t>
            </w:r>
          </w:p>
        </w:tc>
        <w:tc>
          <w:tcPr>
            <w:tcW w:w="100" w:type="dxa"/>
            <w:vAlign w:val="bottom"/>
          </w:tcPr>
          <w:p>
            <w:pPr>
              <w:spacing w:after="0"/>
              <w:rPr>
                <w:sz w:val="12"/>
                <w:szCs w:val="12"/>
                <w:color w:val="auto"/>
              </w:rPr>
            </w:pPr>
          </w:p>
        </w:tc>
        <w:tc>
          <w:tcPr>
            <w:tcW w:w="700" w:type="dxa"/>
            <w:vAlign w:val="bottom"/>
          </w:tcPr>
          <w:p>
            <w:pPr>
              <w:ind w:left="40"/>
              <w:spacing w:after="0" w:line="143" w:lineRule="exact"/>
              <w:rPr>
                <w:sz w:val="20"/>
                <w:szCs w:val="20"/>
                <w:color w:val="auto"/>
              </w:rPr>
            </w:pPr>
            <w:r>
              <w:rPr>
                <w:rFonts w:ascii="Arial" w:cs="Arial" w:eastAsia="Arial" w:hAnsi="Arial"/>
                <w:sz w:val="14"/>
                <w:szCs w:val="14"/>
                <w:color w:val="auto"/>
              </w:rPr>
              <w:t>35 - 50</w:t>
            </w:r>
          </w:p>
        </w:tc>
        <w:tc>
          <w:tcPr>
            <w:tcW w:w="0" w:type="dxa"/>
            <w:vAlign w:val="bottom"/>
          </w:tcPr>
          <w:p>
            <w:pPr>
              <w:spacing w:after="0"/>
              <w:rPr>
                <w:sz w:val="1"/>
                <w:szCs w:val="1"/>
                <w:color w:val="auto"/>
              </w:rPr>
            </w:pPr>
          </w:p>
        </w:tc>
      </w:tr>
      <w:tr>
        <w:trPr>
          <w:trHeight w:val="182"/>
        </w:trPr>
        <w:tc>
          <w:tcPr>
            <w:tcW w:w="1860" w:type="dxa"/>
            <w:vAlign w:val="bottom"/>
          </w:tcPr>
          <w:p>
            <w:pPr>
              <w:ind w:left="40"/>
              <w:spacing w:after="0"/>
              <w:rPr>
                <w:sz w:val="20"/>
                <w:szCs w:val="20"/>
                <w:color w:val="auto"/>
              </w:rPr>
            </w:pPr>
            <w:r>
              <w:rPr>
                <w:rFonts w:ascii="Arial" w:cs="Arial" w:eastAsia="Arial" w:hAnsi="Arial"/>
                <w:sz w:val="14"/>
                <w:szCs w:val="14"/>
                <w:color w:val="auto"/>
                <w:w w:val="97"/>
              </w:rPr>
              <w:t>BETHESDA ROW (Maryland)</w:t>
            </w:r>
          </w:p>
        </w:tc>
        <w:tc>
          <w:tcPr>
            <w:tcW w:w="480" w:type="dxa"/>
            <w:vAlign w:val="bottom"/>
          </w:tcPr>
          <w:p>
            <w:pPr>
              <w:ind w:left="120"/>
              <w:spacing w:after="0"/>
              <w:rPr>
                <w:sz w:val="20"/>
                <w:szCs w:val="20"/>
                <w:color w:val="auto"/>
              </w:rPr>
            </w:pPr>
            <w:r>
              <w:rPr>
                <w:rFonts w:ascii="Arial" w:cs="Arial" w:eastAsia="Arial" w:hAnsi="Arial"/>
                <w:sz w:val="14"/>
                <w:szCs w:val="14"/>
                <w:color w:val="auto"/>
              </w:rPr>
              <w:t>MD</w:t>
            </w: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46,579</w:t>
            </w:r>
          </w:p>
        </w:tc>
        <w:tc>
          <w:tcPr>
            <w:tcW w:w="100" w:type="dxa"/>
            <w:vAlign w:val="bottom"/>
          </w:tcPr>
          <w:p>
            <w:pPr>
              <w:spacing w:after="0"/>
              <w:rPr>
                <w:sz w:val="15"/>
                <w:szCs w:val="15"/>
                <w:color w:val="auto"/>
              </w:rPr>
            </w:pPr>
          </w:p>
        </w:tc>
        <w:tc>
          <w:tcPr>
            <w:tcW w:w="780" w:type="dxa"/>
            <w:vAlign w:val="bottom"/>
          </w:tcPr>
          <w:p>
            <w:pPr>
              <w:jc w:val="right"/>
              <w:ind w:right="35"/>
              <w:spacing w:after="0"/>
              <w:rPr>
                <w:sz w:val="20"/>
                <w:szCs w:val="20"/>
                <w:color w:val="auto"/>
              </w:rPr>
            </w:pPr>
            <w:r>
              <w:rPr>
                <w:rFonts w:ascii="Arial" w:cs="Arial" w:eastAsia="Arial" w:hAnsi="Arial"/>
                <w:sz w:val="14"/>
                <w:szCs w:val="14"/>
                <w:color w:val="auto"/>
              </w:rPr>
              <w:t>35,406</w:t>
            </w:r>
          </w:p>
        </w:tc>
        <w:tc>
          <w:tcPr>
            <w:tcW w:w="820" w:type="dxa"/>
            <w:vAlign w:val="bottom"/>
            <w:gridSpan w:val="2"/>
          </w:tcPr>
          <w:p>
            <w:pPr>
              <w:jc w:val="right"/>
              <w:ind w:right="39"/>
              <w:spacing w:after="0"/>
              <w:rPr>
                <w:sz w:val="20"/>
                <w:szCs w:val="20"/>
                <w:color w:val="auto"/>
              </w:rPr>
            </w:pPr>
            <w:r>
              <w:rPr>
                <w:rFonts w:ascii="Arial" w:cs="Arial" w:eastAsia="Arial" w:hAnsi="Arial"/>
                <w:sz w:val="14"/>
                <w:szCs w:val="14"/>
                <w:color w:val="auto"/>
              </w:rPr>
              <w:t>135,297</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44,880</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172,402</w:t>
            </w:r>
          </w:p>
        </w:tc>
        <w:tc>
          <w:tcPr>
            <w:tcW w:w="10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217,282</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43,065</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1945-2008</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12/27/10</w:t>
            </w:r>
          </w:p>
        </w:tc>
        <w:tc>
          <w:tcPr>
            <w:tcW w:w="1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266"/>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BRICK PLAZA (New Jersey)</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NJ</w:t>
            </w: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28,033</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24,715</w:t>
            </w:r>
          </w:p>
        </w:tc>
        <w:tc>
          <w:tcPr>
            <w:tcW w:w="8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35,896</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3,935</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56,676</w:t>
            </w: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60,611</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39,808</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12/28/1989</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54"/>
        </w:trPr>
        <w:tc>
          <w:tcPr>
            <w:tcW w:w="1860" w:type="dxa"/>
            <w:vAlign w:val="bottom"/>
          </w:tcPr>
          <w:p>
            <w:pPr>
              <w:ind w:left="40"/>
              <w:spacing w:after="0"/>
              <w:rPr>
                <w:sz w:val="20"/>
                <w:szCs w:val="20"/>
                <w:color w:val="auto"/>
              </w:rPr>
            </w:pPr>
            <w:r>
              <w:rPr>
                <w:rFonts w:ascii="Arial" w:cs="Arial" w:eastAsia="Arial" w:hAnsi="Arial"/>
                <w:sz w:val="14"/>
                <w:szCs w:val="14"/>
                <w:color w:val="auto"/>
              </w:rPr>
              <w:t>BRISTOL (Connecticut)</w:t>
            </w:r>
          </w:p>
        </w:tc>
        <w:tc>
          <w:tcPr>
            <w:tcW w:w="480" w:type="dxa"/>
            <w:vAlign w:val="bottom"/>
          </w:tcPr>
          <w:p>
            <w:pPr>
              <w:ind w:left="120"/>
              <w:spacing w:after="0"/>
              <w:rPr>
                <w:sz w:val="20"/>
                <w:szCs w:val="20"/>
                <w:color w:val="auto"/>
              </w:rPr>
            </w:pPr>
            <w:r>
              <w:rPr>
                <w:rFonts w:ascii="Arial" w:cs="Arial" w:eastAsia="Arial" w:hAnsi="Arial"/>
                <w:sz w:val="14"/>
                <w:szCs w:val="14"/>
                <w:color w:val="auto"/>
              </w:rPr>
              <w:t>CT</w:t>
            </w:r>
          </w:p>
        </w:tc>
        <w:tc>
          <w:tcPr>
            <w:tcW w:w="18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3,856</w:t>
            </w:r>
          </w:p>
        </w:tc>
        <w:tc>
          <w:tcPr>
            <w:tcW w:w="100" w:type="dxa"/>
            <w:vAlign w:val="bottom"/>
          </w:tcPr>
          <w:p>
            <w:pPr>
              <w:spacing w:after="0"/>
              <w:rPr>
                <w:sz w:val="22"/>
                <w:szCs w:val="22"/>
                <w:color w:val="auto"/>
              </w:rPr>
            </w:pPr>
          </w:p>
        </w:tc>
        <w:tc>
          <w:tcPr>
            <w:tcW w:w="780" w:type="dxa"/>
            <w:vAlign w:val="bottom"/>
          </w:tcPr>
          <w:p>
            <w:pPr>
              <w:jc w:val="right"/>
              <w:ind w:right="35"/>
              <w:spacing w:after="0"/>
              <w:rPr>
                <w:sz w:val="20"/>
                <w:szCs w:val="20"/>
                <w:color w:val="auto"/>
              </w:rPr>
            </w:pPr>
            <w:r>
              <w:rPr>
                <w:rFonts w:ascii="Arial" w:cs="Arial" w:eastAsia="Arial" w:hAnsi="Arial"/>
                <w:sz w:val="14"/>
                <w:szCs w:val="14"/>
                <w:color w:val="auto"/>
              </w:rPr>
              <w:t>15,959</w:t>
            </w:r>
          </w:p>
        </w:tc>
        <w:tc>
          <w:tcPr>
            <w:tcW w:w="820" w:type="dxa"/>
            <w:vAlign w:val="bottom"/>
            <w:gridSpan w:val="2"/>
          </w:tcPr>
          <w:p>
            <w:pPr>
              <w:jc w:val="right"/>
              <w:ind w:right="39"/>
              <w:spacing w:after="0"/>
              <w:rPr>
                <w:sz w:val="20"/>
                <w:szCs w:val="20"/>
                <w:color w:val="auto"/>
              </w:rPr>
            </w:pPr>
            <w:r>
              <w:rPr>
                <w:rFonts w:ascii="Arial" w:cs="Arial" w:eastAsia="Arial" w:hAnsi="Arial"/>
                <w:sz w:val="14"/>
                <w:szCs w:val="14"/>
                <w:color w:val="auto"/>
              </w:rPr>
              <w:t>8,474</w:t>
            </w:r>
          </w:p>
        </w:tc>
        <w:tc>
          <w:tcPr>
            <w:tcW w:w="12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3,856</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24,433</w:t>
            </w: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28,289</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12,486</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9/22/1995</w:t>
            </w:r>
          </w:p>
        </w:tc>
        <w:tc>
          <w:tcPr>
            <w:tcW w:w="10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08/25/06,</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CHELSEA COMMONS</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1/30/07, &amp;</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7,135</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9,417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19,466</w:t>
            </w:r>
          </w:p>
        </w:tc>
        <w:tc>
          <w:tcPr>
            <w:tcW w:w="8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5,891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9,396</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25,378</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34,774</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3,656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1962/1969/2008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7/16/08</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860" w:type="dxa"/>
            <w:vAlign w:val="bottom"/>
          </w:tcPr>
          <w:p>
            <w:pPr>
              <w:ind w:left="40"/>
              <w:spacing w:after="0" w:line="151" w:lineRule="exact"/>
              <w:rPr>
                <w:sz w:val="20"/>
                <w:szCs w:val="20"/>
                <w:color w:val="auto"/>
              </w:rPr>
            </w:pPr>
            <w:r>
              <w:rPr>
                <w:rFonts w:ascii="Arial" w:cs="Arial" w:eastAsia="Arial" w:hAnsi="Arial"/>
                <w:sz w:val="14"/>
                <w:szCs w:val="14"/>
                <w:color w:val="auto"/>
              </w:rPr>
              <w:t>COLORADO BLVD</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12/31/96 &amp;</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480" w:type="dxa"/>
            <w:vAlign w:val="bottom"/>
          </w:tcPr>
          <w:p>
            <w:pPr>
              <w:ind w:left="120"/>
              <w:spacing w:after="0"/>
              <w:rPr>
                <w:sz w:val="20"/>
                <w:szCs w:val="20"/>
                <w:color w:val="auto"/>
              </w:rPr>
            </w:pPr>
            <w:r>
              <w:rPr>
                <w:rFonts w:ascii="Arial" w:cs="Arial" w:eastAsia="Arial" w:hAnsi="Arial"/>
                <w:sz w:val="14"/>
                <w:szCs w:val="14"/>
                <w:color w:val="auto"/>
              </w:rPr>
              <w:t>CA</w:t>
            </w: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5,262</w:t>
            </w:r>
          </w:p>
        </w:tc>
        <w:tc>
          <w:tcPr>
            <w:tcW w:w="100" w:type="dxa"/>
            <w:vAlign w:val="bottom"/>
          </w:tcPr>
          <w:p>
            <w:pPr>
              <w:spacing w:after="0"/>
              <w:rPr>
                <w:sz w:val="15"/>
                <w:szCs w:val="15"/>
                <w:color w:val="auto"/>
              </w:rPr>
            </w:pPr>
          </w:p>
        </w:tc>
        <w:tc>
          <w:tcPr>
            <w:tcW w:w="780" w:type="dxa"/>
            <w:vAlign w:val="bottom"/>
          </w:tcPr>
          <w:p>
            <w:pPr>
              <w:jc w:val="right"/>
              <w:ind w:right="35"/>
              <w:spacing w:after="0"/>
              <w:rPr>
                <w:sz w:val="20"/>
                <w:szCs w:val="20"/>
                <w:color w:val="auto"/>
              </w:rPr>
            </w:pPr>
            <w:r>
              <w:rPr>
                <w:rFonts w:ascii="Arial" w:cs="Arial" w:eastAsia="Arial" w:hAnsi="Arial"/>
                <w:sz w:val="14"/>
                <w:szCs w:val="14"/>
                <w:color w:val="auto"/>
              </w:rPr>
              <w:t>4,071</w:t>
            </w:r>
          </w:p>
        </w:tc>
        <w:tc>
          <w:tcPr>
            <w:tcW w:w="820" w:type="dxa"/>
            <w:vAlign w:val="bottom"/>
            <w:gridSpan w:val="2"/>
          </w:tcPr>
          <w:p>
            <w:pPr>
              <w:jc w:val="right"/>
              <w:ind w:right="39"/>
              <w:spacing w:after="0"/>
              <w:rPr>
                <w:sz w:val="20"/>
                <w:szCs w:val="20"/>
                <w:color w:val="auto"/>
              </w:rPr>
            </w:pPr>
            <w:r>
              <w:rPr>
                <w:rFonts w:ascii="Arial" w:cs="Arial" w:eastAsia="Arial" w:hAnsi="Arial"/>
                <w:sz w:val="14"/>
                <w:szCs w:val="14"/>
                <w:color w:val="auto"/>
              </w:rPr>
              <w:t>9,056</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5,262</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13,127</w:t>
            </w:r>
          </w:p>
        </w:tc>
        <w:tc>
          <w:tcPr>
            <w:tcW w:w="10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18,389</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7,825</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1905-1988</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8/14/98</w:t>
            </w:r>
          </w:p>
        </w:tc>
        <w:tc>
          <w:tcPr>
            <w:tcW w:w="1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CONGRESSIONAL PLAZA</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MD</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2,793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7,424</w:t>
            </w:r>
          </w:p>
        </w:tc>
        <w:tc>
          <w:tcPr>
            <w:tcW w:w="8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63,129</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1,020</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72,326</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73,346</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43,424</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1965/2003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4/1/1965</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860" w:type="dxa"/>
            <w:vAlign w:val="bottom"/>
          </w:tcPr>
          <w:p>
            <w:pPr>
              <w:ind w:left="40"/>
              <w:spacing w:after="0" w:line="151" w:lineRule="exact"/>
              <w:rPr>
                <w:sz w:val="20"/>
                <w:szCs w:val="20"/>
                <w:color w:val="auto"/>
              </w:rPr>
            </w:pPr>
            <w:r>
              <w:rPr>
                <w:rFonts w:ascii="Arial" w:cs="Arial" w:eastAsia="Arial" w:hAnsi="Arial"/>
                <w:sz w:val="14"/>
                <w:szCs w:val="14"/>
                <w:color w:val="auto"/>
              </w:rPr>
              <w:t>COURTHOUSE CENTER</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60" w:type="dxa"/>
            <w:vAlign w:val="bottom"/>
          </w:tcPr>
          <w:p>
            <w:pPr>
              <w:ind w:left="40"/>
              <w:spacing w:after="0"/>
              <w:rPr>
                <w:sz w:val="20"/>
                <w:szCs w:val="20"/>
                <w:color w:val="auto"/>
              </w:rPr>
            </w:pPr>
            <w:r>
              <w:rPr>
                <w:rFonts w:ascii="Arial" w:cs="Arial" w:eastAsia="Arial" w:hAnsi="Arial"/>
                <w:sz w:val="14"/>
                <w:szCs w:val="14"/>
                <w:color w:val="auto"/>
              </w:rPr>
              <w:t>(Maryland)</w:t>
            </w:r>
          </w:p>
        </w:tc>
        <w:tc>
          <w:tcPr>
            <w:tcW w:w="480" w:type="dxa"/>
            <w:vAlign w:val="bottom"/>
          </w:tcPr>
          <w:p>
            <w:pPr>
              <w:ind w:left="120"/>
              <w:spacing w:after="0"/>
              <w:rPr>
                <w:sz w:val="20"/>
                <w:szCs w:val="20"/>
                <w:color w:val="auto"/>
              </w:rPr>
            </w:pPr>
            <w:r>
              <w:rPr>
                <w:rFonts w:ascii="Arial" w:cs="Arial" w:eastAsia="Arial" w:hAnsi="Arial"/>
                <w:sz w:val="14"/>
                <w:szCs w:val="14"/>
                <w:color w:val="auto"/>
              </w:rPr>
              <w:t>MD</w:t>
            </w:r>
          </w:p>
        </w:tc>
        <w:tc>
          <w:tcPr>
            <w:tcW w:w="1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5"/>
                <w:szCs w:val="15"/>
                <w:color w:val="auto"/>
              </w:rPr>
            </w:pPr>
          </w:p>
        </w:tc>
        <w:tc>
          <w:tcPr>
            <w:tcW w:w="780" w:type="dxa"/>
            <w:vAlign w:val="bottom"/>
          </w:tcPr>
          <w:p>
            <w:pPr>
              <w:jc w:val="right"/>
              <w:ind w:right="35"/>
              <w:spacing w:after="0"/>
              <w:rPr>
                <w:sz w:val="20"/>
                <w:szCs w:val="20"/>
                <w:color w:val="auto"/>
              </w:rPr>
            </w:pPr>
            <w:r>
              <w:rPr>
                <w:rFonts w:ascii="Arial" w:cs="Arial" w:eastAsia="Arial" w:hAnsi="Arial"/>
                <w:sz w:val="14"/>
                <w:szCs w:val="14"/>
                <w:color w:val="auto"/>
              </w:rPr>
              <w:t>1,869</w:t>
            </w:r>
          </w:p>
        </w:tc>
        <w:tc>
          <w:tcPr>
            <w:tcW w:w="820" w:type="dxa"/>
            <w:vAlign w:val="bottom"/>
            <w:gridSpan w:val="2"/>
          </w:tcPr>
          <w:p>
            <w:pPr>
              <w:jc w:val="right"/>
              <w:ind w:right="39"/>
              <w:spacing w:after="0"/>
              <w:rPr>
                <w:sz w:val="20"/>
                <w:szCs w:val="20"/>
                <w:color w:val="auto"/>
              </w:rPr>
            </w:pPr>
            <w:r>
              <w:rPr>
                <w:rFonts w:ascii="Arial" w:cs="Arial" w:eastAsia="Arial" w:hAnsi="Arial"/>
                <w:sz w:val="14"/>
                <w:szCs w:val="14"/>
                <w:color w:val="auto"/>
              </w:rPr>
              <w:t>1,086</w:t>
            </w:r>
          </w:p>
        </w:tc>
        <w:tc>
          <w:tcPr>
            <w:tcW w:w="12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1,750</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2,955</w:t>
            </w:r>
          </w:p>
        </w:tc>
        <w:tc>
          <w:tcPr>
            <w:tcW w:w="10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4,705</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1,354</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12/17/1997</w:t>
            </w:r>
          </w:p>
        </w:tc>
        <w:tc>
          <w:tcPr>
            <w:tcW w:w="1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COURTYARD SHOPS</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FL</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16,862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21,851</w:t>
            </w:r>
          </w:p>
        </w:tc>
        <w:tc>
          <w:tcPr>
            <w:tcW w:w="8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1,488</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16,894</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23,307</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40,201</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3,710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1990/1998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9/4/2008</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54"/>
        </w:trPr>
        <w:tc>
          <w:tcPr>
            <w:tcW w:w="1860" w:type="dxa"/>
            <w:vAlign w:val="bottom"/>
          </w:tcPr>
          <w:p>
            <w:pPr>
              <w:ind w:left="40"/>
              <w:spacing w:after="0"/>
              <w:rPr>
                <w:sz w:val="20"/>
                <w:szCs w:val="20"/>
                <w:color w:val="auto"/>
              </w:rPr>
            </w:pPr>
            <w:r>
              <w:rPr>
                <w:rFonts w:ascii="Arial" w:cs="Arial" w:eastAsia="Arial" w:hAnsi="Arial"/>
                <w:sz w:val="14"/>
                <w:szCs w:val="14"/>
                <w:color w:val="auto"/>
              </w:rPr>
              <w:t>CROSSROADS (Illinois)</w:t>
            </w:r>
          </w:p>
        </w:tc>
        <w:tc>
          <w:tcPr>
            <w:tcW w:w="480" w:type="dxa"/>
            <w:vAlign w:val="bottom"/>
          </w:tcPr>
          <w:p>
            <w:pPr>
              <w:ind w:left="120"/>
              <w:spacing w:after="0"/>
              <w:rPr>
                <w:sz w:val="20"/>
                <w:szCs w:val="20"/>
                <w:color w:val="auto"/>
              </w:rPr>
            </w:pPr>
            <w:r>
              <w:rPr>
                <w:rFonts w:ascii="Arial" w:cs="Arial" w:eastAsia="Arial" w:hAnsi="Arial"/>
                <w:sz w:val="14"/>
                <w:szCs w:val="14"/>
                <w:color w:val="auto"/>
              </w:rPr>
              <w:t>IL</w:t>
            </w:r>
          </w:p>
        </w:tc>
        <w:tc>
          <w:tcPr>
            <w:tcW w:w="18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4,635</w:t>
            </w:r>
          </w:p>
        </w:tc>
        <w:tc>
          <w:tcPr>
            <w:tcW w:w="100" w:type="dxa"/>
            <w:vAlign w:val="bottom"/>
          </w:tcPr>
          <w:p>
            <w:pPr>
              <w:spacing w:after="0"/>
              <w:rPr>
                <w:sz w:val="22"/>
                <w:szCs w:val="22"/>
                <w:color w:val="auto"/>
              </w:rPr>
            </w:pPr>
          </w:p>
        </w:tc>
        <w:tc>
          <w:tcPr>
            <w:tcW w:w="780" w:type="dxa"/>
            <w:vAlign w:val="bottom"/>
          </w:tcPr>
          <w:p>
            <w:pPr>
              <w:jc w:val="right"/>
              <w:ind w:right="35"/>
              <w:spacing w:after="0"/>
              <w:rPr>
                <w:sz w:val="20"/>
                <w:szCs w:val="20"/>
                <w:color w:val="auto"/>
              </w:rPr>
            </w:pPr>
            <w:r>
              <w:rPr>
                <w:rFonts w:ascii="Arial" w:cs="Arial" w:eastAsia="Arial" w:hAnsi="Arial"/>
                <w:sz w:val="14"/>
                <w:szCs w:val="14"/>
                <w:color w:val="auto"/>
              </w:rPr>
              <w:t>11,611</w:t>
            </w:r>
          </w:p>
        </w:tc>
        <w:tc>
          <w:tcPr>
            <w:tcW w:w="820" w:type="dxa"/>
            <w:vAlign w:val="bottom"/>
            <w:gridSpan w:val="2"/>
          </w:tcPr>
          <w:p>
            <w:pPr>
              <w:jc w:val="right"/>
              <w:ind w:right="39"/>
              <w:spacing w:after="0"/>
              <w:rPr>
                <w:sz w:val="20"/>
                <w:szCs w:val="20"/>
                <w:color w:val="auto"/>
              </w:rPr>
            </w:pPr>
            <w:r>
              <w:rPr>
                <w:rFonts w:ascii="Arial" w:cs="Arial" w:eastAsia="Arial" w:hAnsi="Arial"/>
                <w:sz w:val="14"/>
                <w:szCs w:val="14"/>
                <w:color w:val="auto"/>
              </w:rPr>
              <w:t>14,559</w:t>
            </w:r>
          </w:p>
        </w:tc>
        <w:tc>
          <w:tcPr>
            <w:tcW w:w="12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4,635</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26,170</w:t>
            </w: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30,805</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11,915</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7/19/1993</w:t>
            </w:r>
          </w:p>
        </w:tc>
        <w:tc>
          <w:tcPr>
            <w:tcW w:w="10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6"/>
              </w:rPr>
              <w:t>CROW CANYON COMMONS</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680"/>
              <w:spacing w:after="0" w:line="157" w:lineRule="exact"/>
              <w:rPr>
                <w:sz w:val="20"/>
                <w:szCs w:val="20"/>
                <w:color w:val="auto"/>
              </w:rPr>
            </w:pPr>
            <w:r>
              <w:rPr>
                <w:rFonts w:ascii="Arial" w:cs="Arial" w:eastAsia="Arial" w:hAnsi="Arial"/>
                <w:sz w:val="14"/>
                <w:szCs w:val="14"/>
                <w:color w:val="auto"/>
              </w:rPr>
              <w:t>Late</w:t>
            </w: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12/29/05 &amp;</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19,485</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27,245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54,575</w:t>
            </w:r>
          </w:p>
        </w:tc>
        <w:tc>
          <w:tcPr>
            <w:tcW w:w="8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3,118</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27,245</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57,693</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84,938</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12,215</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1970's/2006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02/28/07</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520"/>
          </w:cols>
          <w:pgMar w:left="240" w:top="125" w:right="1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 DEPRECIATION</w:t>
      </w:r>
    </w:p>
    <w:p>
      <w:pPr>
        <w:spacing w:after="0" w:line="13"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DECEMBER 31, 2012</w:t>
      </w:r>
    </w:p>
    <w:p>
      <w:pPr>
        <w:spacing w:after="0" w:line="13"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COLUMN A</w:t>
            </w:r>
          </w:p>
        </w:tc>
        <w:tc>
          <w:tcPr>
            <w:tcW w:w="5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C</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D</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COLUMN 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F</w:t>
            </w:r>
          </w:p>
        </w:tc>
        <w:tc>
          <w:tcPr>
            <w:tcW w:w="10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COLUMN H</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COLUMN I</w:t>
            </w:r>
          </w:p>
        </w:tc>
        <w:tc>
          <w:tcPr>
            <w:tcW w:w="0" w:type="dxa"/>
            <w:vAlign w:val="bottom"/>
          </w:tcPr>
          <w:p>
            <w:pPr>
              <w:spacing w:after="0"/>
              <w:rPr>
                <w:sz w:val="1"/>
                <w:szCs w:val="1"/>
                <w:color w:val="auto"/>
              </w:rPr>
            </w:pPr>
          </w:p>
        </w:tc>
      </w:tr>
      <w:tr>
        <w:trPr>
          <w:trHeight w:val="138"/>
        </w:trPr>
        <w:tc>
          <w:tcPr>
            <w:tcW w:w="11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Borders>
              <w:top w:val="single" w:sz="8" w:color="auto"/>
            </w:tcBorders>
            <w:gridSpan w:val="5"/>
            <w:vMerge w:val="restart"/>
          </w:tcPr>
          <w:p>
            <w:pPr>
              <w:jc w:val="center"/>
              <w:spacing w:after="0"/>
              <w:rPr>
                <w:sz w:val="20"/>
                <w:szCs w:val="20"/>
                <w:color w:val="auto"/>
              </w:rPr>
            </w:pPr>
            <w:r>
              <w:rPr>
                <w:rFonts w:ascii="Arial" w:cs="Arial" w:eastAsia="Arial" w:hAnsi="Arial"/>
                <w:sz w:val="12"/>
                <w:szCs w:val="12"/>
                <w:b w:val="1"/>
                <w:bCs w:val="1"/>
                <w:color w:val="auto"/>
                <w:w w:val="91"/>
              </w:rPr>
              <w:t>Gross amount at which carried at</w:t>
            </w: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w w:val="96"/>
              </w:rPr>
              <w:t>Life on which</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89"/>
              </w:rPr>
              <w:t>Cost</w:t>
            </w:r>
          </w:p>
        </w:tc>
        <w:tc>
          <w:tcPr>
            <w:tcW w:w="254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depreciation</w:t>
            </w:r>
          </w:p>
        </w:tc>
        <w:tc>
          <w:tcPr>
            <w:tcW w:w="0" w:type="dxa"/>
            <w:vAlign w:val="bottom"/>
          </w:tcPr>
          <w:p>
            <w:pPr>
              <w:spacing w:after="0"/>
              <w:rPr>
                <w:sz w:val="1"/>
                <w:szCs w:val="1"/>
                <w:color w:val="auto"/>
              </w:rPr>
            </w:pPr>
          </w:p>
        </w:tc>
      </w:tr>
      <w:tr>
        <w:trPr>
          <w:trHeight w:val="143"/>
        </w:trPr>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Borders>
              <w:bottom w:val="single" w:sz="8" w:color="auto"/>
            </w:tcBorders>
            <w:gridSpan w:val="3"/>
          </w:tcPr>
          <w:p>
            <w:pPr>
              <w:ind w:left="240"/>
              <w:spacing w:after="0"/>
              <w:rPr>
                <w:sz w:val="20"/>
                <w:szCs w:val="20"/>
                <w:color w:val="auto"/>
              </w:rPr>
            </w:pPr>
            <w:r>
              <w:rPr>
                <w:rFonts w:ascii="Arial" w:cs="Arial" w:eastAsia="Arial" w:hAnsi="Arial"/>
                <w:sz w:val="12"/>
                <w:szCs w:val="12"/>
                <w:b w:val="1"/>
                <w:bCs w:val="1"/>
                <w:color w:val="auto"/>
              </w:rPr>
              <w:t>Initial cost to company</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Capitalized</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88"/>
              </w:rPr>
              <w:t>close of period</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Accumulated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00"/>
              <w:spacing w:after="0" w:line="105" w:lineRule="exact"/>
              <w:rPr>
                <w:sz w:val="20"/>
                <w:szCs w:val="20"/>
                <w:color w:val="auto"/>
              </w:rPr>
            </w:pPr>
            <w:r>
              <w:rPr>
                <w:rFonts w:ascii="Arial" w:cs="Arial" w:eastAsia="Arial" w:hAnsi="Arial"/>
                <w:sz w:val="12"/>
                <w:szCs w:val="12"/>
                <w:b w:val="1"/>
                <w:bCs w:val="1"/>
                <w:color w:val="auto"/>
                <w:w w:val="87"/>
              </w:rPr>
              <w:t>Subsequent</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00"/>
              <w:spacing w:after="0" w:line="105" w:lineRule="exact"/>
              <w:rPr>
                <w:sz w:val="20"/>
                <w:szCs w:val="20"/>
                <w:color w:val="auto"/>
              </w:rPr>
            </w:pPr>
            <w:r>
              <w:rPr>
                <w:rFonts w:ascii="Arial" w:cs="Arial" w:eastAsia="Arial" w:hAnsi="Arial"/>
                <w:sz w:val="12"/>
                <w:szCs w:val="12"/>
                <w:b w:val="1"/>
                <w:bCs w:val="1"/>
                <w:color w:val="auto"/>
                <w:w w:val="93"/>
              </w:rPr>
              <w:t>Depreciation</w:t>
            </w:r>
          </w:p>
        </w:tc>
        <w:tc>
          <w:tcPr>
            <w:tcW w:w="1080" w:type="dxa"/>
            <w:vAlign w:val="bottom"/>
            <w:gridSpan w:val="2"/>
          </w:tcPr>
          <w:p>
            <w:pPr>
              <w:jc w:val="center"/>
              <w:ind w:right="120"/>
              <w:spacing w:after="0" w:line="105" w:lineRule="exact"/>
              <w:rPr>
                <w:sz w:val="20"/>
                <w:szCs w:val="20"/>
                <w:color w:val="auto"/>
              </w:rPr>
            </w:pPr>
            <w:r>
              <w:rPr>
                <w:rFonts w:ascii="Arial" w:cs="Arial" w:eastAsia="Arial" w:hAnsi="Arial"/>
                <w:sz w:val="12"/>
                <w:szCs w:val="12"/>
                <w:b w:val="1"/>
                <w:bCs w:val="1"/>
                <w:color w:val="auto"/>
                <w:w w:val="92"/>
              </w:rPr>
              <w:t>Date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2"/>
                <w:szCs w:val="12"/>
                <w:b w:val="1"/>
                <w:bCs w:val="1"/>
                <w:color w:val="auto"/>
                <w:w w:val="96"/>
              </w:rPr>
              <w:t>Building and</w:t>
            </w: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0"/>
              </w:rPr>
              <w:t>Building and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3"/>
              </w:rPr>
              <w:t>and</w:t>
            </w:r>
          </w:p>
        </w:tc>
        <w:tc>
          <w:tcPr>
            <w:tcW w:w="10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7"/>
              </w:rPr>
              <w:t>of</w:t>
            </w:r>
          </w:p>
        </w:tc>
        <w:tc>
          <w:tcPr>
            <w:tcW w:w="90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5"/>
              </w:rPr>
              <w:t>statements is</w:t>
            </w:r>
          </w:p>
        </w:tc>
        <w:tc>
          <w:tcPr>
            <w:tcW w:w="0" w:type="dxa"/>
            <w:vAlign w:val="bottom"/>
          </w:tcPr>
          <w:p>
            <w:pPr>
              <w:spacing w:after="0"/>
              <w:rPr>
                <w:sz w:val="1"/>
                <w:szCs w:val="1"/>
                <w:color w:val="auto"/>
              </w:rPr>
            </w:pPr>
          </w:p>
        </w:tc>
      </w:tr>
      <w:tr>
        <w:trPr>
          <w:trHeight w:val="167"/>
        </w:trPr>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Descriptions</w:t>
            </w:r>
          </w:p>
        </w:tc>
        <w:tc>
          <w:tcPr>
            <w:tcW w:w="5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Encumbrance</w:t>
            </w:r>
          </w:p>
        </w:tc>
        <w:tc>
          <w:tcPr>
            <w:tcW w:w="880" w:type="dxa"/>
            <w:vAlign w:val="bottom"/>
            <w:gridSpan w:val="2"/>
          </w:tcPr>
          <w:p>
            <w:pPr>
              <w:ind w:left="240"/>
              <w:spacing w:after="0"/>
              <w:rPr>
                <w:sz w:val="20"/>
                <w:szCs w:val="20"/>
                <w:color w:val="auto"/>
              </w:rPr>
            </w:pPr>
            <w:r>
              <w:rPr>
                <w:rFonts w:ascii="Arial" w:cs="Arial" w:eastAsia="Arial" w:hAnsi="Arial"/>
                <w:sz w:val="12"/>
                <w:szCs w:val="12"/>
                <w:b w:val="1"/>
                <w:bCs w:val="1"/>
                <w:color w:val="auto"/>
              </w:rPr>
              <w:t>Land</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w w:val="92"/>
              </w:rPr>
              <w:t>Improvements</w:t>
            </w:r>
          </w:p>
        </w:tc>
        <w:tc>
          <w:tcPr>
            <w:tcW w:w="1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Acquisition</w:t>
            </w:r>
          </w:p>
        </w:tc>
        <w:tc>
          <w:tcPr>
            <w:tcW w:w="880" w:type="dxa"/>
            <w:vAlign w:val="bottom"/>
            <w:gridSpan w:val="2"/>
          </w:tcPr>
          <w:p>
            <w:pPr>
              <w:ind w:left="260"/>
              <w:spacing w:after="0"/>
              <w:rPr>
                <w:sz w:val="20"/>
                <w:szCs w:val="20"/>
                <w:color w:val="auto"/>
              </w:rPr>
            </w:pPr>
            <w:r>
              <w:rPr>
                <w:rFonts w:ascii="Arial" w:cs="Arial" w:eastAsia="Arial" w:hAnsi="Arial"/>
                <w:sz w:val="12"/>
                <w:szCs w:val="12"/>
                <w:b w:val="1"/>
                <w:bCs w:val="1"/>
                <w:color w:val="auto"/>
              </w:rPr>
              <w:t>Land</w:t>
            </w: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Improvements</w:t>
            </w:r>
          </w:p>
        </w:tc>
        <w:tc>
          <w:tcPr>
            <w:tcW w:w="780" w:type="dxa"/>
            <w:vAlign w:val="bottom"/>
          </w:tcPr>
          <w:p>
            <w:pPr>
              <w:jc w:val="right"/>
              <w:ind w:right="191"/>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Amortization</w:t>
            </w:r>
          </w:p>
        </w:tc>
        <w:tc>
          <w:tcPr>
            <w:tcW w:w="10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Acquired</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7"/>
              </w:rPr>
              <w:t>computed</w:t>
            </w:r>
          </w:p>
        </w:tc>
        <w:tc>
          <w:tcPr>
            <w:tcW w:w="0" w:type="dxa"/>
            <w:vAlign w:val="bottom"/>
          </w:tcPr>
          <w:p>
            <w:pPr>
              <w:spacing w:after="0"/>
              <w:rPr>
                <w:sz w:val="1"/>
                <w:szCs w:val="1"/>
                <w:color w:val="auto"/>
              </w:rPr>
            </w:pPr>
          </w:p>
        </w:tc>
      </w:tr>
      <w:tr>
        <w:trPr>
          <w:trHeight w:val="151"/>
        </w:trPr>
        <w:tc>
          <w:tcPr>
            <w:tcW w:w="1140" w:type="dxa"/>
            <w:vAlign w:val="bottom"/>
            <w:tcBorders>
              <w:top w:val="single" w:sz="8" w:color="auto"/>
            </w:tcBorders>
            <w:shd w:val="clear" w:color="auto" w:fill="CCEEFF"/>
          </w:tcPr>
          <w:p>
            <w:pPr>
              <w:ind w:left="40"/>
              <w:spacing w:after="0" w:line="151" w:lineRule="exact"/>
              <w:rPr>
                <w:sz w:val="20"/>
                <w:szCs w:val="20"/>
                <w:color w:val="auto"/>
              </w:rPr>
            </w:pPr>
            <w:r>
              <w:rPr>
                <w:rFonts w:ascii="Arial" w:cs="Arial" w:eastAsia="Arial" w:hAnsi="Arial"/>
                <w:sz w:val="14"/>
                <w:szCs w:val="14"/>
                <w:color w:val="auto"/>
              </w:rPr>
              <w:t>DEDHAM</w:t>
            </w:r>
          </w:p>
        </w:tc>
        <w:tc>
          <w:tcPr>
            <w:tcW w:w="5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PLAZA</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12,287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12,918</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8,897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12,287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21,815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34,102</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11,203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12/31/1993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DEL MAR</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VILLAGE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5/30/08 &amp;</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(Florida)</w:t>
            </w:r>
          </w:p>
        </w:tc>
        <w:tc>
          <w:tcPr>
            <w:tcW w:w="520" w:type="dxa"/>
            <w:vAlign w:val="bottom"/>
          </w:tcPr>
          <w:p>
            <w:pPr>
              <w:ind w:left="120"/>
              <w:spacing w:after="0"/>
              <w:rPr>
                <w:sz w:val="20"/>
                <w:szCs w:val="20"/>
                <w:color w:val="auto"/>
              </w:rPr>
            </w:pPr>
            <w:r>
              <w:rPr>
                <w:rFonts w:ascii="Arial" w:cs="Arial" w:eastAsia="Arial" w:hAnsi="Arial"/>
                <w:sz w:val="14"/>
                <w:szCs w:val="14"/>
                <w:color w:val="auto"/>
              </w:rPr>
              <w:t>FL</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14,218</w:t>
            </w:r>
          </w:p>
        </w:tc>
        <w:tc>
          <w:tcPr>
            <w:tcW w:w="12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39,559</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1,876</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14,180</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41,473</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55,653</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6,547</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w w:val="90"/>
              </w:rPr>
              <w:t>1982/1994/2007</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7/11/08</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EAST BAY</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BRIDGE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1994-2001,</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67,574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29,091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138,088</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29,091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138,088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167,179</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2011-2012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12/21/2012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EASTGATE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(North Carolina)</w:t>
            </w:r>
          </w:p>
        </w:tc>
        <w:tc>
          <w:tcPr>
            <w:tcW w:w="520" w:type="dxa"/>
            <w:vAlign w:val="bottom"/>
          </w:tcPr>
          <w:p>
            <w:pPr>
              <w:ind w:left="120"/>
              <w:spacing w:after="0"/>
              <w:rPr>
                <w:sz w:val="20"/>
                <w:szCs w:val="20"/>
                <w:color w:val="auto"/>
              </w:rPr>
            </w:pPr>
            <w:r>
              <w:rPr>
                <w:rFonts w:ascii="Arial" w:cs="Arial" w:eastAsia="Arial" w:hAnsi="Arial"/>
                <w:sz w:val="14"/>
                <w:szCs w:val="14"/>
                <w:color w:val="auto"/>
              </w:rPr>
              <w:t>NC</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1,608</w:t>
            </w:r>
          </w:p>
        </w:tc>
        <w:tc>
          <w:tcPr>
            <w:tcW w:w="12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5,775</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19,354</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1,608</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25,129</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26,737</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15,655</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1963</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12/18/1986</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ELLISBURG</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CIRCLE (New</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Jersey)</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NJ</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4,028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11,309</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14,960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4,013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26,284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30,297</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15,682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10/16/1992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ESCONDIDO</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PROMENADE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12/31/96 &amp;</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20"/>
              <w:spacing w:after="0"/>
              <w:rPr>
                <w:sz w:val="20"/>
                <w:szCs w:val="20"/>
                <w:color w:val="auto"/>
              </w:rPr>
            </w:pPr>
            <w:r>
              <w:rPr>
                <w:rFonts w:ascii="Arial" w:cs="Arial" w:eastAsia="Arial" w:hAnsi="Arial"/>
                <w:sz w:val="14"/>
                <w:szCs w:val="14"/>
                <w:color w:val="auto"/>
              </w:rPr>
              <w:t>CA</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19,117</w:t>
            </w:r>
          </w:p>
        </w:tc>
        <w:tc>
          <w:tcPr>
            <w:tcW w:w="12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15,829</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10,530</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19,117</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26,359</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45,476</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9,252</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1987</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11/10/10</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FALLS PLAZA</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09/30/67 &amp;</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1,798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1,270</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9,582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1,819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10,831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12,650</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7,029</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1960/1962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10/05/72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FEDERAL</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PLAZA</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20"/>
              <w:spacing w:after="0"/>
              <w:rPr>
                <w:sz w:val="20"/>
                <w:szCs w:val="20"/>
                <w:color w:val="auto"/>
              </w:rPr>
            </w:pPr>
            <w:r>
              <w:rPr>
                <w:rFonts w:ascii="Arial" w:cs="Arial" w:eastAsia="Arial" w:hAnsi="Arial"/>
                <w:sz w:val="14"/>
                <w:szCs w:val="14"/>
                <w:color w:val="auto"/>
              </w:rPr>
              <w:t>MD</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10,216</w:t>
            </w:r>
          </w:p>
        </w:tc>
        <w:tc>
          <w:tcPr>
            <w:tcW w:w="12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17,895</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36,689</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10,216</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54,584</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64,800</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33,660</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1970</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6/29/1989</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FIFTH AVENUE</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2,149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584</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3,323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2,149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3,907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6,056</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2,092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1888-1998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FINLEY</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w w:val="97"/>
              </w:rPr>
              <w:t>SQUARE (Illinois)</w:t>
            </w:r>
          </w:p>
        </w:tc>
        <w:tc>
          <w:tcPr>
            <w:tcW w:w="520" w:type="dxa"/>
            <w:vAlign w:val="bottom"/>
          </w:tcPr>
          <w:p>
            <w:pPr>
              <w:ind w:left="120"/>
              <w:spacing w:after="0"/>
              <w:rPr>
                <w:sz w:val="20"/>
                <w:szCs w:val="20"/>
                <w:color w:val="auto"/>
              </w:rPr>
            </w:pPr>
            <w:r>
              <w:rPr>
                <w:rFonts w:ascii="Arial" w:cs="Arial" w:eastAsia="Arial" w:hAnsi="Arial"/>
                <w:sz w:val="14"/>
                <w:szCs w:val="14"/>
                <w:color w:val="auto"/>
              </w:rPr>
              <w:t>IL</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9,252</w:t>
            </w:r>
          </w:p>
        </w:tc>
        <w:tc>
          <w:tcPr>
            <w:tcW w:w="12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9,544</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13,592</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9,252</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23,136</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32,388</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14,960</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1974</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4/27/1995</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FLOURTOWN</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1,345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3,943</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10,772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1,470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14,590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16,060</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7,625</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4/25/1980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FOREST HILLS</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(New York)</w:t>
            </w:r>
          </w:p>
        </w:tc>
        <w:tc>
          <w:tcPr>
            <w:tcW w:w="520" w:type="dxa"/>
            <w:vAlign w:val="bottom"/>
          </w:tcPr>
          <w:p>
            <w:pPr>
              <w:ind w:left="120"/>
              <w:spacing w:after="0"/>
              <w:rPr>
                <w:sz w:val="20"/>
                <w:szCs w:val="20"/>
                <w:color w:val="auto"/>
              </w:rPr>
            </w:pPr>
            <w:r>
              <w:rPr>
                <w:rFonts w:ascii="Arial" w:cs="Arial" w:eastAsia="Arial" w:hAnsi="Arial"/>
                <w:sz w:val="14"/>
                <w:szCs w:val="14"/>
                <w:color w:val="auto"/>
              </w:rPr>
              <w:t>NY</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2,885</w:t>
            </w:r>
          </w:p>
        </w:tc>
        <w:tc>
          <w:tcPr>
            <w:tcW w:w="12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2,885</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2,822</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3,031</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5,561</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8,592</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2,503</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1937 - 1987</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12/16/1997</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FRESH</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7"/>
              </w:rPr>
              <w:t>MEADOWS (New</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York)</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NY</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24,625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25,255</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27,635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24,627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52,888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77,515</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25,421</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1946-1949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12/5/1997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FRIENDSHIP</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CTR (District of</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Columbia)</w:t>
            </w:r>
          </w:p>
        </w:tc>
        <w:tc>
          <w:tcPr>
            <w:tcW w:w="520" w:type="dxa"/>
            <w:vAlign w:val="bottom"/>
          </w:tcPr>
          <w:p>
            <w:pPr>
              <w:ind w:left="120"/>
              <w:spacing w:after="0"/>
              <w:rPr>
                <w:sz w:val="20"/>
                <w:szCs w:val="20"/>
                <w:color w:val="auto"/>
              </w:rPr>
            </w:pPr>
            <w:r>
              <w:rPr>
                <w:rFonts w:ascii="Arial" w:cs="Arial" w:eastAsia="Arial" w:hAnsi="Arial"/>
                <w:sz w:val="14"/>
                <w:szCs w:val="14"/>
                <w:color w:val="auto"/>
              </w:rPr>
              <w:t>DC</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12,696</w:t>
            </w:r>
          </w:p>
        </w:tc>
        <w:tc>
          <w:tcPr>
            <w:tcW w:w="12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20,803</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12,696</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22,762</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35,458</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7,111</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9/21/2001</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6"/>
              </w:rPr>
              <w:t>GAITHERSBURG</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SQUARE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7,701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5,271</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12,559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5,973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19,558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25,531</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14,252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GARDEN</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MARKET</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(Illinois)</w:t>
            </w:r>
          </w:p>
        </w:tc>
        <w:tc>
          <w:tcPr>
            <w:tcW w:w="520" w:type="dxa"/>
            <w:vAlign w:val="bottom"/>
          </w:tcPr>
          <w:p>
            <w:pPr>
              <w:ind w:left="120"/>
              <w:spacing w:after="0"/>
              <w:rPr>
                <w:sz w:val="20"/>
                <w:szCs w:val="20"/>
                <w:color w:val="auto"/>
              </w:rPr>
            </w:pPr>
            <w:r>
              <w:rPr>
                <w:rFonts w:ascii="Arial" w:cs="Arial" w:eastAsia="Arial" w:hAnsi="Arial"/>
                <w:sz w:val="14"/>
                <w:szCs w:val="14"/>
                <w:color w:val="auto"/>
              </w:rPr>
              <w:t>IL</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2,677</w:t>
            </w:r>
          </w:p>
        </w:tc>
        <w:tc>
          <w:tcPr>
            <w:tcW w:w="12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4,829</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5,032</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2,677</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9,861</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12,538</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5,508</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1958</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7/28/1994</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GOVERNOR</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PLAZA</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2,068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4,905</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19,635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2,068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24,540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26,608</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14,834</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10/1/1985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w w:val="97"/>
              </w:rPr>
              <w:t>GRATIOT PLAZA</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(Michigan)</w:t>
            </w:r>
          </w:p>
        </w:tc>
        <w:tc>
          <w:tcPr>
            <w:tcW w:w="520" w:type="dxa"/>
            <w:vAlign w:val="bottom"/>
          </w:tcPr>
          <w:p>
            <w:pPr>
              <w:ind w:left="120"/>
              <w:spacing w:after="0"/>
              <w:rPr>
                <w:sz w:val="20"/>
                <w:szCs w:val="20"/>
                <w:color w:val="auto"/>
              </w:rPr>
            </w:pPr>
            <w:r>
              <w:rPr>
                <w:rFonts w:ascii="Arial" w:cs="Arial" w:eastAsia="Arial" w:hAnsi="Arial"/>
                <w:sz w:val="14"/>
                <w:szCs w:val="14"/>
                <w:color w:val="auto"/>
              </w:rPr>
              <w:t>MI</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1,601</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16,896</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18,497</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19,022</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13,685</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1964</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3/29/1973</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25.75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GREENWICH</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AVENUE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(Connecticut)</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7,484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5,445</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7,484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6,485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13,969</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3,201</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4/12/1995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HAUPPAUGE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(New York)</w:t>
            </w:r>
          </w:p>
        </w:tc>
        <w:tc>
          <w:tcPr>
            <w:tcW w:w="520" w:type="dxa"/>
            <w:vAlign w:val="bottom"/>
          </w:tcPr>
          <w:p>
            <w:pPr>
              <w:ind w:left="120"/>
              <w:spacing w:after="0"/>
              <w:rPr>
                <w:sz w:val="20"/>
                <w:szCs w:val="20"/>
                <w:color w:val="auto"/>
              </w:rPr>
            </w:pPr>
            <w:r>
              <w:rPr>
                <w:rFonts w:ascii="Arial" w:cs="Arial" w:eastAsia="Arial" w:hAnsi="Arial"/>
                <w:sz w:val="14"/>
                <w:szCs w:val="14"/>
                <w:color w:val="auto"/>
              </w:rPr>
              <w:t>NY</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14,352</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8,791</w:t>
            </w:r>
          </w:p>
        </w:tc>
        <w:tc>
          <w:tcPr>
            <w:tcW w:w="12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15,262</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3,996</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8,791</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19,258</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28,049</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8,360</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1963</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8/6/1998</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HERMOSA AVE.</w:t>
            </w: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280</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4,190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4,218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5,586</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2,028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9/17/1997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 DEPRECIATION</w:t>
      </w:r>
    </w:p>
    <w:p>
      <w:pPr>
        <w:spacing w:after="0" w:line="13"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DECEMBER 31, 2012</w:t>
      </w:r>
    </w:p>
    <w:p>
      <w:pPr>
        <w:spacing w:after="0" w:line="13"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COLUMN A</w:t>
            </w:r>
          </w:p>
        </w:tc>
        <w:tc>
          <w:tcPr>
            <w:tcW w:w="48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COLUMN B</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C</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COLUMN D</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COLUMN 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COLUMN F</w:t>
            </w:r>
          </w:p>
        </w:tc>
        <w:tc>
          <w:tcPr>
            <w:tcW w:w="14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COLUMN G</w:t>
            </w: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COLUMN H</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COLUMN I</w:t>
            </w:r>
          </w:p>
        </w:tc>
        <w:tc>
          <w:tcPr>
            <w:tcW w:w="0" w:type="dxa"/>
            <w:vAlign w:val="bottom"/>
          </w:tcPr>
          <w:p>
            <w:pPr>
              <w:spacing w:after="0"/>
              <w:rPr>
                <w:sz w:val="1"/>
                <w:szCs w:val="1"/>
                <w:color w:val="auto"/>
              </w:rPr>
            </w:pPr>
          </w:p>
        </w:tc>
      </w:tr>
      <w:tr>
        <w:trPr>
          <w:trHeight w:val="138"/>
        </w:trPr>
        <w:tc>
          <w:tcPr>
            <w:tcW w:w="11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Life on</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5"/>
          </w:tcPr>
          <w:p>
            <w:pPr>
              <w:jc w:val="center"/>
              <w:spacing w:after="0"/>
              <w:rPr>
                <w:sz w:val="20"/>
                <w:szCs w:val="20"/>
                <w:color w:val="auto"/>
              </w:rPr>
            </w:pPr>
            <w:r>
              <w:rPr>
                <w:rFonts w:ascii="Arial" w:cs="Arial" w:eastAsia="Arial" w:hAnsi="Arial"/>
                <w:sz w:val="12"/>
                <w:szCs w:val="12"/>
                <w:b w:val="1"/>
                <w:bCs w:val="1"/>
                <w:color w:val="auto"/>
                <w:w w:val="91"/>
              </w:rPr>
              <w:t>Gross amount at which carried at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8"/>
              </w:rPr>
              <w:t>which</w:t>
            </w: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3"/>
          </w:tcPr>
          <w:p>
            <w:pPr>
              <w:ind w:left="240"/>
              <w:spacing w:after="0" w:line="130" w:lineRule="exact"/>
              <w:rPr>
                <w:sz w:val="20"/>
                <w:szCs w:val="20"/>
                <w:color w:val="auto"/>
              </w:rPr>
            </w:pPr>
            <w:r>
              <w:rPr>
                <w:rFonts w:ascii="Arial" w:cs="Arial" w:eastAsia="Arial" w:hAnsi="Arial"/>
                <w:sz w:val="12"/>
                <w:szCs w:val="12"/>
                <w:b w:val="1"/>
                <w:bCs w:val="1"/>
                <w:color w:val="auto"/>
              </w:rPr>
              <w:t>Initial cost to company</w:t>
            </w:r>
          </w:p>
        </w:tc>
        <w:tc>
          <w:tcPr>
            <w:tcW w:w="120" w:type="dxa"/>
            <w:vAlign w:val="bottom"/>
          </w:tcPr>
          <w:p>
            <w:pPr>
              <w:spacing w:after="0"/>
              <w:rPr>
                <w:sz w:val="11"/>
                <w:szCs w:val="11"/>
                <w:color w:val="auto"/>
              </w:rPr>
            </w:pPr>
          </w:p>
        </w:tc>
        <w:tc>
          <w:tcPr>
            <w:tcW w:w="84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2"/>
              </w:rPr>
              <w:t>Cost</w:t>
            </w:r>
          </w:p>
        </w:tc>
        <w:tc>
          <w:tcPr>
            <w:tcW w:w="760" w:type="dxa"/>
            <w:vAlign w:val="bottom"/>
          </w:tcPr>
          <w:p>
            <w:pPr>
              <w:spacing w:after="0"/>
              <w:rPr>
                <w:sz w:val="11"/>
                <w:szCs w:val="11"/>
                <w:color w:val="auto"/>
              </w:rPr>
            </w:pPr>
          </w:p>
        </w:tc>
        <w:tc>
          <w:tcPr>
            <w:tcW w:w="1000" w:type="dxa"/>
            <w:vAlign w:val="bottom"/>
            <w:gridSpan w:val="3"/>
          </w:tcPr>
          <w:p>
            <w:pPr>
              <w:jc w:val="center"/>
              <w:ind w:right="120"/>
              <w:spacing w:after="0" w:line="130" w:lineRule="exact"/>
              <w:rPr>
                <w:sz w:val="20"/>
                <w:szCs w:val="20"/>
                <w:color w:val="auto"/>
              </w:rPr>
            </w:pPr>
            <w:r>
              <w:rPr>
                <w:rFonts w:ascii="Arial" w:cs="Arial" w:eastAsia="Arial" w:hAnsi="Arial"/>
                <w:sz w:val="12"/>
                <w:szCs w:val="12"/>
                <w:b w:val="1"/>
                <w:bCs w:val="1"/>
                <w:color w:val="auto"/>
                <w:w w:val="88"/>
              </w:rPr>
              <w:t>close of period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9"/>
              </w:rPr>
              <w:t>depreciation</w:t>
            </w:r>
          </w:p>
        </w:tc>
        <w:tc>
          <w:tcPr>
            <w:tcW w:w="0" w:type="dxa"/>
            <w:vAlign w:val="bottom"/>
          </w:tcPr>
          <w:p>
            <w:pPr>
              <w:spacing w:after="0"/>
              <w:rPr>
                <w:sz w:val="1"/>
                <w:szCs w:val="1"/>
                <w:color w:val="auto"/>
              </w:rPr>
            </w:pPr>
          </w:p>
        </w:tc>
      </w:tr>
      <w:tr>
        <w:trPr>
          <w:trHeight w:val="52"/>
        </w:trPr>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840" w:type="dxa"/>
            <w:vAlign w:val="bottom"/>
            <w:gridSpan w:val="2"/>
            <w:vMerge w:val="restart"/>
          </w:tcPr>
          <w:p>
            <w:pPr>
              <w:jc w:val="center"/>
              <w:ind w:right="100"/>
              <w:spacing w:after="0" w:line="112" w:lineRule="exact"/>
              <w:rPr>
                <w:sz w:val="20"/>
                <w:szCs w:val="20"/>
                <w:color w:val="auto"/>
              </w:rPr>
            </w:pPr>
            <w:r>
              <w:rPr>
                <w:rFonts w:ascii="Arial" w:cs="Arial" w:eastAsia="Arial" w:hAnsi="Arial"/>
                <w:sz w:val="12"/>
                <w:szCs w:val="12"/>
                <w:b w:val="1"/>
                <w:bCs w:val="1"/>
                <w:color w:val="auto"/>
                <w:w w:val="91"/>
              </w:rPr>
              <w:t>Capitalized</w:t>
            </w: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ind w:left="40"/>
              <w:spacing w:after="0" w:line="112" w:lineRule="exact"/>
              <w:rPr>
                <w:sz w:val="20"/>
                <w:szCs w:val="20"/>
                <w:color w:val="auto"/>
              </w:rPr>
            </w:pPr>
            <w:r>
              <w:rPr>
                <w:rFonts w:ascii="Arial" w:cs="Arial" w:eastAsia="Arial" w:hAnsi="Arial"/>
                <w:sz w:val="12"/>
                <w:szCs w:val="12"/>
                <w:b w:val="1"/>
                <w:bCs w:val="1"/>
                <w:color w:val="auto"/>
              </w:rPr>
              <w:t>Accumulated</w:t>
            </w: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restart"/>
          </w:tcPr>
          <w:p>
            <w:pPr>
              <w:jc w:val="center"/>
              <w:spacing w:after="0" w:line="112" w:lineRule="exact"/>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40"/>
        </w:trPr>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87"/>
              </w:rPr>
              <w:t>Subsequent</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Depreciation</w:t>
            </w:r>
          </w:p>
        </w:tc>
        <w:tc>
          <w:tcPr>
            <w:tcW w:w="140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2"/>
                <w:szCs w:val="12"/>
                <w:b w:val="1"/>
                <w:bCs w:val="1"/>
                <w:color w:val="auto"/>
                <w:w w:val="99"/>
              </w:rPr>
              <w:t>Building and</w:t>
            </w:r>
          </w:p>
        </w:tc>
        <w:tc>
          <w:tcPr>
            <w:tcW w:w="120" w:type="dxa"/>
            <w:vAlign w:val="bottom"/>
          </w:tcPr>
          <w:p>
            <w:pPr>
              <w:spacing w:after="0"/>
              <w:rPr>
                <w:sz w:val="11"/>
                <w:szCs w:val="11"/>
                <w:color w:val="auto"/>
              </w:rPr>
            </w:pPr>
          </w:p>
        </w:tc>
        <w:tc>
          <w:tcPr>
            <w:tcW w:w="84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7"/>
              </w:rPr>
              <w:t>to</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3"/>
              </w:rPr>
              <w:t>Building and</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280"/>
              <w:spacing w:after="0" w:line="130" w:lineRule="exact"/>
              <w:rPr>
                <w:sz w:val="20"/>
                <w:szCs w:val="20"/>
                <w:color w:val="auto"/>
              </w:rPr>
            </w:pPr>
            <w:r>
              <w:rPr>
                <w:rFonts w:ascii="Arial" w:cs="Arial" w:eastAsia="Arial" w:hAnsi="Arial"/>
                <w:sz w:val="12"/>
                <w:szCs w:val="12"/>
                <w:b w:val="1"/>
                <w:bCs w:val="1"/>
                <w:color w:val="auto"/>
              </w:rPr>
              <w:t>and</w:t>
            </w:r>
          </w:p>
        </w:tc>
        <w:tc>
          <w:tcPr>
            <w:tcW w:w="140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7"/>
              </w:rPr>
              <w:t>of</w:t>
            </w: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88"/>
              </w:rPr>
              <w:t>statements is</w:t>
            </w:r>
          </w:p>
        </w:tc>
        <w:tc>
          <w:tcPr>
            <w:tcW w:w="0" w:type="dxa"/>
            <w:vAlign w:val="bottom"/>
          </w:tcPr>
          <w:p>
            <w:pPr>
              <w:spacing w:after="0"/>
              <w:rPr>
                <w:sz w:val="1"/>
                <w:szCs w:val="1"/>
                <w:color w:val="auto"/>
              </w:rPr>
            </w:pPr>
          </w:p>
        </w:tc>
      </w:tr>
      <w:tr>
        <w:trPr>
          <w:trHeight w:val="167"/>
        </w:trPr>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Descriptions</w:t>
            </w:r>
          </w:p>
        </w:tc>
        <w:tc>
          <w:tcPr>
            <w:tcW w:w="48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Encumbrance</w:t>
            </w:r>
          </w:p>
        </w:tc>
        <w:tc>
          <w:tcPr>
            <w:tcW w:w="840" w:type="dxa"/>
            <w:vAlign w:val="bottom"/>
            <w:gridSpan w:val="2"/>
          </w:tcPr>
          <w:p>
            <w:pPr>
              <w:ind w:left="240"/>
              <w:spacing w:after="0"/>
              <w:rPr>
                <w:sz w:val="20"/>
                <w:szCs w:val="20"/>
                <w:color w:val="auto"/>
              </w:rPr>
            </w:pPr>
            <w:r>
              <w:rPr>
                <w:rFonts w:ascii="Arial" w:cs="Arial" w:eastAsia="Arial" w:hAnsi="Arial"/>
                <w:sz w:val="12"/>
                <w:szCs w:val="12"/>
                <w:b w:val="1"/>
                <w:bCs w:val="1"/>
                <w:color w:val="auto"/>
              </w:rPr>
              <w:t>Land</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w w:val="92"/>
              </w:rPr>
              <w:t>Improvements</w:t>
            </w:r>
          </w:p>
        </w:tc>
        <w:tc>
          <w:tcPr>
            <w:tcW w:w="1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Acquisition</w:t>
            </w:r>
          </w:p>
        </w:tc>
        <w:tc>
          <w:tcPr>
            <w:tcW w:w="760" w:type="dxa"/>
            <w:vAlign w:val="bottom"/>
          </w:tcPr>
          <w:p>
            <w:pPr>
              <w:jc w:val="right"/>
              <w:ind w:right="172"/>
              <w:spacing w:after="0"/>
              <w:rPr>
                <w:sz w:val="20"/>
                <w:szCs w:val="20"/>
                <w:color w:val="auto"/>
              </w:rPr>
            </w:pPr>
            <w:r>
              <w:rPr>
                <w:rFonts w:ascii="Arial" w:cs="Arial" w:eastAsia="Arial" w:hAnsi="Arial"/>
                <w:sz w:val="12"/>
                <w:szCs w:val="12"/>
                <w:b w:val="1"/>
                <w:bCs w:val="1"/>
                <w:color w:val="auto"/>
              </w:rPr>
              <w:t>Land</w:t>
            </w:r>
          </w:p>
        </w:tc>
        <w:tc>
          <w:tcPr>
            <w:tcW w:w="1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Improvements</w:t>
            </w:r>
          </w:p>
        </w:tc>
        <w:tc>
          <w:tcPr>
            <w:tcW w:w="600" w:type="dxa"/>
            <w:vAlign w:val="bottom"/>
          </w:tcPr>
          <w:p>
            <w:pPr>
              <w:jc w:val="right"/>
              <w:ind w:right="91"/>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Amortization</w:t>
            </w:r>
          </w:p>
        </w:tc>
        <w:tc>
          <w:tcPr>
            <w:tcW w:w="14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Construction</w:t>
            </w: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Acquired</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7"/>
              </w:rPr>
              <w:t>computed</w:t>
            </w:r>
          </w:p>
        </w:tc>
        <w:tc>
          <w:tcPr>
            <w:tcW w:w="0" w:type="dxa"/>
            <w:vAlign w:val="bottom"/>
          </w:tcPr>
          <w:p>
            <w:pPr>
              <w:spacing w:after="0"/>
              <w:rPr>
                <w:sz w:val="1"/>
                <w:szCs w:val="1"/>
                <w:color w:val="auto"/>
              </w:rPr>
            </w:pPr>
          </w:p>
        </w:tc>
      </w:tr>
      <w:tr>
        <w:trPr>
          <w:trHeight w:val="151"/>
        </w:trPr>
        <w:tc>
          <w:tcPr>
            <w:tcW w:w="1140" w:type="dxa"/>
            <w:vAlign w:val="bottom"/>
            <w:tcBorders>
              <w:top w:val="single" w:sz="8" w:color="auto"/>
            </w:tcBorders>
          </w:tcPr>
          <w:p>
            <w:pPr>
              <w:ind w:left="40"/>
              <w:spacing w:after="0" w:line="151" w:lineRule="exact"/>
              <w:rPr>
                <w:sz w:val="20"/>
                <w:szCs w:val="20"/>
                <w:color w:val="auto"/>
              </w:rPr>
            </w:pPr>
            <w:r>
              <w:rPr>
                <w:rFonts w:ascii="Arial" w:cs="Arial" w:eastAsia="Arial" w:hAnsi="Arial"/>
                <w:sz w:val="14"/>
                <w:szCs w:val="14"/>
                <w:color w:val="auto"/>
              </w:rPr>
              <w:t>HOLLYWOOD</w:t>
            </w:r>
          </w:p>
        </w:tc>
        <w:tc>
          <w:tcPr>
            <w:tcW w:w="4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BLVD.</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3/22/99 &amp;</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480" w:type="dxa"/>
            <w:vAlign w:val="bottom"/>
          </w:tcPr>
          <w:p>
            <w:pPr>
              <w:ind w:left="120"/>
              <w:spacing w:after="0"/>
              <w:rPr>
                <w:sz w:val="20"/>
                <w:szCs w:val="20"/>
                <w:color w:val="auto"/>
              </w:rPr>
            </w:pPr>
            <w:r>
              <w:rPr>
                <w:rFonts w:ascii="Arial" w:cs="Arial" w:eastAsia="Arial" w:hAnsi="Arial"/>
                <w:sz w:val="14"/>
                <w:szCs w:val="14"/>
                <w:color w:val="auto"/>
              </w:rPr>
              <w:t>CA</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8,300</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16,920</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14,878</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8,300</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31,798</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40,098</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8,180</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1929/1991</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6/18/99</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HOUSTON</w:t>
            </w: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STREET (Texas)</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TX</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14,680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1,976</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49,140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14,778</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51,018</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65,796</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24,986</w:t>
            </w: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var</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HUNTINGTON</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12/12/88 &amp;</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(New York)</w:t>
            </w:r>
          </w:p>
        </w:tc>
        <w:tc>
          <w:tcPr>
            <w:tcW w:w="480" w:type="dxa"/>
            <w:vAlign w:val="bottom"/>
          </w:tcPr>
          <w:p>
            <w:pPr>
              <w:ind w:left="120"/>
              <w:spacing w:after="0"/>
              <w:rPr>
                <w:sz w:val="20"/>
                <w:szCs w:val="20"/>
                <w:color w:val="auto"/>
              </w:rPr>
            </w:pPr>
            <w:r>
              <w:rPr>
                <w:rFonts w:ascii="Arial" w:cs="Arial" w:eastAsia="Arial" w:hAnsi="Arial"/>
                <w:sz w:val="14"/>
                <w:szCs w:val="14"/>
                <w:color w:val="auto"/>
              </w:rPr>
              <w:t>NY</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11,713</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16,008</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15,680</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11,713</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31,688</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43,401</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9,745</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1962</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10/26/07</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HUNTINGTON</w:t>
            </w: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SQUARE (New</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York)</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NY</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10,075</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10,694</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10,694</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874</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1980/2004-2007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8/16/2010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IDYLWOOD</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PLAZA (Virginia)</w:t>
            </w:r>
          </w:p>
        </w:tc>
        <w:tc>
          <w:tcPr>
            <w:tcW w:w="480" w:type="dxa"/>
            <w:vAlign w:val="bottom"/>
          </w:tcPr>
          <w:p>
            <w:pPr>
              <w:ind w:left="120"/>
              <w:spacing w:after="0"/>
              <w:rPr>
                <w:sz w:val="20"/>
                <w:szCs w:val="20"/>
                <w:color w:val="auto"/>
              </w:rPr>
            </w:pPr>
            <w:r>
              <w:rPr>
                <w:rFonts w:ascii="Arial" w:cs="Arial" w:eastAsia="Arial" w:hAnsi="Arial"/>
                <w:sz w:val="14"/>
                <w:szCs w:val="14"/>
                <w:color w:val="auto"/>
              </w:rPr>
              <w:t>VA</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15,987</w:t>
            </w:r>
          </w:p>
        </w:tc>
        <w:tc>
          <w:tcPr>
            <w:tcW w:w="10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4,308</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10,026</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2,155</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4,308</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12,181</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16,489</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6,545</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1991</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4/15/1994</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KINGS COURT</w:t>
            </w: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10,714</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957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11,671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11,671</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6,630</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8/24/1998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26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LANCASTER</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480" w:type="dxa"/>
            <w:vAlign w:val="bottom"/>
          </w:tcPr>
          <w:p>
            <w:pPr>
              <w:ind w:left="120"/>
              <w:spacing w:after="0"/>
              <w:rPr>
                <w:sz w:val="20"/>
                <w:szCs w:val="20"/>
                <w:color w:val="auto"/>
              </w:rPr>
            </w:pPr>
            <w:r>
              <w:rPr>
                <w:rFonts w:ascii="Arial" w:cs="Arial" w:eastAsia="Arial" w:hAnsi="Arial"/>
                <w:sz w:val="14"/>
                <w:szCs w:val="14"/>
                <w:color w:val="auto"/>
              </w:rPr>
              <w:t>PA</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4,907</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2,103</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11,224</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75</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13,252</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13,327</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6,638</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4/24/1980</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LANGHORNE</w:t>
            </w: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SQUARE</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2,974</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16,736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720</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19,710</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20,430</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11,809</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1/31/1985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LAUREL</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(Maryland)</w:t>
            </w:r>
          </w:p>
        </w:tc>
        <w:tc>
          <w:tcPr>
            <w:tcW w:w="480" w:type="dxa"/>
            <w:vAlign w:val="bottom"/>
          </w:tcPr>
          <w:p>
            <w:pPr>
              <w:ind w:left="120"/>
              <w:spacing w:after="0"/>
              <w:rPr>
                <w:sz w:val="20"/>
                <w:szCs w:val="20"/>
                <w:color w:val="auto"/>
              </w:rPr>
            </w:pPr>
            <w:r>
              <w:rPr>
                <w:rFonts w:ascii="Arial" w:cs="Arial" w:eastAsia="Arial" w:hAnsi="Arial"/>
                <w:sz w:val="14"/>
                <w:szCs w:val="14"/>
                <w:color w:val="auto"/>
              </w:rPr>
              <w:t>MD</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7,458</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22,525</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21,158</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7,464</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43,677</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51,141</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30,624</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1956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8/15/1986</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LAWRENCE</w:t>
            </w: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PARK</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26,984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5,723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7,160</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18,295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5,734</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25,444</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31,178</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21,981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7/23/1980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LEESBURG</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PLAZA (Virginia)</w:t>
            </w:r>
          </w:p>
        </w:tc>
        <w:tc>
          <w:tcPr>
            <w:tcW w:w="480" w:type="dxa"/>
            <w:vAlign w:val="bottom"/>
          </w:tcPr>
          <w:p>
            <w:pPr>
              <w:ind w:left="120"/>
              <w:spacing w:after="0"/>
              <w:rPr>
                <w:sz w:val="20"/>
                <w:szCs w:val="20"/>
                <w:color w:val="auto"/>
              </w:rPr>
            </w:pPr>
            <w:r>
              <w:rPr>
                <w:rFonts w:ascii="Arial" w:cs="Arial" w:eastAsia="Arial" w:hAnsi="Arial"/>
                <w:sz w:val="14"/>
                <w:szCs w:val="14"/>
                <w:color w:val="auto"/>
              </w:rPr>
              <w:t>VA</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27,818</w:t>
            </w:r>
          </w:p>
        </w:tc>
        <w:tc>
          <w:tcPr>
            <w:tcW w:w="10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8,184</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10,722</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16,321</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8,184</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27,043</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35,227</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10,118</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9/15/1998</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LINDEN</w:t>
            </w: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SQUARE</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79,382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19,247</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47,817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79,269</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67,177</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146,446</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10,504</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1960-2008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8/24/2006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LOEHMANN'S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PLAZA (Virginia)</w:t>
            </w:r>
          </w:p>
        </w:tc>
        <w:tc>
          <w:tcPr>
            <w:tcW w:w="480" w:type="dxa"/>
            <w:vAlign w:val="bottom"/>
          </w:tcPr>
          <w:p>
            <w:pPr>
              <w:ind w:left="120"/>
              <w:spacing w:after="0"/>
              <w:rPr>
                <w:sz w:val="20"/>
                <w:szCs w:val="20"/>
                <w:color w:val="auto"/>
              </w:rPr>
            </w:pPr>
            <w:r>
              <w:rPr>
                <w:rFonts w:ascii="Arial" w:cs="Arial" w:eastAsia="Arial" w:hAnsi="Arial"/>
                <w:sz w:val="14"/>
                <w:szCs w:val="14"/>
                <w:color w:val="auto"/>
              </w:rPr>
              <w:t>VA</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35,972</w:t>
            </w:r>
          </w:p>
        </w:tc>
        <w:tc>
          <w:tcPr>
            <w:tcW w:w="10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15,096</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16,543</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1,248</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31,628</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32,876</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22,431</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1971</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7/21/1983</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MELVILLE</w:t>
            </w: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MALL (New</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York)</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NY</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21,406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35,622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32,882</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35,622</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33,414</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69,036</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5,961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10/16/2006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MERCER MALL</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line="151" w:lineRule="exact"/>
              <w:rPr>
                <w:sz w:val="20"/>
                <w:szCs w:val="20"/>
                <w:color w:val="auto"/>
              </w:rPr>
            </w:pPr>
            <w:r>
              <w:rPr>
                <w:rFonts w:ascii="Arial" w:cs="Arial" w:eastAsia="Arial" w:hAnsi="Arial"/>
                <w:sz w:val="14"/>
                <w:szCs w:val="14"/>
                <w:color w:val="auto"/>
              </w:rPr>
              <w:t>25 - 35</w:t>
            </w: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(New Jersey)</w:t>
            </w:r>
          </w:p>
        </w:tc>
        <w:tc>
          <w:tcPr>
            <w:tcW w:w="480" w:type="dxa"/>
            <w:vAlign w:val="bottom"/>
          </w:tcPr>
          <w:p>
            <w:pPr>
              <w:ind w:left="120"/>
              <w:spacing w:after="0"/>
              <w:rPr>
                <w:sz w:val="20"/>
                <w:szCs w:val="20"/>
                <w:color w:val="auto"/>
              </w:rPr>
            </w:pPr>
            <w:r>
              <w:rPr>
                <w:rFonts w:ascii="Arial" w:cs="Arial" w:eastAsia="Arial" w:hAnsi="Arial"/>
                <w:sz w:val="14"/>
                <w:szCs w:val="14"/>
                <w:color w:val="auto"/>
              </w:rPr>
              <w:t>NJ</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55,844</w:t>
            </w:r>
          </w:p>
        </w:tc>
        <w:tc>
          <w:tcPr>
            <w:tcW w:w="10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28,684</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48,028</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33,878</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28,684</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81,906</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110,590</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24,957</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10/14/2003</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MID PIKE</w:t>
            </w: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PLAZA/PIKE &amp;</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05/18/82 &amp;</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ROSE (Maryland)</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31,388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10,335</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46,393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31,451</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56,665</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88,116</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5,146</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10/26/07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MONTROSE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CROSSING</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right"/>
              <w:spacing w:after="0" w:line="143" w:lineRule="exact"/>
              <w:rPr>
                <w:sz w:val="20"/>
                <w:szCs w:val="20"/>
                <w:color w:val="auto"/>
              </w:rPr>
            </w:pPr>
            <w:r>
              <w:rPr>
                <w:rFonts w:ascii="Arial" w:cs="Arial" w:eastAsia="Arial" w:hAnsi="Arial"/>
                <w:sz w:val="14"/>
                <w:szCs w:val="14"/>
                <w:color w:val="auto"/>
              </w:rPr>
              <w:t>1960-1979, 1996 &amp;</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(Maryland)</w:t>
            </w:r>
          </w:p>
        </w:tc>
        <w:tc>
          <w:tcPr>
            <w:tcW w:w="480" w:type="dxa"/>
            <w:vAlign w:val="bottom"/>
          </w:tcPr>
          <w:p>
            <w:pPr>
              <w:ind w:left="120"/>
              <w:spacing w:after="0"/>
              <w:rPr>
                <w:sz w:val="20"/>
                <w:szCs w:val="20"/>
                <w:color w:val="auto"/>
              </w:rPr>
            </w:pPr>
            <w:r>
              <w:rPr>
                <w:rFonts w:ascii="Arial" w:cs="Arial" w:eastAsia="Arial" w:hAnsi="Arial"/>
                <w:sz w:val="14"/>
                <w:szCs w:val="14"/>
                <w:color w:val="auto"/>
              </w:rPr>
              <w:t>MD</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78,755</w:t>
            </w:r>
          </w:p>
        </w:tc>
        <w:tc>
          <w:tcPr>
            <w:tcW w:w="10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38,490</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101,953</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38,490</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103,061</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141,551</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4,168</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12/27/2011</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MOUNT</w:t>
            </w: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5"/>
              </w:rPr>
              <w:t>VERNON/SOUTH</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VALLEY/7770</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03/31/03,</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RICHMOND</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3/21/03, &amp;</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HWY. (Virginia)</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10,068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33,501</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35,361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10,204</w:t>
            </w: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68,726</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78,930</w:t>
            </w: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20,794</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1966/1972/1987/2001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40" w:type="dxa"/>
            <w:vAlign w:val="bottom"/>
          </w:tcPr>
          <w:p>
            <w:pPr>
              <w:ind w:left="40"/>
              <w:spacing w:after="0" w:line="151" w:lineRule="exact"/>
              <w:rPr>
                <w:sz w:val="20"/>
                <w:szCs w:val="20"/>
                <w:color w:val="auto"/>
              </w:rPr>
            </w:pPr>
            <w:r>
              <w:rPr>
                <w:rFonts w:ascii="Arial" w:cs="Arial" w:eastAsia="Arial" w:hAnsi="Arial"/>
                <w:sz w:val="14"/>
                <w:szCs w:val="14"/>
                <w:color w:val="auto"/>
              </w:rPr>
              <w:t>TOWN CENTER</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OF NEW</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40"/>
              <w:spacing w:after="0" w:line="143" w:lineRule="exact"/>
              <w:rPr>
                <w:sz w:val="20"/>
                <w:szCs w:val="20"/>
                <w:color w:val="auto"/>
              </w:rPr>
            </w:pPr>
            <w:r>
              <w:rPr>
                <w:rFonts w:ascii="Arial" w:cs="Arial" w:eastAsia="Arial" w:hAnsi="Arial"/>
                <w:sz w:val="14"/>
                <w:szCs w:val="14"/>
                <w:color w:val="auto"/>
              </w:rPr>
              <w:t>BRITAIN</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4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480" w:type="dxa"/>
            <w:vAlign w:val="bottom"/>
          </w:tcPr>
          <w:p>
            <w:pPr>
              <w:ind w:left="120"/>
              <w:spacing w:after="0"/>
              <w:rPr>
                <w:sz w:val="20"/>
                <w:szCs w:val="20"/>
                <w:color w:val="auto"/>
              </w:rPr>
            </w:pPr>
            <w:r>
              <w:rPr>
                <w:rFonts w:ascii="Arial" w:cs="Arial" w:eastAsia="Arial" w:hAnsi="Arial"/>
                <w:sz w:val="14"/>
                <w:szCs w:val="14"/>
                <w:color w:val="auto"/>
              </w:rPr>
              <w:t>PA</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1,282</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12,285</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1,031</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1,262</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13,336</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14,598</w:t>
            </w: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2,874</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1969</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6/29/2006</w:t>
            </w:r>
          </w:p>
        </w:tc>
        <w:tc>
          <w:tcPr>
            <w:tcW w:w="10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 DEPRECIATION</w:t>
      </w:r>
    </w:p>
    <w:p>
      <w:pPr>
        <w:spacing w:after="0" w:line="13"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DECEMBER 31, 2012</w:t>
      </w:r>
    </w:p>
    <w:p>
      <w:pPr>
        <w:spacing w:after="0" w:line="13"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COLUMN A</w:t>
            </w:r>
          </w:p>
        </w:tc>
        <w:tc>
          <w:tcPr>
            <w:tcW w:w="6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B</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C</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COLUMN D</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COLUMN 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COLUMN F</w:t>
            </w: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COLUMN H</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COLUMN I</w:t>
            </w:r>
          </w:p>
        </w:tc>
        <w:tc>
          <w:tcPr>
            <w:tcW w:w="0" w:type="dxa"/>
            <w:vAlign w:val="bottom"/>
          </w:tcPr>
          <w:p>
            <w:pPr>
              <w:spacing w:after="0"/>
              <w:rPr>
                <w:sz w:val="1"/>
                <w:szCs w:val="1"/>
                <w:color w:val="auto"/>
              </w:rPr>
            </w:pPr>
          </w:p>
        </w:tc>
      </w:tr>
      <w:tr>
        <w:trPr>
          <w:trHeight w:val="138"/>
        </w:trPr>
        <w:tc>
          <w:tcPr>
            <w:tcW w:w="11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Borders>
              <w:top w:val="single" w:sz="8" w:color="auto"/>
            </w:tcBorders>
            <w:gridSpan w:val="5"/>
            <w:vMerge w:val="restart"/>
          </w:tcPr>
          <w:p>
            <w:pPr>
              <w:jc w:val="center"/>
              <w:spacing w:after="0"/>
              <w:rPr>
                <w:sz w:val="20"/>
                <w:szCs w:val="20"/>
                <w:color w:val="auto"/>
              </w:rPr>
            </w:pPr>
            <w:r>
              <w:rPr>
                <w:rFonts w:ascii="Arial" w:cs="Arial" w:eastAsia="Arial" w:hAnsi="Arial"/>
                <w:sz w:val="12"/>
                <w:szCs w:val="12"/>
                <w:b w:val="1"/>
                <w:bCs w:val="1"/>
                <w:color w:val="auto"/>
                <w:w w:val="91"/>
              </w:rPr>
              <w:t>Gross amount at which carried at</w:t>
            </w: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w w:val="96"/>
              </w:rPr>
              <w:t>Life on which</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82"/>
              </w:rPr>
              <w:t>Cost</w:t>
            </w:r>
          </w:p>
        </w:tc>
        <w:tc>
          <w:tcPr>
            <w:tcW w:w="25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depreciation</w:t>
            </w:r>
          </w:p>
        </w:tc>
        <w:tc>
          <w:tcPr>
            <w:tcW w:w="0" w:type="dxa"/>
            <w:vAlign w:val="bottom"/>
          </w:tcPr>
          <w:p>
            <w:pPr>
              <w:spacing w:after="0"/>
              <w:rPr>
                <w:sz w:val="1"/>
                <w:szCs w:val="1"/>
                <w:color w:val="auto"/>
              </w:rPr>
            </w:pPr>
          </w:p>
        </w:tc>
      </w:tr>
      <w:tr>
        <w:trPr>
          <w:trHeight w:val="143"/>
        </w:trPr>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2"/>
                <w:szCs w:val="12"/>
                <w:b w:val="1"/>
                <w:bCs w:val="1"/>
                <w:color w:val="auto"/>
              </w:rPr>
              <w:t>Initial cost to company</w:t>
            </w:r>
          </w:p>
        </w:tc>
        <w:tc>
          <w:tcPr>
            <w:tcW w:w="10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Capitalized</w:t>
            </w: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86"/>
              </w:rPr>
              <w:t>close of period</w:t>
            </w: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Accumulated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20"/>
              <w:spacing w:after="0" w:line="105" w:lineRule="exact"/>
              <w:rPr>
                <w:sz w:val="20"/>
                <w:szCs w:val="20"/>
                <w:color w:val="auto"/>
              </w:rPr>
            </w:pPr>
            <w:r>
              <w:rPr>
                <w:rFonts w:ascii="Arial" w:cs="Arial" w:eastAsia="Arial" w:hAnsi="Arial"/>
                <w:sz w:val="12"/>
                <w:szCs w:val="12"/>
                <w:b w:val="1"/>
                <w:bCs w:val="1"/>
                <w:color w:val="auto"/>
                <w:w w:val="87"/>
              </w:rPr>
              <w:t>Subsequent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00"/>
              <w:spacing w:after="0" w:line="105" w:lineRule="exact"/>
              <w:rPr>
                <w:sz w:val="20"/>
                <w:szCs w:val="20"/>
                <w:color w:val="auto"/>
              </w:rPr>
            </w:pPr>
            <w:r>
              <w:rPr>
                <w:rFonts w:ascii="Arial" w:cs="Arial" w:eastAsia="Arial" w:hAnsi="Arial"/>
                <w:sz w:val="12"/>
                <w:szCs w:val="12"/>
                <w:b w:val="1"/>
                <w:bCs w:val="1"/>
                <w:color w:val="auto"/>
                <w:w w:val="90"/>
              </w:rPr>
              <w:t>Depreciation</w:t>
            </w:r>
          </w:p>
        </w:tc>
        <w:tc>
          <w:tcPr>
            <w:tcW w:w="900" w:type="dxa"/>
            <w:vAlign w:val="bottom"/>
            <w:gridSpan w:val="2"/>
          </w:tcPr>
          <w:p>
            <w:pPr>
              <w:jc w:val="center"/>
              <w:ind w:right="100"/>
              <w:spacing w:after="0" w:line="105" w:lineRule="exact"/>
              <w:rPr>
                <w:sz w:val="20"/>
                <w:szCs w:val="20"/>
                <w:color w:val="auto"/>
              </w:rPr>
            </w:pPr>
            <w:r>
              <w:rPr>
                <w:rFonts w:ascii="Arial" w:cs="Arial" w:eastAsia="Arial" w:hAnsi="Arial"/>
                <w:sz w:val="12"/>
                <w:szCs w:val="12"/>
                <w:b w:val="1"/>
                <w:bCs w:val="1"/>
                <w:color w:val="auto"/>
                <w:w w:val="92"/>
              </w:rPr>
              <w:t>Date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30"/>
        </w:trPr>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1"/>
              <w:spacing w:after="0" w:line="130" w:lineRule="exact"/>
              <w:rPr>
                <w:sz w:val="20"/>
                <w:szCs w:val="20"/>
                <w:color w:val="auto"/>
              </w:rPr>
            </w:pPr>
            <w:r>
              <w:rPr>
                <w:rFonts w:ascii="Arial" w:cs="Arial" w:eastAsia="Arial" w:hAnsi="Arial"/>
                <w:sz w:val="12"/>
                <w:szCs w:val="12"/>
                <w:b w:val="1"/>
                <w:bCs w:val="1"/>
                <w:color w:val="auto"/>
                <w:w w:val="99"/>
              </w:rPr>
              <w:t>Building and</w:t>
            </w: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7"/>
              </w:rPr>
              <w:t>to</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3"/>
              </w:rPr>
              <w:t>Building and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4"/>
              </w:rPr>
              <w:t>and</w:t>
            </w:r>
          </w:p>
        </w:tc>
        <w:tc>
          <w:tcPr>
            <w:tcW w:w="90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87"/>
              </w:rPr>
              <w:t>of</w:t>
            </w:r>
          </w:p>
        </w:tc>
        <w:tc>
          <w:tcPr>
            <w:tcW w:w="90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5"/>
              </w:rPr>
              <w:t>statements is</w:t>
            </w:r>
          </w:p>
        </w:tc>
        <w:tc>
          <w:tcPr>
            <w:tcW w:w="0" w:type="dxa"/>
            <w:vAlign w:val="bottom"/>
          </w:tcPr>
          <w:p>
            <w:pPr>
              <w:spacing w:after="0"/>
              <w:rPr>
                <w:sz w:val="1"/>
                <w:szCs w:val="1"/>
                <w:color w:val="auto"/>
              </w:rPr>
            </w:pPr>
          </w:p>
        </w:tc>
      </w:tr>
      <w:tr>
        <w:trPr>
          <w:trHeight w:val="167"/>
        </w:trPr>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Descriptions</w:t>
            </w:r>
          </w:p>
        </w:tc>
        <w:tc>
          <w:tcPr>
            <w:tcW w:w="6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Encumbrance</w:t>
            </w:r>
          </w:p>
        </w:tc>
        <w:tc>
          <w:tcPr>
            <w:tcW w:w="920" w:type="dxa"/>
            <w:vAlign w:val="bottom"/>
            <w:gridSpan w:val="2"/>
          </w:tcPr>
          <w:p>
            <w:pPr>
              <w:ind w:left="260"/>
              <w:spacing w:after="0"/>
              <w:rPr>
                <w:sz w:val="20"/>
                <w:szCs w:val="20"/>
                <w:color w:val="auto"/>
              </w:rPr>
            </w:pPr>
            <w:r>
              <w:rPr>
                <w:rFonts w:ascii="Arial" w:cs="Arial" w:eastAsia="Arial" w:hAnsi="Arial"/>
                <w:sz w:val="12"/>
                <w:szCs w:val="12"/>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w w:val="92"/>
              </w:rPr>
              <w:t>Improvements</w:t>
            </w: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Acquisition</w:t>
            </w:r>
          </w:p>
        </w:tc>
        <w:tc>
          <w:tcPr>
            <w:tcW w:w="860" w:type="dxa"/>
            <w:vAlign w:val="bottom"/>
            <w:gridSpan w:val="2"/>
          </w:tcPr>
          <w:p>
            <w:pPr>
              <w:ind w:left="240"/>
              <w:spacing w:after="0"/>
              <w:rPr>
                <w:sz w:val="20"/>
                <w:szCs w:val="20"/>
                <w:color w:val="auto"/>
              </w:rPr>
            </w:pPr>
            <w:r>
              <w:rPr>
                <w:rFonts w:ascii="Arial" w:cs="Arial" w:eastAsia="Arial" w:hAnsi="Arial"/>
                <w:sz w:val="12"/>
                <w:szCs w:val="12"/>
                <w:b w:val="1"/>
                <w:bCs w:val="1"/>
                <w:color w:val="auto"/>
              </w:rPr>
              <w:t>Land</w:t>
            </w:r>
          </w:p>
        </w:tc>
        <w:tc>
          <w:tcPr>
            <w:tcW w:w="9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Improvements</w:t>
            </w:r>
          </w:p>
        </w:tc>
        <w:tc>
          <w:tcPr>
            <w:tcW w:w="760" w:type="dxa"/>
            <w:vAlign w:val="bottom"/>
          </w:tcPr>
          <w:p>
            <w:pPr>
              <w:jc w:val="right"/>
              <w:ind w:right="191"/>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Amortization</w:t>
            </w: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Acquired</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7"/>
              </w:rPr>
              <w:t>computed</w:t>
            </w:r>
          </w:p>
        </w:tc>
        <w:tc>
          <w:tcPr>
            <w:tcW w:w="0" w:type="dxa"/>
            <w:vAlign w:val="bottom"/>
          </w:tcPr>
          <w:p>
            <w:pPr>
              <w:spacing w:after="0"/>
              <w:rPr>
                <w:sz w:val="1"/>
                <w:szCs w:val="1"/>
                <w:color w:val="auto"/>
              </w:rPr>
            </w:pPr>
          </w:p>
        </w:tc>
      </w:tr>
      <w:tr>
        <w:trPr>
          <w:trHeight w:val="151"/>
        </w:trPr>
        <w:tc>
          <w:tcPr>
            <w:tcW w:w="1100" w:type="dxa"/>
            <w:vAlign w:val="bottom"/>
            <w:tcBorders>
              <w:top w:val="single" w:sz="8" w:color="auto"/>
            </w:tcBorders>
            <w:shd w:val="clear" w:color="auto" w:fill="CCEEFF"/>
          </w:tcPr>
          <w:p>
            <w:pPr>
              <w:ind w:left="40"/>
              <w:spacing w:after="0" w:line="151" w:lineRule="exact"/>
              <w:rPr>
                <w:sz w:val="20"/>
                <w:szCs w:val="20"/>
                <w:color w:val="auto"/>
              </w:rPr>
            </w:pPr>
            <w:r>
              <w:rPr>
                <w:rFonts w:ascii="Arial" w:cs="Arial" w:eastAsia="Arial" w:hAnsi="Arial"/>
                <w:sz w:val="14"/>
                <w:szCs w:val="14"/>
                <w:color w:val="auto"/>
              </w:rPr>
              <w:t>NORTH</w:t>
            </w:r>
          </w:p>
        </w:tc>
        <w:tc>
          <w:tcPr>
            <w:tcW w:w="6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0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DARTMOUTH</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27,214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(17,846)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9,366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9,368</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8/24/2006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00" w:type="dxa"/>
            <w:vAlign w:val="bottom"/>
          </w:tcPr>
          <w:p>
            <w:pPr>
              <w:ind w:left="40"/>
              <w:spacing w:after="0" w:line="151" w:lineRule="exact"/>
              <w:rPr>
                <w:sz w:val="20"/>
                <w:szCs w:val="20"/>
                <w:color w:val="auto"/>
              </w:rPr>
            </w:pPr>
            <w:r>
              <w:rPr>
                <w:rFonts w:ascii="Arial" w:cs="Arial" w:eastAsia="Arial" w:hAnsi="Arial"/>
                <w:sz w:val="14"/>
                <w:szCs w:val="14"/>
                <w:color w:val="auto"/>
              </w:rPr>
              <w:t>NORTHEAST</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600" w:type="dxa"/>
            <w:vAlign w:val="bottom"/>
          </w:tcPr>
          <w:p>
            <w:pPr>
              <w:ind w:left="160"/>
              <w:spacing w:after="0"/>
              <w:rPr>
                <w:sz w:val="20"/>
                <w:szCs w:val="20"/>
                <w:color w:val="auto"/>
              </w:rPr>
            </w:pPr>
            <w:r>
              <w:rPr>
                <w:rFonts w:ascii="Arial" w:cs="Arial" w:eastAsia="Arial" w:hAnsi="Arial"/>
                <w:sz w:val="14"/>
                <w:szCs w:val="14"/>
                <w:color w:val="auto"/>
              </w:rPr>
              <w:t>PA</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1,152</w:t>
            </w:r>
          </w:p>
        </w:tc>
        <w:tc>
          <w:tcPr>
            <w:tcW w:w="120" w:type="dxa"/>
            <w:vAlign w:val="bottom"/>
          </w:tcPr>
          <w:p>
            <w:pPr>
              <w:spacing w:after="0"/>
              <w:rPr>
                <w:sz w:val="15"/>
                <w:szCs w:val="15"/>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10,596</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23,095</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24,248</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16,503</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1959</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8/30/1983</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NORTH LAKE</w:t>
            </w:r>
          </w:p>
        </w:tc>
        <w:tc>
          <w:tcPr>
            <w:tcW w:w="6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0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COMMONS</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IL</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2,782</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8,604</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4,467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2,628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13,225</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15,853</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5,981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4/27/1994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00" w:type="dxa"/>
            <w:vAlign w:val="bottom"/>
          </w:tcPr>
          <w:p>
            <w:pPr>
              <w:ind w:left="40"/>
              <w:spacing w:after="0" w:line="151" w:lineRule="exact"/>
              <w:rPr>
                <w:sz w:val="20"/>
                <w:szCs w:val="20"/>
                <w:color w:val="auto"/>
              </w:rPr>
            </w:pPr>
            <w:r>
              <w:rPr>
                <w:rFonts w:ascii="Arial" w:cs="Arial" w:eastAsia="Arial" w:hAnsi="Arial"/>
                <w:sz w:val="14"/>
                <w:szCs w:val="14"/>
                <w:color w:val="auto"/>
              </w:rPr>
              <w:t>OLD KEENE</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40"/>
              <w:spacing w:after="0"/>
              <w:rPr>
                <w:sz w:val="20"/>
                <w:szCs w:val="20"/>
                <w:color w:val="auto"/>
              </w:rPr>
            </w:pPr>
            <w:r>
              <w:rPr>
                <w:rFonts w:ascii="Arial" w:cs="Arial" w:eastAsia="Arial" w:hAnsi="Arial"/>
                <w:sz w:val="14"/>
                <w:szCs w:val="14"/>
                <w:color w:val="auto"/>
              </w:rPr>
              <w:t>MILL (Virginia)</w:t>
            </w:r>
          </w:p>
        </w:tc>
        <w:tc>
          <w:tcPr>
            <w:tcW w:w="600" w:type="dxa"/>
            <w:vAlign w:val="bottom"/>
          </w:tcPr>
          <w:p>
            <w:pPr>
              <w:ind w:left="160"/>
              <w:spacing w:after="0"/>
              <w:rPr>
                <w:sz w:val="20"/>
                <w:szCs w:val="20"/>
                <w:color w:val="auto"/>
              </w:rPr>
            </w:pPr>
            <w:r>
              <w:rPr>
                <w:rFonts w:ascii="Arial" w:cs="Arial" w:eastAsia="Arial" w:hAnsi="Arial"/>
                <w:sz w:val="14"/>
                <w:szCs w:val="14"/>
                <w:color w:val="auto"/>
              </w:rPr>
              <w:t>VA</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15"/>
                <w:szCs w:val="15"/>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998</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4,835</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5,833</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6,471</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4,766</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1968</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6/15/1976</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33.33 years</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OLD TOWN</w:t>
            </w:r>
          </w:p>
        </w:tc>
        <w:tc>
          <w:tcPr>
            <w:tcW w:w="6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0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CENTER</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8"/>
              </w:rPr>
              <w:t>1962, 1997-</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3,420</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2,765</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30,208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3,420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32,973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36,393</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16,930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10/22/1997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00" w:type="dxa"/>
            <w:vAlign w:val="bottom"/>
          </w:tcPr>
          <w:p>
            <w:pPr>
              <w:ind w:left="40"/>
              <w:spacing w:after="0" w:line="151" w:lineRule="exact"/>
              <w:rPr>
                <w:sz w:val="20"/>
                <w:szCs w:val="20"/>
                <w:color w:val="auto"/>
              </w:rPr>
            </w:pPr>
            <w:r>
              <w:rPr>
                <w:rFonts w:ascii="Arial" w:cs="Arial" w:eastAsia="Arial" w:hAnsi="Arial"/>
                <w:sz w:val="14"/>
                <w:szCs w:val="14"/>
                <w:color w:val="auto"/>
              </w:rPr>
              <w:t>PAN AM</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00" w:type="dxa"/>
            <w:vAlign w:val="bottom"/>
          </w:tcPr>
          <w:p>
            <w:pPr>
              <w:ind w:left="40"/>
              <w:spacing w:after="0" w:line="143" w:lineRule="exact"/>
              <w:rPr>
                <w:sz w:val="20"/>
                <w:szCs w:val="20"/>
                <w:color w:val="auto"/>
              </w:rPr>
            </w:pPr>
            <w:r>
              <w:rPr>
                <w:rFonts w:ascii="Arial" w:cs="Arial" w:eastAsia="Arial" w:hAnsi="Arial"/>
                <w:sz w:val="14"/>
                <w:szCs w:val="14"/>
                <w:color w:val="auto"/>
              </w:rPr>
              <w:t>SHOPPING</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00" w:type="dxa"/>
            <w:vAlign w:val="bottom"/>
          </w:tcPr>
          <w:p>
            <w:pPr>
              <w:ind w:left="40"/>
              <w:spacing w:after="0" w:line="143" w:lineRule="exact"/>
              <w:rPr>
                <w:sz w:val="20"/>
                <w:szCs w:val="20"/>
                <w:color w:val="auto"/>
              </w:rPr>
            </w:pPr>
            <w:r>
              <w:rPr>
                <w:rFonts w:ascii="Arial" w:cs="Arial" w:eastAsia="Arial" w:hAnsi="Arial"/>
                <w:sz w:val="14"/>
                <w:szCs w:val="14"/>
                <w:color w:val="auto"/>
              </w:rPr>
              <w:t>CENTER</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40"/>
              <w:spacing w:after="0"/>
              <w:rPr>
                <w:sz w:val="20"/>
                <w:szCs w:val="20"/>
                <w:color w:val="auto"/>
              </w:rPr>
            </w:pPr>
            <w:r>
              <w:rPr>
                <w:rFonts w:ascii="Arial" w:cs="Arial" w:eastAsia="Arial" w:hAnsi="Arial"/>
                <w:sz w:val="14"/>
                <w:szCs w:val="14"/>
                <w:color w:val="auto"/>
              </w:rPr>
              <w:t>(Virginia)</w:t>
            </w:r>
          </w:p>
        </w:tc>
        <w:tc>
          <w:tcPr>
            <w:tcW w:w="600" w:type="dxa"/>
            <w:vAlign w:val="bottom"/>
          </w:tcPr>
          <w:p>
            <w:pPr>
              <w:ind w:left="160"/>
              <w:spacing w:after="0"/>
              <w:rPr>
                <w:sz w:val="20"/>
                <w:szCs w:val="20"/>
                <w:color w:val="auto"/>
              </w:rPr>
            </w:pPr>
            <w:r>
              <w:rPr>
                <w:rFonts w:ascii="Arial" w:cs="Arial" w:eastAsia="Arial" w:hAnsi="Arial"/>
                <w:sz w:val="14"/>
                <w:szCs w:val="14"/>
                <w:color w:val="auto"/>
              </w:rPr>
              <w:t>VA</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8,694</w:t>
            </w:r>
          </w:p>
        </w:tc>
        <w:tc>
          <w:tcPr>
            <w:tcW w:w="120" w:type="dxa"/>
            <w:vAlign w:val="bottom"/>
          </w:tcPr>
          <w:p>
            <w:pPr>
              <w:spacing w:after="0"/>
              <w:rPr>
                <w:sz w:val="15"/>
                <w:szCs w:val="15"/>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12,929</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7,016</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8,695</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19,944</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28,639</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11,987</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1979</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2/5/1993</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PENTAGON</w:t>
            </w:r>
          </w:p>
        </w:tc>
        <w:tc>
          <w:tcPr>
            <w:tcW w:w="6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1998 &amp;</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ROW (Virginia)</w:t>
            </w:r>
          </w:p>
        </w:tc>
        <w:tc>
          <w:tcPr>
            <w:tcW w:w="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VA</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51,640</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2,955</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86,744</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89,699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89,699</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33,883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1999 - 2002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11/22/10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00" w:type="dxa"/>
            <w:vAlign w:val="bottom"/>
          </w:tcPr>
          <w:p>
            <w:pPr>
              <w:ind w:left="40"/>
              <w:spacing w:after="0" w:line="151" w:lineRule="exact"/>
              <w:rPr>
                <w:sz w:val="20"/>
                <w:szCs w:val="20"/>
                <w:color w:val="auto"/>
              </w:rPr>
            </w:pPr>
            <w:r>
              <w:rPr>
                <w:rFonts w:ascii="Arial" w:cs="Arial" w:eastAsia="Arial" w:hAnsi="Arial"/>
                <w:sz w:val="14"/>
                <w:szCs w:val="14"/>
                <w:color w:val="auto"/>
              </w:rPr>
              <w:t>PERRING</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00" w:type="dxa"/>
            <w:vAlign w:val="bottom"/>
          </w:tcPr>
          <w:p>
            <w:pPr>
              <w:ind w:left="40"/>
              <w:spacing w:after="0" w:line="143" w:lineRule="exact"/>
              <w:rPr>
                <w:sz w:val="20"/>
                <w:szCs w:val="20"/>
                <w:color w:val="auto"/>
              </w:rPr>
            </w:pPr>
            <w:r>
              <w:rPr>
                <w:rFonts w:ascii="Arial" w:cs="Arial" w:eastAsia="Arial" w:hAnsi="Arial"/>
                <w:sz w:val="14"/>
                <w:szCs w:val="14"/>
                <w:color w:val="auto"/>
              </w:rPr>
              <w:t>PLAZA</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40"/>
              <w:spacing w:after="0"/>
              <w:rPr>
                <w:sz w:val="20"/>
                <w:szCs w:val="20"/>
                <w:color w:val="auto"/>
              </w:rPr>
            </w:pPr>
            <w:r>
              <w:rPr>
                <w:rFonts w:ascii="Arial" w:cs="Arial" w:eastAsia="Arial" w:hAnsi="Arial"/>
                <w:sz w:val="14"/>
                <w:szCs w:val="14"/>
                <w:color w:val="auto"/>
              </w:rPr>
              <w:t>(Maryland)</w:t>
            </w:r>
          </w:p>
        </w:tc>
        <w:tc>
          <w:tcPr>
            <w:tcW w:w="600" w:type="dxa"/>
            <w:vAlign w:val="bottom"/>
          </w:tcPr>
          <w:p>
            <w:pPr>
              <w:ind w:left="160"/>
              <w:spacing w:after="0"/>
              <w:rPr>
                <w:sz w:val="20"/>
                <w:szCs w:val="20"/>
                <w:color w:val="auto"/>
              </w:rPr>
            </w:pPr>
            <w:r>
              <w:rPr>
                <w:rFonts w:ascii="Arial" w:cs="Arial" w:eastAsia="Arial" w:hAnsi="Arial"/>
                <w:sz w:val="14"/>
                <w:szCs w:val="14"/>
                <w:color w:val="auto"/>
              </w:rPr>
              <w:t>MD</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2,800</w:t>
            </w:r>
          </w:p>
        </w:tc>
        <w:tc>
          <w:tcPr>
            <w:tcW w:w="120" w:type="dxa"/>
            <w:vAlign w:val="bottom"/>
          </w:tcPr>
          <w:p>
            <w:pPr>
              <w:spacing w:after="0"/>
              <w:rPr>
                <w:sz w:val="15"/>
                <w:szCs w:val="15"/>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6,461</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19,309</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25,770</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28,570</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18,998</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1963</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10/1/1985</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66"/>
        </w:trPr>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PIKE 7 (Virginia)</w:t>
            </w:r>
          </w:p>
        </w:tc>
        <w:tc>
          <w:tcPr>
            <w:tcW w:w="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VA</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9,709</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22,799</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3,266</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9,653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26,121</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35,774</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12,329</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3/31/1997</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00" w:type="dxa"/>
            <w:vAlign w:val="bottom"/>
          </w:tcPr>
          <w:p>
            <w:pPr>
              <w:ind w:left="40"/>
              <w:spacing w:after="0" w:line="151" w:lineRule="exact"/>
              <w:rPr>
                <w:sz w:val="20"/>
                <w:szCs w:val="20"/>
                <w:color w:val="auto"/>
              </w:rPr>
            </w:pPr>
            <w:r>
              <w:rPr>
                <w:rFonts w:ascii="Arial" w:cs="Arial" w:eastAsia="Arial" w:hAnsi="Arial"/>
                <w:sz w:val="14"/>
                <w:szCs w:val="14"/>
                <w:color w:val="auto"/>
              </w:rPr>
              <w:t>PLAZA EL</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00" w:type="dxa"/>
            <w:vAlign w:val="bottom"/>
          </w:tcPr>
          <w:p>
            <w:pPr>
              <w:ind w:left="40"/>
              <w:spacing w:after="0" w:line="143" w:lineRule="exact"/>
              <w:rPr>
                <w:sz w:val="20"/>
                <w:szCs w:val="20"/>
                <w:color w:val="auto"/>
              </w:rPr>
            </w:pPr>
            <w:r>
              <w:rPr>
                <w:rFonts w:ascii="Arial" w:cs="Arial" w:eastAsia="Arial" w:hAnsi="Arial"/>
                <w:sz w:val="14"/>
                <w:szCs w:val="14"/>
                <w:color w:val="auto"/>
              </w:rPr>
              <w:t>SEGUNDO</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00" w:type="dxa"/>
            <w:vAlign w:val="bottom"/>
          </w:tcPr>
          <w:p>
            <w:pPr>
              <w:ind w:left="160"/>
              <w:spacing w:after="0"/>
              <w:rPr>
                <w:sz w:val="20"/>
                <w:szCs w:val="20"/>
                <w:color w:val="auto"/>
              </w:rPr>
            </w:pPr>
            <w:r>
              <w:rPr>
                <w:rFonts w:ascii="Arial" w:cs="Arial" w:eastAsia="Arial" w:hAnsi="Arial"/>
                <w:sz w:val="14"/>
                <w:szCs w:val="14"/>
                <w:color w:val="auto"/>
              </w:rPr>
              <w:t>CA</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183,893</w:t>
            </w:r>
          </w:p>
        </w:tc>
        <w:tc>
          <w:tcPr>
            <w:tcW w:w="1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56,606</w:t>
            </w:r>
          </w:p>
        </w:tc>
        <w:tc>
          <w:tcPr>
            <w:tcW w:w="120" w:type="dxa"/>
            <w:vAlign w:val="bottom"/>
          </w:tcPr>
          <w:p>
            <w:pPr>
              <w:spacing w:after="0"/>
              <w:rPr>
                <w:sz w:val="15"/>
                <w:szCs w:val="15"/>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153,556</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3,457</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56,606</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157,013</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213,619</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6,063</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3"/>
              </w:rPr>
              <w:t>2006 &amp; 2007</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12/30/2011</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QUEEN ANNE</w:t>
            </w:r>
          </w:p>
        </w:tc>
        <w:tc>
          <w:tcPr>
            <w:tcW w:w="6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0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PLAZA</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3,319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8,457</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5,063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3,319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13,520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16,839</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7,603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12/23/1994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00" w:type="dxa"/>
            <w:vAlign w:val="bottom"/>
          </w:tcPr>
          <w:p>
            <w:pPr>
              <w:ind w:left="40"/>
              <w:spacing w:after="0" w:line="151" w:lineRule="exact"/>
              <w:rPr>
                <w:sz w:val="20"/>
                <w:szCs w:val="20"/>
                <w:color w:val="auto"/>
              </w:rPr>
            </w:pPr>
            <w:r>
              <w:rPr>
                <w:rFonts w:ascii="Arial" w:cs="Arial" w:eastAsia="Arial" w:hAnsi="Arial"/>
                <w:sz w:val="14"/>
                <w:szCs w:val="14"/>
                <w:color w:val="auto"/>
              </w:rPr>
              <w:t>QUINCE</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00" w:type="dxa"/>
            <w:vAlign w:val="bottom"/>
          </w:tcPr>
          <w:p>
            <w:pPr>
              <w:ind w:left="40"/>
              <w:spacing w:after="0" w:line="143" w:lineRule="exact"/>
              <w:rPr>
                <w:sz w:val="20"/>
                <w:szCs w:val="20"/>
                <w:color w:val="auto"/>
              </w:rPr>
            </w:pPr>
            <w:r>
              <w:rPr>
                <w:rFonts w:ascii="Arial" w:cs="Arial" w:eastAsia="Arial" w:hAnsi="Arial"/>
                <w:sz w:val="14"/>
                <w:szCs w:val="14"/>
                <w:color w:val="auto"/>
              </w:rPr>
              <w:t>ORCHARD</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00" w:type="dxa"/>
            <w:vAlign w:val="bottom"/>
          </w:tcPr>
          <w:p>
            <w:pPr>
              <w:ind w:left="40"/>
              <w:spacing w:after="0" w:line="143" w:lineRule="exact"/>
              <w:rPr>
                <w:sz w:val="20"/>
                <w:szCs w:val="20"/>
                <w:color w:val="auto"/>
              </w:rPr>
            </w:pPr>
            <w:r>
              <w:rPr>
                <w:rFonts w:ascii="Arial" w:cs="Arial" w:eastAsia="Arial" w:hAnsi="Arial"/>
                <w:sz w:val="14"/>
                <w:szCs w:val="14"/>
                <w:color w:val="auto"/>
              </w:rPr>
              <w:t>PLAZA</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40"/>
              <w:spacing w:after="0"/>
              <w:rPr>
                <w:sz w:val="20"/>
                <w:szCs w:val="20"/>
                <w:color w:val="auto"/>
              </w:rPr>
            </w:pPr>
            <w:r>
              <w:rPr>
                <w:rFonts w:ascii="Arial" w:cs="Arial" w:eastAsia="Arial" w:hAnsi="Arial"/>
                <w:sz w:val="14"/>
                <w:szCs w:val="14"/>
                <w:color w:val="auto"/>
              </w:rPr>
              <w:t>(Maryland)</w:t>
            </w:r>
          </w:p>
        </w:tc>
        <w:tc>
          <w:tcPr>
            <w:tcW w:w="600" w:type="dxa"/>
            <w:vAlign w:val="bottom"/>
          </w:tcPr>
          <w:p>
            <w:pPr>
              <w:ind w:left="160"/>
              <w:spacing w:after="0"/>
              <w:rPr>
                <w:sz w:val="20"/>
                <w:szCs w:val="20"/>
                <w:color w:val="auto"/>
              </w:rPr>
            </w:pPr>
            <w:r>
              <w:rPr>
                <w:rFonts w:ascii="Arial" w:cs="Arial" w:eastAsia="Arial" w:hAnsi="Arial"/>
                <w:sz w:val="14"/>
                <w:szCs w:val="14"/>
                <w:color w:val="auto"/>
              </w:rPr>
              <w:t>MD</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3,197</w:t>
            </w:r>
          </w:p>
        </w:tc>
        <w:tc>
          <w:tcPr>
            <w:tcW w:w="120" w:type="dxa"/>
            <w:vAlign w:val="bottom"/>
          </w:tcPr>
          <w:p>
            <w:pPr>
              <w:spacing w:after="0"/>
              <w:rPr>
                <w:sz w:val="15"/>
                <w:szCs w:val="15"/>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7,949</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15,541</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2,928</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23,759</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26,687</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12,714</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1975</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4/22/1993</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ROCKVILLE</w:t>
            </w:r>
          </w:p>
        </w:tc>
        <w:tc>
          <w:tcPr>
            <w:tcW w:w="6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0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TOWN SQUARE</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MD</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4,538</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8,092</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42,232</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50,324</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50,324</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7,999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2005 - 2007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2006 - 2007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51"/>
        </w:trPr>
        <w:tc>
          <w:tcPr>
            <w:tcW w:w="1100" w:type="dxa"/>
            <w:vAlign w:val="bottom"/>
          </w:tcPr>
          <w:p>
            <w:pPr>
              <w:ind w:left="40"/>
              <w:spacing w:after="0" w:line="151" w:lineRule="exact"/>
              <w:rPr>
                <w:sz w:val="20"/>
                <w:szCs w:val="20"/>
                <w:color w:val="auto"/>
              </w:rPr>
            </w:pPr>
            <w:r>
              <w:rPr>
                <w:rFonts w:ascii="Arial" w:cs="Arial" w:eastAsia="Arial" w:hAnsi="Arial"/>
                <w:sz w:val="14"/>
                <w:szCs w:val="14"/>
                <w:color w:val="auto"/>
                <w:w w:val="97"/>
              </w:rPr>
              <w:t>ROLLINGWOOD</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40"/>
              <w:spacing w:after="0"/>
              <w:rPr>
                <w:sz w:val="20"/>
                <w:szCs w:val="20"/>
                <w:color w:val="auto"/>
              </w:rPr>
            </w:pPr>
            <w:r>
              <w:rPr>
                <w:rFonts w:ascii="Arial" w:cs="Arial" w:eastAsia="Arial" w:hAnsi="Arial"/>
                <w:sz w:val="14"/>
                <w:szCs w:val="14"/>
                <w:color w:val="auto"/>
                <w:w w:val="93"/>
              </w:rPr>
              <w:t>APTS. (Maryland)</w:t>
            </w:r>
          </w:p>
        </w:tc>
        <w:tc>
          <w:tcPr>
            <w:tcW w:w="600" w:type="dxa"/>
            <w:vAlign w:val="bottom"/>
          </w:tcPr>
          <w:p>
            <w:pPr>
              <w:ind w:left="160"/>
              <w:spacing w:after="0"/>
              <w:rPr>
                <w:sz w:val="20"/>
                <w:szCs w:val="20"/>
                <w:color w:val="auto"/>
              </w:rPr>
            </w:pPr>
            <w:r>
              <w:rPr>
                <w:rFonts w:ascii="Arial" w:cs="Arial" w:eastAsia="Arial" w:hAnsi="Arial"/>
                <w:sz w:val="14"/>
                <w:szCs w:val="14"/>
                <w:color w:val="auto"/>
              </w:rPr>
              <w:t>MD</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22,890</w:t>
            </w:r>
          </w:p>
        </w:tc>
        <w:tc>
          <w:tcPr>
            <w:tcW w:w="1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15"/>
                <w:szCs w:val="15"/>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2,246</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6,362</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8,588</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9,160</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7,251</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1960</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1/15/1971</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SAM'S PARK &amp;</w:t>
            </w:r>
          </w:p>
        </w:tc>
        <w:tc>
          <w:tcPr>
            <w:tcW w:w="6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0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7"/>
              </w:rPr>
              <w:t>SHOP (District of</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Columbia)</w:t>
            </w:r>
          </w:p>
        </w:tc>
        <w:tc>
          <w:tcPr>
            <w:tcW w:w="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DC</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4,840</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6,319</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1,701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4,840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8,020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12,860</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4,032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12/1/1995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00" w:type="dxa"/>
            <w:vAlign w:val="bottom"/>
          </w:tcPr>
          <w:p>
            <w:pPr>
              <w:ind w:left="40"/>
              <w:spacing w:after="0" w:line="151" w:lineRule="exact"/>
              <w:rPr>
                <w:sz w:val="20"/>
                <w:szCs w:val="20"/>
                <w:color w:val="auto"/>
              </w:rPr>
            </w:pPr>
            <w:r>
              <w:rPr>
                <w:rFonts w:ascii="Arial" w:cs="Arial" w:eastAsia="Arial" w:hAnsi="Arial"/>
                <w:sz w:val="14"/>
                <w:szCs w:val="14"/>
                <w:color w:val="auto"/>
                <w:w w:val="99"/>
              </w:rPr>
              <w:t>SANTANA ROW</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w w:val="94"/>
              </w:rPr>
              <w:t>1999 - 2009,</w:t>
            </w:r>
          </w:p>
        </w:tc>
        <w:tc>
          <w:tcPr>
            <w:tcW w:w="12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3/5/1997 &amp;</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00" w:type="dxa"/>
            <w:vAlign w:val="bottom"/>
          </w:tcPr>
          <w:p>
            <w:pPr>
              <w:ind w:left="160"/>
              <w:spacing w:after="0"/>
              <w:rPr>
                <w:sz w:val="20"/>
                <w:szCs w:val="20"/>
                <w:color w:val="auto"/>
              </w:rPr>
            </w:pPr>
            <w:r>
              <w:rPr>
                <w:rFonts w:ascii="Arial" w:cs="Arial" w:eastAsia="Arial" w:hAnsi="Arial"/>
                <w:sz w:val="14"/>
                <w:szCs w:val="14"/>
                <w:color w:val="auto"/>
              </w:rPr>
              <w:t>CA</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44,562</w:t>
            </w:r>
          </w:p>
        </w:tc>
        <w:tc>
          <w:tcPr>
            <w:tcW w:w="120" w:type="dxa"/>
            <w:vAlign w:val="bottom"/>
          </w:tcPr>
          <w:p>
            <w:pPr>
              <w:spacing w:after="0"/>
              <w:rPr>
                <w:sz w:val="15"/>
                <w:szCs w:val="15"/>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7,502</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567,816</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52,318</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567,562</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619,880</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109,434</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w w:val="90"/>
              </w:rPr>
              <w:t>40 - 50 years</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SAUGUS</w:t>
            </w:r>
          </w:p>
        </w:tc>
        <w:tc>
          <w:tcPr>
            <w:tcW w:w="6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4,383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8,291</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1,970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4,383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10,261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14,644</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4,638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10/1/1996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100" w:type="dxa"/>
            <w:vAlign w:val="bottom"/>
          </w:tcPr>
          <w:p>
            <w:pPr>
              <w:ind w:left="40"/>
              <w:spacing w:after="0" w:line="151" w:lineRule="exact"/>
              <w:rPr>
                <w:sz w:val="20"/>
                <w:szCs w:val="20"/>
                <w:color w:val="auto"/>
              </w:rPr>
            </w:pPr>
            <w:r>
              <w:rPr>
                <w:rFonts w:ascii="Arial" w:cs="Arial" w:eastAsia="Arial" w:hAnsi="Arial"/>
                <w:sz w:val="14"/>
                <w:szCs w:val="14"/>
                <w:color w:val="auto"/>
              </w:rPr>
              <w:t>SHIRLINGTON</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w w:val="98"/>
              </w:rPr>
              <w:t>1940, 2006-</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40"/>
              <w:spacing w:after="0"/>
              <w:rPr>
                <w:sz w:val="20"/>
                <w:szCs w:val="20"/>
                <w:color w:val="auto"/>
              </w:rPr>
            </w:pPr>
            <w:r>
              <w:rPr>
                <w:rFonts w:ascii="Arial" w:cs="Arial" w:eastAsia="Arial" w:hAnsi="Arial"/>
                <w:sz w:val="14"/>
                <w:szCs w:val="14"/>
                <w:color w:val="auto"/>
              </w:rPr>
              <w:t>(Virginia)</w:t>
            </w:r>
          </w:p>
        </w:tc>
        <w:tc>
          <w:tcPr>
            <w:tcW w:w="600" w:type="dxa"/>
            <w:vAlign w:val="bottom"/>
          </w:tcPr>
          <w:p>
            <w:pPr>
              <w:ind w:left="160"/>
              <w:spacing w:after="0"/>
              <w:rPr>
                <w:sz w:val="20"/>
                <w:szCs w:val="20"/>
                <w:color w:val="auto"/>
              </w:rPr>
            </w:pPr>
            <w:r>
              <w:rPr>
                <w:rFonts w:ascii="Arial" w:cs="Arial" w:eastAsia="Arial" w:hAnsi="Arial"/>
                <w:sz w:val="14"/>
                <w:szCs w:val="14"/>
                <w:color w:val="auto"/>
              </w:rPr>
              <w:t>VA</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6,404</w:t>
            </w:r>
          </w:p>
        </w:tc>
        <w:tc>
          <w:tcPr>
            <w:tcW w:w="1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9,761</w:t>
            </w:r>
          </w:p>
        </w:tc>
        <w:tc>
          <w:tcPr>
            <w:tcW w:w="120" w:type="dxa"/>
            <w:vAlign w:val="bottom"/>
          </w:tcPr>
          <w:p>
            <w:pPr>
              <w:spacing w:after="0"/>
              <w:rPr>
                <w:sz w:val="15"/>
                <w:szCs w:val="15"/>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14,808</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34,475</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5,798</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53,246</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59,044</w:t>
            </w:r>
          </w:p>
        </w:tc>
        <w:tc>
          <w:tcPr>
            <w:tcW w:w="880" w:type="dxa"/>
            <w:vAlign w:val="bottom"/>
            <w:gridSpan w:val="2"/>
          </w:tcPr>
          <w:p>
            <w:pPr>
              <w:jc w:val="right"/>
              <w:ind w:right="59"/>
              <w:spacing w:after="0"/>
              <w:rPr>
                <w:sz w:val="20"/>
                <w:szCs w:val="20"/>
                <w:color w:val="auto"/>
              </w:rPr>
            </w:pPr>
            <w:r>
              <w:rPr>
                <w:rFonts w:ascii="Arial" w:cs="Arial" w:eastAsia="Arial" w:hAnsi="Arial"/>
                <w:sz w:val="14"/>
                <w:szCs w:val="14"/>
                <w:color w:val="auto"/>
              </w:rPr>
              <w:t>16,919</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12/21/1995</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THE SHOPPES</w:t>
            </w:r>
          </w:p>
        </w:tc>
        <w:tc>
          <w:tcPr>
            <w:tcW w:w="6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0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AT</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0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NOTTINGHAM</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0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SQUARE</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MD</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4,441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12,849</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4,441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12,886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17,327</w:t>
            </w:r>
          </w:p>
        </w:tc>
        <w:tc>
          <w:tcPr>
            <w:tcW w:w="8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2,617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2005 - 2006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 DEPRECIATION</w:t>
      </w:r>
    </w:p>
    <w:p>
      <w:pPr>
        <w:spacing w:after="0" w:line="13"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DECEMBER 31, 2012</w:t>
      </w:r>
    </w:p>
    <w:p>
      <w:pPr>
        <w:spacing w:after="0" w:line="13"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(Dollars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COLUMN A</w:t>
            </w:r>
          </w:p>
        </w:tc>
        <w:tc>
          <w:tcPr>
            <w:tcW w:w="60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COLUMN B</w:t>
            </w: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COLUMN C</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COLUMN D</w:t>
            </w:r>
          </w:p>
        </w:tc>
        <w:tc>
          <w:tcPr>
            <w:tcW w:w="10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COLUMN E</w:t>
            </w: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2"/>
                <w:szCs w:val="12"/>
                <w:b w:val="1"/>
                <w:bCs w:val="1"/>
                <w:color w:val="auto"/>
              </w:rPr>
              <w:t>COLUMN F</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COLUMN G</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COLUMN H</w:t>
            </w:r>
          </w:p>
        </w:tc>
        <w:tc>
          <w:tcPr>
            <w:tcW w:w="12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COLUMN I</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vMerge w:val="restart"/>
          </w:tcPr>
          <w:p>
            <w:pPr>
              <w:jc w:val="center"/>
              <w:ind w:right="80"/>
              <w:spacing w:after="0"/>
              <w:rPr>
                <w:sz w:val="20"/>
                <w:szCs w:val="20"/>
                <w:color w:val="auto"/>
              </w:rPr>
            </w:pPr>
            <w:r>
              <w:rPr>
                <w:rFonts w:ascii="Arial" w:cs="Arial" w:eastAsia="Arial" w:hAnsi="Arial"/>
                <w:sz w:val="12"/>
                <w:szCs w:val="12"/>
                <w:b w:val="1"/>
                <w:bCs w:val="1"/>
                <w:color w:val="auto"/>
                <w:w w:val="91"/>
              </w:rPr>
              <w:t>Gross amount at which carried at</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w w:val="96"/>
              </w:rPr>
              <w:t>Life on which</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82"/>
              </w:rPr>
              <w:t>Cost</w:t>
            </w:r>
          </w:p>
        </w:tc>
        <w:tc>
          <w:tcPr>
            <w:tcW w:w="2620" w:type="dxa"/>
            <w:vAlign w:val="bottom"/>
            <w:gridSpan w:val="6"/>
            <w:vMerge w:val="continue"/>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depreciation</w:t>
            </w:r>
          </w:p>
        </w:tc>
        <w:tc>
          <w:tcPr>
            <w:tcW w:w="0" w:type="dxa"/>
            <w:vAlign w:val="bottom"/>
          </w:tcPr>
          <w:p>
            <w:pPr>
              <w:spacing w:after="0"/>
              <w:rPr>
                <w:sz w:val="1"/>
                <w:szCs w:val="1"/>
                <w:color w:val="auto"/>
              </w:rPr>
            </w:pPr>
          </w:p>
        </w:tc>
      </w:tr>
      <w:tr>
        <w:trPr>
          <w:trHeight w:val="143"/>
        </w:trPr>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ind w:left="260"/>
              <w:spacing w:after="0"/>
              <w:rPr>
                <w:sz w:val="20"/>
                <w:szCs w:val="20"/>
                <w:color w:val="auto"/>
              </w:rPr>
            </w:pPr>
            <w:r>
              <w:rPr>
                <w:rFonts w:ascii="Arial" w:cs="Arial" w:eastAsia="Arial" w:hAnsi="Arial"/>
                <w:sz w:val="12"/>
                <w:szCs w:val="12"/>
                <w:b w:val="1"/>
                <w:bCs w:val="1"/>
                <w:color w:val="auto"/>
              </w:rPr>
              <w:t>Initial cost to company</w:t>
            </w:r>
          </w:p>
        </w:tc>
        <w:tc>
          <w:tcPr>
            <w:tcW w:w="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Capitalized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6"/>
              </w:rPr>
              <w:t>close of period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20"/>
              <w:spacing w:after="0" w:line="105" w:lineRule="exact"/>
              <w:rPr>
                <w:sz w:val="20"/>
                <w:szCs w:val="20"/>
                <w:color w:val="auto"/>
              </w:rPr>
            </w:pPr>
            <w:r>
              <w:rPr>
                <w:rFonts w:ascii="Arial" w:cs="Arial" w:eastAsia="Arial" w:hAnsi="Arial"/>
                <w:sz w:val="12"/>
                <w:szCs w:val="12"/>
                <w:b w:val="1"/>
                <w:bCs w:val="1"/>
                <w:color w:val="auto"/>
                <w:w w:val="87"/>
              </w:rPr>
              <w:t>Subsequent</w:t>
            </w: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0"/>
              </w:rPr>
              <w:t>Depreciation</w:t>
            </w:r>
          </w:p>
        </w:tc>
        <w:tc>
          <w:tcPr>
            <w:tcW w:w="100" w:type="dxa"/>
            <w:vAlign w:val="bottom"/>
          </w:tcPr>
          <w:p>
            <w:pPr>
              <w:spacing w:after="0"/>
              <w:rPr>
                <w:sz w:val="9"/>
                <w:szCs w:val="9"/>
                <w:color w:val="auto"/>
              </w:rPr>
            </w:pPr>
          </w:p>
        </w:tc>
        <w:tc>
          <w:tcPr>
            <w:tcW w:w="900" w:type="dxa"/>
            <w:vAlign w:val="bottom"/>
            <w:gridSpan w:val="2"/>
          </w:tcPr>
          <w:p>
            <w:pPr>
              <w:jc w:val="center"/>
              <w:ind w:right="100"/>
              <w:spacing w:after="0" w:line="105" w:lineRule="exact"/>
              <w:rPr>
                <w:sz w:val="20"/>
                <w:szCs w:val="20"/>
                <w:color w:val="auto"/>
              </w:rPr>
            </w:pPr>
            <w:r>
              <w:rPr>
                <w:rFonts w:ascii="Arial" w:cs="Arial" w:eastAsia="Arial" w:hAnsi="Arial"/>
                <w:sz w:val="12"/>
                <w:szCs w:val="12"/>
                <w:b w:val="1"/>
                <w:bCs w:val="1"/>
                <w:color w:val="auto"/>
                <w:w w:val="92"/>
              </w:rPr>
              <w:t>Date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30"/>
        </w:trPr>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0"/>
              </w:rPr>
              <w:t>Building and</w:t>
            </w:r>
          </w:p>
        </w:tc>
        <w:tc>
          <w:tcPr>
            <w:tcW w:w="8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7"/>
              </w:rPr>
              <w:t>to</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3"/>
              </w:rPr>
              <w:t>Building and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4"/>
              </w:rPr>
              <w:t>and</w:t>
            </w: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87"/>
              </w:rPr>
              <w:t>of</w:t>
            </w:r>
          </w:p>
        </w:tc>
        <w:tc>
          <w:tcPr>
            <w:tcW w:w="90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5"/>
              </w:rPr>
              <w:t>statements is</w:t>
            </w:r>
          </w:p>
        </w:tc>
        <w:tc>
          <w:tcPr>
            <w:tcW w:w="0" w:type="dxa"/>
            <w:vAlign w:val="bottom"/>
          </w:tcPr>
          <w:p>
            <w:pPr>
              <w:spacing w:after="0"/>
              <w:rPr>
                <w:sz w:val="1"/>
                <w:szCs w:val="1"/>
                <w:color w:val="auto"/>
              </w:rPr>
            </w:pPr>
          </w:p>
        </w:tc>
      </w:tr>
      <w:tr>
        <w:trPr>
          <w:trHeight w:val="167"/>
        </w:trPr>
        <w:tc>
          <w:tcPr>
            <w:tcW w:w="1220" w:type="dxa"/>
            <w:vAlign w:val="bottom"/>
          </w:tcPr>
          <w:p>
            <w:pPr>
              <w:ind w:left="40"/>
              <w:spacing w:after="0"/>
              <w:rPr>
                <w:sz w:val="20"/>
                <w:szCs w:val="20"/>
                <w:color w:val="auto"/>
              </w:rPr>
            </w:pPr>
            <w:r>
              <w:rPr>
                <w:rFonts w:ascii="Arial" w:cs="Arial" w:eastAsia="Arial" w:hAnsi="Arial"/>
                <w:sz w:val="12"/>
                <w:szCs w:val="12"/>
                <w:b w:val="1"/>
                <w:bCs w:val="1"/>
                <w:color w:val="auto"/>
              </w:rPr>
              <w:t>Descriptions</w:t>
            </w:r>
          </w:p>
        </w:tc>
        <w:tc>
          <w:tcPr>
            <w:tcW w:w="6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Encumbrance</w:t>
            </w:r>
          </w:p>
        </w:tc>
        <w:tc>
          <w:tcPr>
            <w:tcW w:w="880" w:type="dxa"/>
            <w:vAlign w:val="bottom"/>
            <w:gridSpan w:val="2"/>
          </w:tcPr>
          <w:p>
            <w:pPr>
              <w:ind w:left="260"/>
              <w:spacing w:after="0"/>
              <w:rPr>
                <w:sz w:val="20"/>
                <w:szCs w:val="20"/>
                <w:color w:val="auto"/>
              </w:rPr>
            </w:pPr>
            <w:r>
              <w:rPr>
                <w:rFonts w:ascii="Arial" w:cs="Arial" w:eastAsia="Arial" w:hAnsi="Arial"/>
                <w:sz w:val="12"/>
                <w:szCs w:val="12"/>
                <w:b w:val="1"/>
                <w:bCs w:val="1"/>
                <w:color w:val="auto"/>
              </w:rPr>
              <w:t>Land</w:t>
            </w: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Improvements</w:t>
            </w:r>
          </w:p>
        </w:tc>
        <w:tc>
          <w:tcPr>
            <w:tcW w:w="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Acquisition</w:t>
            </w:r>
          </w:p>
        </w:tc>
        <w:tc>
          <w:tcPr>
            <w:tcW w:w="860" w:type="dxa"/>
            <w:vAlign w:val="bottom"/>
            <w:gridSpan w:val="2"/>
          </w:tcPr>
          <w:p>
            <w:pPr>
              <w:ind w:left="240"/>
              <w:spacing w:after="0"/>
              <w:rPr>
                <w:sz w:val="20"/>
                <w:szCs w:val="20"/>
                <w:color w:val="auto"/>
              </w:rPr>
            </w:pPr>
            <w:r>
              <w:rPr>
                <w:rFonts w:ascii="Arial" w:cs="Arial" w:eastAsia="Arial" w:hAnsi="Arial"/>
                <w:sz w:val="12"/>
                <w:szCs w:val="12"/>
                <w:b w:val="1"/>
                <w:bCs w:val="1"/>
                <w:color w:val="auto"/>
              </w:rPr>
              <w:t>Land</w:t>
            </w:r>
          </w:p>
        </w:tc>
        <w:tc>
          <w:tcPr>
            <w:tcW w:w="9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Improvements</w:t>
            </w:r>
          </w:p>
        </w:tc>
        <w:tc>
          <w:tcPr>
            <w:tcW w:w="860" w:type="dxa"/>
            <w:vAlign w:val="bottom"/>
            <w:gridSpan w:val="2"/>
          </w:tcPr>
          <w:p>
            <w:pPr>
              <w:ind w:left="240"/>
              <w:spacing w:after="0"/>
              <w:rPr>
                <w:sz w:val="20"/>
                <w:szCs w:val="20"/>
                <w:color w:val="auto"/>
              </w:rPr>
            </w:pPr>
            <w:r>
              <w:rPr>
                <w:rFonts w:ascii="Arial" w:cs="Arial" w:eastAsia="Arial" w:hAnsi="Arial"/>
                <w:sz w:val="12"/>
                <w:szCs w:val="12"/>
                <w:b w:val="1"/>
                <w:bCs w:val="1"/>
                <w:color w:val="auto"/>
              </w:rPr>
              <w:t>Total</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5"/>
              </w:rPr>
              <w:t>Amortization</w:t>
            </w: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Acquired</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7"/>
              </w:rPr>
              <w:t>computed</w:t>
            </w:r>
          </w:p>
        </w:tc>
        <w:tc>
          <w:tcPr>
            <w:tcW w:w="0" w:type="dxa"/>
            <w:vAlign w:val="bottom"/>
          </w:tcPr>
          <w:p>
            <w:pPr>
              <w:spacing w:after="0"/>
              <w:rPr>
                <w:sz w:val="1"/>
                <w:szCs w:val="1"/>
                <w:color w:val="auto"/>
              </w:rPr>
            </w:pPr>
          </w:p>
        </w:tc>
      </w:tr>
      <w:tr>
        <w:trPr>
          <w:trHeight w:val="151"/>
        </w:trPr>
        <w:tc>
          <w:tcPr>
            <w:tcW w:w="1220" w:type="dxa"/>
            <w:vAlign w:val="bottom"/>
            <w:tcBorders>
              <w:top w:val="single" w:sz="8" w:color="auto"/>
            </w:tcBorders>
          </w:tcPr>
          <w:p>
            <w:pPr>
              <w:ind w:left="40"/>
              <w:spacing w:after="0" w:line="151" w:lineRule="exact"/>
              <w:rPr>
                <w:sz w:val="20"/>
                <w:szCs w:val="20"/>
                <w:color w:val="auto"/>
              </w:rPr>
            </w:pPr>
            <w:r>
              <w:rPr>
                <w:rFonts w:ascii="Arial" w:cs="Arial" w:eastAsia="Arial" w:hAnsi="Arial"/>
                <w:sz w:val="14"/>
                <w:szCs w:val="14"/>
                <w:color w:val="auto"/>
              </w:rPr>
              <w:t>THIRD STREET</w:t>
            </w:r>
          </w:p>
        </w:tc>
        <w:tc>
          <w:tcPr>
            <w:tcW w:w="6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20" w:type="dxa"/>
            <w:vAlign w:val="bottom"/>
          </w:tcPr>
          <w:p>
            <w:pPr>
              <w:ind w:left="40"/>
              <w:spacing w:after="0" w:line="143" w:lineRule="exact"/>
              <w:rPr>
                <w:sz w:val="20"/>
                <w:szCs w:val="20"/>
                <w:color w:val="auto"/>
              </w:rPr>
            </w:pPr>
            <w:r>
              <w:rPr>
                <w:rFonts w:ascii="Arial" w:cs="Arial" w:eastAsia="Arial" w:hAnsi="Arial"/>
                <w:sz w:val="14"/>
                <w:szCs w:val="14"/>
                <w:color w:val="auto"/>
              </w:rPr>
              <w:t>PROMENADE</w:t>
            </w: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600" w:type="dxa"/>
            <w:vAlign w:val="bottom"/>
          </w:tcPr>
          <w:p>
            <w:pPr>
              <w:ind w:left="140"/>
              <w:spacing w:after="0"/>
              <w:rPr>
                <w:sz w:val="20"/>
                <w:szCs w:val="20"/>
                <w:color w:val="auto"/>
              </w:rPr>
            </w:pPr>
            <w:r>
              <w:rPr>
                <w:rFonts w:ascii="Arial" w:cs="Arial" w:eastAsia="Arial" w:hAnsi="Arial"/>
                <w:sz w:val="14"/>
                <w:szCs w:val="14"/>
                <w:color w:val="auto"/>
              </w:rPr>
              <w:t>CA</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22,645</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12,709</w:t>
            </w:r>
          </w:p>
        </w:tc>
        <w:tc>
          <w:tcPr>
            <w:tcW w:w="10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42,891</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25,125</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53,120</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78,245</w:t>
            </w:r>
          </w:p>
        </w:tc>
        <w:tc>
          <w:tcPr>
            <w:tcW w:w="10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25,333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1888-2000</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1996-2000</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66"/>
        </w:trPr>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TOWER (Virginia)</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7,170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10,518</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3,458</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7,280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13,866</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21,146</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6,289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1953-1960</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8/24/1998</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220" w:type="dxa"/>
            <w:vAlign w:val="bottom"/>
          </w:tcPr>
          <w:p>
            <w:pPr>
              <w:ind w:left="40"/>
              <w:spacing w:after="0" w:line="151" w:lineRule="exact"/>
              <w:rPr>
                <w:sz w:val="20"/>
                <w:szCs w:val="20"/>
                <w:color w:val="auto"/>
              </w:rPr>
            </w:pPr>
            <w:r>
              <w:rPr>
                <w:rFonts w:ascii="Arial" w:cs="Arial" w:eastAsia="Arial" w:hAnsi="Arial"/>
                <w:sz w:val="14"/>
                <w:szCs w:val="14"/>
                <w:color w:val="auto"/>
              </w:rPr>
              <w:t>TOWER SHOPS</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40"/>
              <w:spacing w:after="0"/>
              <w:rPr>
                <w:sz w:val="20"/>
                <w:szCs w:val="20"/>
                <w:color w:val="auto"/>
              </w:rPr>
            </w:pPr>
            <w:r>
              <w:rPr>
                <w:rFonts w:ascii="Arial" w:cs="Arial" w:eastAsia="Arial" w:hAnsi="Arial"/>
                <w:sz w:val="14"/>
                <w:szCs w:val="14"/>
                <w:color w:val="auto"/>
              </w:rPr>
              <w:t>(Florida)</w:t>
            </w:r>
          </w:p>
        </w:tc>
        <w:tc>
          <w:tcPr>
            <w:tcW w:w="600" w:type="dxa"/>
            <w:vAlign w:val="bottom"/>
          </w:tcPr>
          <w:p>
            <w:pPr>
              <w:ind w:left="140"/>
              <w:spacing w:after="0"/>
              <w:rPr>
                <w:sz w:val="20"/>
                <w:szCs w:val="20"/>
                <w:color w:val="auto"/>
              </w:rPr>
            </w:pPr>
            <w:r>
              <w:rPr>
                <w:rFonts w:ascii="Arial" w:cs="Arial" w:eastAsia="Arial" w:hAnsi="Arial"/>
                <w:sz w:val="14"/>
                <w:szCs w:val="14"/>
                <w:color w:val="auto"/>
              </w:rPr>
              <w:t>FL</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28,823</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36,313</w:t>
            </w:r>
          </w:p>
        </w:tc>
        <w:tc>
          <w:tcPr>
            <w:tcW w:w="10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10,797</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28,845</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47,088</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75,933</w:t>
            </w:r>
          </w:p>
        </w:tc>
        <w:tc>
          <w:tcPr>
            <w:tcW w:w="10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3,873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1989</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1/19/2011</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66"/>
        </w:trPr>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TROY (New Jersey)</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NJ</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3,126</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5,193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20,478</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4,028</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24,769</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28,797</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17,278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7/23/1980</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1"/>
        </w:trPr>
        <w:tc>
          <w:tcPr>
            <w:tcW w:w="1220" w:type="dxa"/>
            <w:vAlign w:val="bottom"/>
          </w:tcPr>
          <w:p>
            <w:pPr>
              <w:ind w:left="40"/>
              <w:spacing w:after="0" w:line="151" w:lineRule="exact"/>
              <w:rPr>
                <w:sz w:val="20"/>
                <w:szCs w:val="20"/>
                <w:color w:val="auto"/>
              </w:rPr>
            </w:pPr>
            <w:r>
              <w:rPr>
                <w:rFonts w:ascii="Arial" w:cs="Arial" w:eastAsia="Arial" w:hAnsi="Arial"/>
                <w:sz w:val="14"/>
                <w:szCs w:val="14"/>
                <w:color w:val="auto"/>
                <w:w w:val="92"/>
              </w:rPr>
              <w:t>TYSON'S STATION</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40"/>
              <w:spacing w:after="0"/>
              <w:rPr>
                <w:sz w:val="20"/>
                <w:szCs w:val="20"/>
                <w:color w:val="auto"/>
              </w:rPr>
            </w:pPr>
            <w:r>
              <w:rPr>
                <w:rFonts w:ascii="Arial" w:cs="Arial" w:eastAsia="Arial" w:hAnsi="Arial"/>
                <w:sz w:val="14"/>
                <w:szCs w:val="14"/>
                <w:color w:val="auto"/>
              </w:rPr>
              <w:t>(Virginia)</w:t>
            </w:r>
          </w:p>
        </w:tc>
        <w:tc>
          <w:tcPr>
            <w:tcW w:w="600" w:type="dxa"/>
            <w:vAlign w:val="bottom"/>
          </w:tcPr>
          <w:p>
            <w:pPr>
              <w:ind w:left="140"/>
              <w:spacing w:after="0"/>
              <w:rPr>
                <w:sz w:val="20"/>
                <w:szCs w:val="20"/>
                <w:color w:val="auto"/>
              </w:rPr>
            </w:pPr>
            <w:r>
              <w:rPr>
                <w:rFonts w:ascii="Arial" w:cs="Arial" w:eastAsia="Arial" w:hAnsi="Arial"/>
                <w:sz w:val="14"/>
                <w:szCs w:val="14"/>
                <w:color w:val="auto"/>
              </w:rPr>
              <w:t>VA</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3,240</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3,606</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4,081</w:t>
            </w:r>
          </w:p>
        </w:tc>
        <w:tc>
          <w:tcPr>
            <w:tcW w:w="10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3,040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1954</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1/17/1978</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17 years</w:t>
            </w: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7"/>
              </w:rPr>
              <w:t>WESTGATE MALL</w:t>
            </w:r>
          </w:p>
        </w:tc>
        <w:tc>
          <w:tcPr>
            <w:tcW w:w="6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6,319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107,284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10,688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6,319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117,972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124,291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24,862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1960-1966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3/31/2004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220" w:type="dxa"/>
            <w:vAlign w:val="bottom"/>
          </w:tcPr>
          <w:p>
            <w:pPr>
              <w:ind w:left="40"/>
              <w:spacing w:after="0" w:line="151" w:lineRule="exact"/>
              <w:rPr>
                <w:sz w:val="20"/>
                <w:szCs w:val="20"/>
                <w:color w:val="auto"/>
              </w:rPr>
            </w:pPr>
            <w:r>
              <w:rPr>
                <w:rFonts w:ascii="Arial" w:cs="Arial" w:eastAsia="Arial" w:hAnsi="Arial"/>
                <w:sz w:val="14"/>
                <w:szCs w:val="14"/>
                <w:color w:val="auto"/>
              </w:rPr>
              <w:t>WHITE MARSH</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40"/>
              <w:spacing w:after="0"/>
              <w:rPr>
                <w:sz w:val="20"/>
                <w:szCs w:val="20"/>
                <w:color w:val="auto"/>
              </w:rPr>
            </w:pPr>
            <w:r>
              <w:rPr>
                <w:rFonts w:ascii="Arial" w:cs="Arial" w:eastAsia="Arial" w:hAnsi="Arial"/>
                <w:sz w:val="14"/>
                <w:szCs w:val="14"/>
                <w:color w:val="auto"/>
              </w:rPr>
              <w:t>PLAZA (Maryland)</w:t>
            </w:r>
          </w:p>
        </w:tc>
        <w:tc>
          <w:tcPr>
            <w:tcW w:w="60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8,970</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3,478</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21,413</w:t>
            </w:r>
          </w:p>
        </w:tc>
        <w:tc>
          <w:tcPr>
            <w:tcW w:w="10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3,478</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21,576</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25,054</w:t>
            </w:r>
          </w:p>
        </w:tc>
        <w:tc>
          <w:tcPr>
            <w:tcW w:w="10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4,681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1987</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3/8/2007</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WHITE MARSH</w:t>
            </w:r>
          </w:p>
        </w:tc>
        <w:tc>
          <w:tcPr>
            <w:tcW w:w="6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OTHER (Maryland)</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60,400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1,843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34,311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1,880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36,191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220" w:type="dxa"/>
            <w:vAlign w:val="bottom"/>
          </w:tcPr>
          <w:p>
            <w:pPr>
              <w:ind w:left="40"/>
              <w:spacing w:after="0" w:line="151" w:lineRule="exact"/>
              <w:rPr>
                <w:sz w:val="20"/>
                <w:szCs w:val="20"/>
                <w:color w:val="auto"/>
              </w:rPr>
            </w:pPr>
            <w:r>
              <w:rPr>
                <w:rFonts w:ascii="Arial" w:cs="Arial" w:eastAsia="Arial" w:hAnsi="Arial"/>
                <w:sz w:val="14"/>
                <w:szCs w:val="14"/>
                <w:color w:val="auto"/>
              </w:rPr>
              <w:t>WILDWOOD</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40"/>
              <w:spacing w:after="0"/>
              <w:rPr>
                <w:sz w:val="20"/>
                <w:szCs w:val="20"/>
                <w:color w:val="auto"/>
              </w:rPr>
            </w:pPr>
            <w:r>
              <w:rPr>
                <w:rFonts w:ascii="Arial" w:cs="Arial" w:eastAsia="Arial" w:hAnsi="Arial"/>
                <w:sz w:val="14"/>
                <w:szCs w:val="14"/>
                <w:color w:val="auto"/>
              </w:rPr>
              <w:t>(Maryland)</w:t>
            </w:r>
          </w:p>
        </w:tc>
        <w:tc>
          <w:tcPr>
            <w:tcW w:w="60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23,719</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9,111</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8,360</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9,111</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9,421</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18,532</w:t>
            </w:r>
          </w:p>
        </w:tc>
        <w:tc>
          <w:tcPr>
            <w:tcW w:w="10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8,009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1958</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5/5/1969</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33.33 years</w:t>
            </w: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WILLOW GROVE</w:t>
            </w:r>
          </w:p>
        </w:tc>
        <w:tc>
          <w:tcPr>
            <w:tcW w:w="6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1,499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6,643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20,851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1,499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27,494</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28,993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21,015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11/20/1984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220" w:type="dxa"/>
            <w:vAlign w:val="bottom"/>
          </w:tcPr>
          <w:p>
            <w:pPr>
              <w:ind w:left="40"/>
              <w:spacing w:after="0" w:line="151" w:lineRule="exact"/>
              <w:rPr>
                <w:sz w:val="20"/>
                <w:szCs w:val="20"/>
                <w:color w:val="auto"/>
              </w:rPr>
            </w:pPr>
            <w:r>
              <w:rPr>
                <w:rFonts w:ascii="Arial" w:cs="Arial" w:eastAsia="Arial" w:hAnsi="Arial"/>
                <w:sz w:val="14"/>
                <w:szCs w:val="14"/>
                <w:color w:val="auto"/>
              </w:rPr>
              <w:t>WILLOW LAWN</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40"/>
              <w:spacing w:after="0"/>
              <w:rPr>
                <w:sz w:val="20"/>
                <w:szCs w:val="20"/>
                <w:color w:val="auto"/>
              </w:rPr>
            </w:pPr>
            <w:r>
              <w:rPr>
                <w:rFonts w:ascii="Arial" w:cs="Arial" w:eastAsia="Arial" w:hAnsi="Arial"/>
                <w:sz w:val="14"/>
                <w:szCs w:val="14"/>
                <w:color w:val="auto"/>
              </w:rPr>
              <w:t>(Virginia)</w:t>
            </w:r>
          </w:p>
        </w:tc>
        <w:tc>
          <w:tcPr>
            <w:tcW w:w="600" w:type="dxa"/>
            <w:vAlign w:val="bottom"/>
          </w:tcPr>
          <w:p>
            <w:pPr>
              <w:ind w:left="140"/>
              <w:spacing w:after="0"/>
              <w:rPr>
                <w:sz w:val="20"/>
                <w:szCs w:val="20"/>
                <w:color w:val="auto"/>
              </w:rPr>
            </w:pPr>
            <w:r>
              <w:rPr>
                <w:rFonts w:ascii="Arial" w:cs="Arial" w:eastAsia="Arial" w:hAnsi="Arial"/>
                <w:sz w:val="14"/>
                <w:szCs w:val="14"/>
                <w:color w:val="auto"/>
              </w:rPr>
              <w:t>VA</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3,192</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7,723</w:t>
            </w:r>
          </w:p>
        </w:tc>
        <w:tc>
          <w:tcPr>
            <w:tcW w:w="10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69,824</w:t>
            </w:r>
          </w:p>
        </w:tc>
        <w:tc>
          <w:tcPr>
            <w:tcW w:w="10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7,790</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72,949</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80,739</w:t>
            </w:r>
          </w:p>
        </w:tc>
        <w:tc>
          <w:tcPr>
            <w:tcW w:w="10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43,711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1957</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12/5/1983</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WYNNEWOOD</w:t>
            </w:r>
          </w:p>
        </w:tc>
        <w:tc>
          <w:tcPr>
            <w:tcW w:w="6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27,500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8,055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13,759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15,032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8,055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28,791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36,846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16,315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10/29/1996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1"/>
        </w:trPr>
        <w:tc>
          <w:tcPr>
            <w:tcW w:w="1220" w:type="dxa"/>
            <w:vAlign w:val="bottom"/>
          </w:tcPr>
          <w:p>
            <w:pPr>
              <w:ind w:left="40"/>
              <w:spacing w:after="0" w:line="151" w:lineRule="exact"/>
              <w:rPr>
                <w:sz w:val="20"/>
                <w:szCs w:val="20"/>
                <w:color w:val="auto"/>
              </w:rPr>
            </w:pPr>
            <w:r>
              <w:rPr>
                <w:rFonts w:ascii="Arial" w:cs="Arial" w:eastAsia="Arial" w:hAnsi="Arial"/>
                <w:sz w:val="14"/>
                <w:szCs w:val="14"/>
                <w:color w:val="auto"/>
                <w:w w:val="97"/>
              </w:rPr>
              <w:t>MISCELLANEOUS</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6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1,115</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1,115</w:t>
            </w:r>
          </w:p>
        </w:tc>
        <w:tc>
          <w:tcPr>
            <w:tcW w:w="10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1,319</w:t>
            </w: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2,434</w:t>
            </w:r>
          </w:p>
        </w:tc>
        <w:tc>
          <w:tcPr>
            <w:tcW w:w="10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TOTALS</w:t>
            </w: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  832,482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89"/>
              </w:rPr>
              <w:t>$ 1,052,783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89"/>
              </w:rPr>
              <w:t>$ 1,627,077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w w:val="86"/>
              </w:rPr>
              <w:t>$ 2,099,814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86"/>
              </w:rPr>
              <w:t>$ 1,019,905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89"/>
              </w:rPr>
              <w:t>$ 3,759,769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86"/>
              </w:rPr>
              <w:t>$ 4,779,674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w w:val="86"/>
              </w:rPr>
              <w:t>$ 1,224,295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420"/>
          </w:cols>
          <w:pgMar w:left="240" w:top="125"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FF"/>
              </w:rPr>
            </w:pPr>
            <w:hyperlink w:anchor="page52">
              <w:r>
                <w:rPr>
                  <w:rFonts w:ascii="Arial" w:cs="Arial" w:eastAsia="Arial" w:hAnsi="Arial"/>
                  <w:sz w:val="16"/>
                  <w:szCs w:val="16"/>
                  <w:b w:val="1"/>
                  <w:bCs w:val="1"/>
                  <w:color w:val="0000FF"/>
                </w:rPr>
                <w:t>Table of Contents</w:t>
              </w:r>
            </w:hyperlink>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0"/>
        </w:trPr>
        <w:tc>
          <w:tcPr>
            <w:tcW w:w="1180" w:type="dxa"/>
            <w:vAlign w:val="bottom"/>
            <w:tcBorders>
              <w:top w:val="single" w:sz="8" w:color="0000FF"/>
            </w:tcBorders>
          </w:tcPr>
          <w:p>
            <w:pPr>
              <w:spacing w:after="0"/>
              <w:rPr>
                <w:sz w:val="24"/>
                <w:szCs w:val="24"/>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rPr>
              <w:t>FEDERAL REALTY INVESTMENT TRUST</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180" w:type="dxa"/>
            <w:vAlign w:val="bottom"/>
          </w:tcPr>
          <w:p>
            <w:pPr>
              <w:spacing w:after="0"/>
              <w:rPr>
                <w:sz w:val="18"/>
                <w:szCs w:val="18"/>
                <w:color w:val="auto"/>
              </w:rPr>
            </w:pPr>
          </w:p>
        </w:tc>
        <w:tc>
          <w:tcPr>
            <w:tcW w:w="8880" w:type="dxa"/>
            <w:vAlign w:val="bottom"/>
          </w:tcPr>
          <w:p>
            <w:pPr>
              <w:jc w:val="center"/>
              <w:ind w:left="113"/>
              <w:spacing w:after="0"/>
              <w:rPr>
                <w:sz w:val="20"/>
                <w:szCs w:val="20"/>
                <w:color w:val="auto"/>
              </w:rPr>
            </w:pPr>
            <w:r>
              <w:rPr>
                <w:rFonts w:ascii="Arial" w:cs="Arial" w:eastAsia="Arial" w:hAnsi="Arial"/>
                <w:sz w:val="17"/>
                <w:szCs w:val="17"/>
                <w:b w:val="1"/>
                <w:bCs w:val="1"/>
                <w:color w:val="auto"/>
              </w:rPr>
              <w:t>SCHEDULE III</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80" w:type="dxa"/>
            <w:vAlign w:val="bottom"/>
          </w:tcPr>
          <w:p>
            <w:pPr>
              <w:spacing w:after="0"/>
              <w:rPr>
                <w:sz w:val="18"/>
                <w:szCs w:val="18"/>
                <w:color w:val="auto"/>
              </w:rPr>
            </w:pPr>
          </w:p>
        </w:tc>
        <w:tc>
          <w:tcPr>
            <w:tcW w:w="8880" w:type="dxa"/>
            <w:vAlign w:val="bottom"/>
          </w:tcPr>
          <w:p>
            <w:pPr>
              <w:jc w:val="center"/>
              <w:ind w:left="113"/>
              <w:spacing w:after="0"/>
              <w:rPr>
                <w:sz w:val="20"/>
                <w:szCs w:val="20"/>
                <w:color w:val="auto"/>
              </w:rPr>
            </w:pPr>
            <w:r>
              <w:rPr>
                <w:rFonts w:ascii="Arial" w:cs="Arial" w:eastAsia="Arial" w:hAnsi="Arial"/>
                <w:sz w:val="17"/>
                <w:szCs w:val="17"/>
                <w:b w:val="1"/>
                <w:bCs w:val="1"/>
                <w:color w:val="auto"/>
              </w:rPr>
              <w:t>SUMMARY OF REAL ESTATE AND ACCUMULATED DEPRECIATION - CONTINUED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80" w:type="dxa"/>
            <w:vAlign w:val="bottom"/>
          </w:tcPr>
          <w:p>
            <w:pPr>
              <w:spacing w:after="0"/>
              <w:rPr>
                <w:sz w:val="18"/>
                <w:szCs w:val="18"/>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w w:val="91"/>
              </w:rPr>
              <w:t>Three Years Ended December 31, 2012</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80" w:type="dxa"/>
            <w:vAlign w:val="bottom"/>
          </w:tcPr>
          <w:p>
            <w:pPr>
              <w:spacing w:after="0"/>
              <w:rPr>
                <w:sz w:val="18"/>
                <w:szCs w:val="18"/>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w w:val="91"/>
              </w:rPr>
              <w:t>Reconciliation of Total Cost</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180" w:type="dxa"/>
            <w:vAlign w:val="bottom"/>
          </w:tcPr>
          <w:p>
            <w:pPr>
              <w:spacing w:after="0"/>
              <w:rPr>
                <w:sz w:val="19"/>
                <w:szCs w:val="19"/>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w w:val="90"/>
              </w:rPr>
              <w:t>(in thousands)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December 31, 2009</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3,759,234</w:t>
            </w:r>
          </w:p>
        </w:tc>
        <w:tc>
          <w:tcPr>
            <w:tcW w:w="0" w:type="dxa"/>
            <w:vAlign w:val="bottom"/>
          </w:tcPr>
          <w:p>
            <w:pPr>
              <w:spacing w:after="0"/>
              <w:rPr>
                <w:sz w:val="1"/>
                <w:szCs w:val="1"/>
                <w:color w:val="auto"/>
              </w:rPr>
            </w:pPr>
          </w:p>
        </w:tc>
      </w:tr>
      <w:tr>
        <w:trPr>
          <w:trHeight w:val="234"/>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Additions during period</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100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Acquisitions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34,855</w:t>
            </w:r>
          </w:p>
        </w:tc>
        <w:tc>
          <w:tcPr>
            <w:tcW w:w="0" w:type="dxa"/>
            <w:vAlign w:val="bottom"/>
          </w:tcPr>
          <w:p>
            <w:pPr>
              <w:spacing w:after="0"/>
              <w:rPr>
                <w:sz w:val="1"/>
                <w:szCs w:val="1"/>
                <w:color w:val="auto"/>
              </w:rPr>
            </w:pPr>
          </w:p>
        </w:tc>
      </w:tr>
      <w:tr>
        <w:trPr>
          <w:trHeight w:val="234"/>
        </w:trPr>
        <w:tc>
          <w:tcPr>
            <w:tcW w:w="10060" w:type="dxa"/>
            <w:vAlign w:val="bottom"/>
            <w:gridSpan w:val="2"/>
          </w:tcPr>
          <w:p>
            <w:pPr>
              <w:ind w:left="480"/>
              <w:spacing w:after="0"/>
              <w:rPr>
                <w:sz w:val="20"/>
                <w:szCs w:val="20"/>
                <w:color w:val="auto"/>
              </w:rPr>
            </w:pPr>
            <w:r>
              <w:rPr>
                <w:rFonts w:ascii="Arial" w:cs="Arial" w:eastAsia="Arial" w:hAnsi="Arial"/>
                <w:sz w:val="17"/>
                <w:szCs w:val="17"/>
                <w:color w:val="auto"/>
              </w:rPr>
              <w:t>Consolidation of VIE</w:t>
            </w: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18,311</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100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Improvements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97,129</w:t>
            </w:r>
          </w:p>
        </w:tc>
        <w:tc>
          <w:tcPr>
            <w:tcW w:w="0" w:type="dxa"/>
            <w:vAlign w:val="bottom"/>
          </w:tcPr>
          <w:p>
            <w:pPr>
              <w:spacing w:after="0"/>
              <w:rPr>
                <w:sz w:val="1"/>
                <w:szCs w:val="1"/>
                <w:color w:val="auto"/>
              </w:rPr>
            </w:pPr>
          </w:p>
        </w:tc>
      </w:tr>
      <w:tr>
        <w:trPr>
          <w:trHeight w:val="234"/>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Deduction during period—disposition and retirements of property</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(13,587)</w:t>
            </w:r>
          </w:p>
        </w:tc>
        <w:tc>
          <w:tcPr>
            <w:tcW w:w="0" w:type="dxa"/>
            <w:vAlign w:val="bottom"/>
          </w:tcPr>
          <w:p>
            <w:pPr>
              <w:spacing w:after="0"/>
              <w:rPr>
                <w:sz w:val="1"/>
                <w:szCs w:val="1"/>
                <w:color w:val="auto"/>
              </w:rPr>
            </w:pPr>
          </w:p>
        </w:tc>
      </w:tr>
      <w:tr>
        <w:trPr>
          <w:trHeight w:val="26"/>
        </w:trPr>
        <w:tc>
          <w:tcPr>
            <w:tcW w:w="1180" w:type="dxa"/>
            <w:vAlign w:val="bottom"/>
            <w:tcBorders>
              <w:bottom w:val="single" w:sz="8" w:color="CCEEFF"/>
            </w:tcBorders>
          </w:tcPr>
          <w:p>
            <w:pPr>
              <w:spacing w:after="0"/>
              <w:rPr>
                <w:sz w:val="2"/>
                <w:szCs w:val="2"/>
                <w:color w:val="auto"/>
              </w:rPr>
            </w:pPr>
          </w:p>
        </w:tc>
        <w:tc>
          <w:tcPr>
            <w:tcW w:w="8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December 31, 2010</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3,895,942</w:t>
            </w:r>
          </w:p>
        </w:tc>
        <w:tc>
          <w:tcPr>
            <w:tcW w:w="0" w:type="dxa"/>
            <w:vAlign w:val="bottom"/>
          </w:tcPr>
          <w:p>
            <w:pPr>
              <w:spacing w:after="0"/>
              <w:rPr>
                <w:sz w:val="1"/>
                <w:szCs w:val="1"/>
                <w:color w:val="auto"/>
              </w:rPr>
            </w:pPr>
          </w:p>
        </w:tc>
      </w:tr>
      <w:tr>
        <w:trPr>
          <w:trHeight w:val="234"/>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Additions during period</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100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Acquisitions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430,758</w:t>
            </w:r>
          </w:p>
        </w:tc>
        <w:tc>
          <w:tcPr>
            <w:tcW w:w="0" w:type="dxa"/>
            <w:vAlign w:val="bottom"/>
          </w:tcPr>
          <w:p>
            <w:pPr>
              <w:spacing w:after="0"/>
              <w:rPr>
                <w:sz w:val="1"/>
                <w:szCs w:val="1"/>
                <w:color w:val="auto"/>
              </w:rPr>
            </w:pPr>
          </w:p>
        </w:tc>
      </w:tr>
      <w:tr>
        <w:trPr>
          <w:trHeight w:val="234"/>
        </w:trPr>
        <w:tc>
          <w:tcPr>
            <w:tcW w:w="10060" w:type="dxa"/>
            <w:vAlign w:val="bottom"/>
            <w:gridSpan w:val="2"/>
          </w:tcPr>
          <w:p>
            <w:pPr>
              <w:ind w:left="480"/>
              <w:spacing w:after="0"/>
              <w:rPr>
                <w:sz w:val="20"/>
                <w:szCs w:val="20"/>
                <w:color w:val="auto"/>
              </w:rPr>
            </w:pPr>
            <w:r>
              <w:rPr>
                <w:rFonts w:ascii="Arial" w:cs="Arial" w:eastAsia="Arial" w:hAnsi="Arial"/>
                <w:sz w:val="17"/>
                <w:szCs w:val="17"/>
                <w:color w:val="auto"/>
              </w:rPr>
              <w:t>Improvements</w:t>
            </w: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147,996</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10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Deconsolidation of VIE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(18,311)</w:t>
            </w:r>
          </w:p>
        </w:tc>
        <w:tc>
          <w:tcPr>
            <w:tcW w:w="0" w:type="dxa"/>
            <w:vAlign w:val="bottom"/>
          </w:tcPr>
          <w:p>
            <w:pPr>
              <w:spacing w:after="0"/>
              <w:rPr>
                <w:sz w:val="1"/>
                <w:szCs w:val="1"/>
                <w:color w:val="auto"/>
              </w:rPr>
            </w:pPr>
          </w:p>
        </w:tc>
      </w:tr>
      <w:tr>
        <w:trPr>
          <w:trHeight w:val="234"/>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Deduction during period—disposition and retirements of property</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(29,941)</w:t>
            </w:r>
          </w:p>
        </w:tc>
        <w:tc>
          <w:tcPr>
            <w:tcW w:w="0" w:type="dxa"/>
            <w:vAlign w:val="bottom"/>
          </w:tcPr>
          <w:p>
            <w:pPr>
              <w:spacing w:after="0"/>
              <w:rPr>
                <w:sz w:val="1"/>
                <w:szCs w:val="1"/>
                <w:color w:val="auto"/>
              </w:rPr>
            </w:pPr>
          </w:p>
        </w:tc>
      </w:tr>
      <w:tr>
        <w:trPr>
          <w:trHeight w:val="26"/>
        </w:trPr>
        <w:tc>
          <w:tcPr>
            <w:tcW w:w="1180" w:type="dxa"/>
            <w:vAlign w:val="bottom"/>
            <w:tcBorders>
              <w:bottom w:val="single" w:sz="8" w:color="CCEEFF"/>
            </w:tcBorders>
          </w:tcPr>
          <w:p>
            <w:pPr>
              <w:spacing w:after="0"/>
              <w:rPr>
                <w:sz w:val="2"/>
                <w:szCs w:val="2"/>
                <w:color w:val="auto"/>
              </w:rPr>
            </w:pPr>
          </w:p>
        </w:tc>
        <w:tc>
          <w:tcPr>
            <w:tcW w:w="8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December 31, 2011</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4,426,444</w:t>
            </w:r>
          </w:p>
        </w:tc>
        <w:tc>
          <w:tcPr>
            <w:tcW w:w="0" w:type="dxa"/>
            <w:vAlign w:val="bottom"/>
          </w:tcPr>
          <w:p>
            <w:pPr>
              <w:spacing w:after="0"/>
              <w:rPr>
                <w:sz w:val="1"/>
                <w:szCs w:val="1"/>
                <w:color w:val="auto"/>
              </w:rPr>
            </w:pPr>
          </w:p>
        </w:tc>
      </w:tr>
      <w:tr>
        <w:trPr>
          <w:trHeight w:val="234"/>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Additions during period</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100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Acquisitions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193,131</w:t>
            </w:r>
          </w:p>
        </w:tc>
        <w:tc>
          <w:tcPr>
            <w:tcW w:w="0" w:type="dxa"/>
            <w:vAlign w:val="bottom"/>
          </w:tcPr>
          <w:p>
            <w:pPr>
              <w:spacing w:after="0"/>
              <w:rPr>
                <w:sz w:val="1"/>
                <w:szCs w:val="1"/>
                <w:color w:val="auto"/>
              </w:rPr>
            </w:pPr>
          </w:p>
        </w:tc>
      </w:tr>
      <w:tr>
        <w:trPr>
          <w:trHeight w:val="234"/>
        </w:trPr>
        <w:tc>
          <w:tcPr>
            <w:tcW w:w="10060" w:type="dxa"/>
            <w:vAlign w:val="bottom"/>
            <w:gridSpan w:val="2"/>
          </w:tcPr>
          <w:p>
            <w:pPr>
              <w:ind w:left="480"/>
              <w:spacing w:after="0"/>
              <w:rPr>
                <w:sz w:val="20"/>
                <w:szCs w:val="20"/>
                <w:color w:val="auto"/>
              </w:rPr>
            </w:pPr>
            <w:r>
              <w:rPr>
                <w:rFonts w:ascii="Arial" w:cs="Arial" w:eastAsia="Arial" w:hAnsi="Arial"/>
                <w:sz w:val="17"/>
                <w:szCs w:val="17"/>
                <w:color w:val="auto"/>
              </w:rPr>
              <w:t>Improvements</w:t>
            </w: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187,990</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10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Deduction during period—disposition and retirements of property</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(27,891)</w:t>
            </w:r>
          </w:p>
        </w:tc>
        <w:tc>
          <w:tcPr>
            <w:tcW w:w="0" w:type="dxa"/>
            <w:vAlign w:val="bottom"/>
          </w:tcPr>
          <w:p>
            <w:pPr>
              <w:spacing w:after="0"/>
              <w:rPr>
                <w:sz w:val="1"/>
                <w:szCs w:val="1"/>
                <w:color w:val="auto"/>
              </w:rPr>
            </w:pPr>
          </w:p>
        </w:tc>
      </w:tr>
      <w:tr>
        <w:trPr>
          <w:trHeight w:val="246"/>
        </w:trPr>
        <w:tc>
          <w:tcPr>
            <w:tcW w:w="10060" w:type="dxa"/>
            <w:vAlign w:val="bottom"/>
            <w:gridSpan w:val="2"/>
          </w:tcPr>
          <w:p>
            <w:pPr>
              <w:ind w:left="40"/>
              <w:spacing w:after="0"/>
              <w:rPr>
                <w:sz w:val="20"/>
                <w:szCs w:val="20"/>
                <w:color w:val="auto"/>
              </w:rPr>
            </w:pPr>
            <w:r>
              <w:rPr>
                <w:rFonts w:ascii="Arial" w:cs="Arial" w:eastAsia="Arial" w:hAnsi="Arial"/>
                <w:sz w:val="17"/>
                <w:szCs w:val="17"/>
                <w:color w:val="auto"/>
              </w:rPr>
              <w:t>Balance, December 31, 2012</w:t>
            </w: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4,779,674</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7"/>
                <w:szCs w:val="17"/>
                <w:color w:val="auto"/>
              </w:rPr>
              <w:t>_____________________</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0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0060" w:type="dxa"/>
            <w:vAlign w:val="bottom"/>
            <w:gridSpan w:val="2"/>
          </w:tcPr>
          <w:p>
            <w:pPr>
              <w:spacing w:after="0"/>
              <w:rPr>
                <w:sz w:val="20"/>
                <w:szCs w:val="20"/>
                <w:color w:val="auto"/>
              </w:rPr>
            </w:pPr>
            <w:r>
              <w:rPr>
                <w:rFonts w:ascii="Arial" w:cs="Arial" w:eastAsia="Arial" w:hAnsi="Arial"/>
                <w:sz w:val="17"/>
                <w:szCs w:val="17"/>
                <w:color w:val="auto"/>
              </w:rPr>
              <w:t>(1)  For Federal tax purposes, the aggregate cost basis is approximately $4.2 billion as of December 31, 2012.</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8"/>
        </w:trPr>
        <w:tc>
          <w:tcPr>
            <w:tcW w:w="1180" w:type="dxa"/>
            <w:vAlign w:val="bottom"/>
          </w:tcPr>
          <w:p>
            <w:pPr>
              <w:spacing w:after="0"/>
              <w:rPr>
                <w:sz w:val="24"/>
                <w:szCs w:val="24"/>
                <w:color w:val="auto"/>
              </w:rPr>
            </w:pPr>
          </w:p>
        </w:tc>
        <w:tc>
          <w:tcPr>
            <w:tcW w:w="8880" w:type="dxa"/>
            <w:vAlign w:val="bottom"/>
          </w:tcPr>
          <w:p>
            <w:pPr>
              <w:jc w:val="center"/>
              <w:ind w:left="113"/>
              <w:spacing w:after="0"/>
              <w:rPr>
                <w:sz w:val="20"/>
                <w:szCs w:val="20"/>
                <w:color w:val="auto"/>
              </w:rPr>
            </w:pPr>
            <w:r>
              <w:rPr>
                <w:rFonts w:ascii="Arial" w:cs="Arial" w:eastAsia="Arial" w:hAnsi="Arial"/>
                <w:sz w:val="17"/>
                <w:szCs w:val="17"/>
                <w:color w:val="auto"/>
                <w:w w:val="91"/>
              </w:rPr>
              <w:t>F-36</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FF"/>
              </w:rPr>
            </w:pPr>
            <w:hyperlink w:anchor="page52">
              <w:r>
                <w:rPr>
                  <w:rFonts w:ascii="Arial" w:cs="Arial" w:eastAsia="Arial" w:hAnsi="Arial"/>
                  <w:sz w:val="16"/>
                  <w:szCs w:val="16"/>
                  <w:b w:val="1"/>
                  <w:bCs w:val="1"/>
                  <w:color w:val="0000FF"/>
                </w:rPr>
                <w:t>Table of Contents</w:t>
              </w:r>
            </w:hyperlink>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0"/>
        </w:trPr>
        <w:tc>
          <w:tcPr>
            <w:tcW w:w="1180" w:type="dxa"/>
            <w:vAlign w:val="bottom"/>
            <w:tcBorders>
              <w:top w:val="single" w:sz="8" w:color="0000FF"/>
            </w:tcBorders>
          </w:tcPr>
          <w:p>
            <w:pPr>
              <w:spacing w:after="0"/>
              <w:rPr>
                <w:sz w:val="24"/>
                <w:szCs w:val="24"/>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rPr>
              <w:t>FEDERAL REALTY INVESTMENT TRUST</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180" w:type="dxa"/>
            <w:vAlign w:val="bottom"/>
          </w:tcPr>
          <w:p>
            <w:pPr>
              <w:spacing w:after="0"/>
              <w:rPr>
                <w:sz w:val="18"/>
                <w:szCs w:val="18"/>
                <w:color w:val="auto"/>
              </w:rPr>
            </w:pPr>
          </w:p>
        </w:tc>
        <w:tc>
          <w:tcPr>
            <w:tcW w:w="8880" w:type="dxa"/>
            <w:vAlign w:val="bottom"/>
          </w:tcPr>
          <w:p>
            <w:pPr>
              <w:jc w:val="center"/>
              <w:ind w:left="113"/>
              <w:spacing w:after="0"/>
              <w:rPr>
                <w:sz w:val="20"/>
                <w:szCs w:val="20"/>
                <w:color w:val="auto"/>
              </w:rPr>
            </w:pPr>
            <w:r>
              <w:rPr>
                <w:rFonts w:ascii="Arial" w:cs="Arial" w:eastAsia="Arial" w:hAnsi="Arial"/>
                <w:sz w:val="17"/>
                <w:szCs w:val="17"/>
                <w:b w:val="1"/>
                <w:bCs w:val="1"/>
                <w:color w:val="auto"/>
              </w:rPr>
              <w:t>SCHEDULE III</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80" w:type="dxa"/>
            <w:vAlign w:val="bottom"/>
          </w:tcPr>
          <w:p>
            <w:pPr>
              <w:spacing w:after="0"/>
              <w:rPr>
                <w:sz w:val="18"/>
                <w:szCs w:val="18"/>
                <w:color w:val="auto"/>
              </w:rPr>
            </w:pPr>
          </w:p>
        </w:tc>
        <w:tc>
          <w:tcPr>
            <w:tcW w:w="8880" w:type="dxa"/>
            <w:vAlign w:val="bottom"/>
          </w:tcPr>
          <w:p>
            <w:pPr>
              <w:jc w:val="center"/>
              <w:ind w:left="113"/>
              <w:spacing w:after="0"/>
              <w:rPr>
                <w:sz w:val="20"/>
                <w:szCs w:val="20"/>
                <w:color w:val="auto"/>
              </w:rPr>
            </w:pPr>
            <w:r>
              <w:rPr>
                <w:rFonts w:ascii="Arial" w:cs="Arial" w:eastAsia="Arial" w:hAnsi="Arial"/>
                <w:sz w:val="17"/>
                <w:szCs w:val="17"/>
                <w:b w:val="1"/>
                <w:bCs w:val="1"/>
                <w:color w:val="auto"/>
              </w:rPr>
              <w:t>SUMMARY OF REAL ESTATE AND ACCUMULATED DEPRECIATION - CONTINUED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80" w:type="dxa"/>
            <w:vAlign w:val="bottom"/>
          </w:tcPr>
          <w:p>
            <w:pPr>
              <w:spacing w:after="0"/>
              <w:rPr>
                <w:sz w:val="18"/>
                <w:szCs w:val="18"/>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w w:val="91"/>
              </w:rPr>
              <w:t>Three Years Ended December 31, 2012</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80" w:type="dxa"/>
            <w:vAlign w:val="bottom"/>
          </w:tcPr>
          <w:p>
            <w:pPr>
              <w:spacing w:after="0"/>
              <w:rPr>
                <w:sz w:val="18"/>
                <w:szCs w:val="18"/>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w w:val="92"/>
              </w:rPr>
              <w:t>Reconciliation of Accumulated Depreciation and Amortization</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180" w:type="dxa"/>
            <w:vAlign w:val="bottom"/>
          </w:tcPr>
          <w:p>
            <w:pPr>
              <w:spacing w:after="0"/>
              <w:rPr>
                <w:sz w:val="19"/>
                <w:szCs w:val="19"/>
                <w:color w:val="auto"/>
              </w:rPr>
            </w:pPr>
          </w:p>
        </w:tc>
        <w:tc>
          <w:tcPr>
            <w:tcW w:w="8880" w:type="dxa"/>
            <w:vAlign w:val="bottom"/>
          </w:tcPr>
          <w:p>
            <w:pPr>
              <w:jc w:val="center"/>
              <w:ind w:left="93"/>
              <w:spacing w:after="0"/>
              <w:rPr>
                <w:sz w:val="20"/>
                <w:szCs w:val="20"/>
                <w:color w:val="auto"/>
              </w:rPr>
            </w:pPr>
            <w:r>
              <w:rPr>
                <w:rFonts w:ascii="Arial" w:cs="Arial" w:eastAsia="Arial" w:hAnsi="Arial"/>
                <w:sz w:val="17"/>
                <w:szCs w:val="17"/>
                <w:b w:val="1"/>
                <w:bCs w:val="1"/>
                <w:color w:val="auto"/>
                <w:w w:val="90"/>
              </w:rPr>
              <w:t>(in thousands)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December 31, 2009</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938,087</w:t>
            </w:r>
          </w:p>
        </w:tc>
        <w:tc>
          <w:tcPr>
            <w:tcW w:w="0" w:type="dxa"/>
            <w:vAlign w:val="bottom"/>
          </w:tcPr>
          <w:p>
            <w:pPr>
              <w:spacing w:after="0"/>
              <w:rPr>
                <w:sz w:val="1"/>
                <w:szCs w:val="1"/>
                <w:color w:val="auto"/>
              </w:rPr>
            </w:pPr>
          </w:p>
        </w:tc>
      </w:tr>
      <w:tr>
        <w:trPr>
          <w:trHeight w:val="234"/>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Additions during period—depreciation and amortization expense</w:t>
            </w: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108,261</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10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Deductions during period—disposition and retirements of property</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(11,144)</w:t>
            </w:r>
          </w:p>
        </w:tc>
        <w:tc>
          <w:tcPr>
            <w:tcW w:w="0" w:type="dxa"/>
            <w:vAlign w:val="bottom"/>
          </w:tcPr>
          <w:p>
            <w:pPr>
              <w:spacing w:after="0"/>
              <w:rPr>
                <w:sz w:val="1"/>
                <w:szCs w:val="1"/>
                <w:color w:val="auto"/>
              </w:rPr>
            </w:pPr>
          </w:p>
        </w:tc>
      </w:tr>
      <w:tr>
        <w:trPr>
          <w:trHeight w:val="227"/>
        </w:trPr>
        <w:tc>
          <w:tcPr>
            <w:tcW w:w="10060" w:type="dxa"/>
            <w:vAlign w:val="bottom"/>
            <w:gridSpan w:val="2"/>
          </w:tcPr>
          <w:p>
            <w:pPr>
              <w:ind w:left="40"/>
              <w:spacing w:after="0"/>
              <w:rPr>
                <w:sz w:val="20"/>
                <w:szCs w:val="20"/>
                <w:color w:val="auto"/>
              </w:rPr>
            </w:pPr>
            <w:r>
              <w:rPr>
                <w:rFonts w:ascii="Arial" w:cs="Arial" w:eastAsia="Arial" w:hAnsi="Arial"/>
                <w:sz w:val="17"/>
                <w:szCs w:val="17"/>
                <w:color w:val="auto"/>
              </w:rPr>
              <w:t>Balance, December 31, 2010</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1,035,204</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10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Additions during period—depreciation and amortization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114,180</w:t>
            </w:r>
          </w:p>
        </w:tc>
        <w:tc>
          <w:tcPr>
            <w:tcW w:w="0" w:type="dxa"/>
            <w:vAlign w:val="bottom"/>
          </w:tcPr>
          <w:p>
            <w:pPr>
              <w:spacing w:after="0"/>
              <w:rPr>
                <w:sz w:val="1"/>
                <w:szCs w:val="1"/>
                <w:color w:val="auto"/>
              </w:rPr>
            </w:pPr>
          </w:p>
        </w:tc>
      </w:tr>
      <w:tr>
        <w:trPr>
          <w:trHeight w:val="234"/>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Deductions during period—disposition and retirements of property</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(21,796)</w:t>
            </w:r>
          </w:p>
        </w:tc>
        <w:tc>
          <w:tcPr>
            <w:tcW w:w="0" w:type="dxa"/>
            <w:vAlign w:val="bottom"/>
          </w:tcPr>
          <w:p>
            <w:pPr>
              <w:spacing w:after="0"/>
              <w:rPr>
                <w:sz w:val="1"/>
                <w:szCs w:val="1"/>
                <w:color w:val="auto"/>
              </w:rPr>
            </w:pPr>
          </w:p>
        </w:tc>
      </w:tr>
      <w:tr>
        <w:trPr>
          <w:trHeight w:val="26"/>
        </w:trPr>
        <w:tc>
          <w:tcPr>
            <w:tcW w:w="1180" w:type="dxa"/>
            <w:vAlign w:val="bottom"/>
            <w:tcBorders>
              <w:bottom w:val="single" w:sz="8" w:color="CCEEFF"/>
            </w:tcBorders>
          </w:tcPr>
          <w:p>
            <w:pPr>
              <w:spacing w:after="0"/>
              <w:rPr>
                <w:sz w:val="2"/>
                <w:szCs w:val="2"/>
                <w:color w:val="auto"/>
              </w:rPr>
            </w:pPr>
          </w:p>
        </w:tc>
        <w:tc>
          <w:tcPr>
            <w:tcW w:w="8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December 31, 2011</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1,127,588</w:t>
            </w:r>
          </w:p>
        </w:tc>
        <w:tc>
          <w:tcPr>
            <w:tcW w:w="0" w:type="dxa"/>
            <w:vAlign w:val="bottom"/>
          </w:tcPr>
          <w:p>
            <w:pPr>
              <w:spacing w:after="0"/>
              <w:rPr>
                <w:sz w:val="1"/>
                <w:szCs w:val="1"/>
                <w:color w:val="auto"/>
              </w:rPr>
            </w:pPr>
          </w:p>
        </w:tc>
      </w:tr>
      <w:tr>
        <w:trPr>
          <w:trHeight w:val="234"/>
        </w:trPr>
        <w:tc>
          <w:tcPr>
            <w:tcW w:w="10060" w:type="dxa"/>
            <w:vAlign w:val="bottom"/>
            <w:gridSpan w:val="2"/>
          </w:tcPr>
          <w:p>
            <w:pPr>
              <w:ind w:left="260"/>
              <w:spacing w:after="0"/>
              <w:rPr>
                <w:sz w:val="20"/>
                <w:szCs w:val="20"/>
                <w:color w:val="auto"/>
              </w:rPr>
            </w:pPr>
            <w:r>
              <w:rPr>
                <w:rFonts w:ascii="Arial" w:cs="Arial" w:eastAsia="Arial" w:hAnsi="Arial"/>
                <w:sz w:val="17"/>
                <w:szCs w:val="17"/>
                <w:color w:val="auto"/>
              </w:rPr>
              <w:t>Additions during period—depreciation and amortization expense</w:t>
            </w: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128,654</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10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Deductions during period—disposition and retirements of property</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(31,947)</w:t>
            </w:r>
          </w:p>
        </w:tc>
        <w:tc>
          <w:tcPr>
            <w:tcW w:w="0" w:type="dxa"/>
            <w:vAlign w:val="bottom"/>
          </w:tcPr>
          <w:p>
            <w:pPr>
              <w:spacing w:after="0"/>
              <w:rPr>
                <w:sz w:val="1"/>
                <w:szCs w:val="1"/>
                <w:color w:val="auto"/>
              </w:rPr>
            </w:pPr>
          </w:p>
        </w:tc>
      </w:tr>
      <w:tr>
        <w:trPr>
          <w:trHeight w:val="246"/>
        </w:trPr>
        <w:tc>
          <w:tcPr>
            <w:tcW w:w="10060" w:type="dxa"/>
            <w:vAlign w:val="bottom"/>
            <w:gridSpan w:val="2"/>
          </w:tcPr>
          <w:p>
            <w:pPr>
              <w:ind w:left="40"/>
              <w:spacing w:after="0"/>
              <w:rPr>
                <w:sz w:val="20"/>
                <w:szCs w:val="20"/>
                <w:color w:val="auto"/>
              </w:rPr>
            </w:pPr>
            <w:r>
              <w:rPr>
                <w:rFonts w:ascii="Arial" w:cs="Arial" w:eastAsia="Arial" w:hAnsi="Arial"/>
                <w:sz w:val="17"/>
                <w:szCs w:val="17"/>
                <w:color w:val="auto"/>
              </w:rPr>
              <w:t>Balance, December 31, 2012</w:t>
            </w: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1,224,295</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880" w:type="dxa"/>
            <w:vAlign w:val="bottom"/>
            <w:vMerge w:val="restart"/>
          </w:tcPr>
          <w:p>
            <w:pPr>
              <w:jc w:val="center"/>
              <w:ind w:left="113"/>
              <w:spacing w:after="0"/>
              <w:rPr>
                <w:sz w:val="20"/>
                <w:szCs w:val="20"/>
                <w:color w:val="auto"/>
              </w:rPr>
            </w:pPr>
            <w:r>
              <w:rPr>
                <w:rFonts w:ascii="Arial" w:cs="Arial" w:eastAsia="Arial" w:hAnsi="Arial"/>
                <w:sz w:val="17"/>
                <w:szCs w:val="17"/>
                <w:color w:val="auto"/>
                <w:w w:val="91"/>
              </w:rPr>
              <w:t>F-37</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118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IV</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MORTGAGE LOANS ON REAL ESTATE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2012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gridSpan w:val="2"/>
          </w:tcPr>
          <w:p>
            <w:pPr>
              <w:ind w:left="500"/>
              <w:spacing w:after="0"/>
              <w:rPr>
                <w:sz w:val="20"/>
                <w:szCs w:val="20"/>
                <w:color w:val="auto"/>
              </w:rPr>
            </w:pPr>
            <w:r>
              <w:rPr>
                <w:rFonts w:ascii="Arial" w:cs="Arial" w:eastAsia="Arial" w:hAnsi="Arial"/>
                <w:sz w:val="14"/>
                <w:szCs w:val="14"/>
                <w:b w:val="1"/>
                <w:bCs w:val="1"/>
                <w:color w:val="auto"/>
              </w:rPr>
              <w:t>Column A</w:t>
            </w: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Column B</w:t>
            </w: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Column C</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Column D</w:t>
            </w:r>
          </w:p>
        </w:tc>
        <w:tc>
          <w:tcPr>
            <w:tcW w:w="240" w:type="dxa"/>
            <w:vAlign w:val="bottom"/>
          </w:tcPr>
          <w:p>
            <w:pPr>
              <w:spacing w:after="0"/>
              <w:rPr>
                <w:sz w:val="16"/>
                <w:szCs w:val="16"/>
                <w:color w:val="auto"/>
              </w:rPr>
            </w:pPr>
          </w:p>
        </w:tc>
        <w:tc>
          <w:tcPr>
            <w:tcW w:w="800" w:type="dxa"/>
            <w:vAlign w:val="bottom"/>
            <w:gridSpan w:val="2"/>
          </w:tcPr>
          <w:p>
            <w:pPr>
              <w:jc w:val="center"/>
              <w:ind w:left="45"/>
              <w:spacing w:after="0"/>
              <w:rPr>
                <w:sz w:val="20"/>
                <w:szCs w:val="20"/>
                <w:color w:val="auto"/>
              </w:rPr>
            </w:pPr>
            <w:r>
              <w:rPr>
                <w:rFonts w:ascii="Arial" w:cs="Arial" w:eastAsia="Arial" w:hAnsi="Arial"/>
                <w:sz w:val="14"/>
                <w:szCs w:val="14"/>
                <w:b w:val="1"/>
                <w:bCs w:val="1"/>
                <w:color w:val="auto"/>
                <w:w w:val="91"/>
              </w:rPr>
              <w:t>Column 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Column F</w:t>
            </w:r>
          </w:p>
        </w:tc>
        <w:tc>
          <w:tcPr>
            <w:tcW w:w="180" w:type="dxa"/>
            <w:vAlign w:val="bottom"/>
          </w:tcPr>
          <w:p>
            <w:pPr>
              <w:spacing w:after="0"/>
              <w:rPr>
                <w:sz w:val="16"/>
                <w:szCs w:val="16"/>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Column G</w:t>
            </w:r>
          </w:p>
        </w:tc>
        <w:tc>
          <w:tcPr>
            <w:tcW w:w="140" w:type="dxa"/>
            <w:vAlign w:val="bottom"/>
          </w:tcPr>
          <w:p>
            <w:pPr>
              <w:spacing w:after="0"/>
              <w:rPr>
                <w:sz w:val="16"/>
                <w:szCs w:val="16"/>
                <w:color w:val="auto"/>
              </w:rPr>
            </w:pPr>
          </w:p>
        </w:tc>
        <w:tc>
          <w:tcPr>
            <w:tcW w:w="860" w:type="dxa"/>
            <w:vAlign w:val="bottom"/>
          </w:tcPr>
          <w:p>
            <w:pPr>
              <w:jc w:val="center"/>
              <w:ind w:right="47"/>
              <w:spacing w:after="0"/>
              <w:rPr>
                <w:sz w:val="20"/>
                <w:szCs w:val="20"/>
                <w:color w:val="auto"/>
              </w:rPr>
            </w:pPr>
            <w:r>
              <w:rPr>
                <w:rFonts w:ascii="Arial" w:cs="Arial" w:eastAsia="Arial" w:hAnsi="Arial"/>
                <w:sz w:val="14"/>
                <w:szCs w:val="14"/>
                <w:b w:val="1"/>
                <w:bCs w:val="1"/>
                <w:color w:val="auto"/>
                <w:w w:val="93"/>
              </w:rPr>
              <w:t>Column H</w:t>
            </w:r>
          </w:p>
        </w:tc>
        <w:tc>
          <w:tcPr>
            <w:tcW w:w="0" w:type="dxa"/>
            <w:vAlign w:val="bottom"/>
          </w:tcPr>
          <w:p>
            <w:pPr>
              <w:spacing w:after="0"/>
              <w:rPr>
                <w:sz w:val="1"/>
                <w:szCs w:val="1"/>
                <w:color w:val="auto"/>
              </w:rPr>
            </w:pPr>
          </w:p>
        </w:tc>
      </w:tr>
      <w:tr>
        <w:trPr>
          <w:trHeight w:val="146"/>
        </w:trPr>
        <w:tc>
          <w:tcPr>
            <w:tcW w:w="1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67"/>
              <w:spacing w:after="0" w:line="146"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7"/>
              <w:spacing w:after="0" w:line="143"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7"/>
              <w:spacing w:after="0" w:line="143" w:lineRule="exact"/>
              <w:rPr>
                <w:sz w:val="20"/>
                <w:szCs w:val="20"/>
                <w:color w:val="auto"/>
              </w:rPr>
            </w:pPr>
            <w:r>
              <w:rPr>
                <w:rFonts w:ascii="Arial" w:cs="Arial" w:eastAsia="Arial" w:hAnsi="Arial"/>
                <w:sz w:val="14"/>
                <w:szCs w:val="14"/>
                <w:b w:val="1"/>
                <w:bCs w:val="1"/>
                <w:color w:val="auto"/>
                <w:w w:val="89"/>
              </w:rPr>
              <w:t>of Loans</w:t>
            </w: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Carrying</w:t>
            </w:r>
          </w:p>
        </w:tc>
        <w:tc>
          <w:tcPr>
            <w:tcW w:w="140" w:type="dxa"/>
            <w:vAlign w:val="bottom"/>
          </w:tcPr>
          <w:p>
            <w:pPr>
              <w:spacing w:after="0"/>
              <w:rPr>
                <w:sz w:val="12"/>
                <w:szCs w:val="12"/>
                <w:color w:val="auto"/>
              </w:rPr>
            </w:pPr>
          </w:p>
        </w:tc>
        <w:tc>
          <w:tcPr>
            <w:tcW w:w="860" w:type="dxa"/>
            <w:vAlign w:val="bottom"/>
          </w:tcPr>
          <w:p>
            <w:pPr>
              <w:jc w:val="center"/>
              <w:ind w:right="67"/>
              <w:spacing w:after="0" w:line="143" w:lineRule="exact"/>
              <w:rPr>
                <w:sz w:val="20"/>
                <w:szCs w:val="20"/>
                <w:color w:val="auto"/>
              </w:rPr>
            </w:pPr>
            <w:r>
              <w:rPr>
                <w:rFonts w:ascii="Arial" w:cs="Arial" w:eastAsia="Arial" w:hAnsi="Arial"/>
                <w:sz w:val="14"/>
                <w:szCs w:val="14"/>
                <w:b w:val="1"/>
                <w:bCs w:val="1"/>
                <w:color w:val="auto"/>
                <w:w w:val="88"/>
              </w:rPr>
              <w:t>Subject to</w:t>
            </w: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Periodic Payment</w:t>
            </w:r>
          </w:p>
        </w:tc>
        <w:tc>
          <w:tcPr>
            <w:tcW w:w="240" w:type="dxa"/>
            <w:vAlign w:val="bottom"/>
          </w:tcPr>
          <w:p>
            <w:pPr>
              <w:spacing w:after="0"/>
              <w:rPr>
                <w:sz w:val="12"/>
                <w:szCs w:val="12"/>
                <w:color w:val="auto"/>
              </w:rPr>
            </w:pPr>
          </w:p>
        </w:tc>
        <w:tc>
          <w:tcPr>
            <w:tcW w:w="800" w:type="dxa"/>
            <w:vAlign w:val="bottom"/>
            <w:gridSpan w:val="2"/>
            <w:vMerge w:val="restart"/>
          </w:tcPr>
          <w:p>
            <w:pPr>
              <w:jc w:val="center"/>
              <w:ind w:left="45"/>
              <w:spacing w:after="0"/>
              <w:rPr>
                <w:sz w:val="20"/>
                <w:szCs w:val="20"/>
                <w:color w:val="auto"/>
              </w:rPr>
            </w:pPr>
            <w:r>
              <w:rPr>
                <w:rFonts w:ascii="Arial" w:cs="Arial" w:eastAsia="Arial" w:hAnsi="Arial"/>
                <w:sz w:val="14"/>
                <w:szCs w:val="14"/>
                <w:b w:val="1"/>
                <w:bCs w:val="1"/>
                <w:color w:val="auto"/>
                <w:w w:val="97"/>
              </w:rPr>
              <w:t>Prior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7"/>
              </w:rPr>
              <w:t>Face Amount</w:t>
            </w:r>
          </w:p>
        </w:tc>
        <w:tc>
          <w:tcPr>
            <w:tcW w:w="1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7"/>
              <w:spacing w:after="0" w:line="143" w:lineRule="exact"/>
              <w:rPr>
                <w:sz w:val="20"/>
                <w:szCs w:val="20"/>
                <w:color w:val="auto"/>
              </w:rPr>
            </w:pPr>
            <w:r>
              <w:rPr>
                <w:rFonts w:ascii="Arial" w:cs="Arial" w:eastAsia="Arial" w:hAnsi="Arial"/>
                <w:sz w:val="14"/>
                <w:szCs w:val="14"/>
                <w:b w:val="1"/>
                <w:bCs w:val="1"/>
                <w:color w:val="auto"/>
                <w:w w:val="90"/>
              </w:rPr>
              <w:t>delinquent</w:t>
            </w:r>
          </w:p>
        </w:tc>
        <w:tc>
          <w:tcPr>
            <w:tcW w:w="0" w:type="dxa"/>
            <w:vAlign w:val="bottom"/>
          </w:tcPr>
          <w:p>
            <w:pPr>
              <w:spacing w:after="0"/>
              <w:rPr>
                <w:sz w:val="1"/>
                <w:szCs w:val="1"/>
                <w:color w:val="auto"/>
              </w:rPr>
            </w:pPr>
          </w:p>
        </w:tc>
      </w:tr>
      <w:tr>
        <w:trPr>
          <w:trHeight w:val="143"/>
        </w:trPr>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Lien</w:t>
            </w:r>
          </w:p>
        </w:tc>
        <w:tc>
          <w:tcPr>
            <w:tcW w:w="120" w:type="dxa"/>
            <w:vAlign w:val="bottom"/>
            <w:vMerge w:val="restart"/>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vMerge w:val="restart"/>
          </w:tcPr>
          <w:p>
            <w:pPr>
              <w:spacing w:after="0"/>
              <w:rPr>
                <w:sz w:val="12"/>
                <w:szCs w:val="12"/>
                <w:color w:val="auto"/>
              </w:rPr>
            </w:pPr>
          </w:p>
        </w:tc>
        <w:tc>
          <w:tcPr>
            <w:tcW w:w="12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tcPr>
          <w:p>
            <w:pPr>
              <w:jc w:val="center"/>
              <w:ind w:right="260"/>
              <w:spacing w:after="0" w:line="143"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860" w:type="dxa"/>
            <w:vAlign w:val="bottom"/>
          </w:tcPr>
          <w:p>
            <w:pPr>
              <w:jc w:val="center"/>
              <w:ind w:right="67"/>
              <w:spacing w:after="0" w:line="143"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86"/>
        </w:trPr>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left="45"/>
              <w:spacing w:after="0"/>
              <w:rPr>
                <w:sz w:val="20"/>
                <w:szCs w:val="20"/>
                <w:color w:val="auto"/>
              </w:rPr>
            </w:pPr>
            <w:r>
              <w:rPr>
                <w:rFonts w:ascii="Arial" w:cs="Arial" w:eastAsia="Arial" w:hAnsi="Arial"/>
                <w:sz w:val="14"/>
                <w:szCs w:val="14"/>
                <w:b w:val="1"/>
                <w:bCs w:val="1"/>
                <w:color w:val="auto"/>
                <w:w w:val="87"/>
              </w:rPr>
              <w:t>Liens</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of Mortgages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of Mortgages(1)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90"/>
              </w:rPr>
              <w:t>or Interest</w:t>
            </w:r>
          </w:p>
        </w:tc>
        <w:tc>
          <w:tcPr>
            <w:tcW w:w="0" w:type="dxa"/>
            <w:vAlign w:val="bottom"/>
          </w:tcPr>
          <w:p>
            <w:pPr>
              <w:spacing w:after="0"/>
              <w:rPr>
                <w:sz w:val="1"/>
                <w:szCs w:val="1"/>
                <w:color w:val="auto"/>
              </w:rPr>
            </w:pPr>
          </w:p>
        </w:tc>
      </w:tr>
      <w:tr>
        <w:trPr>
          <w:trHeight w:val="210"/>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 on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 or 10%</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2021</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only</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20,286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20,286   (2)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retail buildings in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on</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monthly; balloon</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Philadelphia, PA</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timing of</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payment due</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draws, plus</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at maturity</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participation</w:t>
            </w: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gridSpan w:val="2"/>
          </w:tcPr>
          <w:p>
            <w:pPr>
              <w:ind w:left="40"/>
              <w:spacing w:after="0"/>
              <w:rPr>
                <w:sz w:val="20"/>
                <w:szCs w:val="20"/>
                <w:color w:val="auto"/>
              </w:rPr>
            </w:pPr>
            <w:r>
              <w:rPr>
                <w:rFonts w:ascii="Arial" w:cs="Arial" w:eastAsia="Arial" w:hAnsi="Arial"/>
                <w:sz w:val="16"/>
                <w:szCs w:val="16"/>
                <w:color w:val="auto"/>
              </w:rPr>
              <w:t>Mortgage on retail</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10% plus</w:t>
            </w:r>
          </w:p>
        </w:tc>
        <w:tc>
          <w:tcPr>
            <w:tcW w:w="1380" w:type="dxa"/>
            <w:vAlign w:val="bottom"/>
            <w:gridSpan w:val="2"/>
          </w:tcPr>
          <w:p>
            <w:pPr>
              <w:ind w:left="20"/>
              <w:spacing w:after="0"/>
              <w:rPr>
                <w:sz w:val="20"/>
                <w:szCs w:val="20"/>
                <w:color w:val="auto"/>
              </w:rPr>
            </w:pPr>
            <w:r>
              <w:rPr>
                <w:rFonts w:ascii="Arial" w:cs="Arial" w:eastAsia="Arial" w:hAnsi="Arial"/>
                <w:sz w:val="16"/>
                <w:szCs w:val="16"/>
                <w:color w:val="auto"/>
              </w:rPr>
              <w:t>May 2021</w:t>
            </w: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Interest only</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5"/>
              <w:spacing w:after="0"/>
              <w:rPr>
                <w:sz w:val="20"/>
                <w:szCs w:val="20"/>
                <w:color w:val="auto"/>
              </w:rPr>
            </w:pPr>
            <w:r>
              <w:rPr>
                <w:rFonts w:ascii="Arial" w:cs="Arial" w:eastAsia="Arial" w:hAnsi="Arial"/>
                <w:sz w:val="16"/>
                <w:szCs w:val="16"/>
                <w:color w:val="auto"/>
              </w:rPr>
              <w:t>9,250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5"/>
              <w:spacing w:after="0"/>
              <w:rPr>
                <w:sz w:val="20"/>
                <w:szCs w:val="20"/>
                <w:color w:val="auto"/>
              </w:rPr>
            </w:pPr>
            <w:r>
              <w:rPr>
                <w:rFonts w:ascii="Arial" w:cs="Arial" w:eastAsia="Arial" w:hAnsi="Arial"/>
                <w:sz w:val="16"/>
                <w:szCs w:val="16"/>
                <w:color w:val="auto"/>
              </w:rPr>
              <w:t>9,250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720" w:type="dxa"/>
            <w:vAlign w:val="bottom"/>
            <w:gridSpan w:val="2"/>
          </w:tcPr>
          <w:p>
            <w:pPr>
              <w:ind w:left="40"/>
              <w:spacing w:after="0"/>
              <w:rPr>
                <w:sz w:val="20"/>
                <w:szCs w:val="20"/>
                <w:color w:val="auto"/>
              </w:rPr>
            </w:pPr>
            <w:r>
              <w:rPr>
                <w:rFonts w:ascii="Arial" w:cs="Arial" w:eastAsia="Arial" w:hAnsi="Arial"/>
                <w:sz w:val="16"/>
                <w:szCs w:val="16"/>
                <w:color w:val="auto"/>
              </w:rPr>
              <w:t>buildings in</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participation</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monthly;</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gridSpan w:val="2"/>
          </w:tcPr>
          <w:p>
            <w:pPr>
              <w:ind w:left="40"/>
              <w:spacing w:after="0"/>
              <w:rPr>
                <w:sz w:val="20"/>
                <w:szCs w:val="20"/>
                <w:color w:val="auto"/>
              </w:rPr>
            </w:pPr>
            <w:r>
              <w:rPr>
                <w:rFonts w:ascii="Arial" w:cs="Arial" w:eastAsia="Arial" w:hAnsi="Arial"/>
                <w:sz w:val="16"/>
                <w:szCs w:val="16"/>
                <w:color w:val="auto"/>
              </w:rPr>
              <w:t>Philadelphia, PA</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color w:val="auto"/>
                <w:w w:val="98"/>
              </w:rPr>
              <w:t>balloon payment due</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at maturity</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Second Mortgage</w:t>
            </w:r>
          </w:p>
        </w:tc>
        <w:tc>
          <w:tcPr>
            <w:tcW w:w="114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w w:val="94"/>
              </w:rPr>
              <w:t>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August 2016</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Principal and</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35,000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91"/>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12,914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10,785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rPr>
              <w:t>on hotel building in San</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balloon</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Jose, CA</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payment due</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at maturity(3)</w:t>
            </w: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20" w:type="dxa"/>
            <w:vAlign w:val="bottom"/>
            <w:gridSpan w:val="2"/>
          </w:tcPr>
          <w:p>
            <w:pPr>
              <w:ind w:left="40"/>
              <w:spacing w:after="0"/>
              <w:rPr>
                <w:sz w:val="20"/>
                <w:szCs w:val="20"/>
                <w:color w:val="auto"/>
              </w:rPr>
            </w:pPr>
            <w:r>
              <w:rPr>
                <w:rFonts w:ascii="Arial" w:cs="Arial" w:eastAsia="Arial" w:hAnsi="Arial"/>
                <w:sz w:val="16"/>
                <w:szCs w:val="16"/>
                <w:color w:val="auto"/>
              </w:rPr>
              <w:t>Mortgage on</w:t>
            </w:r>
          </w:p>
        </w:tc>
        <w:tc>
          <w:tcPr>
            <w:tcW w:w="1140" w:type="dxa"/>
            <w:vAlign w:val="bottom"/>
          </w:tcPr>
          <w:p>
            <w:pPr>
              <w:jc w:val="right"/>
              <w:ind w:right="823"/>
              <w:spacing w:after="0"/>
              <w:rPr>
                <w:sz w:val="20"/>
                <w:szCs w:val="20"/>
                <w:color w:val="auto"/>
              </w:rPr>
            </w:pPr>
            <w:r>
              <w:rPr>
                <w:rFonts w:ascii="Arial" w:cs="Arial" w:eastAsia="Arial" w:hAnsi="Arial"/>
                <w:sz w:val="16"/>
                <w:szCs w:val="16"/>
                <w:color w:val="auto"/>
                <w:w w:val="94"/>
              </w:rPr>
              <w:t>9%</w:t>
            </w: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auto"/>
              </w:rPr>
              <w:t>December 2014</w:t>
            </w: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Interest only</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5"/>
              <w:spacing w:after="0"/>
              <w:rPr>
                <w:sz w:val="20"/>
                <w:szCs w:val="20"/>
                <w:color w:val="auto"/>
              </w:rPr>
            </w:pPr>
            <w:r>
              <w:rPr>
                <w:rFonts w:ascii="Arial" w:cs="Arial" w:eastAsia="Arial" w:hAnsi="Arial"/>
                <w:sz w:val="16"/>
                <w:szCs w:val="16"/>
                <w:color w:val="auto"/>
              </w:rPr>
              <w:t>3,612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5"/>
              <w:spacing w:after="0"/>
              <w:rPr>
                <w:sz w:val="20"/>
                <w:szCs w:val="20"/>
                <w:color w:val="auto"/>
              </w:rPr>
            </w:pPr>
            <w:r>
              <w:rPr>
                <w:rFonts w:ascii="Arial" w:cs="Arial" w:eastAsia="Arial" w:hAnsi="Arial"/>
                <w:sz w:val="16"/>
                <w:szCs w:val="16"/>
                <w:color w:val="auto"/>
              </w:rPr>
              <w:t>3,612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720" w:type="dxa"/>
            <w:vAlign w:val="bottom"/>
            <w:gridSpan w:val="2"/>
          </w:tcPr>
          <w:p>
            <w:pPr>
              <w:ind w:left="40"/>
              <w:spacing w:after="0"/>
              <w:rPr>
                <w:sz w:val="20"/>
                <w:szCs w:val="20"/>
                <w:color w:val="auto"/>
              </w:rPr>
            </w:pPr>
            <w:r>
              <w:rPr>
                <w:rFonts w:ascii="Arial" w:cs="Arial" w:eastAsia="Arial" w:hAnsi="Arial"/>
                <w:sz w:val="16"/>
                <w:szCs w:val="16"/>
                <w:color w:val="auto"/>
              </w:rPr>
              <w:t>restaurant building in</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monthly through</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gridSpan w:val="2"/>
          </w:tcPr>
          <w:p>
            <w:pPr>
              <w:ind w:left="40"/>
              <w:spacing w:after="0"/>
              <w:rPr>
                <w:sz w:val="20"/>
                <w:szCs w:val="20"/>
                <w:color w:val="auto"/>
              </w:rPr>
            </w:pPr>
            <w:r>
              <w:rPr>
                <w:rFonts w:ascii="Arial" w:cs="Arial" w:eastAsia="Arial" w:hAnsi="Arial"/>
                <w:sz w:val="16"/>
                <w:szCs w:val="16"/>
                <w:color w:val="auto"/>
              </w:rPr>
              <w:t>Rockville, MD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January 31, 2011;</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color w:val="auto"/>
                <w:w w:val="98"/>
              </w:rPr>
              <w:t>balloon payment due</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at maturity(5)</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 on retail</w:t>
            </w:r>
          </w:p>
        </w:tc>
        <w:tc>
          <w:tcPr>
            <w:tcW w:w="114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w w:val="94"/>
              </w:rPr>
              <w:t>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2014</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only;</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11,715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11,715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building in Norwalk, CT</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balloon payment due</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at maturity(6)</w:t>
            </w: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rPr>
              <w:t>57,777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rPr>
              <w:t>55,648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
        </w:trPr>
        <w:tc>
          <w:tcPr>
            <w:tcW w:w="2860" w:type="dxa"/>
            <w:vAlign w:val="bottom"/>
            <w:gridSpan w:val="3"/>
            <w:vMerge w:val="restart"/>
          </w:tcPr>
          <w:p>
            <w:pPr>
              <w:jc w:val="right"/>
              <w:ind w:right="963"/>
              <w:spacing w:after="0"/>
              <w:rPr>
                <w:sz w:val="20"/>
                <w:szCs w:val="20"/>
                <w:color w:val="auto"/>
              </w:rPr>
            </w:pPr>
            <w:r>
              <w:rPr>
                <w:rFonts w:ascii="Arial" w:cs="Arial" w:eastAsia="Arial" w:hAnsi="Arial"/>
                <w:sz w:val="17"/>
                <w:szCs w:val="17"/>
                <w:color w:val="auto"/>
                <w:w w:val="90"/>
              </w:rPr>
              <w:t>_____________________</w:t>
            </w: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6"/>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Federal tax purposes, the aggregate tax basis is approximately $57.8 million as of December 31, 2012.</w:t>
      </w:r>
    </w:p>
    <w:p>
      <w:pPr>
        <w:spacing w:after="0" w:line="2" w:lineRule="exact"/>
        <w:rPr>
          <w:rFonts w:ascii="Arial" w:cs="Arial" w:eastAsia="Arial" w:hAnsi="Arial"/>
          <w:sz w:val="16"/>
          <w:szCs w:val="16"/>
          <w:color w:val="auto"/>
        </w:rPr>
      </w:pPr>
    </w:p>
    <w:p>
      <w:pPr>
        <w:ind w:left="320" w:hanging="316"/>
        <w:spacing w:after="0" w:line="237" w:lineRule="auto"/>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mortgage is available for up to $25.0 million.</w:t>
      </w:r>
    </w:p>
    <w:p>
      <w:pPr>
        <w:ind w:left="320" w:right="100" w:hanging="316"/>
        <w:spacing w:after="0" w:line="237" w:lineRule="auto"/>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note was amended on August 4, 2006. The amended note decreased the interest from 14% to 9% per annum, and requires monthly payments of principal and interest based on 15-year amortization schedule.</w:t>
      </w:r>
    </w:p>
    <w:p>
      <w:pPr>
        <w:ind w:left="320" w:hanging="316"/>
        <w:spacing w:after="0" w:line="237" w:lineRule="auto"/>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do not hold the first mortgage loan on this property. Accordingly, the amount of the prior lien at December 31, 2012 is estimated.</w:t>
      </w:r>
    </w:p>
    <w:p>
      <w:pPr>
        <w:ind w:left="320" w:right="100" w:hanging="316"/>
        <w:spacing w:after="0" w:line="237" w:lineRule="auto"/>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Beginning February 1, 2011, the note requires monthly payments of principal and interest based on a 30-year amortization schedule. The borrower has one, three-year extension option with an interest rate of 12% which increases 1% in each subsequent year of the extension term.</w:t>
      </w:r>
    </w:p>
    <w:p>
      <w:pPr>
        <w:ind w:left="320" w:hanging="316"/>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loan is subject to a one year extension option with an interest rate of 7% .</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420"/>
          </w:cols>
          <w:pgMar w:left="240" w:top="125"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4"/>
        </w:trPr>
        <w:tc>
          <w:tcPr>
            <w:tcW w:w="3220" w:type="dxa"/>
            <w:vAlign w:val="bottom"/>
            <w:gridSpan w:val="2"/>
          </w:tcPr>
          <w:p>
            <w:pPr>
              <w:spacing w:after="0"/>
              <w:rPr>
                <w:rFonts w:ascii="Arial" w:cs="Arial" w:eastAsia="Arial" w:hAnsi="Arial"/>
                <w:sz w:val="16"/>
                <w:szCs w:val="16"/>
                <w:b w:val="1"/>
                <w:bCs w:val="1"/>
                <w:color w:val="0000FF"/>
              </w:rPr>
            </w:pPr>
            <w:hyperlink w:anchor="page52">
              <w:r>
                <w:rPr>
                  <w:rFonts w:ascii="Arial" w:cs="Arial" w:eastAsia="Arial" w:hAnsi="Arial"/>
                  <w:sz w:val="16"/>
                  <w:szCs w:val="16"/>
                  <w:b w:val="1"/>
                  <w:bCs w:val="1"/>
                  <w:color w:val="0000FF"/>
                </w:rPr>
                <w:t>Table of Contents</w:t>
              </w:r>
            </w:hyperlink>
          </w:p>
        </w:tc>
        <w:tc>
          <w:tcPr>
            <w:tcW w:w="6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60"/>
        </w:trPr>
        <w:tc>
          <w:tcPr>
            <w:tcW w:w="1180" w:type="dxa"/>
            <w:vAlign w:val="bottom"/>
            <w:tcBorders>
              <w:top w:val="single" w:sz="8" w:color="0000FF"/>
            </w:tcBorders>
          </w:tcPr>
          <w:p>
            <w:pPr>
              <w:spacing w:after="0"/>
              <w:rPr>
                <w:sz w:val="24"/>
                <w:szCs w:val="24"/>
                <w:color w:val="auto"/>
              </w:rPr>
            </w:pPr>
          </w:p>
        </w:tc>
        <w:tc>
          <w:tcPr>
            <w:tcW w:w="2040" w:type="dxa"/>
            <w:vAlign w:val="bottom"/>
          </w:tcPr>
          <w:p>
            <w:pPr>
              <w:spacing w:after="0"/>
              <w:rPr>
                <w:sz w:val="24"/>
                <w:szCs w:val="24"/>
                <w:color w:val="auto"/>
              </w:rPr>
            </w:pPr>
          </w:p>
        </w:tc>
        <w:tc>
          <w:tcPr>
            <w:tcW w:w="7260" w:type="dxa"/>
            <w:vAlign w:val="bottom"/>
            <w:gridSpan w:val="2"/>
          </w:tcPr>
          <w:p>
            <w:pPr>
              <w:jc w:val="center"/>
              <w:ind w:right="2193"/>
              <w:spacing w:after="0"/>
              <w:rPr>
                <w:sz w:val="20"/>
                <w:szCs w:val="20"/>
                <w:color w:val="auto"/>
              </w:rPr>
            </w:pPr>
            <w:r>
              <w:rPr>
                <w:rFonts w:ascii="Arial" w:cs="Arial" w:eastAsia="Arial" w:hAnsi="Arial"/>
                <w:sz w:val="17"/>
                <w:szCs w:val="17"/>
                <w:b w:val="1"/>
                <w:bCs w:val="1"/>
                <w:color w:val="auto"/>
              </w:rPr>
              <w:t>FEDERAL REALTY INVESTMENT TRUST</w:t>
            </w:r>
          </w:p>
        </w:tc>
        <w:tc>
          <w:tcPr>
            <w:tcW w:w="940" w:type="dxa"/>
            <w:vAlign w:val="bottom"/>
          </w:tcPr>
          <w:p>
            <w:pPr>
              <w:spacing w:after="0"/>
              <w:rPr>
                <w:sz w:val="24"/>
                <w:szCs w:val="24"/>
                <w:color w:val="auto"/>
              </w:rPr>
            </w:pPr>
          </w:p>
        </w:tc>
      </w:tr>
      <w:tr>
        <w:trPr>
          <w:trHeight w:val="208"/>
        </w:trPr>
        <w:tc>
          <w:tcPr>
            <w:tcW w:w="1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60" w:type="dxa"/>
            <w:vAlign w:val="bottom"/>
            <w:gridSpan w:val="2"/>
          </w:tcPr>
          <w:p>
            <w:pPr>
              <w:jc w:val="center"/>
              <w:ind w:right="2193"/>
              <w:spacing w:after="0"/>
              <w:rPr>
                <w:sz w:val="20"/>
                <w:szCs w:val="20"/>
                <w:color w:val="auto"/>
              </w:rPr>
            </w:pPr>
            <w:r>
              <w:rPr>
                <w:rFonts w:ascii="Arial" w:cs="Arial" w:eastAsia="Arial" w:hAnsi="Arial"/>
                <w:sz w:val="17"/>
                <w:szCs w:val="17"/>
                <w:b w:val="1"/>
                <w:bCs w:val="1"/>
                <w:color w:val="auto"/>
              </w:rPr>
              <w:t>SCHEDULE IV</w:t>
            </w:r>
          </w:p>
        </w:tc>
        <w:tc>
          <w:tcPr>
            <w:tcW w:w="940" w:type="dxa"/>
            <w:vAlign w:val="bottom"/>
          </w:tcPr>
          <w:p>
            <w:pPr>
              <w:spacing w:after="0"/>
              <w:rPr>
                <w:sz w:val="18"/>
                <w:szCs w:val="18"/>
                <w:color w:val="auto"/>
              </w:rPr>
            </w:pPr>
          </w:p>
        </w:tc>
      </w:tr>
      <w:tr>
        <w:trPr>
          <w:trHeight w:val="208"/>
        </w:trPr>
        <w:tc>
          <w:tcPr>
            <w:tcW w:w="1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60" w:type="dxa"/>
            <w:vAlign w:val="bottom"/>
            <w:gridSpan w:val="2"/>
          </w:tcPr>
          <w:p>
            <w:pPr>
              <w:jc w:val="center"/>
              <w:ind w:right="2193"/>
              <w:spacing w:after="0"/>
              <w:rPr>
                <w:sz w:val="20"/>
                <w:szCs w:val="20"/>
                <w:color w:val="auto"/>
              </w:rPr>
            </w:pPr>
            <w:r>
              <w:rPr>
                <w:rFonts w:ascii="Arial" w:cs="Arial" w:eastAsia="Arial" w:hAnsi="Arial"/>
                <w:sz w:val="17"/>
                <w:szCs w:val="17"/>
                <w:b w:val="1"/>
                <w:bCs w:val="1"/>
                <w:color w:val="auto"/>
              </w:rPr>
              <w:t>MORTGAGE LOANS ON REAL ESTATE - CONTINUED</w:t>
            </w:r>
          </w:p>
        </w:tc>
        <w:tc>
          <w:tcPr>
            <w:tcW w:w="940" w:type="dxa"/>
            <w:vAlign w:val="bottom"/>
          </w:tcPr>
          <w:p>
            <w:pPr>
              <w:spacing w:after="0"/>
              <w:rPr>
                <w:sz w:val="18"/>
                <w:szCs w:val="18"/>
                <w:color w:val="auto"/>
              </w:rPr>
            </w:pPr>
          </w:p>
        </w:tc>
      </w:tr>
      <w:tr>
        <w:trPr>
          <w:trHeight w:val="208"/>
        </w:trPr>
        <w:tc>
          <w:tcPr>
            <w:tcW w:w="1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60" w:type="dxa"/>
            <w:vAlign w:val="bottom"/>
            <w:gridSpan w:val="2"/>
          </w:tcPr>
          <w:p>
            <w:pPr>
              <w:jc w:val="center"/>
              <w:ind w:right="2193"/>
              <w:spacing w:after="0"/>
              <w:rPr>
                <w:sz w:val="20"/>
                <w:szCs w:val="20"/>
                <w:color w:val="auto"/>
              </w:rPr>
            </w:pPr>
            <w:r>
              <w:rPr>
                <w:rFonts w:ascii="Arial" w:cs="Arial" w:eastAsia="Arial" w:hAnsi="Arial"/>
                <w:sz w:val="17"/>
                <w:szCs w:val="17"/>
                <w:b w:val="1"/>
                <w:bCs w:val="1"/>
                <w:color w:val="auto"/>
                <w:w w:val="91"/>
              </w:rPr>
              <w:t>Three Years Ended December 31, 2012</w:t>
            </w:r>
          </w:p>
        </w:tc>
        <w:tc>
          <w:tcPr>
            <w:tcW w:w="940" w:type="dxa"/>
            <w:vAlign w:val="bottom"/>
          </w:tcPr>
          <w:p>
            <w:pPr>
              <w:spacing w:after="0"/>
              <w:rPr>
                <w:sz w:val="18"/>
                <w:szCs w:val="18"/>
                <w:color w:val="auto"/>
              </w:rPr>
            </w:pPr>
          </w:p>
        </w:tc>
      </w:tr>
      <w:tr>
        <w:trPr>
          <w:trHeight w:val="208"/>
        </w:trPr>
        <w:tc>
          <w:tcPr>
            <w:tcW w:w="1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60" w:type="dxa"/>
            <w:vAlign w:val="bottom"/>
            <w:gridSpan w:val="2"/>
          </w:tcPr>
          <w:p>
            <w:pPr>
              <w:jc w:val="center"/>
              <w:ind w:right="2193"/>
              <w:spacing w:after="0"/>
              <w:rPr>
                <w:sz w:val="20"/>
                <w:szCs w:val="20"/>
                <w:color w:val="auto"/>
              </w:rPr>
            </w:pPr>
            <w:r>
              <w:rPr>
                <w:rFonts w:ascii="Arial" w:cs="Arial" w:eastAsia="Arial" w:hAnsi="Arial"/>
                <w:sz w:val="17"/>
                <w:szCs w:val="17"/>
                <w:b w:val="1"/>
                <w:bCs w:val="1"/>
                <w:color w:val="auto"/>
                <w:w w:val="93"/>
              </w:rPr>
              <w:t>Reconciliation of Carrying Amount</w:t>
            </w:r>
          </w:p>
        </w:tc>
        <w:tc>
          <w:tcPr>
            <w:tcW w:w="940" w:type="dxa"/>
            <w:vAlign w:val="bottom"/>
          </w:tcPr>
          <w:p>
            <w:pPr>
              <w:spacing w:after="0"/>
              <w:rPr>
                <w:sz w:val="18"/>
                <w:szCs w:val="18"/>
                <w:color w:val="auto"/>
              </w:rPr>
            </w:pPr>
          </w:p>
        </w:tc>
      </w:tr>
      <w:tr>
        <w:trPr>
          <w:trHeight w:val="226"/>
        </w:trPr>
        <w:tc>
          <w:tcPr>
            <w:tcW w:w="1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260" w:type="dxa"/>
            <w:vAlign w:val="bottom"/>
            <w:gridSpan w:val="2"/>
          </w:tcPr>
          <w:p>
            <w:pPr>
              <w:jc w:val="center"/>
              <w:ind w:right="2193"/>
              <w:spacing w:after="0"/>
              <w:rPr>
                <w:sz w:val="20"/>
                <w:szCs w:val="20"/>
                <w:color w:val="auto"/>
              </w:rPr>
            </w:pPr>
            <w:r>
              <w:rPr>
                <w:rFonts w:ascii="Arial" w:cs="Arial" w:eastAsia="Arial" w:hAnsi="Arial"/>
                <w:sz w:val="17"/>
                <w:szCs w:val="17"/>
                <w:b w:val="1"/>
                <w:bCs w:val="1"/>
                <w:color w:val="auto"/>
                <w:w w:val="90"/>
              </w:rPr>
              <w:t>(in thousands)</w:t>
            </w:r>
          </w:p>
        </w:tc>
        <w:tc>
          <w:tcPr>
            <w:tcW w:w="940" w:type="dxa"/>
            <w:vAlign w:val="bottom"/>
          </w:tcPr>
          <w:p>
            <w:pPr>
              <w:spacing w:after="0"/>
              <w:rPr>
                <w:sz w:val="19"/>
                <w:szCs w:val="19"/>
                <w:color w:val="auto"/>
              </w:rPr>
            </w:pPr>
          </w:p>
        </w:tc>
      </w:tr>
      <w:tr>
        <w:trPr>
          <w:trHeight w:val="312"/>
        </w:trPr>
        <w:tc>
          <w:tcPr>
            <w:tcW w:w="1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December 31, 2009</w:t>
            </w:r>
          </w:p>
        </w:tc>
        <w:tc>
          <w:tcPr>
            <w:tcW w:w="7260" w:type="dxa"/>
            <w:vAlign w:val="bottom"/>
            <w:tcBorders>
              <w:bottom w:val="single" w:sz="8" w:color="CCEEFF"/>
            </w:tcBorders>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48,336</w:t>
            </w:r>
          </w:p>
        </w:tc>
      </w:tr>
      <w:tr>
        <w:trPr>
          <w:trHeight w:val="234"/>
        </w:trPr>
        <w:tc>
          <w:tcPr>
            <w:tcW w:w="3220" w:type="dxa"/>
            <w:vAlign w:val="bottom"/>
            <w:gridSpan w:val="2"/>
          </w:tcPr>
          <w:p>
            <w:pPr>
              <w:ind w:left="260"/>
              <w:spacing w:after="0"/>
              <w:rPr>
                <w:sz w:val="20"/>
                <w:szCs w:val="20"/>
                <w:color w:val="auto"/>
              </w:rPr>
            </w:pPr>
            <w:r>
              <w:rPr>
                <w:rFonts w:ascii="Arial" w:cs="Arial" w:eastAsia="Arial" w:hAnsi="Arial"/>
                <w:sz w:val="17"/>
                <w:szCs w:val="17"/>
                <w:color w:val="auto"/>
              </w:rPr>
              <w:t>Additions during period:</w:t>
            </w:r>
          </w:p>
        </w:tc>
        <w:tc>
          <w:tcPr>
            <w:tcW w:w="6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32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Issuance of loans</w:t>
            </w:r>
          </w:p>
        </w:tc>
        <w:tc>
          <w:tcPr>
            <w:tcW w:w="68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14,787</w:t>
            </w:r>
          </w:p>
        </w:tc>
      </w:tr>
      <w:tr>
        <w:trPr>
          <w:trHeight w:val="234"/>
        </w:trPr>
        <w:tc>
          <w:tcPr>
            <w:tcW w:w="3220" w:type="dxa"/>
            <w:vAlign w:val="bottom"/>
            <w:gridSpan w:val="2"/>
          </w:tcPr>
          <w:p>
            <w:pPr>
              <w:ind w:left="260"/>
              <w:spacing w:after="0"/>
              <w:rPr>
                <w:sz w:val="20"/>
                <w:szCs w:val="20"/>
                <w:color w:val="auto"/>
              </w:rPr>
            </w:pPr>
            <w:r>
              <w:rPr>
                <w:rFonts w:ascii="Arial" w:cs="Arial" w:eastAsia="Arial" w:hAnsi="Arial"/>
                <w:sz w:val="17"/>
                <w:szCs w:val="17"/>
                <w:color w:val="auto"/>
              </w:rPr>
              <w:t>Deductions during period:</w:t>
            </w:r>
          </w:p>
        </w:tc>
        <w:tc>
          <w:tcPr>
            <w:tcW w:w="6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32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Collection and satisfaction of loans</w:t>
            </w:r>
          </w:p>
        </w:tc>
        <w:tc>
          <w:tcPr>
            <w:tcW w:w="68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(464)</w:t>
            </w:r>
          </w:p>
        </w:tc>
      </w:tr>
      <w:tr>
        <w:trPr>
          <w:trHeight w:val="234"/>
        </w:trPr>
        <w:tc>
          <w:tcPr>
            <w:tcW w:w="3220" w:type="dxa"/>
            <w:vAlign w:val="bottom"/>
            <w:gridSpan w:val="2"/>
          </w:tcPr>
          <w:p>
            <w:pPr>
              <w:ind w:left="480"/>
              <w:spacing w:after="0"/>
              <w:rPr>
                <w:sz w:val="20"/>
                <w:szCs w:val="20"/>
                <w:color w:val="auto"/>
              </w:rPr>
            </w:pPr>
            <w:r>
              <w:rPr>
                <w:rFonts w:ascii="Arial" w:cs="Arial" w:eastAsia="Arial" w:hAnsi="Arial"/>
                <w:sz w:val="17"/>
                <w:szCs w:val="17"/>
                <w:color w:val="auto"/>
              </w:rPr>
              <w:t>Amortization of discount /loan fee</w:t>
            </w:r>
          </w:p>
        </w:tc>
        <w:tc>
          <w:tcPr>
            <w:tcW w:w="6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465</w:t>
            </w: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0"/>
        </w:trPr>
        <w:tc>
          <w:tcPr>
            <w:tcW w:w="32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Consolidation of VIE</w:t>
            </w:r>
          </w:p>
        </w:tc>
        <w:tc>
          <w:tcPr>
            <w:tcW w:w="6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(18,311)</w:t>
            </w:r>
          </w:p>
        </w:tc>
      </w:tr>
      <w:tr>
        <w:trPr>
          <w:trHeight w:val="227"/>
        </w:trPr>
        <w:tc>
          <w:tcPr>
            <w:tcW w:w="3220" w:type="dxa"/>
            <w:vAlign w:val="bottom"/>
            <w:gridSpan w:val="2"/>
          </w:tcPr>
          <w:p>
            <w:pPr>
              <w:ind w:left="40"/>
              <w:spacing w:after="0"/>
              <w:rPr>
                <w:sz w:val="20"/>
                <w:szCs w:val="20"/>
                <w:color w:val="auto"/>
              </w:rPr>
            </w:pPr>
            <w:r>
              <w:rPr>
                <w:rFonts w:ascii="Arial" w:cs="Arial" w:eastAsia="Arial" w:hAnsi="Arial"/>
                <w:sz w:val="17"/>
                <w:szCs w:val="17"/>
                <w:color w:val="auto"/>
              </w:rPr>
              <w:t>Balance, December 31, 2010</w:t>
            </w:r>
          </w:p>
        </w:tc>
        <w:tc>
          <w:tcPr>
            <w:tcW w:w="68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44,813</w:t>
            </w: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3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Additions during period:</w:t>
            </w:r>
          </w:p>
        </w:tc>
        <w:tc>
          <w:tcPr>
            <w:tcW w:w="68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4"/>
        </w:trPr>
        <w:tc>
          <w:tcPr>
            <w:tcW w:w="3220" w:type="dxa"/>
            <w:vAlign w:val="bottom"/>
            <w:gridSpan w:val="2"/>
          </w:tcPr>
          <w:p>
            <w:pPr>
              <w:ind w:left="480"/>
              <w:spacing w:after="0"/>
              <w:rPr>
                <w:sz w:val="20"/>
                <w:szCs w:val="20"/>
                <w:color w:val="auto"/>
              </w:rPr>
            </w:pPr>
            <w:r>
              <w:rPr>
                <w:rFonts w:ascii="Arial" w:cs="Arial" w:eastAsia="Arial" w:hAnsi="Arial"/>
                <w:sz w:val="17"/>
                <w:szCs w:val="17"/>
                <w:color w:val="auto"/>
              </w:rPr>
              <w:t>Issuance of loans</w:t>
            </w:r>
          </w:p>
        </w:tc>
        <w:tc>
          <w:tcPr>
            <w:tcW w:w="6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130</w:t>
            </w: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32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Deconsolidation of VIE</w:t>
            </w:r>
          </w:p>
        </w:tc>
        <w:tc>
          <w:tcPr>
            <w:tcW w:w="68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18,311</w:t>
            </w:r>
          </w:p>
        </w:tc>
      </w:tr>
      <w:tr>
        <w:trPr>
          <w:trHeight w:val="234"/>
        </w:trPr>
        <w:tc>
          <w:tcPr>
            <w:tcW w:w="3220" w:type="dxa"/>
            <w:vAlign w:val="bottom"/>
            <w:gridSpan w:val="2"/>
          </w:tcPr>
          <w:p>
            <w:pPr>
              <w:ind w:left="260"/>
              <w:spacing w:after="0"/>
              <w:rPr>
                <w:sz w:val="20"/>
                <w:szCs w:val="20"/>
                <w:color w:val="auto"/>
              </w:rPr>
            </w:pPr>
            <w:r>
              <w:rPr>
                <w:rFonts w:ascii="Arial" w:cs="Arial" w:eastAsia="Arial" w:hAnsi="Arial"/>
                <w:sz w:val="17"/>
                <w:szCs w:val="17"/>
                <w:color w:val="auto"/>
              </w:rPr>
              <w:t>Deductions during period:</w:t>
            </w:r>
          </w:p>
        </w:tc>
        <w:tc>
          <w:tcPr>
            <w:tcW w:w="6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32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Collection and satisfaction of loans</w:t>
            </w:r>
          </w:p>
        </w:tc>
        <w:tc>
          <w:tcPr>
            <w:tcW w:w="68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(7,598)</w:t>
            </w:r>
          </w:p>
        </w:tc>
      </w:tr>
      <w:tr>
        <w:trPr>
          <w:trHeight w:val="234"/>
        </w:trPr>
        <w:tc>
          <w:tcPr>
            <w:tcW w:w="3220" w:type="dxa"/>
            <w:vAlign w:val="bottom"/>
            <w:gridSpan w:val="2"/>
          </w:tcPr>
          <w:p>
            <w:pPr>
              <w:ind w:left="480"/>
              <w:spacing w:after="0"/>
              <w:rPr>
                <w:sz w:val="20"/>
                <w:szCs w:val="20"/>
                <w:color w:val="auto"/>
              </w:rPr>
            </w:pPr>
            <w:r>
              <w:rPr>
                <w:rFonts w:ascii="Arial" w:cs="Arial" w:eastAsia="Arial" w:hAnsi="Arial"/>
                <w:sz w:val="17"/>
                <w:szCs w:val="17"/>
                <w:color w:val="auto"/>
              </w:rPr>
              <w:t>Amortization of discount</w:t>
            </w:r>
          </w:p>
        </w:tc>
        <w:tc>
          <w:tcPr>
            <w:tcW w:w="6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311</w:t>
            </w:r>
          </w:p>
        </w:tc>
      </w:tr>
      <w:tr>
        <w:trPr>
          <w:trHeight w:val="26"/>
        </w:trPr>
        <w:tc>
          <w:tcPr>
            <w:tcW w:w="11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December 31, 2011</w:t>
            </w:r>
          </w:p>
        </w:tc>
        <w:tc>
          <w:tcPr>
            <w:tcW w:w="68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55,967</w:t>
            </w:r>
          </w:p>
        </w:tc>
      </w:tr>
      <w:tr>
        <w:trPr>
          <w:trHeight w:val="234"/>
        </w:trPr>
        <w:tc>
          <w:tcPr>
            <w:tcW w:w="3220" w:type="dxa"/>
            <w:vAlign w:val="bottom"/>
            <w:gridSpan w:val="2"/>
          </w:tcPr>
          <w:p>
            <w:pPr>
              <w:ind w:left="260"/>
              <w:spacing w:after="0"/>
              <w:rPr>
                <w:sz w:val="20"/>
                <w:szCs w:val="20"/>
                <w:color w:val="auto"/>
              </w:rPr>
            </w:pPr>
            <w:r>
              <w:rPr>
                <w:rFonts w:ascii="Arial" w:cs="Arial" w:eastAsia="Arial" w:hAnsi="Arial"/>
                <w:sz w:val="17"/>
                <w:szCs w:val="17"/>
                <w:color w:val="auto"/>
              </w:rPr>
              <w:t>Additions during period:</w:t>
            </w:r>
          </w:p>
        </w:tc>
        <w:tc>
          <w:tcPr>
            <w:tcW w:w="6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32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Issuance of loans</w:t>
            </w:r>
          </w:p>
        </w:tc>
        <w:tc>
          <w:tcPr>
            <w:tcW w:w="68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70</w:t>
            </w:r>
          </w:p>
        </w:tc>
      </w:tr>
      <w:tr>
        <w:trPr>
          <w:trHeight w:val="234"/>
        </w:trPr>
        <w:tc>
          <w:tcPr>
            <w:tcW w:w="3220" w:type="dxa"/>
            <w:vAlign w:val="bottom"/>
            <w:gridSpan w:val="2"/>
          </w:tcPr>
          <w:p>
            <w:pPr>
              <w:ind w:left="260"/>
              <w:spacing w:after="0"/>
              <w:rPr>
                <w:sz w:val="20"/>
                <w:szCs w:val="20"/>
                <w:color w:val="auto"/>
              </w:rPr>
            </w:pPr>
            <w:r>
              <w:rPr>
                <w:rFonts w:ascii="Arial" w:cs="Arial" w:eastAsia="Arial" w:hAnsi="Arial"/>
                <w:sz w:val="17"/>
                <w:szCs w:val="17"/>
                <w:color w:val="auto"/>
              </w:rPr>
              <w:t>Deductions during period:</w:t>
            </w:r>
          </w:p>
        </w:tc>
        <w:tc>
          <w:tcPr>
            <w:tcW w:w="6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
        </w:trPr>
        <w:tc>
          <w:tcPr>
            <w:tcW w:w="1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32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Collection and satisfaction of loans</w:t>
            </w:r>
          </w:p>
        </w:tc>
        <w:tc>
          <w:tcPr>
            <w:tcW w:w="68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(1,161)</w:t>
            </w:r>
          </w:p>
        </w:tc>
      </w:tr>
      <w:tr>
        <w:trPr>
          <w:trHeight w:val="234"/>
        </w:trPr>
        <w:tc>
          <w:tcPr>
            <w:tcW w:w="3220" w:type="dxa"/>
            <w:vAlign w:val="bottom"/>
            <w:gridSpan w:val="2"/>
          </w:tcPr>
          <w:p>
            <w:pPr>
              <w:ind w:left="480"/>
              <w:spacing w:after="0"/>
              <w:rPr>
                <w:sz w:val="20"/>
                <w:szCs w:val="20"/>
                <w:color w:val="auto"/>
              </w:rPr>
            </w:pPr>
            <w:r>
              <w:rPr>
                <w:rFonts w:ascii="Arial" w:cs="Arial" w:eastAsia="Arial" w:hAnsi="Arial"/>
                <w:sz w:val="17"/>
                <w:szCs w:val="17"/>
                <w:color w:val="auto"/>
              </w:rPr>
              <w:t>Amortization of discount</w:t>
            </w:r>
          </w:p>
        </w:tc>
        <w:tc>
          <w:tcPr>
            <w:tcW w:w="6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772</w:t>
            </w:r>
          </w:p>
        </w:tc>
      </w:tr>
      <w:tr>
        <w:trPr>
          <w:trHeight w:val="26"/>
        </w:trPr>
        <w:tc>
          <w:tcPr>
            <w:tcW w:w="11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7"/>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Balance, December 31, 2012</w:t>
            </w:r>
          </w:p>
        </w:tc>
        <w:tc>
          <w:tcPr>
            <w:tcW w:w="6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55,648</w:t>
            </w:r>
          </w:p>
        </w:tc>
      </w:tr>
      <w:tr>
        <w:trPr>
          <w:trHeight w:val="20"/>
        </w:trPr>
        <w:tc>
          <w:tcPr>
            <w:tcW w:w="1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18"/>
        </w:trPr>
        <w:tc>
          <w:tcPr>
            <w:tcW w:w="1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60" w:type="dxa"/>
            <w:vAlign w:val="bottom"/>
            <w:gridSpan w:val="2"/>
          </w:tcPr>
          <w:p>
            <w:pPr>
              <w:jc w:val="center"/>
              <w:ind w:right="2173"/>
              <w:spacing w:after="0"/>
              <w:rPr>
                <w:sz w:val="20"/>
                <w:szCs w:val="20"/>
                <w:color w:val="auto"/>
              </w:rPr>
            </w:pPr>
            <w:r>
              <w:rPr>
                <w:rFonts w:ascii="Arial" w:cs="Arial" w:eastAsia="Arial" w:hAnsi="Arial"/>
                <w:sz w:val="17"/>
                <w:szCs w:val="17"/>
                <w:color w:val="auto"/>
                <w:w w:val="91"/>
              </w:rPr>
              <w:t>F-39</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0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459"/>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w w:val="95"/>
              </w:rPr>
              <w:t>Declaration of Trust of Federal Realty Investment Trust dated May 5, 1999 as amended by the Articles of Amendment of Declaration of Trust of</w:t>
            </w:r>
          </w:p>
        </w:tc>
        <w:tc>
          <w:tcPr>
            <w:tcW w:w="0" w:type="dxa"/>
            <w:vAlign w:val="bottom"/>
          </w:tcPr>
          <w:p>
            <w:pPr>
              <w:spacing w:after="0"/>
              <w:rPr>
                <w:sz w:val="1"/>
                <w:szCs w:val="1"/>
                <w:color w:val="auto"/>
              </w:rPr>
            </w:pPr>
          </w:p>
        </w:tc>
      </w:tr>
      <w:tr>
        <w:trPr>
          <w:trHeight w:val="208"/>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Federal Realty Investment Trust dated May 6, 2004, as corrected by the Certificate of Correction of Articles of Amendment of Declaration of Trust</w:t>
            </w:r>
          </w:p>
        </w:tc>
        <w:tc>
          <w:tcPr>
            <w:tcW w:w="0" w:type="dxa"/>
            <w:vAlign w:val="bottom"/>
          </w:tcPr>
          <w:p>
            <w:pPr>
              <w:spacing w:after="0"/>
              <w:rPr>
                <w:sz w:val="1"/>
                <w:szCs w:val="1"/>
                <w:color w:val="auto"/>
              </w:rPr>
            </w:pPr>
          </w:p>
        </w:tc>
      </w:tr>
      <w:tr>
        <w:trPr>
          <w:trHeight w:val="208"/>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7"/>
              </w:rPr>
              <w:t>of Federal Realty Investment Trust dated June 17, 2004, as amended by the Articles of Amendment of Declaration of Trust of Federal Realty</w:t>
            </w:r>
          </w:p>
        </w:tc>
        <w:tc>
          <w:tcPr>
            <w:tcW w:w="0" w:type="dxa"/>
            <w:vAlign w:val="bottom"/>
          </w:tcPr>
          <w:p>
            <w:pPr>
              <w:spacing w:after="0"/>
              <w:rPr>
                <w:sz w:val="1"/>
                <w:szCs w:val="1"/>
                <w:color w:val="auto"/>
              </w:rPr>
            </w:pPr>
          </w:p>
        </w:tc>
      </w:tr>
      <w:tr>
        <w:trPr>
          <w:trHeight w:val="208"/>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Investment Trust dated May 6, 2009 (previously filed as Exhibit 3.1 to the Trust’s Registration Statement on Form S-3 (File No. 333-160009) and</w:t>
            </w:r>
          </w:p>
        </w:tc>
        <w:tc>
          <w:tcPr>
            <w:tcW w:w="0" w:type="dxa"/>
            <w:vAlign w:val="bottom"/>
          </w:tcPr>
          <w:p>
            <w:pPr>
              <w:spacing w:after="0"/>
              <w:rPr>
                <w:sz w:val="1"/>
                <w:szCs w:val="1"/>
                <w:color w:val="auto"/>
              </w:rPr>
            </w:pPr>
          </w:p>
        </w:tc>
      </w:tr>
      <w:tr>
        <w:trPr>
          <w:trHeight w:val="220"/>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65"/>
        </w:trPr>
        <w:tc>
          <w:tcPr>
            <w:tcW w:w="900" w:type="dxa"/>
            <w:vAlign w:val="bottom"/>
          </w:tcPr>
          <w:p>
            <w:pPr>
              <w:ind w:left="40"/>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9"/>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08"/>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February 17, 2006 and May 6, 2009 (previously filed as Exhibit 3.2 to the Trust’s Registration Statement on Form S-3 (File No. 333-160009) and</w:t>
            </w:r>
          </w:p>
        </w:tc>
        <w:tc>
          <w:tcPr>
            <w:tcW w:w="0" w:type="dxa"/>
            <w:vAlign w:val="bottom"/>
          </w:tcPr>
          <w:p>
            <w:pPr>
              <w:spacing w:after="0"/>
              <w:rPr>
                <w:sz w:val="1"/>
                <w:szCs w:val="1"/>
                <w:color w:val="auto"/>
              </w:rPr>
            </w:pPr>
          </w:p>
        </w:tc>
      </w:tr>
      <w:tr>
        <w:trPr>
          <w:trHeight w:val="220"/>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65"/>
        </w:trPr>
        <w:tc>
          <w:tcPr>
            <w:tcW w:w="900" w:type="dxa"/>
            <w:vAlign w:val="bottom"/>
          </w:tcPr>
          <w:p>
            <w:pPr>
              <w:ind w:left="40"/>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Specimen Common Share certificate (previously filed as Exhibit 4(i) to the Trust’s Annual Report on Form 10-K for the year ended December 31,</w:t>
            </w:r>
          </w:p>
        </w:tc>
        <w:tc>
          <w:tcPr>
            <w:tcW w:w="0" w:type="dxa"/>
            <w:vAlign w:val="bottom"/>
          </w:tcPr>
          <w:p>
            <w:pPr>
              <w:spacing w:after="0"/>
              <w:rPr>
                <w:sz w:val="1"/>
                <w:szCs w:val="1"/>
                <w:color w:val="auto"/>
              </w:rPr>
            </w:pPr>
          </w:p>
        </w:tc>
      </w:tr>
      <w:tr>
        <w:trPr>
          <w:trHeight w:val="220"/>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1999 (File No. 1-07533) and incorporated herein by reference)</w:t>
            </w:r>
          </w:p>
        </w:tc>
        <w:tc>
          <w:tcPr>
            <w:tcW w:w="0" w:type="dxa"/>
            <w:vAlign w:val="bottom"/>
          </w:tcPr>
          <w:p>
            <w:pPr>
              <w:spacing w:after="0"/>
              <w:rPr>
                <w:sz w:val="1"/>
                <w:szCs w:val="1"/>
                <w:color w:val="auto"/>
              </w:rPr>
            </w:pPr>
          </w:p>
        </w:tc>
      </w:tr>
      <w:tr>
        <w:trPr>
          <w:trHeight w:val="365"/>
        </w:trPr>
        <w:tc>
          <w:tcPr>
            <w:tcW w:w="900" w:type="dxa"/>
            <w:vAlign w:val="bottom"/>
          </w:tcPr>
          <w:p>
            <w:pPr>
              <w:ind w:left="40"/>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20"/>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482"/>
        </w:trPr>
        <w:tc>
          <w:tcPr>
            <w:tcW w:w="900" w:type="dxa"/>
            <w:vAlign w:val="bottom"/>
          </w:tcPr>
          <w:p>
            <w:pPr>
              <w:ind w:left="40"/>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3"/>
              </w:rPr>
              <w:t>** Indenture dated December 1, 1993 related to the Trust’s 7.48% Debentures due August 15, 2026; and 6.82% Medium Term Notes due August 1,</w:t>
            </w:r>
          </w:p>
        </w:tc>
        <w:tc>
          <w:tcPr>
            <w:tcW w:w="0" w:type="dxa"/>
            <w:vAlign w:val="bottom"/>
          </w:tcPr>
          <w:p>
            <w:pPr>
              <w:spacing w:after="0"/>
              <w:rPr>
                <w:sz w:val="1"/>
                <w:szCs w:val="1"/>
                <w:color w:val="auto"/>
              </w:rPr>
            </w:pPr>
          </w:p>
        </w:tc>
      </w:tr>
      <w:tr>
        <w:trPr>
          <w:trHeight w:val="208"/>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2027; (previously filed as Exhibit 4(a) to the Trust’s Registration Statement on Form S-3 (File No. 33-51029), and amended on Form S-3</w:t>
            </w:r>
          </w:p>
        </w:tc>
        <w:tc>
          <w:tcPr>
            <w:tcW w:w="0" w:type="dxa"/>
            <w:vAlign w:val="bottom"/>
          </w:tcPr>
          <w:p>
            <w:pPr>
              <w:spacing w:after="0"/>
              <w:rPr>
                <w:sz w:val="1"/>
                <w:szCs w:val="1"/>
                <w:color w:val="auto"/>
              </w:rPr>
            </w:pPr>
          </w:p>
        </w:tc>
      </w:tr>
      <w:tr>
        <w:trPr>
          <w:trHeight w:val="220"/>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(File No. 33-63687), filed on December 13, 1993 and incorporated herein by reference)</w:t>
            </w:r>
          </w:p>
        </w:tc>
        <w:tc>
          <w:tcPr>
            <w:tcW w:w="0" w:type="dxa"/>
            <w:vAlign w:val="bottom"/>
          </w:tcPr>
          <w:p>
            <w:pPr>
              <w:spacing w:after="0"/>
              <w:rPr>
                <w:sz w:val="1"/>
                <w:szCs w:val="1"/>
                <w:color w:val="auto"/>
              </w:rPr>
            </w:pPr>
          </w:p>
        </w:tc>
      </w:tr>
      <w:tr>
        <w:trPr>
          <w:trHeight w:val="365"/>
        </w:trPr>
        <w:tc>
          <w:tcPr>
            <w:tcW w:w="900" w:type="dxa"/>
            <w:vAlign w:val="bottom"/>
          </w:tcPr>
          <w:p>
            <w:pPr>
              <w:ind w:left="40"/>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 Indenture dated September 1, 1998 related to the Trust’s 5.65% Notes due 2016; 6.00% Notes due 2012; 6.20% Notes due 2017; 5.40% Notes</w:t>
            </w:r>
          </w:p>
        </w:tc>
        <w:tc>
          <w:tcPr>
            <w:tcW w:w="0" w:type="dxa"/>
            <w:vAlign w:val="bottom"/>
          </w:tcPr>
          <w:p>
            <w:pPr>
              <w:spacing w:after="0"/>
              <w:rPr>
                <w:sz w:val="1"/>
                <w:szCs w:val="1"/>
                <w:color w:val="auto"/>
              </w:rPr>
            </w:pPr>
          </w:p>
        </w:tc>
      </w:tr>
      <w:tr>
        <w:trPr>
          <w:trHeight w:val="208"/>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3"/>
              </w:rPr>
              <w:t>due 2013; 5.95% Notes due 2014 and the 5.90% Notes due 2020 (previously filed as Exhibit 4(a) to the Trust’s Registration Statement on Form S-3</w:t>
            </w:r>
          </w:p>
        </w:tc>
        <w:tc>
          <w:tcPr>
            <w:tcW w:w="0" w:type="dxa"/>
            <w:vAlign w:val="bottom"/>
          </w:tcPr>
          <w:p>
            <w:pPr>
              <w:spacing w:after="0"/>
              <w:rPr>
                <w:sz w:val="1"/>
                <w:szCs w:val="1"/>
                <w:color w:val="auto"/>
              </w:rPr>
            </w:pPr>
          </w:p>
        </w:tc>
      </w:tr>
      <w:tr>
        <w:trPr>
          <w:trHeight w:val="220"/>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(File No. 333-63619) filed on September 17, 1998 and incorporated herein by reference)</w:t>
            </w:r>
          </w:p>
        </w:tc>
        <w:tc>
          <w:tcPr>
            <w:tcW w:w="0" w:type="dxa"/>
            <w:vAlign w:val="bottom"/>
          </w:tcPr>
          <w:p>
            <w:pPr>
              <w:spacing w:after="0"/>
              <w:rPr>
                <w:sz w:val="1"/>
                <w:szCs w:val="1"/>
                <w:color w:val="auto"/>
              </w:rPr>
            </w:pPr>
          </w:p>
        </w:tc>
      </w:tr>
      <w:tr>
        <w:trPr>
          <w:trHeight w:val="365"/>
        </w:trPr>
        <w:tc>
          <w:tcPr>
            <w:tcW w:w="900" w:type="dxa"/>
            <w:vAlign w:val="bottom"/>
          </w:tcPr>
          <w:p>
            <w:pPr>
              <w:ind w:left="40"/>
              <w:spacing w:after="0"/>
              <w:rPr>
                <w:sz w:val="20"/>
                <w:szCs w:val="20"/>
                <w:color w:val="auto"/>
              </w:rPr>
            </w:pPr>
            <w:r>
              <w:rPr>
                <w:rFonts w:ascii="Arial" w:cs="Arial" w:eastAsia="Arial" w:hAnsi="Arial"/>
                <w:sz w:val="17"/>
                <w:szCs w:val="17"/>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3"/>
              </w:rPr>
              <w:t>Amended and Restated 1993 Long-Term Incentive Plan, as amended on October 6, 1997 and further amended on May 6, 1998 (previously filed as</w:t>
            </w:r>
          </w:p>
        </w:tc>
        <w:tc>
          <w:tcPr>
            <w:tcW w:w="0" w:type="dxa"/>
            <w:vAlign w:val="bottom"/>
          </w:tcPr>
          <w:p>
            <w:pPr>
              <w:spacing w:after="0"/>
              <w:rPr>
                <w:sz w:val="1"/>
                <w:szCs w:val="1"/>
                <w:color w:val="auto"/>
              </w:rPr>
            </w:pPr>
          </w:p>
        </w:tc>
      </w:tr>
      <w:tr>
        <w:trPr>
          <w:trHeight w:val="208"/>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6"/>
              </w:rPr>
              <w:t>Exhibit 10.26 to the Trust’s Annual Report on Form 10-K for the year ended December 31, 1998 (File No. 1-07533) and incorporated herein by</w:t>
            </w:r>
          </w:p>
        </w:tc>
        <w:tc>
          <w:tcPr>
            <w:tcW w:w="0" w:type="dxa"/>
            <w:vAlign w:val="bottom"/>
          </w:tcPr>
          <w:p>
            <w:pPr>
              <w:spacing w:after="0"/>
              <w:rPr>
                <w:sz w:val="1"/>
                <w:szCs w:val="1"/>
                <w:color w:val="auto"/>
              </w:rPr>
            </w:pPr>
          </w:p>
        </w:tc>
      </w:tr>
      <w:tr>
        <w:trPr>
          <w:trHeight w:val="220"/>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365"/>
        </w:trPr>
        <w:tc>
          <w:tcPr>
            <w:tcW w:w="900" w:type="dxa"/>
            <w:vAlign w:val="bottom"/>
          </w:tcPr>
          <w:p>
            <w:pPr>
              <w:ind w:left="40"/>
              <w:spacing w:after="0"/>
              <w:rPr>
                <w:sz w:val="20"/>
                <w:szCs w:val="20"/>
                <w:color w:val="auto"/>
              </w:rPr>
            </w:pPr>
            <w:r>
              <w:rPr>
                <w:rFonts w:ascii="Arial" w:cs="Arial" w:eastAsia="Arial" w:hAnsi="Arial"/>
                <w:sz w:val="17"/>
                <w:szCs w:val="17"/>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 Severance Agreement between the Trust and Donald C. Wood dated February 22, 1999 (previously filed as a portion of Exhibit 10 to the Trust’s</w:t>
            </w:r>
          </w:p>
        </w:tc>
        <w:tc>
          <w:tcPr>
            <w:tcW w:w="0" w:type="dxa"/>
            <w:vAlign w:val="bottom"/>
          </w:tcPr>
          <w:p>
            <w:pPr>
              <w:spacing w:after="0"/>
              <w:rPr>
                <w:sz w:val="1"/>
                <w:szCs w:val="1"/>
                <w:color w:val="auto"/>
              </w:rPr>
            </w:pPr>
          </w:p>
        </w:tc>
      </w:tr>
      <w:tr>
        <w:trPr>
          <w:trHeight w:val="208"/>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Quarterly Report on Form 10-Q for the quarter ended March 31, 1999 (File No. 1-07533) (the “1999 1Q Form 10-Q”) and incorporated herein by</w:t>
            </w:r>
          </w:p>
        </w:tc>
        <w:tc>
          <w:tcPr>
            <w:tcW w:w="0" w:type="dxa"/>
            <w:vAlign w:val="bottom"/>
          </w:tcPr>
          <w:p>
            <w:pPr>
              <w:spacing w:after="0"/>
              <w:rPr>
                <w:sz w:val="1"/>
                <w:szCs w:val="1"/>
                <w:color w:val="auto"/>
              </w:rPr>
            </w:pPr>
          </w:p>
        </w:tc>
      </w:tr>
      <w:tr>
        <w:trPr>
          <w:trHeight w:val="220"/>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365"/>
        </w:trPr>
        <w:tc>
          <w:tcPr>
            <w:tcW w:w="900" w:type="dxa"/>
            <w:vAlign w:val="bottom"/>
          </w:tcPr>
          <w:p>
            <w:pPr>
              <w:ind w:left="40"/>
              <w:spacing w:after="0"/>
              <w:rPr>
                <w:sz w:val="20"/>
                <w:szCs w:val="20"/>
                <w:color w:val="auto"/>
              </w:rPr>
            </w:pPr>
            <w:r>
              <w:rPr>
                <w:rFonts w:ascii="Arial" w:cs="Arial" w:eastAsia="Arial" w:hAnsi="Arial"/>
                <w:sz w:val="17"/>
                <w:szCs w:val="17"/>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 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20"/>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Exhibit 10 to the 1999 1Q Form 10-Q and incorporated herein by reference)</w:t>
            </w:r>
          </w:p>
        </w:tc>
        <w:tc>
          <w:tcPr>
            <w:tcW w:w="0" w:type="dxa"/>
            <w:vAlign w:val="bottom"/>
          </w:tcPr>
          <w:p>
            <w:pPr>
              <w:spacing w:after="0"/>
              <w:rPr>
                <w:sz w:val="1"/>
                <w:szCs w:val="1"/>
                <w:color w:val="auto"/>
              </w:rPr>
            </w:pPr>
          </w:p>
        </w:tc>
      </w:tr>
      <w:tr>
        <w:trPr>
          <w:trHeight w:val="365"/>
        </w:trPr>
        <w:tc>
          <w:tcPr>
            <w:tcW w:w="900" w:type="dxa"/>
            <w:vAlign w:val="bottom"/>
          </w:tcPr>
          <w:p>
            <w:pPr>
              <w:ind w:left="40"/>
              <w:spacing w:after="0"/>
              <w:rPr>
                <w:sz w:val="20"/>
                <w:szCs w:val="20"/>
                <w:color w:val="auto"/>
              </w:rPr>
            </w:pPr>
            <w:r>
              <w:rPr>
                <w:rFonts w:ascii="Arial" w:cs="Arial" w:eastAsia="Arial" w:hAnsi="Arial"/>
                <w:sz w:val="17"/>
                <w:szCs w:val="17"/>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3"/>
              </w:rPr>
              <w:t>* Amendment to Executive Agreement between Federal Realty Investment Trust and Donald C. Wood dated February 16, 2005 (previously filed as</w:t>
            </w:r>
          </w:p>
        </w:tc>
        <w:tc>
          <w:tcPr>
            <w:tcW w:w="0" w:type="dxa"/>
            <w:vAlign w:val="bottom"/>
          </w:tcPr>
          <w:p>
            <w:pPr>
              <w:spacing w:after="0"/>
              <w:rPr>
                <w:sz w:val="1"/>
                <w:szCs w:val="1"/>
                <w:color w:val="auto"/>
              </w:rPr>
            </w:pPr>
          </w:p>
        </w:tc>
      </w:tr>
      <w:tr>
        <w:trPr>
          <w:trHeight w:val="208"/>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6"/>
              </w:rPr>
              <w:t>Exhibit 10.12 to the Trust’s Annual Report on Form 10-K for the year ended December 31, 2004 (File No. 1-07533) (the “2004 Form 10-K”) and</w:t>
            </w:r>
          </w:p>
        </w:tc>
        <w:tc>
          <w:tcPr>
            <w:tcW w:w="0" w:type="dxa"/>
            <w:vAlign w:val="bottom"/>
          </w:tcPr>
          <w:p>
            <w:pPr>
              <w:spacing w:after="0"/>
              <w:rPr>
                <w:sz w:val="1"/>
                <w:szCs w:val="1"/>
                <w:color w:val="auto"/>
              </w:rPr>
            </w:pPr>
          </w:p>
        </w:tc>
      </w:tr>
      <w:tr>
        <w:trPr>
          <w:trHeight w:val="220"/>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65"/>
        </w:trPr>
        <w:tc>
          <w:tcPr>
            <w:tcW w:w="900" w:type="dxa"/>
            <w:vAlign w:val="bottom"/>
          </w:tcPr>
          <w:p>
            <w:pPr>
              <w:ind w:left="40"/>
              <w:spacing w:after="0"/>
              <w:rPr>
                <w:sz w:val="20"/>
                <w:szCs w:val="20"/>
                <w:color w:val="auto"/>
              </w:rPr>
            </w:pPr>
            <w:r>
              <w:rPr>
                <w:rFonts w:ascii="Arial" w:cs="Arial" w:eastAsia="Arial" w:hAnsi="Arial"/>
                <w:sz w:val="17"/>
                <w:szCs w:val="17"/>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 Split Dollar Life Insurance Agreement dated August 12, 1998 between the Trust and Donald C. Wood (previously filed as a portion of Exhibit 10</w:t>
            </w:r>
          </w:p>
        </w:tc>
        <w:tc>
          <w:tcPr>
            <w:tcW w:w="0" w:type="dxa"/>
            <w:vAlign w:val="bottom"/>
          </w:tcPr>
          <w:p>
            <w:pPr>
              <w:spacing w:after="0"/>
              <w:rPr>
                <w:sz w:val="1"/>
                <w:szCs w:val="1"/>
                <w:color w:val="auto"/>
              </w:rPr>
            </w:pPr>
          </w:p>
        </w:tc>
      </w:tr>
      <w:tr>
        <w:trPr>
          <w:trHeight w:val="220"/>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8"/>
              </w:rPr>
              <w:t>to the Trust’s Annual Report on Form 10-K for the year ended December 31, 2000 (File No. 1-07533) and incorporated herein by reference)</w:t>
            </w:r>
          </w:p>
        </w:tc>
        <w:tc>
          <w:tcPr>
            <w:tcW w:w="0" w:type="dxa"/>
            <w:vAlign w:val="bottom"/>
          </w:tcPr>
          <w:p>
            <w:pPr>
              <w:spacing w:after="0"/>
              <w:rPr>
                <w:sz w:val="1"/>
                <w:szCs w:val="1"/>
                <w:color w:val="auto"/>
              </w:rPr>
            </w:pPr>
          </w:p>
        </w:tc>
      </w:tr>
      <w:tr>
        <w:trPr>
          <w:trHeight w:val="365"/>
        </w:trPr>
        <w:tc>
          <w:tcPr>
            <w:tcW w:w="900" w:type="dxa"/>
            <w:vAlign w:val="bottom"/>
          </w:tcPr>
          <w:p>
            <w:pPr>
              <w:ind w:left="40"/>
              <w:spacing w:after="0"/>
              <w:rPr>
                <w:sz w:val="20"/>
                <w:szCs w:val="20"/>
                <w:color w:val="auto"/>
              </w:rPr>
            </w:pPr>
            <w:r>
              <w:rPr>
                <w:rFonts w:ascii="Arial" w:cs="Arial" w:eastAsia="Arial" w:hAnsi="Arial"/>
                <w:sz w:val="17"/>
                <w:szCs w:val="17"/>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8"/>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20"/>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676"/>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80" w:type="dxa"/>
            <w:vAlign w:val="bottom"/>
          </w:tcPr>
          <w:p>
            <w:pPr>
              <w:ind w:left="46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w w:val="95"/>
              </w:rPr>
              <w:t>* 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3"/>
              </w:rPr>
              <w:t>* Severance Agreement between the Trust and Dawn M. Becker dated April 19, 2000 (previously filed as Exhibit 10.26 to the Trust’s 2005 2Q Form</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10-Q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 Amendment to Severance Agreement between the Trust and Dawn M. Becker dated February 16, 2005 (previously filed as Exhibit 10.27 to the</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2004 Form 10-K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10.10</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3"/>
              </w:rPr>
              <w:t>Form of Restricted Share Award Agreement for awards made under the Trust’s 2003 Long-Term Incentive Award Program for shares issued out of</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10.11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6"/>
              </w:rPr>
              <w:t>Form of Restricted Share Award Agreement for awards made under the Trust’s Annual Incentive Bonus Program for shares issued out of 2001</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Long-Term Incentive Plan (previously filed as Exhibit 10.29 to the 2004 Form 10-K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10.12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Form of Option Award Agreement for awards made under the Trust’s 2003 Long-Term Incentive Award Program for shares issued out of the 2001</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Long-Term Incentive Plan (previously filed as Exhibit 10.32 to the 2005 Form 10-K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10.13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6"/>
              </w:rPr>
              <w:t>Amended and Restated 2001 Long-Term Incentive Plan (previously filed as Exhibit 10.34 to the Trust’s Quarterly Report on Form 10-Q for the</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quarter ended June 30, 2008 (File No. 1-07533)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10.14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Change in Control Agreement between the Trust and Andrew P. Blocher dated February 12, 2007 (previously filed as Exhibit 10.27 to the Trust’s</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Quarterly Report on Form 10-Q for the quarter ended September 30, 2008 (File No. 1-07533)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10.15</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6"/>
              </w:rPr>
              <w:t>* 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Trust’s Annual Report on Form 10-K for the year ended December 31, 2008 (File No. 1-07533) (“the 2008 Form 10-K”) and incorporated herein by</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10.16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 Second Amendment to Executive Agreement between the Trust and Donald C. Wood dated January 1, 2009 (previously filed as Exhibit 10.27 to</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the Trust’s 2008 Form 10-K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10.17</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6"/>
              </w:rPr>
              <w:t>* 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10.18</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3"/>
              </w:rPr>
              <w:t>* Second Amendment to Severance Agreement between the Trust and Dawn M. Becker dated January 1, 2009 (previously filed as Exhibit 10.30 to</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the Trust’s 2008 Form 10-K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10.19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3"/>
              </w:rPr>
              <w:t>Amendment to Change in Control Agreement between the Trust and Andrew P. Blocher dated January 1, 2009 (previously filed as Exhibit 10.31 to</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the Trust’s 2008 Form 10-K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10.20</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Amendment to Stock Option Agreements between the Trust and Andrew P. Blocher dated February 17, 2009 (previously filed as Exhibit 10.32 to</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the Trust’s 2008 Form 10-K and incorporated herein by reference)</w:t>
            </w:r>
          </w:p>
        </w:tc>
        <w:tc>
          <w:tcPr>
            <w:tcW w:w="0" w:type="dxa"/>
            <w:vAlign w:val="bottom"/>
          </w:tcPr>
          <w:p>
            <w:pPr>
              <w:spacing w:after="0"/>
              <w:rPr>
                <w:sz w:val="1"/>
                <w:szCs w:val="1"/>
                <w:color w:val="auto"/>
              </w:rPr>
            </w:pPr>
          </w:p>
        </w:tc>
      </w:tr>
      <w:tr>
        <w:trPr>
          <w:trHeight w:val="248"/>
        </w:trPr>
        <w:tc>
          <w:tcPr>
            <w:tcW w:w="920" w:type="dxa"/>
            <w:vAlign w:val="bottom"/>
          </w:tcPr>
          <w:p>
            <w:pPr>
              <w:ind w:left="40"/>
              <w:spacing w:after="0"/>
              <w:rPr>
                <w:sz w:val="20"/>
                <w:szCs w:val="20"/>
                <w:color w:val="auto"/>
              </w:rPr>
            </w:pPr>
            <w:r>
              <w:rPr>
                <w:rFonts w:ascii="Arial" w:cs="Arial" w:eastAsia="Arial" w:hAnsi="Arial"/>
                <w:sz w:val="17"/>
                <w:szCs w:val="17"/>
                <w:color w:val="auto"/>
              </w:rPr>
              <w:t>10.21</w:t>
            </w:r>
          </w:p>
        </w:tc>
        <w:tc>
          <w:tcPr>
            <w:tcW w:w="120" w:type="dxa"/>
            <w:vAlign w:val="bottom"/>
          </w:tcPr>
          <w:p>
            <w:pPr>
              <w:spacing w:after="0"/>
              <w:rPr>
                <w:sz w:val="21"/>
                <w:szCs w:val="21"/>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6"/>
              </w:rPr>
              <w:t>Restricted Share Award Agreement between the Trust and Andrew P. Blocher dated February 17, 2009 (previously filed as Exhibit 10.33 to the</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Trust’s 2008 Form 10-K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10.22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Combined Incentive and Non-Qualified Stock Option Agreement between the Trust and Andrew P. Blocher dated February 17, 2009 (previously</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filed as Exhibit 10.34 to the Trust’s 2008 Form 10-K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7"/>
                <w:szCs w:val="17"/>
                <w:color w:val="auto"/>
              </w:rPr>
              <w:t>10.23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 Severance Agreement between the Trust and Andrew P. Blocher dated February 17, 2009 (previously filed as Exhibit 10.35 to the Trust’s 2008</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Form 10-K and incorporated herein by reference)</w:t>
            </w:r>
          </w:p>
        </w:tc>
        <w:tc>
          <w:tcPr>
            <w:tcW w:w="0" w:type="dxa"/>
            <w:vAlign w:val="bottom"/>
          </w:tcPr>
          <w:p>
            <w:pPr>
              <w:spacing w:after="0"/>
              <w:rPr>
                <w:sz w:val="1"/>
                <w:szCs w:val="1"/>
                <w:color w:val="auto"/>
              </w:rPr>
            </w:pPr>
          </w:p>
        </w:tc>
      </w:tr>
      <w:tr>
        <w:trPr>
          <w:trHeight w:val="46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6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92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w w:val="93"/>
              </w:rPr>
              <w:t>10.24</w:t>
            </w:r>
          </w:p>
        </w:tc>
        <w:tc>
          <w:tcPr>
            <w:tcW w:w="12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w w:val="99"/>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Shareholders (File No. 01-07533)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jc w:val="right"/>
              <w:ind w:right="415"/>
              <w:spacing w:after="0"/>
              <w:rPr>
                <w:sz w:val="20"/>
                <w:szCs w:val="20"/>
                <w:color w:val="auto"/>
              </w:rPr>
            </w:pPr>
            <w:r>
              <w:rPr>
                <w:rFonts w:ascii="Arial" w:cs="Arial" w:eastAsia="Arial" w:hAnsi="Arial"/>
                <w:sz w:val="17"/>
                <w:szCs w:val="17"/>
                <w:color w:val="auto"/>
                <w:w w:val="93"/>
              </w:rPr>
              <w:t>10.25</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Amendment to 2010 Performance Incentive Plan (“the 2010 Plan”) (previously filed as Appendix A to the Trust’s Proxy Supplement for the 2010</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Annual Meeting of Shareholders (File No. 01-07533)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jc w:val="right"/>
              <w:ind w:right="415"/>
              <w:spacing w:after="0"/>
              <w:rPr>
                <w:sz w:val="20"/>
                <w:szCs w:val="20"/>
                <w:color w:val="auto"/>
              </w:rPr>
            </w:pPr>
            <w:r>
              <w:rPr>
                <w:rFonts w:ascii="Arial" w:cs="Arial" w:eastAsia="Arial" w:hAnsi="Arial"/>
                <w:sz w:val="17"/>
                <w:szCs w:val="17"/>
                <w:color w:val="auto"/>
                <w:w w:val="93"/>
              </w:rPr>
              <w:t>10.26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7"/>
              </w:rPr>
              <w:t>* 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7"/>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jc w:val="right"/>
              <w:ind w:right="415"/>
              <w:spacing w:after="0"/>
              <w:rPr>
                <w:sz w:val="20"/>
                <w:szCs w:val="20"/>
                <w:color w:val="auto"/>
              </w:rPr>
            </w:pPr>
            <w:r>
              <w:rPr>
                <w:rFonts w:ascii="Arial" w:cs="Arial" w:eastAsia="Arial" w:hAnsi="Arial"/>
                <w:sz w:val="17"/>
                <w:szCs w:val="17"/>
                <w:color w:val="auto"/>
                <w:w w:val="93"/>
              </w:rPr>
              <w:t>10.27</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8"/>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6"/>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Trust’s Annual Report on Form 10-K for the year ended December 31, 2010 (File No. 1-07533) (the “2010 Form 10-K”) and incorporated herein by</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365"/>
        </w:trPr>
        <w:tc>
          <w:tcPr>
            <w:tcW w:w="920" w:type="dxa"/>
            <w:vAlign w:val="bottom"/>
          </w:tcPr>
          <w:p>
            <w:pPr>
              <w:jc w:val="right"/>
              <w:ind w:right="415"/>
              <w:spacing w:after="0"/>
              <w:rPr>
                <w:sz w:val="20"/>
                <w:szCs w:val="20"/>
                <w:color w:val="auto"/>
              </w:rPr>
            </w:pPr>
            <w:r>
              <w:rPr>
                <w:rFonts w:ascii="Arial" w:cs="Arial" w:eastAsia="Arial" w:hAnsi="Arial"/>
                <w:sz w:val="17"/>
                <w:szCs w:val="17"/>
                <w:color w:val="auto"/>
                <w:w w:val="93"/>
              </w:rPr>
              <w:t>10.28</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Form of Option Award Agreement for awards made under the Trust’s Long-Term Incentive Award Program for shares issued out of the 2010 Plan</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jc w:val="right"/>
              <w:ind w:right="415"/>
              <w:spacing w:after="0"/>
              <w:rPr>
                <w:sz w:val="20"/>
                <w:szCs w:val="20"/>
                <w:color w:val="auto"/>
              </w:rPr>
            </w:pPr>
            <w:r>
              <w:rPr>
                <w:rFonts w:ascii="Arial" w:cs="Arial" w:eastAsia="Arial" w:hAnsi="Arial"/>
                <w:sz w:val="17"/>
                <w:szCs w:val="17"/>
                <w:color w:val="auto"/>
                <w:w w:val="93"/>
              </w:rPr>
              <w:t>10.29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3"/>
              </w:rPr>
              <w:t>Form of Option Award Agreement for front loaded awards made under the Trust’s Long-Term Incentive Award Program for shares issued out of the</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jc w:val="right"/>
              <w:ind w:right="415"/>
              <w:spacing w:after="0"/>
              <w:rPr>
                <w:sz w:val="20"/>
                <w:szCs w:val="20"/>
                <w:color w:val="auto"/>
              </w:rPr>
            </w:pPr>
            <w:r>
              <w:rPr>
                <w:rFonts w:ascii="Arial" w:cs="Arial" w:eastAsia="Arial" w:hAnsi="Arial"/>
                <w:sz w:val="17"/>
                <w:szCs w:val="17"/>
                <w:color w:val="auto"/>
                <w:w w:val="93"/>
              </w:rPr>
              <w:t>10.30</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Form of Option Award Agreement for basic options awarded out of the 2010 Plan (previously filed as Exhibit 10.40 to the Trust’s 2010 Form 10-K</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(File No. 1-07533)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jc w:val="right"/>
              <w:ind w:right="415"/>
              <w:spacing w:after="0"/>
              <w:rPr>
                <w:sz w:val="20"/>
                <w:szCs w:val="20"/>
                <w:color w:val="auto"/>
              </w:rPr>
            </w:pPr>
            <w:r>
              <w:rPr>
                <w:rFonts w:ascii="Arial" w:cs="Arial" w:eastAsia="Arial" w:hAnsi="Arial"/>
                <w:sz w:val="17"/>
                <w:szCs w:val="17"/>
                <w:color w:val="auto"/>
                <w:w w:val="93"/>
              </w:rPr>
              <w:t>10.31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2"/>
              </w:rPr>
              <w:t>Form of Restricted Share Award Agreement, dated as of February 10, 2011, between the Trust and each of Dawn M. Becker, and Andrew P. Blocher</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(previously filed as Exhibit 10.41 to the Trust’s 2010 Form 10-K (File No. 1-07533)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jc w:val="right"/>
              <w:ind w:right="415"/>
              <w:spacing w:after="0"/>
              <w:rPr>
                <w:sz w:val="20"/>
                <w:szCs w:val="20"/>
                <w:color w:val="auto"/>
              </w:rPr>
            </w:pPr>
            <w:r>
              <w:rPr>
                <w:rFonts w:ascii="Arial" w:cs="Arial" w:eastAsia="Arial" w:hAnsi="Arial"/>
                <w:sz w:val="17"/>
                <w:szCs w:val="17"/>
                <w:color w:val="auto"/>
                <w:w w:val="93"/>
              </w:rPr>
              <w:t>10.32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7"/>
              </w:rPr>
              <w:t>* 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jc w:val="right"/>
              <w:ind w:right="415"/>
              <w:spacing w:after="0"/>
              <w:rPr>
                <w:sz w:val="20"/>
                <w:szCs w:val="20"/>
                <w:color w:val="auto"/>
              </w:rPr>
            </w:pPr>
            <w:r>
              <w:rPr>
                <w:rFonts w:ascii="Arial" w:cs="Arial" w:eastAsia="Arial" w:hAnsi="Arial"/>
                <w:sz w:val="17"/>
                <w:szCs w:val="17"/>
                <w:color w:val="auto"/>
                <w:w w:val="93"/>
              </w:rPr>
              <w:t>10.33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9"/>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4"/>
              </w:rPr>
              <w:t>assignees under Section 12.6., as Lenders, Wells Fargo Bank, National Association, as Administrative Agent, PNC Bank, National Association, as</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Syndication Agent, Wells Fargo Securities, LLC, as a Lead Arranger and Book Manager, and PNC Capital Markets LLC, as a Lead Arranger and</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Book Manager (previously filed as Exhibit 10.1 to the Trust’s Current Report on Form 8-K (File No. 1-07533), filed on July 11, 2011 and</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jc w:val="right"/>
              <w:ind w:right="415"/>
              <w:spacing w:after="0"/>
              <w:rPr>
                <w:sz w:val="20"/>
                <w:szCs w:val="20"/>
                <w:color w:val="auto"/>
              </w:rPr>
            </w:pPr>
            <w:r>
              <w:rPr>
                <w:rFonts w:ascii="Arial" w:cs="Arial" w:eastAsia="Arial" w:hAnsi="Arial"/>
                <w:sz w:val="17"/>
                <w:szCs w:val="17"/>
                <w:color w:val="auto"/>
                <w:w w:val="93"/>
              </w:rPr>
              <w:t>10.34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3"/>
              </w:rPr>
              <w:t>Credit Agreement dated as of November 22,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assignees under Section 12.6., as Lenders, PNC Bank, National Association, as Administrative Agent, Capital One, N.A., as Syndication Agent,</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3"/>
              </w:rPr>
              <w:t>PNC Capital Markets, LLC, as a Lead Arranger and Book Manager, and Capital One, N.A., as a Lead Arranger and Book Manager (previously filed</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5"/>
              </w:rPr>
              <w:t>as Exhibit 10.1 to the Trust’s Current Report on Form 8-K (File No. 1-07533), filed on November 28, 2011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jc w:val="right"/>
              <w:ind w:right="415"/>
              <w:spacing w:after="0"/>
              <w:rPr>
                <w:sz w:val="20"/>
                <w:szCs w:val="20"/>
                <w:color w:val="auto"/>
              </w:rPr>
            </w:pPr>
            <w:r>
              <w:rPr>
                <w:rFonts w:ascii="Arial" w:cs="Arial" w:eastAsia="Arial" w:hAnsi="Arial"/>
                <w:sz w:val="17"/>
                <w:szCs w:val="17"/>
                <w:color w:val="auto"/>
                <w:w w:val="93"/>
              </w:rPr>
              <w:t>10.35</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3"/>
              </w:rPr>
              <w:t>Form of Restricted Share Award Agreement for front loaded awards made under the Trust’s Long-Term Incentive Award Program for shares issued</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out of the 2010 Plan (filed herewith)</w:t>
            </w:r>
          </w:p>
        </w:tc>
        <w:tc>
          <w:tcPr>
            <w:tcW w:w="0" w:type="dxa"/>
            <w:vAlign w:val="bottom"/>
          </w:tcPr>
          <w:p>
            <w:pPr>
              <w:spacing w:after="0"/>
              <w:rPr>
                <w:sz w:val="1"/>
                <w:szCs w:val="1"/>
                <w:color w:val="auto"/>
              </w:rPr>
            </w:pPr>
          </w:p>
        </w:tc>
      </w:tr>
      <w:tr>
        <w:trPr>
          <w:trHeight w:val="365"/>
        </w:trPr>
        <w:tc>
          <w:tcPr>
            <w:tcW w:w="920" w:type="dxa"/>
            <w:vAlign w:val="bottom"/>
          </w:tcPr>
          <w:p>
            <w:pPr>
              <w:jc w:val="right"/>
              <w:ind w:right="415"/>
              <w:spacing w:after="0"/>
              <w:rPr>
                <w:sz w:val="20"/>
                <w:szCs w:val="20"/>
                <w:color w:val="auto"/>
              </w:rPr>
            </w:pPr>
            <w:r>
              <w:rPr>
                <w:rFonts w:ascii="Arial" w:cs="Arial" w:eastAsia="Arial" w:hAnsi="Arial"/>
                <w:sz w:val="17"/>
                <w:szCs w:val="17"/>
                <w:color w:val="auto"/>
                <w:w w:val="93"/>
              </w:rPr>
              <w:t>10.36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8"/>
              </w:rPr>
              <w:t>Form of Restricted Share Award Agreement for long-term vesting and retention awards made under the Trust’s Long-Term Incentive Award</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Program for shares issued out of the 2010 Plan (filed herewith)</w:t>
            </w:r>
          </w:p>
        </w:tc>
        <w:tc>
          <w:tcPr>
            <w:tcW w:w="0" w:type="dxa"/>
            <w:vAlign w:val="bottom"/>
          </w:tcPr>
          <w:p>
            <w:pPr>
              <w:spacing w:after="0"/>
              <w:rPr>
                <w:sz w:val="1"/>
                <w:szCs w:val="1"/>
                <w:color w:val="auto"/>
              </w:rPr>
            </w:pPr>
          </w:p>
        </w:tc>
      </w:tr>
      <w:tr>
        <w:trPr>
          <w:trHeight w:val="377"/>
        </w:trPr>
        <w:tc>
          <w:tcPr>
            <w:tcW w:w="920" w:type="dxa"/>
            <w:vAlign w:val="bottom"/>
          </w:tcPr>
          <w:p>
            <w:pPr>
              <w:jc w:val="right"/>
              <w:ind w:right="415"/>
              <w:spacing w:after="0"/>
              <w:rPr>
                <w:sz w:val="20"/>
                <w:szCs w:val="20"/>
                <w:color w:val="auto"/>
              </w:rPr>
            </w:pPr>
            <w:r>
              <w:rPr>
                <w:rFonts w:ascii="Arial" w:cs="Arial" w:eastAsia="Arial" w:hAnsi="Arial"/>
                <w:sz w:val="17"/>
                <w:szCs w:val="17"/>
                <w:color w:val="auto"/>
                <w:w w:val="93"/>
              </w:rPr>
              <w:t>10.37</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Form of Performance Share Award Agreement for shares awarded out of the 2010 Plan (filed herewith)</w:t>
            </w:r>
          </w:p>
        </w:tc>
        <w:tc>
          <w:tcPr>
            <w:tcW w:w="0" w:type="dxa"/>
            <w:vAlign w:val="bottom"/>
          </w:tcPr>
          <w:p>
            <w:pPr>
              <w:spacing w:after="0"/>
              <w:rPr>
                <w:sz w:val="1"/>
                <w:szCs w:val="1"/>
                <w:color w:val="auto"/>
              </w:rPr>
            </w:pPr>
          </w:p>
        </w:tc>
      </w:tr>
      <w:tr>
        <w:trPr>
          <w:trHeight w:val="365"/>
        </w:trPr>
        <w:tc>
          <w:tcPr>
            <w:tcW w:w="920" w:type="dxa"/>
            <w:vAlign w:val="bottom"/>
          </w:tcPr>
          <w:p>
            <w:pPr>
              <w:jc w:val="right"/>
              <w:ind w:right="415"/>
              <w:spacing w:after="0"/>
              <w:rPr>
                <w:sz w:val="20"/>
                <w:szCs w:val="20"/>
                <w:color w:val="auto"/>
              </w:rPr>
            </w:pPr>
            <w:r>
              <w:rPr>
                <w:rFonts w:ascii="Arial" w:cs="Arial" w:eastAsia="Arial" w:hAnsi="Arial"/>
                <w:sz w:val="17"/>
                <w:szCs w:val="17"/>
                <w:color w:val="auto"/>
                <w:w w:val="93"/>
              </w:rPr>
              <w:t>10.38</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w w:val="97"/>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2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7"/>
                <w:szCs w:val="17"/>
                <w:color w:val="auto"/>
              </w:rPr>
              <w:t>Annual Incentive Bonus Program and basic awards with annual vesting for shares issued out of the 2010 Plan (filed herewith)</w:t>
            </w:r>
          </w:p>
        </w:tc>
        <w:tc>
          <w:tcPr>
            <w:tcW w:w="0" w:type="dxa"/>
            <w:vAlign w:val="bottom"/>
          </w:tcPr>
          <w:p>
            <w:pPr>
              <w:spacing w:after="0"/>
              <w:rPr>
                <w:sz w:val="1"/>
                <w:szCs w:val="1"/>
                <w:color w:val="auto"/>
              </w:rPr>
            </w:pPr>
          </w:p>
        </w:tc>
      </w:tr>
      <w:tr>
        <w:trPr>
          <w:trHeight w:val="46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6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FF"/>
        </w:rPr>
      </w:pPr>
      <w:hyperlink w:anchor="page52">
        <w:r>
          <w:rPr>
            <w:rFonts w:ascii="Arial" w:cs="Arial" w:eastAsia="Arial" w:hAnsi="Arial"/>
            <w:sz w:val="16"/>
            <w:szCs w:val="16"/>
            <w:b w:val="1"/>
            <w:bCs w:val="1"/>
            <w:u w:val="single" w:color="auto"/>
            <w:color w:val="0000FF"/>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9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No.</w:t>
            </w:r>
          </w:p>
        </w:tc>
        <w:tc>
          <w:tcPr>
            <w:tcW w:w="960" w:type="dxa"/>
            <w:vAlign w:val="bottom"/>
            <w:vMerge w:val="continue"/>
          </w:tcPr>
          <w:p>
            <w:pPr>
              <w:spacing w:after="0"/>
              <w:rPr>
                <w:sz w:val="16"/>
                <w:szCs w:val="16"/>
                <w:color w:val="auto"/>
              </w:rPr>
            </w:pPr>
          </w:p>
        </w:tc>
        <w:tc>
          <w:tcPr>
            <w:tcW w:w="9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20" w:type="dxa"/>
            <w:vAlign w:val="bottom"/>
            <w:tcBorders>
              <w:top w:val="single" w:sz="8" w:color="auto"/>
            </w:tcBorders>
          </w:tcPr>
          <w:p>
            <w:pPr>
              <w:jc w:val="right"/>
              <w:ind w:right="498"/>
              <w:spacing w:after="0"/>
              <w:rPr>
                <w:sz w:val="20"/>
                <w:szCs w:val="20"/>
                <w:color w:val="auto"/>
              </w:rPr>
            </w:pPr>
            <w:r>
              <w:rPr>
                <w:rFonts w:ascii="Arial" w:cs="Arial" w:eastAsia="Arial" w:hAnsi="Arial"/>
                <w:sz w:val="17"/>
                <w:szCs w:val="17"/>
                <w:color w:val="auto"/>
                <w:w w:val="96"/>
              </w:rPr>
              <w:t>21.1</w:t>
            </w:r>
          </w:p>
        </w:tc>
        <w:tc>
          <w:tcPr>
            <w:tcW w:w="120" w:type="dxa"/>
            <w:vAlign w:val="bottom"/>
          </w:tcPr>
          <w:p>
            <w:pPr>
              <w:spacing w:after="0"/>
              <w:rPr>
                <w:sz w:val="24"/>
                <w:szCs w:val="24"/>
                <w:color w:val="auto"/>
              </w:rPr>
            </w:pPr>
          </w:p>
        </w:tc>
        <w:tc>
          <w:tcPr>
            <w:tcW w:w="1038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color w:val="auto"/>
              </w:rPr>
              <w:t>Subsidiaries of Federal Realty Investment Trust (filed herewith)</w:t>
            </w:r>
          </w:p>
        </w:tc>
        <w:tc>
          <w:tcPr>
            <w:tcW w:w="0" w:type="dxa"/>
            <w:vAlign w:val="bottom"/>
          </w:tcPr>
          <w:p>
            <w:pPr>
              <w:spacing w:after="0"/>
              <w:rPr>
                <w:sz w:val="1"/>
                <w:szCs w:val="1"/>
                <w:color w:val="auto"/>
              </w:rPr>
            </w:pPr>
          </w:p>
        </w:tc>
      </w:tr>
      <w:tr>
        <w:trPr>
          <w:trHeight w:val="377"/>
        </w:trPr>
        <w:tc>
          <w:tcPr>
            <w:tcW w:w="920" w:type="dxa"/>
            <w:vAlign w:val="bottom"/>
          </w:tcPr>
          <w:p>
            <w:pPr>
              <w:jc w:val="right"/>
              <w:ind w:right="498"/>
              <w:spacing w:after="0"/>
              <w:rPr>
                <w:sz w:val="20"/>
                <w:szCs w:val="20"/>
                <w:color w:val="auto"/>
              </w:rPr>
            </w:pPr>
            <w:r>
              <w:rPr>
                <w:rFonts w:ascii="Arial" w:cs="Arial" w:eastAsia="Arial" w:hAnsi="Arial"/>
                <w:sz w:val="17"/>
                <w:szCs w:val="17"/>
                <w:color w:val="auto"/>
                <w:w w:val="96"/>
              </w:rPr>
              <w:t>23.1</w:t>
            </w:r>
          </w:p>
        </w:tc>
        <w:tc>
          <w:tcPr>
            <w:tcW w:w="120" w:type="dxa"/>
            <w:vAlign w:val="bottom"/>
          </w:tcPr>
          <w:p>
            <w:pPr>
              <w:spacing w:after="0"/>
              <w:rPr>
                <w:sz w:val="24"/>
                <w:szCs w:val="24"/>
                <w:color w:val="auto"/>
              </w:rPr>
            </w:pPr>
          </w:p>
        </w:tc>
        <w:tc>
          <w:tcPr>
            <w:tcW w:w="10380" w:type="dxa"/>
            <w:vAlign w:val="bottom"/>
            <w:gridSpan w:val="2"/>
          </w:tcPr>
          <w:p>
            <w:pPr>
              <w:ind w:left="40"/>
              <w:spacing w:after="0"/>
              <w:rPr>
                <w:sz w:val="20"/>
                <w:szCs w:val="20"/>
                <w:color w:val="auto"/>
              </w:rPr>
            </w:pPr>
            <w:r>
              <w:rPr>
                <w:rFonts w:ascii="Arial" w:cs="Arial" w:eastAsia="Arial" w:hAnsi="Arial"/>
                <w:sz w:val="17"/>
                <w:szCs w:val="17"/>
                <w:color w:val="auto"/>
              </w:rPr>
              <w:t>Consent of Grant Thornton LLP (filed herewith)</w:t>
            </w:r>
          </w:p>
        </w:tc>
        <w:tc>
          <w:tcPr>
            <w:tcW w:w="0" w:type="dxa"/>
            <w:vAlign w:val="bottom"/>
          </w:tcPr>
          <w:p>
            <w:pPr>
              <w:spacing w:after="0"/>
              <w:rPr>
                <w:sz w:val="1"/>
                <w:szCs w:val="1"/>
                <w:color w:val="auto"/>
              </w:rPr>
            </w:pPr>
          </w:p>
        </w:tc>
      </w:tr>
      <w:tr>
        <w:trPr>
          <w:trHeight w:val="377"/>
        </w:trPr>
        <w:tc>
          <w:tcPr>
            <w:tcW w:w="920" w:type="dxa"/>
            <w:vAlign w:val="bottom"/>
          </w:tcPr>
          <w:p>
            <w:pPr>
              <w:jc w:val="right"/>
              <w:ind w:right="498"/>
              <w:spacing w:after="0"/>
              <w:rPr>
                <w:sz w:val="20"/>
                <w:szCs w:val="20"/>
                <w:color w:val="auto"/>
              </w:rPr>
            </w:pPr>
            <w:r>
              <w:rPr>
                <w:rFonts w:ascii="Arial" w:cs="Arial" w:eastAsia="Arial" w:hAnsi="Arial"/>
                <w:sz w:val="17"/>
                <w:szCs w:val="17"/>
                <w:color w:val="auto"/>
                <w:w w:val="96"/>
              </w:rPr>
              <w:t>31.1</w:t>
            </w:r>
          </w:p>
        </w:tc>
        <w:tc>
          <w:tcPr>
            <w:tcW w:w="120" w:type="dxa"/>
            <w:vAlign w:val="bottom"/>
          </w:tcPr>
          <w:p>
            <w:pPr>
              <w:spacing w:after="0"/>
              <w:rPr>
                <w:sz w:val="24"/>
                <w:szCs w:val="24"/>
                <w:color w:val="auto"/>
              </w:rPr>
            </w:pPr>
          </w:p>
        </w:tc>
        <w:tc>
          <w:tcPr>
            <w:tcW w:w="10380" w:type="dxa"/>
            <w:vAlign w:val="bottom"/>
            <w:gridSpan w:val="2"/>
          </w:tcPr>
          <w:p>
            <w:pPr>
              <w:ind w:left="40"/>
              <w:spacing w:after="0"/>
              <w:rPr>
                <w:sz w:val="20"/>
                <w:szCs w:val="20"/>
                <w:color w:val="auto"/>
              </w:rPr>
            </w:pPr>
            <w:r>
              <w:rPr>
                <w:rFonts w:ascii="Arial" w:cs="Arial" w:eastAsia="Arial" w:hAnsi="Arial"/>
                <w:sz w:val="17"/>
                <w:szCs w:val="17"/>
                <w:color w:val="auto"/>
              </w:rPr>
              <w:t>Rule 13a-14(a) Certification of Chief Executive Officer (filed herewith)</w:t>
            </w:r>
          </w:p>
        </w:tc>
        <w:tc>
          <w:tcPr>
            <w:tcW w:w="0" w:type="dxa"/>
            <w:vAlign w:val="bottom"/>
          </w:tcPr>
          <w:p>
            <w:pPr>
              <w:spacing w:after="0"/>
              <w:rPr>
                <w:sz w:val="1"/>
                <w:szCs w:val="1"/>
                <w:color w:val="auto"/>
              </w:rPr>
            </w:pPr>
          </w:p>
        </w:tc>
      </w:tr>
      <w:tr>
        <w:trPr>
          <w:trHeight w:val="377"/>
        </w:trPr>
        <w:tc>
          <w:tcPr>
            <w:tcW w:w="920" w:type="dxa"/>
            <w:vAlign w:val="bottom"/>
          </w:tcPr>
          <w:p>
            <w:pPr>
              <w:jc w:val="right"/>
              <w:ind w:right="498"/>
              <w:spacing w:after="0"/>
              <w:rPr>
                <w:sz w:val="20"/>
                <w:szCs w:val="20"/>
                <w:color w:val="auto"/>
              </w:rPr>
            </w:pPr>
            <w:r>
              <w:rPr>
                <w:rFonts w:ascii="Arial" w:cs="Arial" w:eastAsia="Arial" w:hAnsi="Arial"/>
                <w:sz w:val="17"/>
                <w:szCs w:val="17"/>
                <w:color w:val="auto"/>
                <w:w w:val="96"/>
              </w:rPr>
              <w:t>31.2</w:t>
            </w:r>
          </w:p>
        </w:tc>
        <w:tc>
          <w:tcPr>
            <w:tcW w:w="120" w:type="dxa"/>
            <w:vAlign w:val="bottom"/>
          </w:tcPr>
          <w:p>
            <w:pPr>
              <w:spacing w:after="0"/>
              <w:rPr>
                <w:sz w:val="24"/>
                <w:szCs w:val="24"/>
                <w:color w:val="auto"/>
              </w:rPr>
            </w:pPr>
          </w:p>
        </w:tc>
        <w:tc>
          <w:tcPr>
            <w:tcW w:w="10380" w:type="dxa"/>
            <w:vAlign w:val="bottom"/>
            <w:gridSpan w:val="2"/>
          </w:tcPr>
          <w:p>
            <w:pPr>
              <w:ind w:left="40"/>
              <w:spacing w:after="0"/>
              <w:rPr>
                <w:sz w:val="20"/>
                <w:szCs w:val="20"/>
                <w:color w:val="auto"/>
              </w:rPr>
            </w:pPr>
            <w:r>
              <w:rPr>
                <w:rFonts w:ascii="Arial" w:cs="Arial" w:eastAsia="Arial" w:hAnsi="Arial"/>
                <w:sz w:val="17"/>
                <w:szCs w:val="17"/>
                <w:color w:val="auto"/>
              </w:rPr>
              <w:t>Rule 13a-14(a) Certification of Chief Financial Officer (filed herewith)</w:t>
            </w:r>
          </w:p>
        </w:tc>
        <w:tc>
          <w:tcPr>
            <w:tcW w:w="0" w:type="dxa"/>
            <w:vAlign w:val="bottom"/>
          </w:tcPr>
          <w:p>
            <w:pPr>
              <w:spacing w:after="0"/>
              <w:rPr>
                <w:sz w:val="1"/>
                <w:szCs w:val="1"/>
                <w:color w:val="auto"/>
              </w:rPr>
            </w:pPr>
          </w:p>
        </w:tc>
      </w:tr>
      <w:tr>
        <w:trPr>
          <w:trHeight w:val="377"/>
        </w:trPr>
        <w:tc>
          <w:tcPr>
            <w:tcW w:w="920" w:type="dxa"/>
            <w:vAlign w:val="bottom"/>
          </w:tcPr>
          <w:p>
            <w:pPr>
              <w:jc w:val="right"/>
              <w:ind w:right="498"/>
              <w:spacing w:after="0"/>
              <w:rPr>
                <w:sz w:val="20"/>
                <w:szCs w:val="20"/>
                <w:color w:val="auto"/>
              </w:rPr>
            </w:pPr>
            <w:r>
              <w:rPr>
                <w:rFonts w:ascii="Arial" w:cs="Arial" w:eastAsia="Arial" w:hAnsi="Arial"/>
                <w:sz w:val="17"/>
                <w:szCs w:val="17"/>
                <w:color w:val="auto"/>
                <w:w w:val="96"/>
              </w:rPr>
              <w:t>32.1</w:t>
            </w:r>
          </w:p>
        </w:tc>
        <w:tc>
          <w:tcPr>
            <w:tcW w:w="12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7"/>
                <w:szCs w:val="17"/>
                <w:color w:val="auto"/>
                <w:w w:val="90"/>
              </w:rPr>
              <w:t>Section 1350</w:t>
            </w:r>
          </w:p>
        </w:tc>
        <w:tc>
          <w:tcPr>
            <w:tcW w:w="9420" w:type="dxa"/>
            <w:vAlign w:val="bottom"/>
          </w:tcPr>
          <w:p>
            <w:pPr>
              <w:ind w:left="20"/>
              <w:spacing w:after="0"/>
              <w:rPr>
                <w:sz w:val="20"/>
                <w:szCs w:val="20"/>
                <w:color w:val="auto"/>
              </w:rPr>
            </w:pPr>
            <w:r>
              <w:rPr>
                <w:rFonts w:ascii="Arial" w:cs="Arial" w:eastAsia="Arial" w:hAnsi="Arial"/>
                <w:sz w:val="17"/>
                <w:szCs w:val="17"/>
                <w:color w:val="auto"/>
              </w:rPr>
              <w:t>Certification of Chief Executive Officer (filed herewith)</w:t>
            </w:r>
          </w:p>
        </w:tc>
        <w:tc>
          <w:tcPr>
            <w:tcW w:w="0" w:type="dxa"/>
            <w:vAlign w:val="bottom"/>
          </w:tcPr>
          <w:p>
            <w:pPr>
              <w:spacing w:after="0"/>
              <w:rPr>
                <w:sz w:val="1"/>
                <w:szCs w:val="1"/>
                <w:color w:val="auto"/>
              </w:rPr>
            </w:pPr>
          </w:p>
        </w:tc>
      </w:tr>
      <w:tr>
        <w:trPr>
          <w:trHeight w:val="377"/>
        </w:trPr>
        <w:tc>
          <w:tcPr>
            <w:tcW w:w="920" w:type="dxa"/>
            <w:vAlign w:val="bottom"/>
          </w:tcPr>
          <w:p>
            <w:pPr>
              <w:jc w:val="right"/>
              <w:ind w:right="498"/>
              <w:spacing w:after="0"/>
              <w:rPr>
                <w:sz w:val="20"/>
                <w:szCs w:val="20"/>
                <w:color w:val="auto"/>
              </w:rPr>
            </w:pPr>
            <w:r>
              <w:rPr>
                <w:rFonts w:ascii="Arial" w:cs="Arial" w:eastAsia="Arial" w:hAnsi="Arial"/>
                <w:sz w:val="17"/>
                <w:szCs w:val="17"/>
                <w:color w:val="auto"/>
                <w:w w:val="96"/>
              </w:rPr>
              <w:t>32.2</w:t>
            </w:r>
          </w:p>
        </w:tc>
        <w:tc>
          <w:tcPr>
            <w:tcW w:w="12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7"/>
                <w:szCs w:val="17"/>
                <w:color w:val="auto"/>
                <w:w w:val="90"/>
              </w:rPr>
              <w:t>Section 1350</w:t>
            </w:r>
          </w:p>
        </w:tc>
        <w:tc>
          <w:tcPr>
            <w:tcW w:w="9420" w:type="dxa"/>
            <w:vAlign w:val="bottom"/>
          </w:tcPr>
          <w:p>
            <w:pPr>
              <w:ind w:left="20"/>
              <w:spacing w:after="0"/>
              <w:rPr>
                <w:sz w:val="20"/>
                <w:szCs w:val="20"/>
                <w:color w:val="auto"/>
              </w:rPr>
            </w:pPr>
            <w:r>
              <w:rPr>
                <w:rFonts w:ascii="Arial" w:cs="Arial" w:eastAsia="Arial" w:hAnsi="Arial"/>
                <w:sz w:val="17"/>
                <w:szCs w:val="17"/>
                <w:color w:val="auto"/>
              </w:rPr>
              <w:t>Certification of Chief Financial Officer (filed herewith)</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080" w:right="180" w:hanging="1050"/>
        <w:spacing w:after="0" w:line="263"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following materials from Federal Realty Investment Trust’s Quarterly Report on Form 10-K for the year ended December 31, 2012,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plan required to be filed as an exhibit pursuant to Item 15(b) of Form 10-K.</w:t>
      </w:r>
    </w:p>
    <w:p>
      <w:pPr>
        <w:spacing w:after="0" w:line="13" w:lineRule="exact"/>
        <w:rPr>
          <w:sz w:val="20"/>
          <w:szCs w:val="20"/>
          <w:color w:val="auto"/>
        </w:rPr>
      </w:pPr>
    </w:p>
    <w:p>
      <w:pPr>
        <w:ind w:right="320" w:firstLine="4"/>
        <w:spacing w:after="0" w:line="271" w:lineRule="auto"/>
        <w:tabs>
          <w:tab w:leader="none" w:pos="217" w:val="left"/>
        </w:tabs>
        <w:numPr>
          <w:ilvl w:val="0"/>
          <w:numId w:val="65"/>
        </w:numPr>
        <w:rPr>
          <w:rFonts w:ascii="Arial" w:cs="Arial" w:eastAsia="Arial" w:hAnsi="Arial"/>
          <w:sz w:val="17"/>
          <w:szCs w:val="17"/>
          <w:color w:val="auto"/>
        </w:rPr>
      </w:pPr>
      <w:r>
        <w:rPr>
          <w:rFonts w:ascii="Arial" w:cs="Arial" w:eastAsia="Arial" w:hAnsi="Arial"/>
          <w:sz w:val="17"/>
          <w:szCs w:val="17"/>
          <w:color w:val="auto"/>
        </w:rPr>
        <w:t>Pursuant to Regulation S-K Item 601(b)(4)(iii), the Trust by this filing agrees, upon request, to furnish to the Securities and Exchange Commission a copy of other instruments defining the rights of holders of long-term debt of the Trust.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7"/>
          <w:szCs w:val="17"/>
          <w:b w:val="1"/>
          <w:bCs w:val="1"/>
          <w:color w:val="auto"/>
        </w:rPr>
        <w:t>EXHIBIT 10.35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FEDERAL REALTY INVESTMENT TRUST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SHARE AWARD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DATE</w:t>
      </w:r>
    </w:p>
    <w:p>
      <w:pPr>
        <w:spacing w:after="0" w:line="205" w:lineRule="exact"/>
        <w:rPr>
          <w:sz w:val="20"/>
          <w:szCs w:val="20"/>
          <w:color w:val="auto"/>
        </w:rPr>
      </w:pPr>
    </w:p>
    <w:p>
      <w:pPr>
        <w:jc w:val="both"/>
        <w:ind w:firstLine="624"/>
        <w:spacing w:after="0" w:line="259" w:lineRule="auto"/>
        <w:rPr>
          <w:sz w:val="20"/>
          <w:szCs w:val="20"/>
          <w:color w:val="auto"/>
        </w:rPr>
      </w:pPr>
      <w:r>
        <w:rPr>
          <w:rFonts w:ascii="Arial" w:cs="Arial" w:eastAsia="Arial" w:hAnsi="Arial"/>
          <w:sz w:val="19"/>
          <w:szCs w:val="19"/>
          <w:color w:val="auto"/>
        </w:rPr>
        <w:t>This Restricted Share Award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by </w:t>
      </w:r>
      <w:r>
        <w:rPr>
          <w:rFonts w:ascii="Arial" w:cs="Arial" w:eastAsia="Arial" w:hAnsi="Arial"/>
          <w:sz w:val="19"/>
          <w:szCs w:val="19"/>
          <w:b w:val="1"/>
          <w:bCs w:val="1"/>
          <w:color w:val="auto"/>
        </w:rPr>
        <w:t>Federal Realty Investment Trust</w:t>
      </w:r>
      <w:r>
        <w:rPr>
          <w:rFonts w:ascii="Arial" w:cs="Arial" w:eastAsia="Arial" w:hAnsi="Arial"/>
          <w:sz w:val="19"/>
          <w:szCs w:val="19"/>
          <w:color w:val="auto"/>
        </w:rPr>
        <w:t xml:space="preserve">, a Maryland real estate investment trust (the </w:t>
      </w:r>
      <w:r>
        <w:rPr>
          <w:rFonts w:ascii="Arial" w:cs="Arial" w:eastAsia="Arial" w:hAnsi="Arial"/>
          <w:sz w:val="19"/>
          <w:szCs w:val="19"/>
          <w:b w:val="1"/>
          <w:bCs w:val="1"/>
          <w:color w:val="auto"/>
        </w:rPr>
        <w:t>“Trust”</w:t>
      </w:r>
      <w:r>
        <w:rPr>
          <w:rFonts w:ascii="Arial" w:cs="Arial" w:eastAsia="Arial" w:hAnsi="Arial"/>
          <w:sz w:val="19"/>
          <w:szCs w:val="19"/>
          <w:color w:val="auto"/>
        </w:rPr>
        <w:t xml:space="preserve">), provides notice to ___________________, an individual employee of the Trust (the </w:t>
      </w:r>
      <w:r>
        <w:rPr>
          <w:rFonts w:ascii="Arial" w:cs="Arial" w:eastAsia="Arial" w:hAnsi="Arial"/>
          <w:sz w:val="19"/>
          <w:szCs w:val="19"/>
          <w:b w:val="1"/>
          <w:bCs w:val="1"/>
          <w:color w:val="auto"/>
        </w:rPr>
        <w:t>“Key Employee”</w:t>
      </w:r>
      <w:r>
        <w:rPr>
          <w:rFonts w:ascii="Arial" w:cs="Arial" w:eastAsia="Arial" w:hAnsi="Arial"/>
          <w:sz w:val="19"/>
          <w:szCs w:val="19"/>
          <w:color w:val="auto"/>
        </w:rPr>
        <w:t>), of the terms of a Restricted Share Award.</w:t>
      </w:r>
    </w:p>
    <w:p>
      <w:pPr>
        <w:spacing w:after="0" w:line="164" w:lineRule="exact"/>
        <w:rPr>
          <w:sz w:val="20"/>
          <w:szCs w:val="20"/>
          <w:color w:val="auto"/>
        </w:rPr>
      </w:pPr>
    </w:p>
    <w:p>
      <w:pPr>
        <w:jc w:val="both"/>
        <w:ind w:firstLine="624"/>
        <w:spacing w:after="0" w:line="253" w:lineRule="auto"/>
        <w:rPr>
          <w:sz w:val="20"/>
          <w:szCs w:val="20"/>
          <w:color w:val="auto"/>
        </w:rPr>
      </w:pPr>
      <w:r>
        <w:rPr>
          <w:rFonts w:ascii="Arial" w:cs="Arial" w:eastAsia="Arial" w:hAnsi="Arial"/>
          <w:sz w:val="19"/>
          <w:szCs w:val="19"/>
          <w:color w:val="auto"/>
        </w:rPr>
        <w:t>The Board of Trustees of the Trust (the “</w:t>
      </w:r>
      <w:r>
        <w:rPr>
          <w:rFonts w:ascii="Arial" w:cs="Arial" w:eastAsia="Arial" w:hAnsi="Arial"/>
          <w:sz w:val="19"/>
          <w:szCs w:val="19"/>
          <w:b w:val="1"/>
          <w:bCs w:val="1"/>
          <w:color w:val="auto"/>
        </w:rPr>
        <w:t>Board of Trustees</w:t>
      </w:r>
      <w:r>
        <w:rPr>
          <w:rFonts w:ascii="Arial" w:cs="Arial" w:eastAsia="Arial" w:hAnsi="Arial"/>
          <w:sz w:val="19"/>
          <w:szCs w:val="19"/>
          <w:color w:val="auto"/>
        </w:rPr>
        <w:t xml:space="preserve">”) has authorized the award by the Trust to the Key Employee, under the Trust's 2010 Performance Incentive Plan (the </w:t>
      </w:r>
      <w:r>
        <w:rPr>
          <w:rFonts w:ascii="Arial" w:cs="Arial" w:eastAsia="Arial" w:hAnsi="Arial"/>
          <w:sz w:val="19"/>
          <w:szCs w:val="19"/>
          <w:b w:val="1"/>
          <w:bCs w:val="1"/>
          <w:color w:val="auto"/>
        </w:rPr>
        <w:t>“Plan”</w:t>
      </w:r>
      <w:r>
        <w:rPr>
          <w:rFonts w:ascii="Arial" w:cs="Arial" w:eastAsia="Arial" w:hAnsi="Arial"/>
          <w:sz w:val="19"/>
          <w:szCs w:val="19"/>
          <w:color w:val="auto"/>
        </w:rPr>
        <w:t xml:space="preserve">) of a Restricted Share Award for a certain number of shares of beneficial interest of the Trust (the </w:t>
      </w:r>
      <w:r>
        <w:rPr>
          <w:rFonts w:ascii="Arial" w:cs="Arial" w:eastAsia="Arial" w:hAnsi="Arial"/>
          <w:sz w:val="19"/>
          <w:szCs w:val="19"/>
          <w:b w:val="1"/>
          <w:bCs w:val="1"/>
          <w:color w:val="auto"/>
        </w:rPr>
        <w:t>“Shares”</w:t>
      </w:r>
      <w:r>
        <w:rPr>
          <w:rFonts w:ascii="Arial" w:cs="Arial" w:eastAsia="Arial" w:hAnsi="Arial"/>
          <w:sz w:val="19"/>
          <w:szCs w:val="19"/>
          <w:color w:val="auto"/>
        </w:rPr>
        <w:t>), subject to certain restrictions and covenants on the part of Key Employee. This Agreement sets forth vesting and the respective rights and</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of the Trust and the Key Employee with respect to such Shares.</w:t>
      </w:r>
    </w:p>
    <w:p>
      <w:pPr>
        <w:spacing w:after="0" w:line="177" w:lineRule="exact"/>
        <w:rPr>
          <w:sz w:val="20"/>
          <w:szCs w:val="20"/>
          <w:color w:val="auto"/>
        </w:rPr>
      </w:pPr>
    </w:p>
    <w:p>
      <w:pPr>
        <w:jc w:val="both"/>
        <w:ind w:firstLine="624"/>
        <w:spacing w:after="0" w:line="255" w:lineRule="auto"/>
        <w:rPr>
          <w:sz w:val="20"/>
          <w:szCs w:val="20"/>
          <w:color w:val="auto"/>
        </w:rPr>
      </w:pPr>
      <w:r>
        <w:rPr>
          <w:rFonts w:ascii="Arial" w:cs="Arial" w:eastAsia="Arial" w:hAnsi="Arial"/>
          <w:sz w:val="19"/>
          <w:szCs w:val="19"/>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75" w:lineRule="exact"/>
        <w:rPr>
          <w:sz w:val="20"/>
          <w:szCs w:val="20"/>
          <w:color w:val="auto"/>
        </w:rPr>
      </w:pPr>
    </w:p>
    <w:p>
      <w:pPr>
        <w:jc w:val="both"/>
        <w:ind w:firstLine="624"/>
        <w:spacing w:after="0" w:line="268" w:lineRule="auto"/>
        <w:rPr>
          <w:sz w:val="20"/>
          <w:szCs w:val="20"/>
          <w:color w:val="auto"/>
        </w:rPr>
      </w:pPr>
      <w:r>
        <w:rPr>
          <w:rFonts w:ascii="Arial" w:cs="Arial" w:eastAsia="Arial" w:hAnsi="Arial"/>
          <w:sz w:val="19"/>
          <w:szCs w:val="19"/>
          <w:color w:val="auto"/>
        </w:rPr>
        <w:t>In consideration of the covenants set forth in this Agreement, and intending to be legally bound hereby, the terms of the Restricted Share Award are as follows:</w:t>
      </w:r>
    </w:p>
    <w:p>
      <w:pPr>
        <w:spacing w:after="0" w:line="260" w:lineRule="exact"/>
        <w:rPr>
          <w:sz w:val="20"/>
          <w:szCs w:val="20"/>
          <w:color w:val="auto"/>
        </w:rPr>
      </w:pPr>
    </w:p>
    <w:p>
      <w:pPr>
        <w:ind w:left="940" w:hanging="312"/>
        <w:spacing w:after="0"/>
        <w:tabs>
          <w:tab w:leader="none" w:pos="940"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of Restricted Shares</w:t>
      </w:r>
      <w:r>
        <w:rPr>
          <w:rFonts w:ascii="Arial" w:cs="Arial" w:eastAsia="Arial" w:hAnsi="Arial"/>
          <w:sz w:val="19"/>
          <w:szCs w:val="19"/>
          <w:b w:val="1"/>
          <w:bCs w:val="1"/>
          <w:color w:val="auto"/>
        </w:rPr>
        <w:t>.</w:t>
      </w:r>
    </w:p>
    <w:p>
      <w:pPr>
        <w:spacing w:after="0" w:line="210" w:lineRule="exact"/>
        <w:rPr>
          <w:rFonts w:ascii="Arial" w:cs="Arial" w:eastAsia="Arial" w:hAnsi="Arial"/>
          <w:sz w:val="19"/>
          <w:szCs w:val="19"/>
          <w:b w:val="1"/>
          <w:bCs w:val="1"/>
          <w:color w:val="auto"/>
        </w:rPr>
      </w:pPr>
    </w:p>
    <w:p>
      <w:pPr>
        <w:ind w:left="1600" w:hanging="659"/>
        <w:spacing w:after="0"/>
        <w:tabs>
          <w:tab w:leader="none" w:pos="16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The  Trust  hereby  confirms  the  grant  to  the  Key  Employee  as  of  the  date  set  forth  above  (the  </w:t>
      </w:r>
      <w:r>
        <w:rPr>
          <w:rFonts w:ascii="Arial" w:cs="Arial" w:eastAsia="Arial" w:hAnsi="Arial"/>
          <w:sz w:val="18"/>
          <w:szCs w:val="18"/>
          <w:b w:val="1"/>
          <w:bCs w:val="1"/>
          <w:color w:val="auto"/>
        </w:rPr>
        <w:t>“Grant Date”</w:t>
      </w:r>
      <w:r>
        <w:rPr>
          <w:rFonts w:ascii="Arial" w:cs="Arial" w:eastAsia="Arial" w:hAnsi="Arial"/>
          <w:sz w:val="18"/>
          <w:szCs w:val="18"/>
          <w:color w:val="auto"/>
        </w:rPr>
        <w:t>)  of</w:t>
      </w:r>
    </w:p>
    <w:p>
      <w:pPr>
        <w:spacing w:after="0" w:line="36" w:lineRule="exact"/>
        <w:rPr>
          <w:rFonts w:ascii="Arial" w:cs="Arial" w:eastAsia="Arial" w:hAnsi="Arial"/>
          <w:sz w:val="18"/>
          <w:szCs w:val="18"/>
          <w:color w:val="auto"/>
        </w:rPr>
      </w:pPr>
    </w:p>
    <w:p>
      <w:pPr>
        <w:spacing w:after="0" w:line="251" w:lineRule="auto"/>
        <w:rPr>
          <w:rFonts w:ascii="Arial" w:cs="Arial" w:eastAsia="Arial" w:hAnsi="Arial"/>
          <w:sz w:val="18"/>
          <w:szCs w:val="18"/>
          <w:color w:val="auto"/>
        </w:rPr>
      </w:pPr>
      <w:r>
        <w:rPr>
          <w:rFonts w:ascii="Arial" w:cs="Arial" w:eastAsia="Arial" w:hAnsi="Arial"/>
          <w:sz w:val="19"/>
          <w:szCs w:val="19"/>
          <w:color w:val="auto"/>
        </w:rPr>
        <w:t xml:space="preserve">___________________ (_________) Shares (the </w:t>
      </w:r>
      <w:r>
        <w:rPr>
          <w:rFonts w:ascii="Arial" w:cs="Arial" w:eastAsia="Arial" w:hAnsi="Arial"/>
          <w:sz w:val="19"/>
          <w:szCs w:val="19"/>
          <w:b w:val="1"/>
          <w:bCs w:val="1"/>
          <w:color w:val="auto"/>
        </w:rPr>
        <w:t>“Restricted Shares”</w:t>
      </w:r>
      <w:r>
        <w:rPr>
          <w:rFonts w:ascii="Arial" w:cs="Arial" w:eastAsia="Arial" w:hAnsi="Arial"/>
          <w:sz w:val="19"/>
          <w:szCs w:val="19"/>
          <w:color w:val="auto"/>
        </w:rPr>
        <w:t>), subject to the restrictions and other terms and conditions set forth herein and in the Plan; and</w:t>
      </w:r>
    </w:p>
    <w:p>
      <w:pPr>
        <w:spacing w:after="0" w:line="177" w:lineRule="exact"/>
        <w:rPr>
          <w:rFonts w:ascii="Arial" w:cs="Arial" w:eastAsia="Arial" w:hAnsi="Arial"/>
          <w:sz w:val="18"/>
          <w:szCs w:val="18"/>
          <w:color w:val="auto"/>
        </w:rPr>
      </w:pPr>
    </w:p>
    <w:p>
      <w:pPr>
        <w:jc w:val="both"/>
        <w:ind w:firstLine="941"/>
        <w:spacing w:after="0" w:line="261" w:lineRule="auto"/>
        <w:tabs>
          <w:tab w:leader="none" w:pos="1332" w:val="left"/>
        </w:tabs>
        <w:numPr>
          <w:ilvl w:val="1"/>
          <w:numId w:val="66"/>
        </w:numPr>
        <w:rPr>
          <w:rFonts w:ascii="Arial" w:cs="Arial" w:eastAsia="Arial" w:hAnsi="Arial"/>
          <w:sz w:val="18"/>
          <w:szCs w:val="18"/>
          <w:color w:val="auto"/>
        </w:rPr>
      </w:pPr>
      <w:r>
        <w:rPr>
          <w:rFonts w:ascii="Arial" w:cs="Arial" w:eastAsia="Arial" w:hAnsi="Arial"/>
          <w:sz w:val="18"/>
          <w:szCs w:val="18"/>
          <w:color w:val="auto"/>
        </w:rPr>
        <w:t>On or as soon as practicable after the Grant Date, the Trust shall cause the Restricted Shares to be issued in certificated form or by a book-entry designation for the account for the Key Employee. Such Restricted Shares shall be subject to such stop-transfer orders and other restrictions as the Board of Trustees or any committee thereof may deem advisable under the rules, regulations, and other requirements of the Securities and Exchange Commission and any stock exchange upon which the Shares are listed and any applicable federal or state securities law. If the Restricted Shares are issued in certificated form, the certificate(s) representing the Restricted Shares shall be held in custody by the Chief Financial Officer. Restricted Shares issued by a book-entry designation shall be held in a book-entry account designated by the Trust until the restrictions provided in this Agreement with respect thereto shall have been removed. At any time as may be requested by the Trust, if necessary to enforce the restrictions applicable to the Restricted Shares, the Key Employee shall deliver to the Trust one or more undated stock powers endorsed in blank relating to the Restricted Shares.</w:t>
      </w:r>
    </w:p>
    <w:p>
      <w:pPr>
        <w:spacing w:after="0" w:line="270" w:lineRule="exact"/>
        <w:rPr>
          <w:rFonts w:ascii="Arial" w:cs="Arial" w:eastAsia="Arial" w:hAnsi="Arial"/>
          <w:sz w:val="18"/>
          <w:szCs w:val="18"/>
          <w:color w:val="auto"/>
        </w:rPr>
      </w:pPr>
    </w:p>
    <w:p>
      <w:pPr>
        <w:ind w:left="940" w:hanging="312"/>
        <w:spacing w:after="0"/>
        <w:tabs>
          <w:tab w:leader="none" w:pos="940"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Restrictions Applicable to Restricted Shares</w:t>
      </w:r>
      <w:r>
        <w:rPr>
          <w:rFonts w:ascii="Arial" w:cs="Arial" w:eastAsia="Arial" w:hAnsi="Arial"/>
          <w:sz w:val="19"/>
          <w:szCs w:val="19"/>
          <w:b w:val="1"/>
          <w:bCs w:val="1"/>
          <w:color w:val="auto"/>
        </w:rPr>
        <w:t>.</w:t>
      </w:r>
    </w:p>
    <w:p>
      <w:pPr>
        <w:spacing w:after="0" w:line="216" w:lineRule="exact"/>
        <w:rPr>
          <w:rFonts w:ascii="Arial" w:cs="Arial" w:eastAsia="Arial" w:hAnsi="Arial"/>
          <w:sz w:val="19"/>
          <w:szCs w:val="19"/>
          <w:b w:val="1"/>
          <w:bCs w:val="1"/>
          <w:color w:val="auto"/>
        </w:rPr>
      </w:pPr>
    </w:p>
    <w:p>
      <w:pPr>
        <w:ind w:firstLine="941"/>
        <w:spacing w:after="0" w:line="268" w:lineRule="auto"/>
        <w:tabs>
          <w:tab w:leader="none" w:pos="1347" w:val="left"/>
        </w:tabs>
        <w:numPr>
          <w:ilvl w:val="1"/>
          <w:numId w:val="66"/>
        </w:numPr>
        <w:rPr>
          <w:rFonts w:ascii="Arial" w:cs="Arial" w:eastAsia="Arial" w:hAnsi="Arial"/>
          <w:sz w:val="19"/>
          <w:szCs w:val="19"/>
          <w:color w:val="auto"/>
        </w:rPr>
      </w:pPr>
      <w:r>
        <w:rPr>
          <w:rFonts w:ascii="Arial" w:cs="Arial" w:eastAsia="Arial" w:hAnsi="Arial"/>
          <w:sz w:val="19"/>
          <w:szCs w:val="19"/>
          <w:color w:val="auto"/>
        </w:rPr>
        <w:t>Beginning on the Grant Date, the Key Employee shall have all rights and privileges of a stockholder with respect to the Restricted Shares, except that the following restrictions shall apply:</w:t>
      </w:r>
    </w:p>
    <w:p>
      <w:pPr>
        <w:spacing w:after="0" w:line="162" w:lineRule="exact"/>
        <w:rPr>
          <w:rFonts w:ascii="Arial" w:cs="Arial" w:eastAsia="Arial" w:hAnsi="Arial"/>
          <w:sz w:val="19"/>
          <w:szCs w:val="19"/>
          <w:color w:val="auto"/>
        </w:rPr>
      </w:pPr>
    </w:p>
    <w:p>
      <w:pPr>
        <w:jc w:val="both"/>
        <w:ind w:firstLine="1565"/>
        <w:spacing w:after="0" w:line="255" w:lineRule="auto"/>
        <w:tabs>
          <w:tab w:leader="none" w:pos="1914" w:val="left"/>
        </w:tabs>
        <w:numPr>
          <w:ilvl w:val="2"/>
          <w:numId w:val="66"/>
        </w:numPr>
        <w:rPr>
          <w:rFonts w:ascii="Arial" w:cs="Arial" w:eastAsia="Arial" w:hAnsi="Arial"/>
          <w:sz w:val="19"/>
          <w:szCs w:val="19"/>
          <w:color w:val="auto"/>
        </w:rPr>
      </w:pPr>
      <w:r>
        <w:rPr>
          <w:rFonts w:ascii="Arial" w:cs="Arial" w:eastAsia="Arial" w:hAnsi="Arial"/>
          <w:sz w:val="19"/>
          <w:szCs w:val="19"/>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while the restrictions of this Agreement apply to the Shares;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63" w:right="239" w:bottom="1440" w:gutter="0" w:footer="0" w:header="0"/>
        </w:sectPr>
      </w:pPr>
    </w:p>
    <w:bookmarkStart w:id="96" w:name="page97"/>
    <w:bookmarkEnd w:id="96"/>
    <w:p>
      <w:pPr>
        <w:ind w:left="1980" w:hanging="415"/>
        <w:spacing w:after="0"/>
        <w:tabs>
          <w:tab w:leader="none" w:pos="1980" w:val="left"/>
        </w:tabs>
        <w:numPr>
          <w:ilvl w:val="2"/>
          <w:numId w:val="67"/>
        </w:numPr>
        <w:rPr>
          <w:rFonts w:ascii="Arial" w:cs="Arial" w:eastAsia="Arial" w:hAnsi="Arial"/>
          <w:sz w:val="19"/>
          <w:szCs w:val="19"/>
          <w:color w:val="auto"/>
        </w:rPr>
      </w:pPr>
      <w:r>
        <w:rPr>
          <w:rFonts w:ascii="Arial" w:cs="Arial" w:eastAsia="Arial" w:hAnsi="Arial"/>
          <w:sz w:val="19"/>
          <w:szCs w:val="19"/>
          <w:color w:val="auto"/>
        </w:rPr>
        <w:t>all or a portion of the Restricted Shares may be forfeited in accordance with Paragraph 4; and</w:t>
      </w:r>
    </w:p>
    <w:p>
      <w:pPr>
        <w:spacing w:after="0" w:line="210" w:lineRule="exact"/>
        <w:rPr>
          <w:rFonts w:ascii="Arial" w:cs="Arial" w:eastAsia="Arial" w:hAnsi="Arial"/>
          <w:sz w:val="19"/>
          <w:szCs w:val="19"/>
          <w:color w:val="auto"/>
        </w:rPr>
      </w:pPr>
    </w:p>
    <w:p>
      <w:pPr>
        <w:jc w:val="both"/>
        <w:ind w:firstLine="1565"/>
        <w:spacing w:after="0" w:line="251" w:lineRule="auto"/>
        <w:tabs>
          <w:tab w:leader="none" w:pos="2046" w:val="left"/>
        </w:tabs>
        <w:numPr>
          <w:ilvl w:val="2"/>
          <w:numId w:val="67"/>
        </w:numPr>
        <w:rPr>
          <w:rFonts w:ascii="Arial" w:cs="Arial" w:eastAsia="Arial" w:hAnsi="Arial"/>
          <w:sz w:val="19"/>
          <w:szCs w:val="19"/>
          <w:color w:val="auto"/>
        </w:rPr>
      </w:pPr>
      <w:r>
        <w:rPr>
          <w:rFonts w:ascii="Arial" w:cs="Arial" w:eastAsia="Arial" w:hAnsi="Arial"/>
          <w:sz w:val="19"/>
          <w:szCs w:val="19"/>
          <w:color w:val="auto"/>
        </w:rPr>
        <w:t>any Shares distributed as a dividend or otherwise and any other property (other than ordinary dividends) distributed with respect to any Restricted Shares which have not vested and as to which the restrictions have not yet lapsed shall be subject to the same vesting and other restrictions as such Restricted Shares and shall be represented by book-entry and held in the same manner as the Restricted Shares with respect to which they were distributed.</w:t>
      </w:r>
    </w:p>
    <w:p>
      <w:pPr>
        <w:spacing w:after="0" w:line="178" w:lineRule="exact"/>
        <w:rPr>
          <w:rFonts w:ascii="Arial" w:cs="Arial" w:eastAsia="Arial" w:hAnsi="Arial"/>
          <w:sz w:val="19"/>
          <w:szCs w:val="19"/>
          <w:color w:val="auto"/>
        </w:rPr>
      </w:pPr>
    </w:p>
    <w:p>
      <w:pPr>
        <w:jc w:val="both"/>
        <w:ind w:firstLine="1253"/>
        <w:spacing w:after="0" w:line="251" w:lineRule="auto"/>
        <w:tabs>
          <w:tab w:leader="none" w:pos="1787" w:val="left"/>
        </w:tabs>
        <w:numPr>
          <w:ilvl w:val="1"/>
          <w:numId w:val="68"/>
        </w:numPr>
        <w:rPr>
          <w:rFonts w:ascii="Arial" w:cs="Arial" w:eastAsia="Arial" w:hAnsi="Arial"/>
          <w:sz w:val="19"/>
          <w:szCs w:val="19"/>
          <w:color w:val="auto"/>
        </w:rPr>
      </w:pPr>
      <w:r>
        <w:rPr>
          <w:rFonts w:ascii="Arial" w:cs="Arial" w:eastAsia="Arial" w:hAnsi="Arial"/>
          <w:sz w:val="19"/>
          <w:szCs w:val="19"/>
          <w:color w:val="auto"/>
        </w:rPr>
        <w:t>Upon vesting of all or a portion of the Restricted Shares as provided in Paragraph 3 and payment in accordance with Paragraph 3(c) of withholding taxes relating to those Restricted Shares which have vested, such shares shall no longer be considered Restricted Shares for purposes of this Agreement and the Trust shall cause the restrictions to be removed from the number of Shares which have become vested and for which withholding taxes have been paid.</w:t>
      </w:r>
    </w:p>
    <w:p>
      <w:pPr>
        <w:spacing w:after="0" w:line="178" w:lineRule="exact"/>
        <w:rPr>
          <w:rFonts w:ascii="Arial" w:cs="Arial" w:eastAsia="Arial" w:hAnsi="Arial"/>
          <w:sz w:val="19"/>
          <w:szCs w:val="19"/>
          <w:color w:val="auto"/>
        </w:rPr>
      </w:pPr>
    </w:p>
    <w:p>
      <w:pPr>
        <w:ind w:left="1680" w:hanging="427"/>
        <w:spacing w:after="0"/>
        <w:tabs>
          <w:tab w:leader="none" w:pos="16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Any attempt to dispose of Restricted Shares in a manner contrary to the restrictions set forth in this Agreement shall be null,</w:t>
      </w:r>
    </w:p>
    <w:p>
      <w:pPr>
        <w:spacing w:after="0" w:line="4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void and ineffective.</w:t>
      </w:r>
    </w:p>
    <w:p>
      <w:pPr>
        <w:spacing w:after="0" w:line="188" w:lineRule="exact"/>
        <w:rPr>
          <w:rFonts w:ascii="Arial" w:cs="Arial" w:eastAsia="Arial" w:hAnsi="Arial"/>
          <w:sz w:val="17"/>
          <w:szCs w:val="17"/>
          <w:color w:val="auto"/>
        </w:rPr>
      </w:pPr>
    </w:p>
    <w:p>
      <w:pPr>
        <w:ind w:left="940" w:hanging="312"/>
        <w:spacing w:after="0"/>
        <w:tabs>
          <w:tab w:leader="none" w:pos="94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Vesting</w:t>
      </w:r>
      <w:r>
        <w:rPr>
          <w:rFonts w:ascii="Arial" w:cs="Arial" w:eastAsia="Arial" w:hAnsi="Arial"/>
          <w:sz w:val="19"/>
          <w:szCs w:val="19"/>
          <w:b w:val="1"/>
          <w:bCs w:val="1"/>
          <w:color w:val="auto"/>
        </w:rPr>
        <w:t>.</w:t>
      </w:r>
    </w:p>
    <w:p>
      <w:pPr>
        <w:spacing w:after="0" w:line="217" w:lineRule="exact"/>
        <w:rPr>
          <w:sz w:val="20"/>
          <w:szCs w:val="20"/>
          <w:color w:val="auto"/>
        </w:rPr>
      </w:pPr>
    </w:p>
    <w:p>
      <w:pPr>
        <w:ind w:left="940"/>
        <w:spacing w:after="0"/>
        <w:tabs>
          <w:tab w:leader="none" w:pos="13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7"/>
          <w:szCs w:val="17"/>
          <w:color w:val="auto"/>
        </w:rPr>
        <w:t>The Restricted Shares shall vest as follows: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[Insert Vesting Schedule]</w:t>
      </w:r>
    </w:p>
    <w:p>
      <w:pPr>
        <w:spacing w:after="0" w:line="217" w:lineRule="exact"/>
        <w:rPr>
          <w:sz w:val="20"/>
          <w:szCs w:val="20"/>
          <w:color w:val="auto"/>
        </w:rPr>
      </w:pPr>
    </w:p>
    <w:p>
      <w:pPr>
        <w:ind w:left="1340" w:hanging="399"/>
        <w:spacing w:after="0"/>
        <w:tabs>
          <w:tab w:leader="none" w:pos="1340" w:val="left"/>
        </w:tabs>
        <w:numPr>
          <w:ilvl w:val="1"/>
          <w:numId w:val="70"/>
        </w:numPr>
        <w:rPr>
          <w:rFonts w:ascii="Arial" w:cs="Arial" w:eastAsia="Arial" w:hAnsi="Arial"/>
          <w:sz w:val="19"/>
          <w:szCs w:val="19"/>
          <w:color w:val="auto"/>
        </w:rPr>
      </w:pPr>
      <w:r>
        <w:rPr>
          <w:rFonts w:ascii="Arial" w:cs="Arial" w:eastAsia="Arial" w:hAnsi="Arial"/>
          <w:sz w:val="19"/>
          <w:szCs w:val="19"/>
          <w:color w:val="auto"/>
        </w:rPr>
        <w:t>Notwithstanding the foregoing, the Restricted Shares shall vest as follows:</w:t>
      </w:r>
    </w:p>
    <w:p>
      <w:pPr>
        <w:spacing w:after="0" w:line="210" w:lineRule="exact"/>
        <w:rPr>
          <w:rFonts w:ascii="Arial" w:cs="Arial" w:eastAsia="Arial" w:hAnsi="Arial"/>
          <w:sz w:val="19"/>
          <w:szCs w:val="19"/>
          <w:color w:val="auto"/>
        </w:rPr>
      </w:pPr>
    </w:p>
    <w:p>
      <w:pPr>
        <w:ind w:left="1920" w:hanging="355"/>
        <w:spacing w:after="0"/>
        <w:tabs>
          <w:tab w:leader="none" w:pos="1920" w:val="left"/>
        </w:tabs>
        <w:numPr>
          <w:ilvl w:val="3"/>
          <w:numId w:val="70"/>
        </w:numPr>
        <w:rPr>
          <w:rFonts w:ascii="Arial" w:cs="Arial" w:eastAsia="Arial" w:hAnsi="Arial"/>
          <w:sz w:val="19"/>
          <w:szCs w:val="19"/>
          <w:color w:val="auto"/>
        </w:rPr>
      </w:pPr>
      <w:r>
        <w:rPr>
          <w:rFonts w:ascii="Arial" w:cs="Arial" w:eastAsia="Arial" w:hAnsi="Arial"/>
          <w:sz w:val="19"/>
          <w:szCs w:val="19"/>
          <w:color w:val="auto"/>
        </w:rPr>
        <w:t>all Restricted Shares shall vest in the event of the death or Disability of the Key Employee;</w:t>
      </w:r>
    </w:p>
    <w:p>
      <w:pPr>
        <w:spacing w:after="0" w:line="210" w:lineRule="exact"/>
        <w:rPr>
          <w:rFonts w:ascii="Arial" w:cs="Arial" w:eastAsia="Arial" w:hAnsi="Arial"/>
          <w:sz w:val="19"/>
          <w:szCs w:val="19"/>
          <w:color w:val="auto"/>
        </w:rPr>
      </w:pPr>
    </w:p>
    <w:p>
      <w:pPr>
        <w:jc w:val="both"/>
        <w:ind w:firstLine="1565"/>
        <w:spacing w:after="0" w:line="255" w:lineRule="auto"/>
        <w:tabs>
          <w:tab w:leader="none" w:pos="1993" w:val="left"/>
        </w:tabs>
        <w:numPr>
          <w:ilvl w:val="3"/>
          <w:numId w:val="70"/>
        </w:numPr>
        <w:rPr>
          <w:rFonts w:ascii="Arial" w:cs="Arial" w:eastAsia="Arial" w:hAnsi="Arial"/>
          <w:sz w:val="19"/>
          <w:szCs w:val="19"/>
          <w:color w:val="auto"/>
        </w:rPr>
      </w:pPr>
      <w:r>
        <w:rPr>
          <w:rFonts w:ascii="Arial" w:cs="Arial" w:eastAsia="Arial" w:hAnsi="Arial"/>
          <w:sz w:val="19"/>
          <w:szCs w:val="19"/>
          <w:color w:val="auto"/>
        </w:rPr>
        <w:t>all Restricted Shares shall vest in the event that the Key Employee is discharged by the Trust without Cause as defined in the Plan and at the time of such discharge, the individual holding the title of Chief Executive Officer of the Trust is not the same individual that holds the title of Chief Executive Officer of the Trust as of the date of this Agreement; and</w:t>
      </w:r>
    </w:p>
    <w:p>
      <w:pPr>
        <w:spacing w:after="0" w:line="175" w:lineRule="exact"/>
        <w:rPr>
          <w:rFonts w:ascii="Arial" w:cs="Arial" w:eastAsia="Arial" w:hAnsi="Arial"/>
          <w:sz w:val="19"/>
          <w:szCs w:val="19"/>
          <w:color w:val="auto"/>
        </w:rPr>
      </w:pPr>
    </w:p>
    <w:p>
      <w:pPr>
        <w:ind w:firstLine="1565"/>
        <w:spacing w:after="0" w:line="251" w:lineRule="auto"/>
        <w:tabs>
          <w:tab w:leader="none" w:pos="2033" w:val="left"/>
        </w:tabs>
        <w:numPr>
          <w:ilvl w:val="3"/>
          <w:numId w:val="70"/>
        </w:numPr>
        <w:rPr>
          <w:rFonts w:ascii="Arial" w:cs="Arial" w:eastAsia="Arial" w:hAnsi="Arial"/>
          <w:sz w:val="19"/>
          <w:szCs w:val="19"/>
          <w:color w:val="auto"/>
        </w:rPr>
      </w:pPr>
      <w:r>
        <w:rPr>
          <w:rFonts w:ascii="Arial" w:cs="Arial" w:eastAsia="Arial" w:hAnsi="Arial"/>
          <w:sz w:val="19"/>
          <w:szCs w:val="19"/>
          <w:color w:val="auto"/>
        </w:rPr>
        <w:t>all Restricted Shares shall vest if the Key Employee shall incur an Involuntary Termination (as defined in the Plan) during the one year period commencing with the occurrence of a Change in Control.</w:t>
      </w:r>
    </w:p>
    <w:p>
      <w:pPr>
        <w:spacing w:after="0" w:line="1" w:lineRule="exact"/>
        <w:rPr>
          <w:rFonts w:ascii="Arial" w:cs="Arial" w:eastAsia="Arial" w:hAnsi="Arial"/>
          <w:sz w:val="19"/>
          <w:szCs w:val="19"/>
          <w:color w:val="auto"/>
        </w:rPr>
      </w:pPr>
    </w:p>
    <w:p>
      <w:pPr>
        <w:jc w:val="both"/>
        <w:ind w:firstLine="1253"/>
        <w:spacing w:after="0" w:line="271" w:lineRule="auto"/>
        <w:tabs>
          <w:tab w:leader="none" w:pos="1699" w:val="left"/>
        </w:tabs>
        <w:numPr>
          <w:ilvl w:val="2"/>
          <w:numId w:val="70"/>
        </w:numPr>
        <w:rPr>
          <w:rFonts w:ascii="Arial" w:cs="Arial" w:eastAsia="Arial" w:hAnsi="Arial"/>
          <w:sz w:val="17"/>
          <w:szCs w:val="17"/>
          <w:color w:val="auto"/>
        </w:rPr>
      </w:pPr>
      <w:r>
        <w:rPr>
          <w:rFonts w:ascii="Arial" w:cs="Arial" w:eastAsia="Arial" w:hAnsi="Arial"/>
          <w:sz w:val="17"/>
          <w:szCs w:val="17"/>
          <w:color w:val="auto"/>
        </w:rPr>
        <w:t>As soon as reasonably practicable after the vesting of all or any portion of the Restricted Shares, the Trust shall notify Key Employee or the Key Employee's legal representative, as applicable, of the amount of required withholding taxes due on the vesting of all or a portion of Restricted Shares (“Tax Notice”). Key Employee or Key Employee's legal representative, as applicable, shall tender to the Trust the amount specified in the Tax Notice within five (5) business days after the date of the Tax Notice, or such longer period of time as the Trust may designate. The Trust shall not be required to remove the restrictions on such Shares until such time as the Key Employee or the Key Employee's legal representative, as applicable, shall have paid such tax withholding amount in full. The Trust, at its sole discretion and on such terms and conditions determined by the Trust from time to time, may permit the Key Employee or the Key Employee's legal representative to satisfy the Trust's minimum statutory tax withholding obligations as determined by the Trust's accounting department through (i) the sale of all or a portion of such Shares resulting from this Agreement through the employer's broker or (ii) by returning to the Trust a number of Shares having a fair market value equal to the minimum statutory tax withholding amount due. Shares cannot be returned to the Trust and withheld to satisfy more than the required minimum statutory tax withholding amounts. In the event Key Employee or Key Employee's legal representative, as applicable, fails to make appropriate arrangements to satisfy tax and withholding obligations, the Trust may, in its sole discretion, satisfy such tax and withholding obligations by:</w:t>
      </w:r>
    </w:p>
    <w:p>
      <w:pPr>
        <w:spacing w:after="0" w:line="4" w:lineRule="exact"/>
        <w:rPr>
          <w:rFonts w:ascii="Arial" w:cs="Arial" w:eastAsia="Arial" w:hAnsi="Arial"/>
          <w:sz w:val="17"/>
          <w:szCs w:val="17"/>
          <w:color w:val="auto"/>
        </w:rPr>
      </w:pPr>
    </w:p>
    <w:p>
      <w:pPr>
        <w:jc w:val="both"/>
        <w:ind w:firstLine="4"/>
        <w:spacing w:after="0" w:line="267" w:lineRule="auto"/>
        <w:tabs>
          <w:tab w:leader="none" w:pos="2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returning to the Trust all or a portion of the Shares issued under this Agreement; or (ii) withholding the required amounts from other amounts due the Key Employee or Key Employee's legal representative, as applicable. The Trust is authorized to pay over to the appropriate authority, all federal, state, county, city or other taxes as shall be required pursuant to any law or governmental regulation or ruling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73" w:right="239" w:bottom="1440" w:gutter="0" w:footer="0" w:header="0"/>
        </w:sectPr>
      </w:pPr>
    </w:p>
    <w:bookmarkStart w:id="97" w:name="page98"/>
    <w:bookmarkEnd w:id="97"/>
    <w:p>
      <w:pPr>
        <w:jc w:val="both"/>
        <w:ind w:firstLine="628"/>
        <w:spacing w:after="0" w:line="292" w:lineRule="auto"/>
        <w:tabs>
          <w:tab w:leader="none" w:pos="954"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Forfeiture</w:t>
      </w:r>
      <w:r>
        <w:rPr>
          <w:rFonts w:ascii="Arial" w:cs="Arial" w:eastAsia="Arial" w:hAnsi="Arial"/>
          <w:sz w:val="17"/>
          <w:szCs w:val="17"/>
          <w:b w:val="1"/>
          <w:bCs w:val="1"/>
          <w:color w:val="auto"/>
        </w:rPr>
        <w:t xml:space="preserve">. </w:t>
      </w:r>
      <w:r>
        <w:rPr>
          <w:rFonts w:ascii="Arial" w:cs="Arial" w:eastAsia="Arial" w:hAnsi="Arial"/>
          <w:sz w:val="17"/>
          <w:szCs w:val="17"/>
          <w:color w:val="auto"/>
        </w:rPr>
        <w:t>If there is a termination of the Key Employee's Service with the Trust for any reason, then all rights of the Key Employee to</w:t>
      </w:r>
      <w:r>
        <w:rPr>
          <w:rFonts w:ascii="Arial" w:cs="Arial" w:eastAsia="Arial" w:hAnsi="Arial"/>
          <w:sz w:val="17"/>
          <w:szCs w:val="17"/>
          <w:b w:val="1"/>
          <w:bCs w:val="1"/>
          <w:color w:val="auto"/>
        </w:rPr>
        <w:t xml:space="preserve"> </w:t>
      </w:r>
      <w:r>
        <w:rPr>
          <w:rFonts w:ascii="Arial" w:cs="Arial" w:eastAsia="Arial" w:hAnsi="Arial"/>
          <w:sz w:val="17"/>
          <w:szCs w:val="17"/>
          <w:color w:val="auto"/>
        </w:rPr>
        <w:t>any and all then-remaining Restricted Shares which have not vested, after giving application to Paragraphs 3(a) and 3(b), shall terminate and be forfeited. Upon forfeiture of all or any portion of Restricted Shares, the certificate(s) representing the forfeited Restricted Shares shall be cancelled or the forfeited Restricted Shares shall be removed from the Key Employee's book entry account, returned to the Trust and canceled, as applicable.</w:t>
      </w:r>
    </w:p>
    <w:p>
      <w:pPr>
        <w:spacing w:after="0" w:line="310" w:lineRule="exact"/>
        <w:rPr>
          <w:rFonts w:ascii="Arial" w:cs="Arial" w:eastAsia="Arial" w:hAnsi="Arial"/>
          <w:sz w:val="17"/>
          <w:szCs w:val="17"/>
          <w:b w:val="1"/>
          <w:bCs w:val="1"/>
          <w:color w:val="auto"/>
        </w:rPr>
      </w:pPr>
    </w:p>
    <w:p>
      <w:pPr>
        <w:jc w:val="both"/>
        <w:ind w:firstLine="628"/>
        <w:spacing w:after="0" w:line="259" w:lineRule="auto"/>
        <w:tabs>
          <w:tab w:leader="none" w:pos="980"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and inure to the benefit of the heirs and representatives of the Key Employee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assigns and successors of the Trust, but neither this Agreement nor any rights hereunder shall be assignable or otherwise subject to hypothecation by the Key Employee.</w:t>
      </w:r>
    </w:p>
    <w:p>
      <w:pPr>
        <w:spacing w:after="0" w:line="164" w:lineRule="exact"/>
        <w:rPr>
          <w:rFonts w:ascii="Arial" w:cs="Arial" w:eastAsia="Arial" w:hAnsi="Arial"/>
          <w:sz w:val="19"/>
          <w:szCs w:val="19"/>
          <w:b w:val="1"/>
          <w:bCs w:val="1"/>
          <w:color w:val="auto"/>
        </w:rPr>
      </w:pPr>
    </w:p>
    <w:p>
      <w:pPr>
        <w:jc w:val="both"/>
        <w:ind w:left="60" w:firstLine="633"/>
        <w:spacing w:after="0" w:line="259" w:lineRule="auto"/>
        <w:tabs>
          <w:tab w:leader="none" w:pos="1079" w:val="left"/>
        </w:tabs>
        <w:numPr>
          <w:ilvl w:val="1"/>
          <w:numId w:val="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constitutes the entire agreement of the parties with respect to the subject matter</w:t>
      </w:r>
      <w:r>
        <w:rPr>
          <w:rFonts w:ascii="Arial" w:cs="Arial" w:eastAsia="Arial" w:hAnsi="Arial"/>
          <w:sz w:val="19"/>
          <w:szCs w:val="19"/>
          <w:b w:val="1"/>
          <w:bCs w:val="1"/>
          <w:color w:val="auto"/>
        </w:rPr>
        <w:t xml:space="preserve"> </w:t>
      </w:r>
      <w:r>
        <w:rPr>
          <w:rFonts w:ascii="Arial" w:cs="Arial" w:eastAsia="Arial" w:hAnsi="Arial"/>
          <w:sz w:val="19"/>
          <w:szCs w:val="19"/>
          <w:color w:val="auto"/>
        </w:rPr>
        <w:t>hereof and shall supersede all prior agreements and understandings, oral or written, between the parties with respect thereto. Subject to Paragraph 13, this Agreement may be amended at any time by written agreement of the parties hereto.</w:t>
      </w:r>
    </w:p>
    <w:p>
      <w:pPr>
        <w:spacing w:after="0" w:line="164" w:lineRule="exact"/>
        <w:rPr>
          <w:sz w:val="20"/>
          <w:szCs w:val="20"/>
          <w:color w:val="auto"/>
        </w:rPr>
      </w:pPr>
    </w:p>
    <w:p>
      <w:pPr>
        <w:ind w:firstLine="628"/>
        <w:spacing w:after="0" w:line="275" w:lineRule="auto"/>
        <w:tabs>
          <w:tab w:leader="none" w:pos="1006"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its validity, interpretation, performance and enforcement shall be governed by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Maryland other than the conflict of laws provisions of such laws, and shall be construed in accordance therewith.</w:t>
      </w:r>
    </w:p>
    <w:p>
      <w:pPr>
        <w:spacing w:after="0" w:line="149" w:lineRule="exact"/>
        <w:rPr>
          <w:rFonts w:ascii="Arial" w:cs="Arial" w:eastAsia="Arial" w:hAnsi="Arial"/>
          <w:sz w:val="19"/>
          <w:szCs w:val="19"/>
          <w:b w:val="1"/>
          <w:bCs w:val="1"/>
          <w:color w:val="auto"/>
        </w:rPr>
      </w:pPr>
    </w:p>
    <w:p>
      <w:pPr>
        <w:jc w:val="both"/>
        <w:ind w:firstLine="628"/>
        <w:spacing w:after="0" w:line="250" w:lineRule="auto"/>
        <w:tabs>
          <w:tab w:leader="none" w:pos="980"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If, for any reason, any provision of this Agreement is held invalid, such invalidity shall not affect any other provision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75" w:lineRule="exact"/>
        <w:rPr>
          <w:rFonts w:ascii="Arial" w:cs="Arial" w:eastAsia="Arial" w:hAnsi="Arial"/>
          <w:sz w:val="19"/>
          <w:szCs w:val="19"/>
          <w:b w:val="1"/>
          <w:bCs w:val="1"/>
          <w:color w:val="auto"/>
        </w:rPr>
      </w:pPr>
    </w:p>
    <w:p>
      <w:pPr>
        <w:ind w:firstLine="628"/>
        <w:spacing w:after="0" w:line="275" w:lineRule="auto"/>
        <w:tabs>
          <w:tab w:leader="none" w:pos="1123"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Continued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not confer upon the Key Employee any right with respect to continuance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by the Trust.</w:t>
      </w:r>
    </w:p>
    <w:p>
      <w:pPr>
        <w:spacing w:after="0" w:line="149" w:lineRule="exact"/>
        <w:rPr>
          <w:rFonts w:ascii="Arial" w:cs="Arial" w:eastAsia="Arial" w:hAnsi="Arial"/>
          <w:sz w:val="19"/>
          <w:szCs w:val="19"/>
          <w:b w:val="1"/>
          <w:bCs w:val="1"/>
          <w:color w:val="auto"/>
        </w:rPr>
      </w:pPr>
    </w:p>
    <w:p>
      <w:pPr>
        <w:jc w:val="both"/>
        <w:ind w:firstLine="628"/>
        <w:spacing w:after="0" w:line="303" w:lineRule="auto"/>
        <w:tabs>
          <w:tab w:leader="none" w:pos="1088"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References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References to the Key Employee in any provision of this Agreement under circumstances where the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31" w:lineRule="exact"/>
        <w:rPr>
          <w:rFonts w:ascii="Arial" w:cs="Arial" w:eastAsia="Arial" w:hAnsi="Arial"/>
          <w:sz w:val="17"/>
          <w:szCs w:val="17"/>
          <w:b w:val="1"/>
          <w:bCs w:val="1"/>
          <w:color w:val="auto"/>
        </w:rPr>
      </w:pPr>
    </w:p>
    <w:p>
      <w:pPr>
        <w:jc w:val="both"/>
        <w:ind w:firstLine="628"/>
        <w:spacing w:after="0" w:line="280" w:lineRule="auto"/>
        <w:tabs>
          <w:tab w:leader="none" w:pos="102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83(b)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Key Employee acknowledges that it is the Key Employee's sole responsibility, and not the Trust's, to file a</w:t>
      </w:r>
      <w:r>
        <w:rPr>
          <w:rFonts w:ascii="Arial" w:cs="Arial" w:eastAsia="Arial" w:hAnsi="Arial"/>
          <w:sz w:val="18"/>
          <w:szCs w:val="18"/>
          <w:b w:val="1"/>
          <w:bCs w:val="1"/>
          <w:color w:val="auto"/>
        </w:rPr>
        <w:t xml:space="preserve"> </w:t>
      </w:r>
      <w:r>
        <w:rPr>
          <w:rFonts w:ascii="Arial" w:cs="Arial" w:eastAsia="Arial" w:hAnsi="Arial"/>
          <w:sz w:val="18"/>
          <w:szCs w:val="18"/>
          <w:color w:val="auto"/>
        </w:rPr>
        <w:t>timely election under section 83(b) of the Internal Revenue Code, of 1986, as amended. The Key Employee acknowledges that he or she is relying on his or her own advisors with respect to the decision as to whether or not to file any section 83(b) election.</w:t>
      </w:r>
    </w:p>
    <w:p>
      <w:pPr>
        <w:spacing w:after="0" w:line="147" w:lineRule="exact"/>
        <w:rPr>
          <w:rFonts w:ascii="Arial" w:cs="Arial" w:eastAsia="Arial" w:hAnsi="Arial"/>
          <w:sz w:val="18"/>
          <w:szCs w:val="18"/>
          <w:b w:val="1"/>
          <w:bCs w:val="1"/>
          <w:color w:val="auto"/>
        </w:rPr>
      </w:pPr>
    </w:p>
    <w:p>
      <w:pPr>
        <w:ind w:firstLine="628"/>
        <w:spacing w:after="0" w:line="335" w:lineRule="auto"/>
        <w:tabs>
          <w:tab w:leader="none" w:pos="1049"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Notwithstanding anything herein to the contrary, the Key Employee shall be solely responsible and liable for the satisfaction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all taxes and penalties that may arise in connection with this Agreement (including any taxes arising under Section 409A of the Code).</w:t>
      </w:r>
    </w:p>
    <w:p>
      <w:pPr>
        <w:spacing w:after="0" w:line="65" w:lineRule="exact"/>
        <w:rPr>
          <w:rFonts w:ascii="Arial" w:cs="Arial" w:eastAsia="Arial" w:hAnsi="Arial"/>
          <w:sz w:val="17"/>
          <w:szCs w:val="17"/>
          <w:b w:val="1"/>
          <w:bCs w:val="1"/>
          <w:color w:val="auto"/>
        </w:rPr>
      </w:pPr>
    </w:p>
    <w:p>
      <w:pPr>
        <w:jc w:val="both"/>
        <w:ind w:firstLine="628"/>
        <w:spacing w:after="0" w:line="263" w:lineRule="auto"/>
        <w:tabs>
          <w:tab w:leader="none" w:pos="106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color w:val="auto"/>
        </w:rPr>
        <w:t>. This Agreement is intended to be exempt from Code Section 409A, and the Trust shall have complete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to interpret and construe 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Key Employee in order to accurately reflect its correct interpretation and operation to maintain an exemption from or compliance with Code Section 409A.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59" w:right="239" w:bottom="1440" w:gutter="0" w:footer="0" w:header="0"/>
        </w:sectPr>
      </w:pPr>
    </w:p>
    <w:bookmarkStart w:id="98" w:name="page99"/>
    <w:bookmarkEnd w:id="98"/>
    <w:p>
      <w:pPr>
        <w:spacing w:after="0"/>
        <w:rPr>
          <w:sz w:val="20"/>
          <w:szCs w:val="20"/>
          <w:color w:val="auto"/>
        </w:rPr>
      </w:pPr>
      <w:r>
        <w:rPr>
          <w:rFonts w:ascii="Arial" w:cs="Arial" w:eastAsia="Arial" w:hAnsi="Arial"/>
          <w:sz w:val="17"/>
          <w:szCs w:val="17"/>
          <w:color w:val="auto"/>
        </w:rPr>
        <w:t>IN WITNESS WHEREOF, the Trust has caused this Agreement to be duly executed effective as of the day and year first above written.</w:t>
      </w:r>
    </w:p>
    <w:p>
      <w:pPr>
        <w:sectPr>
          <w:pgSz w:w="11900" w:h="16838" w:orient="portrait"/>
          <w:cols w:equalWidth="0" w:num="1">
            <w:col w:w="10340"/>
          </w:cols>
          <w:pgMar w:left="860" w:top="773" w:right="69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FEDERAL REALTY INVESTMENT TRUST</w:t>
      </w:r>
    </w:p>
    <w:p>
      <w:pPr>
        <w:spacing w:after="0" w:line="211"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By:___________________________________</w:t>
      </w:r>
    </w:p>
    <w:p>
      <w:pPr>
        <w:spacing w:after="0" w:line="42"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Name: Dawn M. Becker</w:t>
      </w:r>
    </w:p>
    <w:p>
      <w:pPr>
        <w:spacing w:after="0" w:line="3"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Title: Executive Vice President -</w:t>
      </w:r>
    </w:p>
    <w:p>
      <w:pPr>
        <w:spacing w:after="0" w:line="3"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General Counsel and Secretary</w:t>
      </w:r>
    </w:p>
    <w:p>
      <w:pPr>
        <w:spacing w:after="0" w:line="200" w:lineRule="exact"/>
        <w:rPr>
          <w:sz w:val="20"/>
          <w:szCs w:val="20"/>
          <w:color w:val="auto"/>
        </w:rPr>
      </w:pPr>
    </w:p>
    <w:p>
      <w:pPr>
        <w:spacing w:after="0" w:line="233"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340"/>
          </w:cols>
          <w:pgMar w:left="860" w:top="773" w:right="69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10.36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FEDERAL REALTY INVESTMENT TRUST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SHARE AWARD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DATE</w:t>
      </w:r>
    </w:p>
    <w:p>
      <w:pPr>
        <w:spacing w:after="0" w:line="205" w:lineRule="exact"/>
        <w:rPr>
          <w:sz w:val="20"/>
          <w:szCs w:val="20"/>
          <w:color w:val="auto"/>
        </w:rPr>
      </w:pPr>
    </w:p>
    <w:p>
      <w:pPr>
        <w:jc w:val="both"/>
        <w:ind w:firstLine="624"/>
        <w:spacing w:after="0" w:line="259" w:lineRule="auto"/>
        <w:rPr>
          <w:sz w:val="20"/>
          <w:szCs w:val="20"/>
          <w:color w:val="auto"/>
        </w:rPr>
      </w:pPr>
      <w:r>
        <w:rPr>
          <w:rFonts w:ascii="Arial" w:cs="Arial" w:eastAsia="Arial" w:hAnsi="Arial"/>
          <w:sz w:val="19"/>
          <w:szCs w:val="19"/>
          <w:color w:val="auto"/>
        </w:rPr>
        <w:t>This Restricted Share Award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by </w:t>
      </w:r>
      <w:r>
        <w:rPr>
          <w:rFonts w:ascii="Arial" w:cs="Arial" w:eastAsia="Arial" w:hAnsi="Arial"/>
          <w:sz w:val="19"/>
          <w:szCs w:val="19"/>
          <w:b w:val="1"/>
          <w:bCs w:val="1"/>
          <w:color w:val="auto"/>
        </w:rPr>
        <w:t>Federal Realty Investment Trust</w:t>
      </w:r>
      <w:r>
        <w:rPr>
          <w:rFonts w:ascii="Arial" w:cs="Arial" w:eastAsia="Arial" w:hAnsi="Arial"/>
          <w:sz w:val="19"/>
          <w:szCs w:val="19"/>
          <w:color w:val="auto"/>
        </w:rPr>
        <w:t xml:space="preserve">, a Maryland real estate investment trust (the </w:t>
      </w:r>
      <w:r>
        <w:rPr>
          <w:rFonts w:ascii="Arial" w:cs="Arial" w:eastAsia="Arial" w:hAnsi="Arial"/>
          <w:sz w:val="19"/>
          <w:szCs w:val="19"/>
          <w:b w:val="1"/>
          <w:bCs w:val="1"/>
          <w:color w:val="auto"/>
        </w:rPr>
        <w:t>“Trust”</w:t>
      </w:r>
      <w:r>
        <w:rPr>
          <w:rFonts w:ascii="Arial" w:cs="Arial" w:eastAsia="Arial" w:hAnsi="Arial"/>
          <w:sz w:val="19"/>
          <w:szCs w:val="19"/>
          <w:color w:val="auto"/>
        </w:rPr>
        <w:t xml:space="preserve">), provides notice to ___________________, an individual employee of the Trust (the </w:t>
      </w:r>
      <w:r>
        <w:rPr>
          <w:rFonts w:ascii="Arial" w:cs="Arial" w:eastAsia="Arial" w:hAnsi="Arial"/>
          <w:sz w:val="19"/>
          <w:szCs w:val="19"/>
          <w:b w:val="1"/>
          <w:bCs w:val="1"/>
          <w:color w:val="auto"/>
        </w:rPr>
        <w:t>“Key Employee”</w:t>
      </w:r>
      <w:r>
        <w:rPr>
          <w:rFonts w:ascii="Arial" w:cs="Arial" w:eastAsia="Arial" w:hAnsi="Arial"/>
          <w:sz w:val="19"/>
          <w:szCs w:val="19"/>
          <w:color w:val="auto"/>
        </w:rPr>
        <w:t>), of the terms of a Restricted Share Award.</w:t>
      </w:r>
    </w:p>
    <w:p>
      <w:pPr>
        <w:spacing w:after="0" w:line="164" w:lineRule="exact"/>
        <w:rPr>
          <w:sz w:val="20"/>
          <w:szCs w:val="20"/>
          <w:color w:val="auto"/>
        </w:rPr>
      </w:pPr>
    </w:p>
    <w:p>
      <w:pPr>
        <w:jc w:val="both"/>
        <w:ind w:firstLine="624"/>
        <w:spacing w:after="0" w:line="253" w:lineRule="auto"/>
        <w:rPr>
          <w:sz w:val="20"/>
          <w:szCs w:val="20"/>
          <w:color w:val="auto"/>
        </w:rPr>
      </w:pPr>
      <w:r>
        <w:rPr>
          <w:rFonts w:ascii="Arial" w:cs="Arial" w:eastAsia="Arial" w:hAnsi="Arial"/>
          <w:sz w:val="19"/>
          <w:szCs w:val="19"/>
          <w:color w:val="auto"/>
        </w:rPr>
        <w:t>The Board of Trustees of the Trust (the “</w:t>
      </w:r>
      <w:r>
        <w:rPr>
          <w:rFonts w:ascii="Arial" w:cs="Arial" w:eastAsia="Arial" w:hAnsi="Arial"/>
          <w:sz w:val="19"/>
          <w:szCs w:val="19"/>
          <w:b w:val="1"/>
          <w:bCs w:val="1"/>
          <w:color w:val="auto"/>
        </w:rPr>
        <w:t>Board of Trustees</w:t>
      </w:r>
      <w:r>
        <w:rPr>
          <w:rFonts w:ascii="Arial" w:cs="Arial" w:eastAsia="Arial" w:hAnsi="Arial"/>
          <w:sz w:val="19"/>
          <w:szCs w:val="19"/>
          <w:color w:val="auto"/>
        </w:rPr>
        <w:t xml:space="preserve">”) has authorized the award by the Trust to the Key Employee, under the Trust's 2010 Performance Incentive Plan (the </w:t>
      </w:r>
      <w:r>
        <w:rPr>
          <w:rFonts w:ascii="Arial" w:cs="Arial" w:eastAsia="Arial" w:hAnsi="Arial"/>
          <w:sz w:val="19"/>
          <w:szCs w:val="19"/>
          <w:b w:val="1"/>
          <w:bCs w:val="1"/>
          <w:color w:val="auto"/>
        </w:rPr>
        <w:t>“Plan”</w:t>
      </w:r>
      <w:r>
        <w:rPr>
          <w:rFonts w:ascii="Arial" w:cs="Arial" w:eastAsia="Arial" w:hAnsi="Arial"/>
          <w:sz w:val="19"/>
          <w:szCs w:val="19"/>
          <w:color w:val="auto"/>
        </w:rPr>
        <w:t xml:space="preserve">) of a Restricted Share Award for a certain number of shares of beneficial interest of the Trust (the </w:t>
      </w:r>
      <w:r>
        <w:rPr>
          <w:rFonts w:ascii="Arial" w:cs="Arial" w:eastAsia="Arial" w:hAnsi="Arial"/>
          <w:sz w:val="19"/>
          <w:szCs w:val="19"/>
          <w:b w:val="1"/>
          <w:bCs w:val="1"/>
          <w:color w:val="auto"/>
        </w:rPr>
        <w:t>“Shares”</w:t>
      </w:r>
      <w:r>
        <w:rPr>
          <w:rFonts w:ascii="Arial" w:cs="Arial" w:eastAsia="Arial" w:hAnsi="Arial"/>
          <w:sz w:val="19"/>
          <w:szCs w:val="19"/>
          <w:color w:val="auto"/>
        </w:rPr>
        <w:t>), subject to certain restrictions and covenants on the part of Key Employee. This Agreement sets forth vesting and the respective rights and</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of the Trust and the Key Employee with respect to such Shares.</w:t>
      </w:r>
    </w:p>
    <w:p>
      <w:pPr>
        <w:spacing w:after="0" w:line="177" w:lineRule="exact"/>
        <w:rPr>
          <w:sz w:val="20"/>
          <w:szCs w:val="20"/>
          <w:color w:val="auto"/>
        </w:rPr>
      </w:pPr>
    </w:p>
    <w:p>
      <w:pPr>
        <w:jc w:val="both"/>
        <w:ind w:firstLine="624"/>
        <w:spacing w:after="0" w:line="255" w:lineRule="auto"/>
        <w:rPr>
          <w:sz w:val="20"/>
          <w:szCs w:val="20"/>
          <w:color w:val="auto"/>
        </w:rPr>
      </w:pPr>
      <w:r>
        <w:rPr>
          <w:rFonts w:ascii="Arial" w:cs="Arial" w:eastAsia="Arial" w:hAnsi="Arial"/>
          <w:sz w:val="19"/>
          <w:szCs w:val="19"/>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75" w:lineRule="exact"/>
        <w:rPr>
          <w:sz w:val="20"/>
          <w:szCs w:val="20"/>
          <w:color w:val="auto"/>
        </w:rPr>
      </w:pPr>
    </w:p>
    <w:p>
      <w:pPr>
        <w:jc w:val="both"/>
        <w:ind w:firstLine="624"/>
        <w:spacing w:after="0" w:line="268" w:lineRule="auto"/>
        <w:rPr>
          <w:sz w:val="20"/>
          <w:szCs w:val="20"/>
          <w:color w:val="auto"/>
        </w:rPr>
      </w:pPr>
      <w:r>
        <w:rPr>
          <w:rFonts w:ascii="Arial" w:cs="Arial" w:eastAsia="Arial" w:hAnsi="Arial"/>
          <w:sz w:val="19"/>
          <w:szCs w:val="19"/>
          <w:color w:val="auto"/>
        </w:rPr>
        <w:t>In consideration of the covenants set forth in this Agreement, and intending to be legally bound hereby, the terms of the Restricted Share Award are as follows:</w:t>
      </w:r>
    </w:p>
    <w:p>
      <w:pPr>
        <w:spacing w:after="0" w:line="260" w:lineRule="exact"/>
        <w:rPr>
          <w:sz w:val="20"/>
          <w:szCs w:val="20"/>
          <w:color w:val="auto"/>
        </w:rPr>
      </w:pPr>
    </w:p>
    <w:p>
      <w:pPr>
        <w:ind w:left="940" w:hanging="312"/>
        <w:spacing w:after="0"/>
        <w:tabs>
          <w:tab w:leader="none" w:pos="940"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of Restricted Shares</w:t>
      </w:r>
      <w:r>
        <w:rPr>
          <w:rFonts w:ascii="Arial" w:cs="Arial" w:eastAsia="Arial" w:hAnsi="Arial"/>
          <w:sz w:val="19"/>
          <w:szCs w:val="19"/>
          <w:b w:val="1"/>
          <w:bCs w:val="1"/>
          <w:color w:val="auto"/>
        </w:rPr>
        <w:t>.</w:t>
      </w:r>
    </w:p>
    <w:p>
      <w:pPr>
        <w:spacing w:after="0" w:line="210" w:lineRule="exact"/>
        <w:rPr>
          <w:rFonts w:ascii="Arial" w:cs="Arial" w:eastAsia="Arial" w:hAnsi="Arial"/>
          <w:sz w:val="19"/>
          <w:szCs w:val="19"/>
          <w:b w:val="1"/>
          <w:bCs w:val="1"/>
          <w:color w:val="auto"/>
        </w:rPr>
      </w:pPr>
    </w:p>
    <w:p>
      <w:pPr>
        <w:ind w:left="1600" w:hanging="659"/>
        <w:spacing w:after="0"/>
        <w:tabs>
          <w:tab w:leader="none" w:pos="16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The  Trust  hereby  confirms  the  grant  to  the  Key  Employee  as  of  the  date  set  forth  above  (the  </w:t>
      </w:r>
      <w:r>
        <w:rPr>
          <w:rFonts w:ascii="Arial" w:cs="Arial" w:eastAsia="Arial" w:hAnsi="Arial"/>
          <w:sz w:val="18"/>
          <w:szCs w:val="18"/>
          <w:b w:val="1"/>
          <w:bCs w:val="1"/>
          <w:color w:val="auto"/>
        </w:rPr>
        <w:t>“Grant Date”</w:t>
      </w:r>
      <w:r>
        <w:rPr>
          <w:rFonts w:ascii="Arial" w:cs="Arial" w:eastAsia="Arial" w:hAnsi="Arial"/>
          <w:sz w:val="18"/>
          <w:szCs w:val="18"/>
          <w:color w:val="auto"/>
        </w:rPr>
        <w:t>)  of</w:t>
      </w:r>
    </w:p>
    <w:p>
      <w:pPr>
        <w:spacing w:after="0" w:line="36" w:lineRule="exact"/>
        <w:rPr>
          <w:rFonts w:ascii="Arial" w:cs="Arial" w:eastAsia="Arial" w:hAnsi="Arial"/>
          <w:sz w:val="18"/>
          <w:szCs w:val="18"/>
          <w:color w:val="auto"/>
        </w:rPr>
      </w:pPr>
    </w:p>
    <w:p>
      <w:pPr>
        <w:spacing w:after="0" w:line="251" w:lineRule="auto"/>
        <w:rPr>
          <w:rFonts w:ascii="Arial" w:cs="Arial" w:eastAsia="Arial" w:hAnsi="Arial"/>
          <w:sz w:val="18"/>
          <w:szCs w:val="18"/>
          <w:color w:val="auto"/>
        </w:rPr>
      </w:pPr>
      <w:r>
        <w:rPr>
          <w:rFonts w:ascii="Arial" w:cs="Arial" w:eastAsia="Arial" w:hAnsi="Arial"/>
          <w:sz w:val="19"/>
          <w:szCs w:val="19"/>
          <w:color w:val="auto"/>
        </w:rPr>
        <w:t xml:space="preserve">___________________ (_________) Shares (the </w:t>
      </w:r>
      <w:r>
        <w:rPr>
          <w:rFonts w:ascii="Arial" w:cs="Arial" w:eastAsia="Arial" w:hAnsi="Arial"/>
          <w:sz w:val="19"/>
          <w:szCs w:val="19"/>
          <w:b w:val="1"/>
          <w:bCs w:val="1"/>
          <w:color w:val="auto"/>
        </w:rPr>
        <w:t>“Restricted Shares”</w:t>
      </w:r>
      <w:r>
        <w:rPr>
          <w:rFonts w:ascii="Arial" w:cs="Arial" w:eastAsia="Arial" w:hAnsi="Arial"/>
          <w:sz w:val="19"/>
          <w:szCs w:val="19"/>
          <w:color w:val="auto"/>
        </w:rPr>
        <w:t>), subject to the restrictions and other terms and conditions set forth herein and in the Plan; and</w:t>
      </w:r>
    </w:p>
    <w:p>
      <w:pPr>
        <w:spacing w:after="0" w:line="177" w:lineRule="exact"/>
        <w:rPr>
          <w:rFonts w:ascii="Arial" w:cs="Arial" w:eastAsia="Arial" w:hAnsi="Arial"/>
          <w:sz w:val="18"/>
          <w:szCs w:val="18"/>
          <w:color w:val="auto"/>
        </w:rPr>
      </w:pPr>
    </w:p>
    <w:p>
      <w:pPr>
        <w:jc w:val="both"/>
        <w:ind w:firstLine="941"/>
        <w:spacing w:after="0" w:line="261" w:lineRule="auto"/>
        <w:tabs>
          <w:tab w:leader="none" w:pos="1332" w:val="left"/>
        </w:tabs>
        <w:numPr>
          <w:ilvl w:val="1"/>
          <w:numId w:val="74"/>
        </w:numPr>
        <w:rPr>
          <w:rFonts w:ascii="Arial" w:cs="Arial" w:eastAsia="Arial" w:hAnsi="Arial"/>
          <w:sz w:val="18"/>
          <w:szCs w:val="18"/>
          <w:color w:val="auto"/>
        </w:rPr>
      </w:pPr>
      <w:r>
        <w:rPr>
          <w:rFonts w:ascii="Arial" w:cs="Arial" w:eastAsia="Arial" w:hAnsi="Arial"/>
          <w:sz w:val="18"/>
          <w:szCs w:val="18"/>
          <w:color w:val="auto"/>
        </w:rPr>
        <w:t>On or as soon as practicable after the Grant Date, the Trust shall cause the Restricted Shares to be issued in certificated form or by a book-entry designation for the account for the Key Employee. Such Restricted Shares shall be subject to such stop-transfer orders and other restrictions as the Board of Trustees or any committee thereof may deem advisable under the rules, regulations, and other requirements of the Securities and Exchange Commission and any stock exchange upon which the Shares are listed and any applicable federal or state securities law. If the Restricted Shares are issued in certificated form, the certificate(s) representing the Restricted Shares shall be held in custody by the Chief Financial Officer. Restricted Shares issued by a book-entry designation shall be held in a book-entry account designated by the Trust until the restrictions provided in this Agreement with respect thereto shall have been removed. At any time as may be requested by the Trust, if necessary to enforce the restrictions applicable to the Restricted Shares, the Key Employee shall deliver to the Trust one or more undated stock powers endorsed in blank relating to the Restricted Shares.</w:t>
      </w:r>
    </w:p>
    <w:p>
      <w:pPr>
        <w:spacing w:after="0" w:line="270" w:lineRule="exact"/>
        <w:rPr>
          <w:rFonts w:ascii="Arial" w:cs="Arial" w:eastAsia="Arial" w:hAnsi="Arial"/>
          <w:sz w:val="18"/>
          <w:szCs w:val="18"/>
          <w:color w:val="auto"/>
        </w:rPr>
      </w:pPr>
    </w:p>
    <w:p>
      <w:pPr>
        <w:ind w:left="940" w:hanging="312"/>
        <w:spacing w:after="0"/>
        <w:tabs>
          <w:tab w:leader="none" w:pos="940"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Restrictions Applicable to Restricted Shares</w:t>
      </w:r>
      <w:r>
        <w:rPr>
          <w:rFonts w:ascii="Arial" w:cs="Arial" w:eastAsia="Arial" w:hAnsi="Arial"/>
          <w:sz w:val="19"/>
          <w:szCs w:val="19"/>
          <w:b w:val="1"/>
          <w:bCs w:val="1"/>
          <w:color w:val="auto"/>
        </w:rPr>
        <w:t>.</w:t>
      </w:r>
    </w:p>
    <w:p>
      <w:pPr>
        <w:spacing w:after="0" w:line="216" w:lineRule="exact"/>
        <w:rPr>
          <w:rFonts w:ascii="Arial" w:cs="Arial" w:eastAsia="Arial" w:hAnsi="Arial"/>
          <w:sz w:val="19"/>
          <w:szCs w:val="19"/>
          <w:b w:val="1"/>
          <w:bCs w:val="1"/>
          <w:color w:val="auto"/>
        </w:rPr>
      </w:pPr>
    </w:p>
    <w:p>
      <w:pPr>
        <w:ind w:firstLine="941"/>
        <w:spacing w:after="0" w:line="268" w:lineRule="auto"/>
        <w:tabs>
          <w:tab w:leader="none" w:pos="1347" w:val="left"/>
        </w:tabs>
        <w:numPr>
          <w:ilvl w:val="1"/>
          <w:numId w:val="74"/>
        </w:numPr>
        <w:rPr>
          <w:rFonts w:ascii="Arial" w:cs="Arial" w:eastAsia="Arial" w:hAnsi="Arial"/>
          <w:sz w:val="19"/>
          <w:szCs w:val="19"/>
          <w:color w:val="auto"/>
        </w:rPr>
      </w:pPr>
      <w:r>
        <w:rPr>
          <w:rFonts w:ascii="Arial" w:cs="Arial" w:eastAsia="Arial" w:hAnsi="Arial"/>
          <w:sz w:val="19"/>
          <w:szCs w:val="19"/>
          <w:color w:val="auto"/>
        </w:rPr>
        <w:t>Beginning on the Grant Date, the Key Employee shall have all rights and privileges of a stockholder with respect to the Restricted Shares, except that the following restrictions shall apply:</w:t>
      </w:r>
    </w:p>
    <w:p>
      <w:pPr>
        <w:spacing w:after="0" w:line="162" w:lineRule="exact"/>
        <w:rPr>
          <w:rFonts w:ascii="Arial" w:cs="Arial" w:eastAsia="Arial" w:hAnsi="Arial"/>
          <w:sz w:val="19"/>
          <w:szCs w:val="19"/>
          <w:color w:val="auto"/>
        </w:rPr>
      </w:pPr>
    </w:p>
    <w:p>
      <w:pPr>
        <w:jc w:val="both"/>
        <w:ind w:firstLine="1565"/>
        <w:spacing w:after="0" w:line="255" w:lineRule="auto"/>
        <w:tabs>
          <w:tab w:leader="none" w:pos="1914" w:val="left"/>
        </w:tabs>
        <w:numPr>
          <w:ilvl w:val="2"/>
          <w:numId w:val="74"/>
        </w:numPr>
        <w:rPr>
          <w:rFonts w:ascii="Arial" w:cs="Arial" w:eastAsia="Arial" w:hAnsi="Arial"/>
          <w:sz w:val="19"/>
          <w:szCs w:val="19"/>
          <w:color w:val="auto"/>
        </w:rPr>
      </w:pPr>
      <w:r>
        <w:rPr>
          <w:rFonts w:ascii="Arial" w:cs="Arial" w:eastAsia="Arial" w:hAnsi="Arial"/>
          <w:sz w:val="19"/>
          <w:szCs w:val="19"/>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while the restrictions of this Agreement apply to the Shares;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63" w:right="239" w:bottom="1440" w:gutter="0" w:footer="0" w:header="0"/>
        </w:sectPr>
      </w:pPr>
    </w:p>
    <w:bookmarkStart w:id="100" w:name="page101"/>
    <w:bookmarkEnd w:id="100"/>
    <w:p>
      <w:pPr>
        <w:ind w:left="1980" w:hanging="415"/>
        <w:spacing w:after="0"/>
        <w:tabs>
          <w:tab w:leader="none" w:pos="1980" w:val="left"/>
        </w:tabs>
        <w:numPr>
          <w:ilvl w:val="3"/>
          <w:numId w:val="75"/>
        </w:numPr>
        <w:rPr>
          <w:rFonts w:ascii="Arial" w:cs="Arial" w:eastAsia="Arial" w:hAnsi="Arial"/>
          <w:sz w:val="19"/>
          <w:szCs w:val="19"/>
          <w:color w:val="auto"/>
        </w:rPr>
      </w:pPr>
      <w:r>
        <w:rPr>
          <w:rFonts w:ascii="Arial" w:cs="Arial" w:eastAsia="Arial" w:hAnsi="Arial"/>
          <w:sz w:val="19"/>
          <w:szCs w:val="19"/>
          <w:color w:val="auto"/>
        </w:rPr>
        <w:t>all or a portion of the Restricted Shares may be forfeited in accordance with Paragraph 4; and</w:t>
      </w:r>
    </w:p>
    <w:p>
      <w:pPr>
        <w:spacing w:after="0" w:line="210" w:lineRule="exact"/>
        <w:rPr>
          <w:rFonts w:ascii="Arial" w:cs="Arial" w:eastAsia="Arial" w:hAnsi="Arial"/>
          <w:sz w:val="19"/>
          <w:szCs w:val="19"/>
          <w:color w:val="auto"/>
        </w:rPr>
      </w:pPr>
    </w:p>
    <w:p>
      <w:pPr>
        <w:jc w:val="both"/>
        <w:ind w:firstLine="1565"/>
        <w:spacing w:after="0" w:line="251" w:lineRule="auto"/>
        <w:tabs>
          <w:tab w:leader="none" w:pos="2046" w:val="left"/>
        </w:tabs>
        <w:numPr>
          <w:ilvl w:val="3"/>
          <w:numId w:val="75"/>
        </w:numPr>
        <w:rPr>
          <w:rFonts w:ascii="Arial" w:cs="Arial" w:eastAsia="Arial" w:hAnsi="Arial"/>
          <w:sz w:val="19"/>
          <w:szCs w:val="19"/>
          <w:color w:val="auto"/>
        </w:rPr>
      </w:pPr>
      <w:r>
        <w:rPr>
          <w:rFonts w:ascii="Arial" w:cs="Arial" w:eastAsia="Arial" w:hAnsi="Arial"/>
          <w:sz w:val="19"/>
          <w:szCs w:val="19"/>
          <w:color w:val="auto"/>
        </w:rPr>
        <w:t>any Shares distributed as a dividend or otherwise and any other property (other than ordinary dividends) distributed with respect to any Restricted Shares which have not vested and as to which the restrictions have not yet lapsed shall be subject to the same vesting and other restrictions as such Restricted Shares and shall be represented by book-entry and held in the same manner as the Restricted Shares with respect to which they were distributed.</w:t>
      </w:r>
    </w:p>
    <w:p>
      <w:pPr>
        <w:spacing w:after="0" w:line="178" w:lineRule="exact"/>
        <w:rPr>
          <w:rFonts w:ascii="Arial" w:cs="Arial" w:eastAsia="Arial" w:hAnsi="Arial"/>
          <w:sz w:val="19"/>
          <w:szCs w:val="19"/>
          <w:color w:val="auto"/>
        </w:rPr>
      </w:pPr>
    </w:p>
    <w:p>
      <w:pPr>
        <w:jc w:val="both"/>
        <w:ind w:firstLine="1253"/>
        <w:spacing w:after="0" w:line="251" w:lineRule="auto"/>
        <w:tabs>
          <w:tab w:leader="none" w:pos="1787" w:val="left"/>
        </w:tabs>
        <w:numPr>
          <w:ilvl w:val="2"/>
          <w:numId w:val="76"/>
        </w:numPr>
        <w:rPr>
          <w:rFonts w:ascii="Arial" w:cs="Arial" w:eastAsia="Arial" w:hAnsi="Arial"/>
          <w:sz w:val="19"/>
          <w:szCs w:val="19"/>
          <w:color w:val="auto"/>
        </w:rPr>
      </w:pPr>
      <w:r>
        <w:rPr>
          <w:rFonts w:ascii="Arial" w:cs="Arial" w:eastAsia="Arial" w:hAnsi="Arial"/>
          <w:sz w:val="19"/>
          <w:szCs w:val="19"/>
          <w:color w:val="auto"/>
        </w:rPr>
        <w:t>Upon vesting of all or a portion of the Restricted Shares as provided in Paragraph 3 and payment in accordance with Paragraph 3(c) of withholding taxes relating to those Restricted Shares which have vested, such shares shall no longer be considered Restricted Shares for purposes of this Agreement and the Trust shall cause the restrictions to be removed from the number of Shares which have become vested and for which withholding taxes have been paid.</w:t>
      </w:r>
    </w:p>
    <w:p>
      <w:pPr>
        <w:spacing w:after="0" w:line="178" w:lineRule="exact"/>
        <w:rPr>
          <w:rFonts w:ascii="Arial" w:cs="Arial" w:eastAsia="Arial" w:hAnsi="Arial"/>
          <w:sz w:val="19"/>
          <w:szCs w:val="19"/>
          <w:color w:val="auto"/>
        </w:rPr>
      </w:pPr>
    </w:p>
    <w:p>
      <w:pPr>
        <w:ind w:left="1680" w:hanging="427"/>
        <w:spacing w:after="0"/>
        <w:tabs>
          <w:tab w:leader="none" w:pos="1680" w:val="left"/>
        </w:tabs>
        <w:numPr>
          <w:ilvl w:val="2"/>
          <w:numId w:val="76"/>
        </w:numPr>
        <w:rPr>
          <w:rFonts w:ascii="Arial" w:cs="Arial" w:eastAsia="Arial" w:hAnsi="Arial"/>
          <w:sz w:val="17"/>
          <w:szCs w:val="17"/>
          <w:color w:val="auto"/>
        </w:rPr>
      </w:pPr>
      <w:r>
        <w:rPr>
          <w:rFonts w:ascii="Arial" w:cs="Arial" w:eastAsia="Arial" w:hAnsi="Arial"/>
          <w:sz w:val="17"/>
          <w:szCs w:val="17"/>
          <w:color w:val="auto"/>
        </w:rPr>
        <w:t>Any attempt to dispose of Restricted Shares in a manner contrary to the restrictions set forth in this Agreement shall be null,</w:t>
      </w:r>
    </w:p>
    <w:p>
      <w:pPr>
        <w:spacing w:after="0" w:line="4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void and ineffective.</w:t>
      </w:r>
    </w:p>
    <w:p>
      <w:pPr>
        <w:spacing w:after="0" w:line="188" w:lineRule="exact"/>
        <w:rPr>
          <w:rFonts w:ascii="Arial" w:cs="Arial" w:eastAsia="Arial" w:hAnsi="Arial"/>
          <w:sz w:val="17"/>
          <w:szCs w:val="17"/>
          <w:color w:val="auto"/>
        </w:rPr>
      </w:pPr>
    </w:p>
    <w:p>
      <w:pPr>
        <w:ind w:left="940" w:hanging="312"/>
        <w:spacing w:after="0"/>
        <w:tabs>
          <w:tab w:leader="none" w:pos="940"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Vesting</w:t>
      </w:r>
      <w:r>
        <w:rPr>
          <w:rFonts w:ascii="Arial" w:cs="Arial" w:eastAsia="Arial" w:hAnsi="Arial"/>
          <w:sz w:val="19"/>
          <w:szCs w:val="19"/>
          <w:b w:val="1"/>
          <w:bCs w:val="1"/>
          <w:color w:val="auto"/>
        </w:rPr>
        <w:t>.</w:t>
      </w:r>
    </w:p>
    <w:p>
      <w:pPr>
        <w:spacing w:after="0" w:line="216" w:lineRule="exact"/>
        <w:rPr>
          <w:rFonts w:ascii="Arial" w:cs="Arial" w:eastAsia="Arial" w:hAnsi="Arial"/>
          <w:sz w:val="19"/>
          <w:szCs w:val="19"/>
          <w:b w:val="1"/>
          <w:bCs w:val="1"/>
          <w:color w:val="auto"/>
        </w:rPr>
      </w:pPr>
    </w:p>
    <w:p>
      <w:pPr>
        <w:ind w:left="1320" w:hanging="379"/>
        <w:spacing w:after="0"/>
        <w:tabs>
          <w:tab w:leader="none" w:pos="1320"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Restricted Shares shall vest as follows: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[Insert Vesting Schedule]</w:t>
      </w:r>
    </w:p>
    <w:p>
      <w:pPr>
        <w:spacing w:after="0" w:line="217" w:lineRule="exact"/>
        <w:rPr>
          <w:sz w:val="20"/>
          <w:szCs w:val="20"/>
          <w:color w:val="auto"/>
        </w:rPr>
      </w:pPr>
    </w:p>
    <w:p>
      <w:pPr>
        <w:ind w:left="1340" w:hanging="399"/>
        <w:spacing w:after="0"/>
        <w:tabs>
          <w:tab w:leader="none" w:pos="1340" w:val="left"/>
        </w:tabs>
        <w:numPr>
          <w:ilvl w:val="1"/>
          <w:numId w:val="78"/>
        </w:numPr>
        <w:rPr>
          <w:rFonts w:ascii="Arial" w:cs="Arial" w:eastAsia="Arial" w:hAnsi="Arial"/>
          <w:sz w:val="19"/>
          <w:szCs w:val="19"/>
          <w:color w:val="auto"/>
        </w:rPr>
      </w:pPr>
      <w:r>
        <w:rPr>
          <w:rFonts w:ascii="Arial" w:cs="Arial" w:eastAsia="Arial" w:hAnsi="Arial"/>
          <w:sz w:val="19"/>
          <w:szCs w:val="19"/>
          <w:color w:val="auto"/>
        </w:rPr>
        <w:t>Notwithstanding the foregoing, the Restricted Shares shall vest as follows:</w:t>
      </w:r>
    </w:p>
    <w:p>
      <w:pPr>
        <w:spacing w:after="0" w:line="210" w:lineRule="exact"/>
        <w:rPr>
          <w:rFonts w:ascii="Arial" w:cs="Arial" w:eastAsia="Arial" w:hAnsi="Arial"/>
          <w:sz w:val="19"/>
          <w:szCs w:val="19"/>
          <w:color w:val="auto"/>
        </w:rPr>
      </w:pPr>
    </w:p>
    <w:p>
      <w:pPr>
        <w:ind w:left="1920" w:hanging="355"/>
        <w:spacing w:after="0"/>
        <w:tabs>
          <w:tab w:leader="none" w:pos="1920" w:val="left"/>
        </w:tabs>
        <w:numPr>
          <w:ilvl w:val="2"/>
          <w:numId w:val="78"/>
        </w:numPr>
        <w:rPr>
          <w:rFonts w:ascii="Arial" w:cs="Arial" w:eastAsia="Arial" w:hAnsi="Arial"/>
          <w:sz w:val="19"/>
          <w:szCs w:val="19"/>
          <w:color w:val="auto"/>
        </w:rPr>
      </w:pPr>
      <w:r>
        <w:rPr>
          <w:rFonts w:ascii="Arial" w:cs="Arial" w:eastAsia="Arial" w:hAnsi="Arial"/>
          <w:sz w:val="19"/>
          <w:szCs w:val="19"/>
          <w:color w:val="auto"/>
        </w:rPr>
        <w:t>all Restricted Shares shall vest in the event of the death or Disability of the Key Employee; and</w:t>
      </w:r>
    </w:p>
    <w:p>
      <w:pPr>
        <w:spacing w:after="0" w:line="18" w:lineRule="exact"/>
        <w:rPr>
          <w:rFonts w:ascii="Arial" w:cs="Arial" w:eastAsia="Arial" w:hAnsi="Arial"/>
          <w:sz w:val="19"/>
          <w:szCs w:val="19"/>
          <w:color w:val="auto"/>
        </w:rPr>
      </w:pPr>
    </w:p>
    <w:p>
      <w:pPr>
        <w:ind w:firstLine="1565"/>
        <w:spacing w:after="0" w:line="251" w:lineRule="auto"/>
        <w:tabs>
          <w:tab w:leader="none" w:pos="1980" w:val="left"/>
        </w:tabs>
        <w:numPr>
          <w:ilvl w:val="2"/>
          <w:numId w:val="78"/>
        </w:numPr>
        <w:rPr>
          <w:rFonts w:ascii="Arial" w:cs="Arial" w:eastAsia="Arial" w:hAnsi="Arial"/>
          <w:sz w:val="19"/>
          <w:szCs w:val="19"/>
          <w:color w:val="auto"/>
        </w:rPr>
      </w:pPr>
      <w:r>
        <w:rPr>
          <w:rFonts w:ascii="Arial" w:cs="Arial" w:eastAsia="Arial" w:hAnsi="Arial"/>
          <w:sz w:val="19"/>
          <w:szCs w:val="19"/>
          <w:color w:val="auto"/>
        </w:rPr>
        <w:t>all Restricted Shares shall vest if the Key Employee shall incur an Involuntary Termination (as defined in the Plan) during the one year period commencing with the occurrence of a Change in Control.</w:t>
      </w:r>
    </w:p>
    <w:p>
      <w:pPr>
        <w:spacing w:after="0" w:line="177" w:lineRule="exact"/>
        <w:rPr>
          <w:rFonts w:ascii="Arial" w:cs="Arial" w:eastAsia="Arial" w:hAnsi="Arial"/>
          <w:sz w:val="19"/>
          <w:szCs w:val="19"/>
          <w:color w:val="auto"/>
        </w:rPr>
      </w:pPr>
    </w:p>
    <w:p>
      <w:pPr>
        <w:jc w:val="both"/>
        <w:ind w:firstLine="941"/>
        <w:spacing w:after="0" w:line="273" w:lineRule="auto"/>
        <w:tabs>
          <w:tab w:leader="none" w:pos="1439" w:val="left"/>
        </w:tabs>
        <w:numPr>
          <w:ilvl w:val="1"/>
          <w:numId w:val="78"/>
        </w:numPr>
        <w:rPr>
          <w:rFonts w:ascii="Arial" w:cs="Arial" w:eastAsia="Arial" w:hAnsi="Arial"/>
          <w:sz w:val="17"/>
          <w:szCs w:val="17"/>
          <w:color w:val="auto"/>
        </w:rPr>
      </w:pPr>
      <w:r>
        <w:rPr>
          <w:rFonts w:ascii="Arial" w:cs="Arial" w:eastAsia="Arial" w:hAnsi="Arial"/>
          <w:sz w:val="17"/>
          <w:szCs w:val="17"/>
          <w:color w:val="auto"/>
        </w:rPr>
        <w:t>As soon as reasonably practicable after the vesting of all or any portion of the Restricted Shares, the Trust shall notify Key Employee or the Key Employee's legal representative, as applicable, of the amount of required withholding taxes due on the vesting of all or a portion of Restricted Shares (“Tax Notice”). Key Employee or Key Employee's legal representative, as applicable, shall tender to the Trust the amount specified in the Tax Notice within five (5) business days after the date of the Tax Notice, or such longer period of time as the Trust may designate. The Trust shall not be required to remove the restrictions on such Shares until such time as the Key Employee or the Key Employee's legal representative, as applicable, shall have paid such tax withholding amount in full. The Trust, at its sole discretion and on such terms and conditions determined by the Trust from time to time, may permit the Key Employee or the Key Employee's legal representative to satisfy the Trust's minimum statutory tax withholding obligations as determined by the Trust's accounting department through (i) the sale of all or a portion of such Shares resulting from this Agreement through the employer's broker or (ii) by returning to the Trust a number of Shares having a fair market value equal to the minimum statutory tax withholding amount due. Shares cannot be returned to the Trust and withheld to satisfy more than the required minimum statutory tax withholding amounts. In the event Key Employee or Key Employee's legal representative, as applicable, fails to make appropriate arrangements to satisfy tax and withholding obligations, the Trust may, in its sole discretion, satisfy such tax and withholding obligations by:</w:t>
      </w:r>
    </w:p>
    <w:p>
      <w:pPr>
        <w:spacing w:after="0" w:line="1" w:lineRule="exact"/>
        <w:rPr>
          <w:rFonts w:ascii="Arial" w:cs="Arial" w:eastAsia="Arial" w:hAnsi="Arial"/>
          <w:sz w:val="17"/>
          <w:szCs w:val="17"/>
          <w:color w:val="auto"/>
        </w:rPr>
      </w:pPr>
    </w:p>
    <w:p>
      <w:pPr>
        <w:jc w:val="both"/>
        <w:ind w:firstLine="4"/>
        <w:spacing w:after="0" w:line="267" w:lineRule="auto"/>
        <w:tabs>
          <w:tab w:leader="none" w:pos="231"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returning to the Trust all or a portion of the Shares issued under this Agreement; or (ii) withholding the required amounts from other amounts due the Key Employee or Key Employee's legal representative, as applicable. The Trust is authorized to pay over to the appropriate authority, all federal, state, county, city or other taxes as shall be required pursuant to any law or governmental regulation or ruling.</w:t>
      </w:r>
    </w:p>
    <w:p>
      <w:pPr>
        <w:spacing w:after="0" w:line="341" w:lineRule="exact"/>
        <w:rPr>
          <w:sz w:val="20"/>
          <w:szCs w:val="20"/>
          <w:color w:val="auto"/>
        </w:rPr>
      </w:pPr>
    </w:p>
    <w:p>
      <w:pPr>
        <w:jc w:val="both"/>
        <w:ind w:firstLine="628"/>
        <w:spacing w:after="0" w:line="259" w:lineRule="auto"/>
        <w:tabs>
          <w:tab w:leader="none" w:pos="954"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Forfeiture</w:t>
      </w:r>
      <w:r>
        <w:rPr>
          <w:rFonts w:ascii="Arial" w:cs="Arial" w:eastAsia="Arial" w:hAnsi="Arial"/>
          <w:sz w:val="19"/>
          <w:szCs w:val="19"/>
          <w:b w:val="1"/>
          <w:bCs w:val="1"/>
          <w:color w:val="auto"/>
        </w:rPr>
        <w:t xml:space="preserve">. </w:t>
      </w:r>
      <w:r>
        <w:rPr>
          <w:rFonts w:ascii="Arial" w:cs="Arial" w:eastAsia="Arial" w:hAnsi="Arial"/>
          <w:sz w:val="19"/>
          <w:szCs w:val="19"/>
          <w:color w:val="auto"/>
        </w:rPr>
        <w:t>If there is a termination of the Key Employee's Service with the Trust for any reason, then all rights of the Key Employee to</w:t>
      </w:r>
      <w:r>
        <w:rPr>
          <w:rFonts w:ascii="Arial" w:cs="Arial" w:eastAsia="Arial" w:hAnsi="Arial"/>
          <w:sz w:val="19"/>
          <w:szCs w:val="19"/>
          <w:b w:val="1"/>
          <w:bCs w:val="1"/>
          <w:color w:val="auto"/>
        </w:rPr>
        <w:t xml:space="preserve"> </w:t>
      </w:r>
      <w:r>
        <w:rPr>
          <w:rFonts w:ascii="Arial" w:cs="Arial" w:eastAsia="Arial" w:hAnsi="Arial"/>
          <w:sz w:val="19"/>
          <w:szCs w:val="19"/>
          <w:color w:val="auto"/>
        </w:rPr>
        <w:t>any and all then-remaining Restricted Shares which have not vested, after giving application to Paragraphs 3(a) and 3(b), shall terminate and be forfeited. Upon forfeiture of all or any portion of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73" w:right="239" w:bottom="1440" w:gutter="0" w:footer="0" w:header="0"/>
        </w:sectPr>
      </w:pPr>
    </w:p>
    <w:bookmarkStart w:id="101" w:name="page102"/>
    <w:bookmarkEnd w:id="101"/>
    <w:p>
      <w:pPr>
        <w:spacing w:after="0" w:line="268" w:lineRule="auto"/>
        <w:rPr>
          <w:sz w:val="20"/>
          <w:szCs w:val="20"/>
          <w:color w:val="auto"/>
        </w:rPr>
      </w:pPr>
      <w:r>
        <w:rPr>
          <w:rFonts w:ascii="Arial" w:cs="Arial" w:eastAsia="Arial" w:hAnsi="Arial"/>
          <w:sz w:val="19"/>
          <w:szCs w:val="19"/>
          <w:color w:val="auto"/>
        </w:rPr>
        <w:t>Restricted Shares, the certificate(s) representing the forfeited Restricted Shares shall be cancelled or the forfeited Restricted Shares shall be removed from the Key Employee's book entry account, returned to the Trust and canceled, as applicable.</w:t>
      </w:r>
    </w:p>
    <w:p>
      <w:pPr>
        <w:spacing w:after="0" w:line="325" w:lineRule="exact"/>
        <w:rPr>
          <w:sz w:val="20"/>
          <w:szCs w:val="20"/>
          <w:color w:val="auto"/>
        </w:rPr>
      </w:pPr>
    </w:p>
    <w:p>
      <w:pPr>
        <w:jc w:val="both"/>
        <w:ind w:firstLine="628"/>
        <w:spacing w:after="0" w:line="259" w:lineRule="auto"/>
        <w:tabs>
          <w:tab w:leader="none" w:pos="980"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and inure to the benefit of the heirs and representatives of the Key Employee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assigns and successors of the Trust, but neither this Agreement nor any rights hereunder shall be assignable or otherwise subject to hypothecation by the Key Employee.</w:t>
      </w:r>
    </w:p>
    <w:p>
      <w:pPr>
        <w:spacing w:after="0" w:line="164" w:lineRule="exact"/>
        <w:rPr>
          <w:rFonts w:ascii="Arial" w:cs="Arial" w:eastAsia="Arial" w:hAnsi="Arial"/>
          <w:sz w:val="19"/>
          <w:szCs w:val="19"/>
          <w:b w:val="1"/>
          <w:bCs w:val="1"/>
          <w:color w:val="auto"/>
        </w:rPr>
      </w:pPr>
    </w:p>
    <w:p>
      <w:pPr>
        <w:jc w:val="both"/>
        <w:ind w:left="60" w:firstLine="633"/>
        <w:spacing w:after="0" w:line="259" w:lineRule="auto"/>
        <w:tabs>
          <w:tab w:leader="none" w:pos="1079" w:val="left"/>
        </w:tabs>
        <w:numPr>
          <w:ilvl w:val="1"/>
          <w:numId w:val="8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constitutes the entire agreement of the parties with respect to the subject matter</w:t>
      </w:r>
      <w:r>
        <w:rPr>
          <w:rFonts w:ascii="Arial" w:cs="Arial" w:eastAsia="Arial" w:hAnsi="Arial"/>
          <w:sz w:val="19"/>
          <w:szCs w:val="19"/>
          <w:b w:val="1"/>
          <w:bCs w:val="1"/>
          <w:color w:val="auto"/>
        </w:rPr>
        <w:t xml:space="preserve"> </w:t>
      </w:r>
      <w:r>
        <w:rPr>
          <w:rFonts w:ascii="Arial" w:cs="Arial" w:eastAsia="Arial" w:hAnsi="Arial"/>
          <w:sz w:val="19"/>
          <w:szCs w:val="19"/>
          <w:color w:val="auto"/>
        </w:rPr>
        <w:t>hereof and shall supersede all prior agreements and understandings, oral or written, between the parties with respect thereto. Subject to Paragraph 13, this Agreement may be amended at any time by written agreement of the parties hereto.</w:t>
      </w:r>
    </w:p>
    <w:p>
      <w:pPr>
        <w:spacing w:after="0" w:line="164" w:lineRule="exact"/>
        <w:rPr>
          <w:sz w:val="20"/>
          <w:szCs w:val="20"/>
          <w:color w:val="auto"/>
        </w:rPr>
      </w:pPr>
    </w:p>
    <w:p>
      <w:pPr>
        <w:ind w:firstLine="628"/>
        <w:spacing w:after="0" w:line="275" w:lineRule="auto"/>
        <w:tabs>
          <w:tab w:leader="none" w:pos="1006"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its validity, interpretation, performance and enforcement shall be governed by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Maryland other than the conflict of laws provisions of such laws, and shall be construed in accordance therewith.</w:t>
      </w:r>
    </w:p>
    <w:p>
      <w:pPr>
        <w:spacing w:after="0" w:line="149" w:lineRule="exact"/>
        <w:rPr>
          <w:rFonts w:ascii="Arial" w:cs="Arial" w:eastAsia="Arial" w:hAnsi="Arial"/>
          <w:sz w:val="19"/>
          <w:szCs w:val="19"/>
          <w:b w:val="1"/>
          <w:bCs w:val="1"/>
          <w:color w:val="auto"/>
        </w:rPr>
      </w:pPr>
    </w:p>
    <w:p>
      <w:pPr>
        <w:jc w:val="both"/>
        <w:ind w:firstLine="628"/>
        <w:spacing w:after="0" w:line="250" w:lineRule="auto"/>
        <w:tabs>
          <w:tab w:leader="none" w:pos="980"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If, for any reason, any provision of this Agreement is held invalid, such invalidity shall not affect any other provision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75" w:lineRule="exact"/>
        <w:rPr>
          <w:rFonts w:ascii="Arial" w:cs="Arial" w:eastAsia="Arial" w:hAnsi="Arial"/>
          <w:sz w:val="19"/>
          <w:szCs w:val="19"/>
          <w:b w:val="1"/>
          <w:bCs w:val="1"/>
          <w:color w:val="auto"/>
        </w:rPr>
      </w:pPr>
    </w:p>
    <w:p>
      <w:pPr>
        <w:ind w:firstLine="628"/>
        <w:spacing w:after="0" w:line="275" w:lineRule="auto"/>
        <w:tabs>
          <w:tab w:leader="none" w:pos="1123"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Continued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not confer upon the Key Employee any right with respect to continuance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by the Trust.</w:t>
      </w:r>
    </w:p>
    <w:p>
      <w:pPr>
        <w:spacing w:after="0" w:line="149" w:lineRule="exact"/>
        <w:rPr>
          <w:rFonts w:ascii="Arial" w:cs="Arial" w:eastAsia="Arial" w:hAnsi="Arial"/>
          <w:sz w:val="19"/>
          <w:szCs w:val="19"/>
          <w:b w:val="1"/>
          <w:bCs w:val="1"/>
          <w:color w:val="auto"/>
        </w:rPr>
      </w:pPr>
    </w:p>
    <w:p>
      <w:pPr>
        <w:jc w:val="both"/>
        <w:ind w:firstLine="628"/>
        <w:spacing w:after="0" w:line="303" w:lineRule="auto"/>
        <w:tabs>
          <w:tab w:leader="none" w:pos="1088"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References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References to the Key Employee in any provision of this Agreement under circumstances where the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31" w:lineRule="exact"/>
        <w:rPr>
          <w:rFonts w:ascii="Arial" w:cs="Arial" w:eastAsia="Arial" w:hAnsi="Arial"/>
          <w:sz w:val="17"/>
          <w:szCs w:val="17"/>
          <w:b w:val="1"/>
          <w:bCs w:val="1"/>
          <w:color w:val="auto"/>
        </w:rPr>
      </w:pPr>
    </w:p>
    <w:p>
      <w:pPr>
        <w:jc w:val="both"/>
        <w:ind w:firstLine="628"/>
        <w:spacing w:after="0" w:line="280" w:lineRule="auto"/>
        <w:tabs>
          <w:tab w:leader="none" w:pos="1025"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83(b)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Key Employee acknowledges that it is the Key Employee's sole responsibility, and not the Trust's, to file a</w:t>
      </w:r>
      <w:r>
        <w:rPr>
          <w:rFonts w:ascii="Arial" w:cs="Arial" w:eastAsia="Arial" w:hAnsi="Arial"/>
          <w:sz w:val="18"/>
          <w:szCs w:val="18"/>
          <w:b w:val="1"/>
          <w:bCs w:val="1"/>
          <w:color w:val="auto"/>
        </w:rPr>
        <w:t xml:space="preserve"> </w:t>
      </w:r>
      <w:r>
        <w:rPr>
          <w:rFonts w:ascii="Arial" w:cs="Arial" w:eastAsia="Arial" w:hAnsi="Arial"/>
          <w:sz w:val="18"/>
          <w:szCs w:val="18"/>
          <w:color w:val="auto"/>
        </w:rPr>
        <w:t>timely election under section 83(b) of the Internal Revenue Code, of 1986, as amended. The Key Employee acknowledges that he or she is relying on his or her own advisors with respect to the decision as to whether or not to file any section 83(b) election.</w:t>
      </w:r>
    </w:p>
    <w:p>
      <w:pPr>
        <w:spacing w:after="0" w:line="147" w:lineRule="exact"/>
        <w:rPr>
          <w:rFonts w:ascii="Arial" w:cs="Arial" w:eastAsia="Arial" w:hAnsi="Arial"/>
          <w:sz w:val="18"/>
          <w:szCs w:val="18"/>
          <w:b w:val="1"/>
          <w:bCs w:val="1"/>
          <w:color w:val="auto"/>
        </w:rPr>
      </w:pPr>
    </w:p>
    <w:p>
      <w:pPr>
        <w:ind w:firstLine="628"/>
        <w:spacing w:after="0" w:line="335" w:lineRule="auto"/>
        <w:tabs>
          <w:tab w:leader="none" w:pos="1049"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Notwithstanding anything herein to the contrary, the Key Employee shall be solely responsible and liable for the satisfaction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all taxes and penalties that may arise in connection with this Agreement (including any taxes arising under Section 409A of the Code).</w:t>
      </w:r>
    </w:p>
    <w:p>
      <w:pPr>
        <w:spacing w:after="0" w:line="65" w:lineRule="exact"/>
        <w:rPr>
          <w:rFonts w:ascii="Arial" w:cs="Arial" w:eastAsia="Arial" w:hAnsi="Arial"/>
          <w:sz w:val="17"/>
          <w:szCs w:val="17"/>
          <w:b w:val="1"/>
          <w:bCs w:val="1"/>
          <w:color w:val="auto"/>
        </w:rPr>
      </w:pPr>
    </w:p>
    <w:p>
      <w:pPr>
        <w:jc w:val="both"/>
        <w:ind w:firstLine="628"/>
        <w:spacing w:after="0" w:line="263" w:lineRule="auto"/>
        <w:tabs>
          <w:tab w:leader="none" w:pos="106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color w:val="auto"/>
        </w:rPr>
        <w:t>. This Agreement is intended to be exempt from Code Section 409A, and the Trust shall have complete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to interpret and construe 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Key Employee in order to accurately reflect its correct interpretation and operation to maintain an exemption from or compliance with Code Section 409A.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65" w:right="2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color w:val="auto"/>
        </w:rPr>
        <w:t>IN WITNESS WHEREOF, the Trust has caused this Agreement to be duly executed effective as of the day and year first above written.</w:t>
      </w:r>
    </w:p>
    <w:p>
      <w:pPr>
        <w:sectPr>
          <w:pgSz w:w="11900" w:h="16838" w:orient="portrait"/>
          <w:cols w:equalWidth="0" w:num="1">
            <w:col w:w="10340"/>
          </w:cols>
          <w:pgMar w:left="860" w:top="773" w:right="69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FEDERAL REALTY INVESTMENT TRUST</w:t>
      </w:r>
    </w:p>
    <w:p>
      <w:pPr>
        <w:spacing w:after="0" w:line="211"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By:___________________________________</w:t>
      </w:r>
    </w:p>
    <w:p>
      <w:pPr>
        <w:spacing w:after="0" w:line="42"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Name: Dawn M. Becker</w:t>
      </w:r>
    </w:p>
    <w:p>
      <w:pPr>
        <w:spacing w:after="0" w:line="3"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Title: Executive Vice President -</w:t>
      </w:r>
    </w:p>
    <w:p>
      <w:pPr>
        <w:spacing w:after="0" w:line="3"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General Counsel and Secretary</w:t>
      </w:r>
    </w:p>
    <w:p>
      <w:pPr>
        <w:spacing w:after="0" w:line="200" w:lineRule="exact"/>
        <w:rPr>
          <w:sz w:val="20"/>
          <w:szCs w:val="20"/>
          <w:color w:val="auto"/>
        </w:rPr>
      </w:pPr>
    </w:p>
    <w:p>
      <w:pPr>
        <w:spacing w:after="0" w:line="233"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340"/>
          </w:cols>
          <w:pgMar w:left="860" w:top="773" w:right="69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7"/>
          <w:szCs w:val="17"/>
          <w:b w:val="1"/>
          <w:bCs w:val="1"/>
          <w:color w:val="auto"/>
        </w:rPr>
        <w:t>EXHIBIT 10.37</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FEDERAL REALTY INVESTMENT TRUST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PERFORMANCE SHARE AWARD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DATE</w:t>
      </w:r>
    </w:p>
    <w:p>
      <w:pPr>
        <w:spacing w:after="0" w:line="205" w:lineRule="exact"/>
        <w:rPr>
          <w:sz w:val="20"/>
          <w:szCs w:val="20"/>
          <w:color w:val="auto"/>
        </w:rPr>
      </w:pPr>
    </w:p>
    <w:p>
      <w:pPr>
        <w:jc w:val="both"/>
        <w:ind w:firstLine="624"/>
        <w:spacing w:after="0" w:line="259" w:lineRule="auto"/>
        <w:rPr>
          <w:sz w:val="20"/>
          <w:szCs w:val="20"/>
          <w:color w:val="auto"/>
        </w:rPr>
      </w:pPr>
      <w:r>
        <w:rPr>
          <w:rFonts w:ascii="Arial" w:cs="Arial" w:eastAsia="Arial" w:hAnsi="Arial"/>
          <w:sz w:val="19"/>
          <w:szCs w:val="19"/>
          <w:color w:val="auto"/>
        </w:rPr>
        <w:t>This Performance Share Award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by </w:t>
      </w:r>
      <w:r>
        <w:rPr>
          <w:rFonts w:ascii="Arial" w:cs="Arial" w:eastAsia="Arial" w:hAnsi="Arial"/>
          <w:sz w:val="19"/>
          <w:szCs w:val="19"/>
          <w:b w:val="1"/>
          <w:bCs w:val="1"/>
          <w:color w:val="auto"/>
        </w:rPr>
        <w:t>Federal Realty Investment Trust</w:t>
      </w:r>
      <w:r>
        <w:rPr>
          <w:rFonts w:ascii="Arial" w:cs="Arial" w:eastAsia="Arial" w:hAnsi="Arial"/>
          <w:sz w:val="19"/>
          <w:szCs w:val="19"/>
          <w:color w:val="auto"/>
        </w:rPr>
        <w:t xml:space="preserve">, a Maryland real estate investment trust (the </w:t>
      </w:r>
      <w:r>
        <w:rPr>
          <w:rFonts w:ascii="Arial" w:cs="Arial" w:eastAsia="Arial" w:hAnsi="Arial"/>
          <w:sz w:val="19"/>
          <w:szCs w:val="19"/>
          <w:b w:val="1"/>
          <w:bCs w:val="1"/>
          <w:color w:val="auto"/>
        </w:rPr>
        <w:t>“Trust”</w:t>
      </w:r>
      <w:r>
        <w:rPr>
          <w:rFonts w:ascii="Arial" w:cs="Arial" w:eastAsia="Arial" w:hAnsi="Arial"/>
          <w:sz w:val="19"/>
          <w:szCs w:val="19"/>
          <w:color w:val="auto"/>
        </w:rPr>
        <w:t xml:space="preserve">), provides notice to ___________________, an individual employee of the Trust (the </w:t>
      </w:r>
      <w:r>
        <w:rPr>
          <w:rFonts w:ascii="Arial" w:cs="Arial" w:eastAsia="Arial" w:hAnsi="Arial"/>
          <w:sz w:val="19"/>
          <w:szCs w:val="19"/>
          <w:b w:val="1"/>
          <w:bCs w:val="1"/>
          <w:color w:val="auto"/>
        </w:rPr>
        <w:t>“Key Employee”</w:t>
      </w:r>
      <w:r>
        <w:rPr>
          <w:rFonts w:ascii="Arial" w:cs="Arial" w:eastAsia="Arial" w:hAnsi="Arial"/>
          <w:sz w:val="19"/>
          <w:szCs w:val="19"/>
          <w:color w:val="auto"/>
        </w:rPr>
        <w:t>), of the terms of a Performance Share Award.</w:t>
      </w:r>
    </w:p>
    <w:p>
      <w:pPr>
        <w:spacing w:after="0" w:line="164" w:lineRule="exact"/>
        <w:rPr>
          <w:sz w:val="20"/>
          <w:szCs w:val="20"/>
          <w:color w:val="auto"/>
        </w:rPr>
      </w:pPr>
    </w:p>
    <w:p>
      <w:pPr>
        <w:jc w:val="both"/>
        <w:ind w:firstLine="624"/>
        <w:spacing w:after="0" w:line="253" w:lineRule="auto"/>
        <w:rPr>
          <w:sz w:val="20"/>
          <w:szCs w:val="20"/>
          <w:color w:val="auto"/>
        </w:rPr>
      </w:pPr>
      <w:r>
        <w:rPr>
          <w:rFonts w:ascii="Arial" w:cs="Arial" w:eastAsia="Arial" w:hAnsi="Arial"/>
          <w:sz w:val="19"/>
          <w:szCs w:val="19"/>
          <w:color w:val="auto"/>
        </w:rPr>
        <w:t>The Board of Trustees of the Trust (the “</w:t>
      </w:r>
      <w:r>
        <w:rPr>
          <w:rFonts w:ascii="Arial" w:cs="Arial" w:eastAsia="Arial" w:hAnsi="Arial"/>
          <w:sz w:val="19"/>
          <w:szCs w:val="19"/>
          <w:b w:val="1"/>
          <w:bCs w:val="1"/>
          <w:color w:val="auto"/>
        </w:rPr>
        <w:t>Board of Trustees</w:t>
      </w:r>
      <w:r>
        <w:rPr>
          <w:rFonts w:ascii="Arial" w:cs="Arial" w:eastAsia="Arial" w:hAnsi="Arial"/>
          <w:sz w:val="19"/>
          <w:szCs w:val="19"/>
          <w:color w:val="auto"/>
        </w:rPr>
        <w:t xml:space="preserve">”) has authorized the award by the Trust to the Key Employee, under the Trust's 2010 Performance Incentive Plan (the </w:t>
      </w:r>
      <w:r>
        <w:rPr>
          <w:rFonts w:ascii="Arial" w:cs="Arial" w:eastAsia="Arial" w:hAnsi="Arial"/>
          <w:sz w:val="19"/>
          <w:szCs w:val="19"/>
          <w:b w:val="1"/>
          <w:bCs w:val="1"/>
          <w:color w:val="auto"/>
        </w:rPr>
        <w:t>“Plan”</w:t>
      </w:r>
      <w:r>
        <w:rPr>
          <w:rFonts w:ascii="Arial" w:cs="Arial" w:eastAsia="Arial" w:hAnsi="Arial"/>
          <w:sz w:val="19"/>
          <w:szCs w:val="19"/>
          <w:color w:val="auto"/>
        </w:rPr>
        <w:t xml:space="preserve">) of a Performance Share Award for a certain number of shares of beneficial interest of the Trust (the </w:t>
      </w:r>
      <w:r>
        <w:rPr>
          <w:rFonts w:ascii="Arial" w:cs="Arial" w:eastAsia="Arial" w:hAnsi="Arial"/>
          <w:sz w:val="19"/>
          <w:szCs w:val="19"/>
          <w:b w:val="1"/>
          <w:bCs w:val="1"/>
          <w:color w:val="auto"/>
        </w:rPr>
        <w:t>“Shares”</w:t>
      </w:r>
      <w:r>
        <w:rPr>
          <w:rFonts w:ascii="Arial" w:cs="Arial" w:eastAsia="Arial" w:hAnsi="Arial"/>
          <w:sz w:val="19"/>
          <w:szCs w:val="19"/>
          <w:color w:val="auto"/>
        </w:rPr>
        <w:t>), subject to certain restrictions and covenants on the part of Key Employee. This Agreement sets forth vesting and the respective rights and</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of the Trust and the Key Employee with respect to such Shares.</w:t>
      </w:r>
    </w:p>
    <w:p>
      <w:pPr>
        <w:spacing w:after="0" w:line="177" w:lineRule="exact"/>
        <w:rPr>
          <w:sz w:val="20"/>
          <w:szCs w:val="20"/>
          <w:color w:val="auto"/>
        </w:rPr>
      </w:pPr>
    </w:p>
    <w:p>
      <w:pPr>
        <w:jc w:val="both"/>
        <w:ind w:firstLine="624"/>
        <w:spacing w:after="0" w:line="255" w:lineRule="auto"/>
        <w:rPr>
          <w:sz w:val="20"/>
          <w:szCs w:val="20"/>
          <w:color w:val="auto"/>
        </w:rPr>
      </w:pPr>
      <w:r>
        <w:rPr>
          <w:rFonts w:ascii="Arial" w:cs="Arial" w:eastAsia="Arial" w:hAnsi="Arial"/>
          <w:sz w:val="19"/>
          <w:szCs w:val="19"/>
          <w:color w:val="auto"/>
        </w:rPr>
        <w:t>Capitalized terms used in this Agreement, unless otherwise defined herein, have the respective meanings given to such terms in the Plan. The terms of the Plan are incorporated by reference as if set forth herein in their entirety. To the extent this Performance Share Award Agreement is in any way inconsistent with the Plan, the terms and provisions of the Plan shall prevail.</w:t>
      </w:r>
    </w:p>
    <w:p>
      <w:pPr>
        <w:spacing w:after="0" w:line="175" w:lineRule="exact"/>
        <w:rPr>
          <w:sz w:val="20"/>
          <w:szCs w:val="20"/>
          <w:color w:val="auto"/>
        </w:rPr>
      </w:pPr>
    </w:p>
    <w:p>
      <w:pPr>
        <w:jc w:val="both"/>
        <w:ind w:firstLine="624"/>
        <w:spacing w:after="0" w:line="268" w:lineRule="auto"/>
        <w:rPr>
          <w:sz w:val="20"/>
          <w:szCs w:val="20"/>
          <w:color w:val="auto"/>
        </w:rPr>
      </w:pPr>
      <w:r>
        <w:rPr>
          <w:rFonts w:ascii="Arial" w:cs="Arial" w:eastAsia="Arial" w:hAnsi="Arial"/>
          <w:sz w:val="19"/>
          <w:szCs w:val="19"/>
          <w:color w:val="auto"/>
        </w:rPr>
        <w:t>In consideration of the covenants set forth in this Agreement, and intending to be legally bound hereby, the terms of the Performance Share Award are as follows:</w:t>
      </w:r>
    </w:p>
    <w:p>
      <w:pPr>
        <w:spacing w:after="0" w:line="156" w:lineRule="exact"/>
        <w:rPr>
          <w:sz w:val="20"/>
          <w:szCs w:val="20"/>
          <w:color w:val="auto"/>
        </w:rPr>
      </w:pPr>
    </w:p>
    <w:p>
      <w:pPr>
        <w:ind w:left="940" w:hanging="312"/>
        <w:spacing w:after="0"/>
        <w:tabs>
          <w:tab w:leader="none" w:pos="940"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of Performance Shares</w:t>
      </w:r>
      <w:r>
        <w:rPr>
          <w:rFonts w:ascii="Arial" w:cs="Arial" w:eastAsia="Arial" w:hAnsi="Arial"/>
          <w:sz w:val="19"/>
          <w:szCs w:val="19"/>
          <w:b w:val="1"/>
          <w:bCs w:val="1"/>
          <w:color w:val="auto"/>
        </w:rPr>
        <w:t>.</w:t>
      </w:r>
    </w:p>
    <w:p>
      <w:pPr>
        <w:spacing w:after="0" w:line="210" w:lineRule="exact"/>
        <w:rPr>
          <w:rFonts w:ascii="Arial" w:cs="Arial" w:eastAsia="Arial" w:hAnsi="Arial"/>
          <w:sz w:val="19"/>
          <w:szCs w:val="19"/>
          <w:b w:val="1"/>
          <w:bCs w:val="1"/>
          <w:color w:val="auto"/>
        </w:rPr>
      </w:pPr>
    </w:p>
    <w:p>
      <w:pPr>
        <w:ind w:left="1600" w:hanging="659"/>
        <w:spacing w:after="0"/>
        <w:tabs>
          <w:tab w:leader="none" w:pos="16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The  Trust  hereby  confirms  the  grant  to  the  Key  Employee  as  of  the  date  set  forth  above  (the  </w:t>
      </w:r>
      <w:r>
        <w:rPr>
          <w:rFonts w:ascii="Arial" w:cs="Arial" w:eastAsia="Arial" w:hAnsi="Arial"/>
          <w:sz w:val="18"/>
          <w:szCs w:val="18"/>
          <w:b w:val="1"/>
          <w:bCs w:val="1"/>
          <w:color w:val="auto"/>
        </w:rPr>
        <w:t>“Grant Date”</w:t>
      </w:r>
      <w:r>
        <w:rPr>
          <w:rFonts w:ascii="Arial" w:cs="Arial" w:eastAsia="Arial" w:hAnsi="Arial"/>
          <w:sz w:val="18"/>
          <w:szCs w:val="18"/>
          <w:color w:val="auto"/>
        </w:rPr>
        <w:t>)  of</w:t>
      </w:r>
    </w:p>
    <w:p>
      <w:pPr>
        <w:spacing w:after="0" w:line="36" w:lineRule="exact"/>
        <w:rPr>
          <w:rFonts w:ascii="Arial" w:cs="Arial" w:eastAsia="Arial" w:hAnsi="Arial"/>
          <w:sz w:val="18"/>
          <w:szCs w:val="18"/>
          <w:color w:val="auto"/>
        </w:rPr>
      </w:pPr>
    </w:p>
    <w:p>
      <w:pPr>
        <w:spacing w:after="0" w:line="251" w:lineRule="auto"/>
        <w:rPr>
          <w:rFonts w:ascii="Arial" w:cs="Arial" w:eastAsia="Arial" w:hAnsi="Arial"/>
          <w:sz w:val="18"/>
          <w:szCs w:val="18"/>
          <w:color w:val="auto"/>
        </w:rPr>
      </w:pPr>
      <w:r>
        <w:rPr>
          <w:rFonts w:ascii="Arial" w:cs="Arial" w:eastAsia="Arial" w:hAnsi="Arial"/>
          <w:sz w:val="19"/>
          <w:szCs w:val="19"/>
          <w:color w:val="auto"/>
        </w:rPr>
        <w:t xml:space="preserve">___________________ (_________) Shares (the </w:t>
      </w:r>
      <w:r>
        <w:rPr>
          <w:rFonts w:ascii="Arial" w:cs="Arial" w:eastAsia="Arial" w:hAnsi="Arial"/>
          <w:sz w:val="19"/>
          <w:szCs w:val="19"/>
          <w:b w:val="1"/>
          <w:bCs w:val="1"/>
          <w:color w:val="auto"/>
        </w:rPr>
        <w:t>“Performance Shares”</w:t>
      </w:r>
      <w:r>
        <w:rPr>
          <w:rFonts w:ascii="Arial" w:cs="Arial" w:eastAsia="Arial" w:hAnsi="Arial"/>
          <w:sz w:val="19"/>
          <w:szCs w:val="19"/>
          <w:color w:val="auto"/>
        </w:rPr>
        <w:t>), subject to the restrictions and other terms and conditions set forth herein and in the Plan; and</w:t>
      </w:r>
    </w:p>
    <w:p>
      <w:pPr>
        <w:spacing w:after="0" w:line="177" w:lineRule="exact"/>
        <w:rPr>
          <w:rFonts w:ascii="Arial" w:cs="Arial" w:eastAsia="Arial" w:hAnsi="Arial"/>
          <w:sz w:val="18"/>
          <w:szCs w:val="18"/>
          <w:color w:val="auto"/>
        </w:rPr>
      </w:pPr>
    </w:p>
    <w:p>
      <w:pPr>
        <w:jc w:val="both"/>
        <w:ind w:firstLine="941"/>
        <w:spacing w:after="0" w:line="261" w:lineRule="auto"/>
        <w:tabs>
          <w:tab w:leader="none" w:pos="1358" w:val="left"/>
        </w:tabs>
        <w:numPr>
          <w:ilvl w:val="1"/>
          <w:numId w:val="83"/>
        </w:numPr>
        <w:rPr>
          <w:rFonts w:ascii="Arial" w:cs="Arial" w:eastAsia="Arial" w:hAnsi="Arial"/>
          <w:sz w:val="18"/>
          <w:szCs w:val="18"/>
          <w:color w:val="auto"/>
        </w:rPr>
      </w:pPr>
      <w:r>
        <w:rPr>
          <w:rFonts w:ascii="Arial" w:cs="Arial" w:eastAsia="Arial" w:hAnsi="Arial"/>
          <w:sz w:val="18"/>
          <w:szCs w:val="18"/>
          <w:color w:val="auto"/>
        </w:rPr>
        <w:t>On or as soon as practicable after the Grant Date, the Trust shall cause the Performance Shares to be issued in certificated form or by a book-entry designation for the account for the Key Employee. Such Performance Shares shall be subject to such stop-transfer orders and other restrictions as the Board of Trustees or any committee thereof may deem advisable under the rules, regulations, and other requirements of the Securities and Exchange Commission and any stock exchange upon which the Shares are listed and any applicable federal or state securities law. If the Performance Shares are issued in certificated form, the certificate(s) representing the Performance Shares shall be held in custody by the Chief Financial Officer. Performance Shares issued by a book-entry designation shall be held in a book-entry account designated by the Trust until the restrictions provided in this Agreement with respect thereto shall have been removed. At any time as may be requested by the Trust, if necessary to enforce the restrictions applicable to the Performance Shares, the Key Employee shall deliver to the Trust one or more undated stock powers endorsed in blank relating to the Performance Shares.</w:t>
      </w:r>
    </w:p>
    <w:p>
      <w:pPr>
        <w:spacing w:after="0" w:line="166" w:lineRule="exact"/>
        <w:rPr>
          <w:rFonts w:ascii="Arial" w:cs="Arial" w:eastAsia="Arial" w:hAnsi="Arial"/>
          <w:sz w:val="18"/>
          <w:szCs w:val="18"/>
          <w:color w:val="auto"/>
        </w:rPr>
      </w:pPr>
    </w:p>
    <w:p>
      <w:pPr>
        <w:ind w:left="940" w:hanging="312"/>
        <w:spacing w:after="0"/>
        <w:tabs>
          <w:tab w:leader="none" w:pos="940"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Restrictions Applicable to Performance Shares</w:t>
      </w:r>
      <w:r>
        <w:rPr>
          <w:rFonts w:ascii="Arial" w:cs="Arial" w:eastAsia="Arial" w:hAnsi="Arial"/>
          <w:sz w:val="19"/>
          <w:szCs w:val="19"/>
          <w:b w:val="1"/>
          <w:bCs w:val="1"/>
          <w:color w:val="auto"/>
        </w:rPr>
        <w:t>.</w:t>
      </w:r>
    </w:p>
    <w:p>
      <w:pPr>
        <w:spacing w:after="0" w:line="216" w:lineRule="exact"/>
        <w:rPr>
          <w:rFonts w:ascii="Arial" w:cs="Arial" w:eastAsia="Arial" w:hAnsi="Arial"/>
          <w:sz w:val="19"/>
          <w:szCs w:val="19"/>
          <w:b w:val="1"/>
          <w:bCs w:val="1"/>
          <w:color w:val="auto"/>
        </w:rPr>
      </w:pPr>
    </w:p>
    <w:p>
      <w:pPr>
        <w:ind w:firstLine="941"/>
        <w:spacing w:after="0" w:line="268" w:lineRule="auto"/>
        <w:tabs>
          <w:tab w:leader="none" w:pos="1478" w:val="left"/>
        </w:tabs>
        <w:numPr>
          <w:ilvl w:val="1"/>
          <w:numId w:val="83"/>
        </w:numPr>
        <w:rPr>
          <w:rFonts w:ascii="Arial" w:cs="Arial" w:eastAsia="Arial" w:hAnsi="Arial"/>
          <w:sz w:val="19"/>
          <w:szCs w:val="19"/>
          <w:color w:val="auto"/>
        </w:rPr>
      </w:pPr>
      <w:r>
        <w:rPr>
          <w:rFonts w:ascii="Arial" w:cs="Arial" w:eastAsia="Arial" w:hAnsi="Arial"/>
          <w:sz w:val="19"/>
          <w:szCs w:val="19"/>
          <w:color w:val="auto"/>
        </w:rPr>
        <w:t>Beginning on the Grant Date, the Key Employee shall have all rights and privileges of a stockholder with respect to the Performance Shares, except that the following restrictions shall apply:</w:t>
      </w:r>
    </w:p>
    <w:p>
      <w:pPr>
        <w:spacing w:after="0" w:line="162" w:lineRule="exact"/>
        <w:rPr>
          <w:rFonts w:ascii="Arial" w:cs="Arial" w:eastAsia="Arial" w:hAnsi="Arial"/>
          <w:sz w:val="19"/>
          <w:szCs w:val="19"/>
          <w:color w:val="auto"/>
        </w:rPr>
      </w:pPr>
    </w:p>
    <w:p>
      <w:pPr>
        <w:jc w:val="both"/>
        <w:ind w:firstLine="1565"/>
        <w:spacing w:after="0" w:line="255" w:lineRule="auto"/>
        <w:tabs>
          <w:tab w:leader="none" w:pos="1914" w:val="left"/>
        </w:tabs>
        <w:numPr>
          <w:ilvl w:val="2"/>
          <w:numId w:val="83"/>
        </w:numPr>
        <w:rPr>
          <w:rFonts w:ascii="Arial" w:cs="Arial" w:eastAsia="Arial" w:hAnsi="Arial"/>
          <w:sz w:val="19"/>
          <w:szCs w:val="19"/>
          <w:color w:val="auto"/>
        </w:rPr>
      </w:pPr>
      <w:r>
        <w:rPr>
          <w:rFonts w:ascii="Arial" w:cs="Arial" w:eastAsia="Arial" w:hAnsi="Arial"/>
          <w:sz w:val="19"/>
          <w:szCs w:val="19"/>
          <w:color w:val="auto"/>
        </w:rPr>
        <w:t>none of the Performance Shares may be assigned or transferred (other than by will or the laws of descent and distribution, or in the Committee's discretion, pursuant to a domestic relations order within the meaning of Rule 16a-12 of the Securities Exchange Act of 1934, as amended) while the restrictions of this Agreement apply to the Shares;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63" w:right="239" w:bottom="1440" w:gutter="0" w:footer="0" w:header="0"/>
        </w:sectPr>
      </w:pPr>
    </w:p>
    <w:bookmarkStart w:id="104" w:name="page105"/>
    <w:bookmarkEnd w:id="104"/>
    <w:p>
      <w:pPr>
        <w:ind w:left="1980" w:hanging="415"/>
        <w:spacing w:after="0"/>
        <w:tabs>
          <w:tab w:leader="none" w:pos="1980" w:val="left"/>
        </w:tabs>
        <w:numPr>
          <w:ilvl w:val="2"/>
          <w:numId w:val="84"/>
        </w:numPr>
        <w:rPr>
          <w:rFonts w:ascii="Arial" w:cs="Arial" w:eastAsia="Arial" w:hAnsi="Arial"/>
          <w:sz w:val="19"/>
          <w:szCs w:val="19"/>
          <w:color w:val="auto"/>
        </w:rPr>
      </w:pPr>
      <w:r>
        <w:rPr>
          <w:rFonts w:ascii="Arial" w:cs="Arial" w:eastAsia="Arial" w:hAnsi="Arial"/>
          <w:sz w:val="19"/>
          <w:szCs w:val="19"/>
          <w:color w:val="auto"/>
        </w:rPr>
        <w:t>all or a portion of the Performance Shares may be forfeited in accordance with Paragraph 5; and</w:t>
      </w:r>
    </w:p>
    <w:p>
      <w:pPr>
        <w:spacing w:after="0" w:line="210" w:lineRule="exact"/>
        <w:rPr>
          <w:rFonts w:ascii="Arial" w:cs="Arial" w:eastAsia="Arial" w:hAnsi="Arial"/>
          <w:sz w:val="19"/>
          <w:szCs w:val="19"/>
          <w:color w:val="auto"/>
        </w:rPr>
      </w:pPr>
    </w:p>
    <w:p>
      <w:pPr>
        <w:jc w:val="both"/>
        <w:ind w:firstLine="1565"/>
        <w:spacing w:after="0" w:line="251" w:lineRule="auto"/>
        <w:tabs>
          <w:tab w:leader="none" w:pos="2046" w:val="left"/>
        </w:tabs>
        <w:numPr>
          <w:ilvl w:val="2"/>
          <w:numId w:val="84"/>
        </w:numPr>
        <w:rPr>
          <w:rFonts w:ascii="Arial" w:cs="Arial" w:eastAsia="Arial" w:hAnsi="Arial"/>
          <w:sz w:val="19"/>
          <w:szCs w:val="19"/>
          <w:color w:val="auto"/>
        </w:rPr>
      </w:pPr>
      <w:r>
        <w:rPr>
          <w:rFonts w:ascii="Arial" w:cs="Arial" w:eastAsia="Arial" w:hAnsi="Arial"/>
          <w:sz w:val="19"/>
          <w:szCs w:val="19"/>
          <w:color w:val="auto"/>
        </w:rPr>
        <w:t>any Shares distributed as a dividend or otherwise and any other property (other than ordinary dividends) distributed with respect to any Performance Shares which have not vested and as to which the restrictions have not yet lapsed shall be subject to the same vesting and other restrictions as such Performance Shares and shall be represented by book-entry and held in the same manner as the Performance Shares with respect to which they were distributed.</w:t>
      </w:r>
    </w:p>
    <w:p>
      <w:pPr>
        <w:spacing w:after="0" w:line="178" w:lineRule="exact"/>
        <w:rPr>
          <w:rFonts w:ascii="Arial" w:cs="Arial" w:eastAsia="Arial" w:hAnsi="Arial"/>
          <w:sz w:val="19"/>
          <w:szCs w:val="19"/>
          <w:color w:val="auto"/>
        </w:rPr>
      </w:pPr>
    </w:p>
    <w:p>
      <w:pPr>
        <w:jc w:val="both"/>
        <w:ind w:firstLine="1253"/>
        <w:spacing w:after="0" w:line="251" w:lineRule="auto"/>
        <w:tabs>
          <w:tab w:leader="none" w:pos="1761" w:val="left"/>
        </w:tabs>
        <w:numPr>
          <w:ilvl w:val="1"/>
          <w:numId w:val="85"/>
        </w:numPr>
        <w:rPr>
          <w:rFonts w:ascii="Arial" w:cs="Arial" w:eastAsia="Arial" w:hAnsi="Arial"/>
          <w:sz w:val="19"/>
          <w:szCs w:val="19"/>
          <w:color w:val="auto"/>
        </w:rPr>
      </w:pPr>
      <w:r>
        <w:rPr>
          <w:rFonts w:ascii="Arial" w:cs="Arial" w:eastAsia="Arial" w:hAnsi="Arial"/>
          <w:sz w:val="19"/>
          <w:szCs w:val="19"/>
          <w:color w:val="auto"/>
        </w:rPr>
        <w:t>Upon vesting of all or a portion of the Performance Shares as provided in Paragraph 4 and payment in accordance with Paragraph 4(d) of withholding taxes relating to those Performance Shares which have vested, such shares shall no longer be considered Performance Shares for purposes of this Agreement and the Trust shall cause the restrictions to be removed from the number of Shares which have become vested and for which withholding taxes have been paid.</w:t>
      </w:r>
    </w:p>
    <w:p>
      <w:pPr>
        <w:spacing w:after="0" w:line="178" w:lineRule="exact"/>
        <w:rPr>
          <w:rFonts w:ascii="Arial" w:cs="Arial" w:eastAsia="Arial" w:hAnsi="Arial"/>
          <w:sz w:val="19"/>
          <w:szCs w:val="19"/>
          <w:color w:val="auto"/>
        </w:rPr>
      </w:pPr>
    </w:p>
    <w:p>
      <w:pPr>
        <w:jc w:val="both"/>
        <w:ind w:firstLine="1253"/>
        <w:spacing w:after="0" w:line="255" w:lineRule="auto"/>
        <w:tabs>
          <w:tab w:leader="none" w:pos="1647" w:val="left"/>
        </w:tabs>
        <w:numPr>
          <w:ilvl w:val="1"/>
          <w:numId w:val="85"/>
        </w:numPr>
        <w:rPr>
          <w:rFonts w:ascii="Arial" w:cs="Arial" w:eastAsia="Arial" w:hAnsi="Arial"/>
          <w:sz w:val="19"/>
          <w:szCs w:val="19"/>
          <w:color w:val="auto"/>
        </w:rPr>
      </w:pPr>
      <w:r>
        <w:rPr>
          <w:rFonts w:ascii="Arial" w:cs="Arial" w:eastAsia="Arial" w:hAnsi="Arial"/>
          <w:sz w:val="19"/>
          <w:szCs w:val="19"/>
          <w:color w:val="auto"/>
        </w:rPr>
        <w:t>Any attempt to dispose of Performance Shares in a manner contrary to the restrictions set forth in this Agreement shall be null, void and ineffective. As all or a portion of the Performance Shares vest, such shares shall no longer be considered Performance Shares for purposes of this Agreement.</w:t>
      </w:r>
    </w:p>
    <w:p>
      <w:pPr>
        <w:spacing w:after="0" w:line="169" w:lineRule="exact"/>
        <w:rPr>
          <w:rFonts w:ascii="Arial" w:cs="Arial" w:eastAsia="Arial" w:hAnsi="Arial"/>
          <w:sz w:val="19"/>
          <w:szCs w:val="19"/>
          <w:color w:val="auto"/>
        </w:rPr>
      </w:pPr>
    </w:p>
    <w:p>
      <w:pPr>
        <w:ind w:left="940" w:hanging="312"/>
        <w:spacing w:after="0"/>
        <w:tabs>
          <w:tab w:leader="none" w:pos="940"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Performance Period</w:t>
      </w:r>
      <w:r>
        <w:rPr>
          <w:rFonts w:ascii="Arial" w:cs="Arial" w:eastAsia="Arial" w:hAnsi="Arial"/>
          <w:sz w:val="19"/>
          <w:szCs w:val="19"/>
          <w:b w:val="1"/>
          <w:bCs w:val="1"/>
          <w:color w:val="auto"/>
        </w:rPr>
        <w:t>.</w:t>
      </w:r>
    </w:p>
    <w:p>
      <w:pPr>
        <w:spacing w:after="0" w:line="21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Performance Period shall be the period beginning on ________________________ and ending on _______________________.</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Within the Performance Period there shall be _______ Award Periods with each such Award Period beginning on ___________ and ending on</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_____________ of the same calendar year.</w:t>
      </w:r>
    </w:p>
    <w:p>
      <w:pPr>
        <w:spacing w:after="0" w:line="189" w:lineRule="exact"/>
        <w:rPr>
          <w:sz w:val="20"/>
          <w:szCs w:val="20"/>
          <w:color w:val="auto"/>
        </w:rPr>
      </w:pPr>
    </w:p>
    <w:p>
      <w:pPr>
        <w:ind w:left="940" w:hanging="312"/>
        <w:spacing w:after="0"/>
        <w:tabs>
          <w:tab w:leader="none" w:pos="940"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Vesting</w:t>
      </w:r>
      <w:r>
        <w:rPr>
          <w:rFonts w:ascii="Arial" w:cs="Arial" w:eastAsia="Arial" w:hAnsi="Arial"/>
          <w:sz w:val="19"/>
          <w:szCs w:val="19"/>
          <w:b w:val="1"/>
          <w:bCs w:val="1"/>
          <w:color w:val="auto"/>
        </w:rPr>
        <w:t>.</w:t>
      </w:r>
    </w:p>
    <w:p>
      <w:pPr>
        <w:spacing w:after="0" w:line="216" w:lineRule="exact"/>
        <w:rPr>
          <w:rFonts w:ascii="Arial" w:cs="Arial" w:eastAsia="Arial" w:hAnsi="Arial"/>
          <w:sz w:val="19"/>
          <w:szCs w:val="19"/>
          <w:b w:val="1"/>
          <w:bCs w:val="1"/>
          <w:color w:val="auto"/>
        </w:rPr>
      </w:pPr>
    </w:p>
    <w:p>
      <w:pPr>
        <w:jc w:val="both"/>
        <w:ind w:firstLine="941"/>
        <w:spacing w:after="0" w:line="255" w:lineRule="auto"/>
        <w:tabs>
          <w:tab w:leader="none" w:pos="1321" w:val="left"/>
        </w:tabs>
        <w:numPr>
          <w:ilvl w:val="1"/>
          <w:numId w:val="87"/>
        </w:numPr>
        <w:rPr>
          <w:rFonts w:ascii="Arial" w:cs="Arial" w:eastAsia="Arial" w:hAnsi="Arial"/>
          <w:sz w:val="19"/>
          <w:szCs w:val="19"/>
          <w:color w:val="auto"/>
        </w:rPr>
      </w:pPr>
      <w:r>
        <w:rPr>
          <w:rFonts w:ascii="Arial" w:cs="Arial" w:eastAsia="Arial" w:hAnsi="Arial"/>
          <w:sz w:val="19"/>
          <w:szCs w:val="19"/>
          <w:color w:val="auto"/>
        </w:rPr>
        <w:t>For any Award Period, the following number of Performance Shares shall vest if and only if a Management Representative (defined below) or the Compensation Committee, as applicable, determines, in accordance with this Paragraph 4, that the Performance Target (as defined in Paragraph 4(e)(iii)) for that Award Period has been met by the Trust:</w:t>
      </w:r>
    </w:p>
    <w:p>
      <w:pPr>
        <w:spacing w:after="0" w:line="169" w:lineRule="exact"/>
        <w:rPr>
          <w:sz w:val="20"/>
          <w:szCs w:val="20"/>
          <w:color w:val="auto"/>
        </w:rPr>
      </w:pPr>
    </w:p>
    <w:p>
      <w:pPr>
        <w:ind w:left="1560"/>
        <w:spacing w:after="0"/>
        <w:rPr>
          <w:sz w:val="20"/>
          <w:szCs w:val="20"/>
          <w:color w:val="auto"/>
        </w:rPr>
      </w:pPr>
      <w:r>
        <w:rPr>
          <w:rFonts w:ascii="Arial" w:cs="Arial" w:eastAsia="Arial" w:hAnsi="Arial"/>
          <w:sz w:val="19"/>
          <w:szCs w:val="19"/>
          <w:b w:val="1"/>
          <w:bCs w:val="1"/>
          <w:color w:val="auto"/>
        </w:rPr>
        <w:t>[Insert Vesting Schedule]</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If there are any Performance Shares that have not vested after Management's Representative or the Compensation Committee, as applicable, has determined the number of Performance Shares that will vest with respect to the final Award Period, then any and all then-remaining Performance Shares which have not vested shall terminate and be forfeited.</w:t>
      </w:r>
    </w:p>
    <w:p>
      <w:pPr>
        <w:spacing w:after="0" w:line="175" w:lineRule="exact"/>
        <w:rPr>
          <w:sz w:val="20"/>
          <w:szCs w:val="20"/>
          <w:color w:val="auto"/>
        </w:rPr>
      </w:pPr>
    </w:p>
    <w:p>
      <w:pPr>
        <w:jc w:val="both"/>
        <w:ind w:firstLine="941"/>
        <w:spacing w:after="0" w:line="266" w:lineRule="auto"/>
        <w:tabs>
          <w:tab w:leader="none" w:pos="1423" w:val="left"/>
        </w:tabs>
        <w:numPr>
          <w:ilvl w:val="0"/>
          <w:numId w:val="88"/>
        </w:numPr>
        <w:rPr>
          <w:rFonts w:ascii="Arial" w:cs="Arial" w:eastAsia="Arial" w:hAnsi="Arial"/>
          <w:sz w:val="18"/>
          <w:szCs w:val="18"/>
          <w:color w:val="auto"/>
        </w:rPr>
      </w:pPr>
      <w:r>
        <w:rPr>
          <w:rFonts w:ascii="Arial" w:cs="Arial" w:eastAsia="Arial" w:hAnsi="Arial"/>
          <w:sz w:val="18"/>
          <w:szCs w:val="18"/>
          <w:color w:val="auto"/>
        </w:rPr>
        <w:t>Within sixty (60) days after the end of each Award Period, Management's Representative or the Compensation Committee, as applicable, shall determine whether the Performance Target has been met by the Trust for such Award Period and thereafter, shall promptly notify the Key Employee (or the executors or administrators of the Key Employee's estate) of such determination. If Management's Representative or the Compensation Committee, as applicable, determines that the Performance Target has been met for such Award Period, then the number of Performance Shares specified in Paragraph 4(a) above with respect to such Award Period shall vest.</w:t>
      </w:r>
    </w:p>
    <w:p>
      <w:pPr>
        <w:spacing w:after="0" w:line="166" w:lineRule="exact"/>
        <w:rPr>
          <w:rFonts w:ascii="Arial" w:cs="Arial" w:eastAsia="Arial" w:hAnsi="Arial"/>
          <w:sz w:val="18"/>
          <w:szCs w:val="18"/>
          <w:color w:val="auto"/>
        </w:rPr>
      </w:pPr>
    </w:p>
    <w:p>
      <w:pPr>
        <w:ind w:firstLine="941"/>
        <w:spacing w:after="0" w:line="268" w:lineRule="auto"/>
        <w:tabs>
          <w:tab w:leader="none" w:pos="1452" w:val="left"/>
        </w:tabs>
        <w:numPr>
          <w:ilvl w:val="0"/>
          <w:numId w:val="88"/>
        </w:numPr>
        <w:rPr>
          <w:rFonts w:ascii="Arial" w:cs="Arial" w:eastAsia="Arial" w:hAnsi="Arial"/>
          <w:sz w:val="19"/>
          <w:szCs w:val="19"/>
          <w:color w:val="auto"/>
        </w:rPr>
      </w:pPr>
      <w:r>
        <w:rPr>
          <w:rFonts w:ascii="Arial" w:cs="Arial" w:eastAsia="Arial" w:hAnsi="Arial"/>
          <w:sz w:val="19"/>
          <w:szCs w:val="19"/>
          <w:color w:val="auto"/>
        </w:rPr>
        <w:t>Notwithstanding the foregoing, all remaining Performance Shares shall vest if the Key Employee shall incur an Involuntary Termination (as defined in the Plan) during the one year period commencing with the occurrence of a Change in Control.</w:t>
      </w:r>
    </w:p>
    <w:p>
      <w:pPr>
        <w:spacing w:after="0" w:line="162" w:lineRule="exact"/>
        <w:rPr>
          <w:rFonts w:ascii="Arial" w:cs="Arial" w:eastAsia="Arial" w:hAnsi="Arial"/>
          <w:sz w:val="19"/>
          <w:szCs w:val="19"/>
          <w:color w:val="auto"/>
        </w:rPr>
      </w:pPr>
    </w:p>
    <w:p>
      <w:pPr>
        <w:jc w:val="both"/>
        <w:ind w:firstLine="941"/>
        <w:spacing w:after="0" w:line="251" w:lineRule="auto"/>
        <w:tabs>
          <w:tab w:leader="none" w:pos="1410" w:val="left"/>
        </w:tabs>
        <w:numPr>
          <w:ilvl w:val="0"/>
          <w:numId w:val="88"/>
        </w:numPr>
        <w:rPr>
          <w:rFonts w:ascii="Arial" w:cs="Arial" w:eastAsia="Arial" w:hAnsi="Arial"/>
          <w:sz w:val="19"/>
          <w:szCs w:val="19"/>
          <w:color w:val="auto"/>
        </w:rPr>
      </w:pPr>
      <w:r>
        <w:rPr>
          <w:rFonts w:ascii="Arial" w:cs="Arial" w:eastAsia="Arial" w:hAnsi="Arial"/>
          <w:sz w:val="19"/>
          <w:szCs w:val="19"/>
          <w:color w:val="auto"/>
        </w:rPr>
        <w:t>As soon as reasonably practicable after the vesting of all or any portion of the Performance Shares, the Trust shall notify Key Employee or the Key Employee's legal representative, as applicable, of the amount of required withholding taxes due on the vesting of all or a portion of Performance Shares (“Tax Notice”). Key Employee or Key Employee's legal representative, as applicable, shall tender to the Trust the amount specified in the Tax Notice within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65" w:right="239" w:bottom="1440" w:gutter="0" w:footer="0" w:header="0"/>
        </w:sectPr>
      </w:pPr>
    </w:p>
    <w:bookmarkStart w:id="105" w:name="page106"/>
    <w:bookmarkEnd w:id="105"/>
    <w:p>
      <w:pPr>
        <w:jc w:val="both"/>
        <w:spacing w:after="0" w:line="260" w:lineRule="auto"/>
        <w:rPr>
          <w:sz w:val="20"/>
          <w:szCs w:val="20"/>
          <w:color w:val="auto"/>
        </w:rPr>
      </w:pPr>
      <w:r>
        <w:rPr>
          <w:rFonts w:ascii="Arial" w:cs="Arial" w:eastAsia="Arial" w:hAnsi="Arial"/>
          <w:sz w:val="18"/>
          <w:szCs w:val="18"/>
          <w:color w:val="auto"/>
        </w:rPr>
        <w:t>five (5) business days after the date of the Tax Notice, or such longer period of time as the Trust may designate. The Trust shall not be required to remove the restrictions on such Shares until such time as the Key Employee or the Key Employee's legal representative, as applicable, shall have paid such tax withholding amount in full. The Trust, at its sole discretion and on such terms and conditions determined by the Trust from time to time, may permit the Key Employee or the Key Employee's legal representative to satisfy the Trust's minimum statutory tax withholding obligations as determined by the Trust's accounting department through (i) the sale of all or a portion of such Shares resulting from this Agreement through the employer's broker or (ii) by returning to the Trust a number of Shares having a fair market value equal to the minimum statutory tax withholding amount due. Shares cannot be returned to the Trust and withheld to satisfy more than the required minimum statutory tax withholding amounts. In the event Key Employee or Key Employee's legal representative, as applicable, fails to make appropriate arrangements to satisfy tax and withholding obligations, the Trust may, in its sole discretion, satisfy such tax and withholding obligations by: (i) returning to the Trust all or a portion of the Shares issued under this Agreement; or (ii) withholding the required amounts from other amounts due the Key Employee or Key Employee's legal representative, as applicable. The Trust is authorized to pay over to the appropriate authority, all federal, state, county, city or other taxes as shall be required pursuant to any law or governmental regulation or ruling.</w:t>
      </w:r>
    </w:p>
    <w:p>
      <w:pPr>
        <w:spacing w:after="0" w:line="171" w:lineRule="exact"/>
        <w:rPr>
          <w:sz w:val="20"/>
          <w:szCs w:val="20"/>
          <w:color w:val="auto"/>
        </w:rPr>
      </w:pPr>
    </w:p>
    <w:p>
      <w:pPr>
        <w:ind w:left="1320" w:hanging="379"/>
        <w:spacing w:after="0"/>
        <w:tabs>
          <w:tab w:leader="none" w:pos="1320" w:val="left"/>
        </w:tabs>
        <w:numPr>
          <w:ilvl w:val="0"/>
          <w:numId w:val="89"/>
        </w:numPr>
        <w:rPr>
          <w:rFonts w:ascii="Arial" w:cs="Arial" w:eastAsia="Arial" w:hAnsi="Arial"/>
          <w:sz w:val="19"/>
          <w:szCs w:val="19"/>
          <w:color w:val="auto"/>
        </w:rPr>
      </w:pPr>
      <w:r>
        <w:rPr>
          <w:rFonts w:ascii="Arial" w:cs="Arial" w:eastAsia="Arial" w:hAnsi="Arial"/>
          <w:sz w:val="19"/>
          <w:szCs w:val="19"/>
          <w:color w:val="auto"/>
        </w:rPr>
        <w:t>For purposes of this Agreement:</w:t>
      </w:r>
    </w:p>
    <w:p>
      <w:pPr>
        <w:spacing w:after="0" w:line="210" w:lineRule="exact"/>
        <w:rPr>
          <w:rFonts w:ascii="Arial" w:cs="Arial" w:eastAsia="Arial" w:hAnsi="Arial"/>
          <w:sz w:val="19"/>
          <w:szCs w:val="19"/>
          <w:color w:val="auto"/>
        </w:rPr>
      </w:pPr>
    </w:p>
    <w:p>
      <w:pPr>
        <w:ind w:left="1920" w:hanging="355"/>
        <w:spacing w:after="0"/>
        <w:tabs>
          <w:tab w:leader="none" w:pos="1920" w:val="left"/>
        </w:tabs>
        <w:numPr>
          <w:ilvl w:val="1"/>
          <w:numId w:val="89"/>
        </w:numPr>
        <w:rPr>
          <w:rFonts w:ascii="Arial" w:cs="Arial" w:eastAsia="Arial" w:hAnsi="Arial"/>
          <w:sz w:val="19"/>
          <w:szCs w:val="19"/>
          <w:color w:val="auto"/>
        </w:rPr>
      </w:pPr>
      <w:r>
        <w:rPr>
          <w:rFonts w:ascii="Arial" w:cs="Arial" w:eastAsia="Arial" w:hAnsi="Arial"/>
          <w:sz w:val="19"/>
          <w:szCs w:val="19"/>
          <w:color w:val="auto"/>
        </w:rPr>
        <w:t>“Management's Representative” shall mean and refer to [INSERT REPRESENTATIVE].</w:t>
      </w:r>
    </w:p>
    <w:p>
      <w:pPr>
        <w:spacing w:after="0" w:line="210" w:lineRule="exact"/>
        <w:rPr>
          <w:rFonts w:ascii="Arial" w:cs="Arial" w:eastAsia="Arial" w:hAnsi="Arial"/>
          <w:sz w:val="19"/>
          <w:szCs w:val="19"/>
          <w:color w:val="auto"/>
        </w:rPr>
      </w:pPr>
    </w:p>
    <w:p>
      <w:pPr>
        <w:ind w:left="1980" w:hanging="415"/>
        <w:spacing w:after="0"/>
        <w:tabs>
          <w:tab w:leader="none" w:pos="1980" w:val="left"/>
        </w:tabs>
        <w:numPr>
          <w:ilvl w:val="1"/>
          <w:numId w:val="89"/>
        </w:numPr>
        <w:rPr>
          <w:rFonts w:ascii="Arial" w:cs="Arial" w:eastAsia="Arial" w:hAnsi="Arial"/>
          <w:sz w:val="17"/>
          <w:szCs w:val="17"/>
          <w:color w:val="auto"/>
        </w:rPr>
      </w:pPr>
      <w:r>
        <w:rPr>
          <w:rFonts w:ascii="Arial" w:cs="Arial" w:eastAsia="Arial" w:hAnsi="Arial"/>
          <w:sz w:val="17"/>
          <w:szCs w:val="17"/>
          <w:color w:val="auto"/>
        </w:rPr>
        <w:t>“Compensation Committee” shall mean and refer to the Compensation Committee of the Board of Trustees of the Trust.</w:t>
      </w:r>
    </w:p>
    <w:p>
      <w:pPr>
        <w:spacing w:after="0" w:line="233" w:lineRule="exact"/>
        <w:rPr>
          <w:rFonts w:ascii="Arial" w:cs="Arial" w:eastAsia="Arial" w:hAnsi="Arial"/>
          <w:sz w:val="17"/>
          <w:szCs w:val="17"/>
          <w:color w:val="auto"/>
        </w:rPr>
      </w:pPr>
    </w:p>
    <w:p>
      <w:pPr>
        <w:ind w:left="2020" w:hanging="455"/>
        <w:spacing w:after="0"/>
        <w:tabs>
          <w:tab w:leader="none" w:pos="2020"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“Performance Target” for an Award Period shall mean</w:t>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[INSERT PERFORMANCE CRITERIA]</w:t>
      </w:r>
    </w:p>
    <w:p>
      <w:pPr>
        <w:spacing w:after="0" w:line="205" w:lineRule="exact"/>
        <w:rPr>
          <w:sz w:val="20"/>
          <w:szCs w:val="20"/>
          <w:color w:val="auto"/>
        </w:rPr>
      </w:pPr>
    </w:p>
    <w:p>
      <w:pPr>
        <w:jc w:val="both"/>
        <w:ind w:firstLine="628"/>
        <w:spacing w:after="0" w:line="250" w:lineRule="auto"/>
        <w:tabs>
          <w:tab w:leader="none" w:pos="954"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Forfeiture</w:t>
      </w:r>
      <w:r>
        <w:rPr>
          <w:rFonts w:ascii="Arial" w:cs="Arial" w:eastAsia="Arial" w:hAnsi="Arial"/>
          <w:sz w:val="19"/>
          <w:szCs w:val="19"/>
          <w:b w:val="1"/>
          <w:bCs w:val="1"/>
          <w:color w:val="auto"/>
        </w:rPr>
        <w:t xml:space="preserve">. </w:t>
      </w:r>
      <w:r>
        <w:rPr>
          <w:rFonts w:ascii="Arial" w:cs="Arial" w:eastAsia="Arial" w:hAnsi="Arial"/>
          <w:sz w:val="19"/>
          <w:szCs w:val="19"/>
          <w:color w:val="auto"/>
        </w:rPr>
        <w:t>If there is a termination of the Key Employee's Service with the Trust for any reason, then all rights of the Key Employee to</w:t>
      </w:r>
      <w:r>
        <w:rPr>
          <w:rFonts w:ascii="Arial" w:cs="Arial" w:eastAsia="Arial" w:hAnsi="Arial"/>
          <w:sz w:val="19"/>
          <w:szCs w:val="19"/>
          <w:b w:val="1"/>
          <w:bCs w:val="1"/>
          <w:color w:val="auto"/>
        </w:rPr>
        <w:t xml:space="preserve"> </w:t>
      </w:r>
      <w:r>
        <w:rPr>
          <w:rFonts w:ascii="Arial" w:cs="Arial" w:eastAsia="Arial" w:hAnsi="Arial"/>
          <w:sz w:val="19"/>
          <w:szCs w:val="19"/>
          <w:color w:val="auto"/>
        </w:rPr>
        <w:t>any and all then-remaining Performance Shares which have not vested, after giving application to Paragraphs 4(a), 4(b) and 4(c), shall terminate and be forfeited. Upon forfeiture of all or any portion of Performance Shares, the certificate(s) representing the forfeited Performance Shares shall be cancelled or the forfeited Performance Shares shall be removed from the Key Employee's book entry account, returned to the Trust and canceled, as applicable.</w:t>
      </w:r>
    </w:p>
    <w:p>
      <w:pPr>
        <w:spacing w:after="0" w:line="175" w:lineRule="exact"/>
        <w:rPr>
          <w:rFonts w:ascii="Arial" w:cs="Arial" w:eastAsia="Arial" w:hAnsi="Arial"/>
          <w:sz w:val="19"/>
          <w:szCs w:val="19"/>
          <w:b w:val="1"/>
          <w:bCs w:val="1"/>
          <w:color w:val="auto"/>
        </w:rPr>
      </w:pPr>
    </w:p>
    <w:p>
      <w:pPr>
        <w:jc w:val="both"/>
        <w:ind w:firstLine="628"/>
        <w:spacing w:after="0" w:line="259" w:lineRule="auto"/>
        <w:tabs>
          <w:tab w:leader="none" w:pos="980"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and inure to the benefit of the heirs and representatives of the Key Employee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assigns and successors of the Trust, but neither this Agreement nor any rights hereunder shall be assignable or otherwise subject to hypothecation by the Key Employee.</w:t>
      </w:r>
    </w:p>
    <w:p>
      <w:pPr>
        <w:spacing w:after="0" w:line="164" w:lineRule="exact"/>
        <w:rPr>
          <w:rFonts w:ascii="Arial" w:cs="Arial" w:eastAsia="Arial" w:hAnsi="Arial"/>
          <w:sz w:val="19"/>
          <w:szCs w:val="19"/>
          <w:b w:val="1"/>
          <w:bCs w:val="1"/>
          <w:color w:val="auto"/>
        </w:rPr>
      </w:pPr>
    </w:p>
    <w:p>
      <w:pPr>
        <w:jc w:val="both"/>
        <w:ind w:left="60" w:firstLine="633"/>
        <w:spacing w:after="0" w:line="259" w:lineRule="auto"/>
        <w:tabs>
          <w:tab w:leader="none" w:pos="1079" w:val="left"/>
        </w:tabs>
        <w:numPr>
          <w:ilvl w:val="1"/>
          <w:numId w:val="9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constitutes the entire agreement of the parties with respect to the subject matter</w:t>
      </w:r>
      <w:r>
        <w:rPr>
          <w:rFonts w:ascii="Arial" w:cs="Arial" w:eastAsia="Arial" w:hAnsi="Arial"/>
          <w:sz w:val="19"/>
          <w:szCs w:val="19"/>
          <w:b w:val="1"/>
          <w:bCs w:val="1"/>
          <w:color w:val="auto"/>
        </w:rPr>
        <w:t xml:space="preserve"> </w:t>
      </w:r>
      <w:r>
        <w:rPr>
          <w:rFonts w:ascii="Arial" w:cs="Arial" w:eastAsia="Arial" w:hAnsi="Arial"/>
          <w:sz w:val="19"/>
          <w:szCs w:val="19"/>
          <w:color w:val="auto"/>
        </w:rPr>
        <w:t>hereof and shall supersede all prior agreements and understandings, oral or written, between the parties with respect thereto. Subject to Paragraph 13, this Agreement may be amended at any time by written agreement of the parties hereto.</w:t>
      </w:r>
    </w:p>
    <w:p>
      <w:pPr>
        <w:spacing w:after="0" w:line="164" w:lineRule="exact"/>
        <w:rPr>
          <w:sz w:val="20"/>
          <w:szCs w:val="20"/>
          <w:color w:val="auto"/>
        </w:rPr>
      </w:pPr>
    </w:p>
    <w:p>
      <w:pPr>
        <w:ind w:firstLine="628"/>
        <w:spacing w:after="0" w:line="275" w:lineRule="auto"/>
        <w:tabs>
          <w:tab w:leader="none" w:pos="1006"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its validity, interpretation, performance and enforcement shall be governed by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Maryland other than the conflict of laws provisions of such laws, and shall be construed in accordance therewith.</w:t>
      </w:r>
    </w:p>
    <w:p>
      <w:pPr>
        <w:spacing w:after="0" w:line="149" w:lineRule="exact"/>
        <w:rPr>
          <w:rFonts w:ascii="Arial" w:cs="Arial" w:eastAsia="Arial" w:hAnsi="Arial"/>
          <w:sz w:val="19"/>
          <w:szCs w:val="19"/>
          <w:b w:val="1"/>
          <w:bCs w:val="1"/>
          <w:color w:val="auto"/>
        </w:rPr>
      </w:pPr>
    </w:p>
    <w:p>
      <w:pPr>
        <w:jc w:val="both"/>
        <w:ind w:firstLine="628"/>
        <w:spacing w:after="0" w:line="250" w:lineRule="auto"/>
        <w:tabs>
          <w:tab w:leader="none" w:pos="980"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If, for any reason, any provision of this Agreement is held invalid, such invalidity shall not affect any other provision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65" w:right="239" w:bottom="1440" w:gutter="0" w:footer="0" w:header="0"/>
        </w:sectPr>
      </w:pPr>
    </w:p>
    <w:bookmarkStart w:id="106" w:name="page107"/>
    <w:bookmarkEnd w:id="106"/>
    <w:p>
      <w:pPr>
        <w:ind w:firstLine="628"/>
        <w:spacing w:after="0" w:line="275" w:lineRule="auto"/>
        <w:tabs>
          <w:tab w:leader="none" w:pos="1205"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Continued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not confer upon the Key Employee any right with respect to continuance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by the Trust.</w:t>
      </w:r>
    </w:p>
    <w:p>
      <w:pPr>
        <w:spacing w:after="0" w:line="149" w:lineRule="exact"/>
        <w:rPr>
          <w:rFonts w:ascii="Arial" w:cs="Arial" w:eastAsia="Arial" w:hAnsi="Arial"/>
          <w:sz w:val="19"/>
          <w:szCs w:val="19"/>
          <w:b w:val="1"/>
          <w:bCs w:val="1"/>
          <w:color w:val="auto"/>
        </w:rPr>
      </w:pPr>
    </w:p>
    <w:p>
      <w:pPr>
        <w:jc w:val="both"/>
        <w:ind w:firstLine="628"/>
        <w:spacing w:after="0" w:line="303" w:lineRule="auto"/>
        <w:tabs>
          <w:tab w:leader="none" w:pos="109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References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References to the Key Employee in any provision of this Agreement under circumstances where the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should logically be construed to apply to the Key Employee's executors or the administrators, or the person or persons to whom all or any portion of the Performance Shares may be transferred by will or the laws of descent and distribution, shall be deemed to include such person or persons.</w:t>
      </w:r>
    </w:p>
    <w:p>
      <w:pPr>
        <w:spacing w:after="0" w:line="131" w:lineRule="exact"/>
        <w:rPr>
          <w:rFonts w:ascii="Arial" w:cs="Arial" w:eastAsia="Arial" w:hAnsi="Arial"/>
          <w:sz w:val="17"/>
          <w:szCs w:val="17"/>
          <w:b w:val="1"/>
          <w:bCs w:val="1"/>
          <w:color w:val="auto"/>
        </w:rPr>
      </w:pPr>
    </w:p>
    <w:p>
      <w:pPr>
        <w:ind w:firstLine="628"/>
        <w:spacing w:after="0" w:line="335" w:lineRule="auto"/>
        <w:tabs>
          <w:tab w:leader="none" w:pos="1049"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Notwithstanding anything herein to the contrary, the Key Employee shall be solely responsible and liable for the satisfaction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all taxes and penalties that may arise in connection with this Agreement (including any taxes arising under Section 409A of the Code).</w:t>
      </w:r>
    </w:p>
    <w:p>
      <w:pPr>
        <w:spacing w:after="0" w:line="104" w:lineRule="exact"/>
        <w:rPr>
          <w:rFonts w:ascii="Arial" w:cs="Arial" w:eastAsia="Arial" w:hAnsi="Arial"/>
          <w:sz w:val="17"/>
          <w:szCs w:val="17"/>
          <w:b w:val="1"/>
          <w:bCs w:val="1"/>
          <w:color w:val="auto"/>
        </w:rPr>
      </w:pPr>
    </w:p>
    <w:p>
      <w:pPr>
        <w:jc w:val="both"/>
        <w:ind w:firstLine="628"/>
        <w:spacing w:after="0" w:line="263" w:lineRule="auto"/>
        <w:tabs>
          <w:tab w:leader="none" w:pos="106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color w:val="auto"/>
        </w:rPr>
        <w:t>. This Agreement is intended to be exempt from Code Section 409A, and the Trust shall have complete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to interpret and construe 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Key Employee in order to accurately reflect its correct interpretation and operation to maintain an exemption from or compliance with Code Section 409A.</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the Trust has caused this Agreement to be duly executed effective as of the day and year first above written.</w:t>
      </w:r>
    </w:p>
    <w:p>
      <w:pPr>
        <w:spacing w:after="0" w:line="200" w:lineRule="exact"/>
        <w:rPr>
          <w:sz w:val="20"/>
          <w:szCs w:val="20"/>
          <w:color w:val="auto"/>
        </w:rPr>
      </w:pPr>
    </w:p>
    <w:p>
      <w:pPr>
        <w:spacing w:after="0" w:line="230"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FEDERAL REALTY INVESTMENT TRUST</w:t>
      </w:r>
    </w:p>
    <w:p>
      <w:pPr>
        <w:spacing w:after="0" w:line="211" w:lineRule="exact"/>
        <w:rPr>
          <w:sz w:val="20"/>
          <w:szCs w:val="20"/>
          <w:color w:val="auto"/>
        </w:rPr>
      </w:pPr>
    </w:p>
    <w:p>
      <w:pPr>
        <w:ind w:left="6880"/>
        <w:spacing w:after="0"/>
        <w:rPr>
          <w:sz w:val="20"/>
          <w:szCs w:val="20"/>
          <w:color w:val="auto"/>
        </w:rPr>
      </w:pPr>
      <w:r>
        <w:rPr>
          <w:rFonts w:ascii="Arial" w:cs="Arial" w:eastAsia="Arial" w:hAnsi="Arial"/>
          <w:sz w:val="19"/>
          <w:szCs w:val="19"/>
          <w:color w:val="auto"/>
        </w:rPr>
        <w:t>By:___________________________________</w:t>
      </w:r>
    </w:p>
    <w:p>
      <w:pPr>
        <w:spacing w:after="0" w:line="19"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Name: Dawn M. Becker</w:t>
      </w:r>
    </w:p>
    <w:p>
      <w:pPr>
        <w:spacing w:after="0" w:line="3"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Title: Executive Vice President -</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General Counsel and Secretary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59"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b w:val="1"/>
          <w:bCs w:val="1"/>
          <w:color w:val="auto"/>
        </w:rPr>
        <w:t>EXHIBIT 10.38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FEDERAL REALTY INVESTMENT TRUST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SHARE AWARD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DATE</w:t>
      </w:r>
    </w:p>
    <w:p>
      <w:pPr>
        <w:spacing w:after="0" w:line="205" w:lineRule="exact"/>
        <w:rPr>
          <w:sz w:val="20"/>
          <w:szCs w:val="20"/>
          <w:color w:val="auto"/>
        </w:rPr>
      </w:pPr>
    </w:p>
    <w:p>
      <w:pPr>
        <w:jc w:val="both"/>
        <w:ind w:firstLine="624"/>
        <w:spacing w:after="0" w:line="259" w:lineRule="auto"/>
        <w:rPr>
          <w:sz w:val="20"/>
          <w:szCs w:val="20"/>
          <w:color w:val="auto"/>
        </w:rPr>
      </w:pPr>
      <w:r>
        <w:rPr>
          <w:rFonts w:ascii="Arial" w:cs="Arial" w:eastAsia="Arial" w:hAnsi="Arial"/>
          <w:sz w:val="19"/>
          <w:szCs w:val="19"/>
          <w:color w:val="auto"/>
        </w:rPr>
        <w:t>This Restricted Share Award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by </w:t>
      </w:r>
      <w:r>
        <w:rPr>
          <w:rFonts w:ascii="Arial" w:cs="Arial" w:eastAsia="Arial" w:hAnsi="Arial"/>
          <w:sz w:val="19"/>
          <w:szCs w:val="19"/>
          <w:b w:val="1"/>
          <w:bCs w:val="1"/>
          <w:color w:val="auto"/>
        </w:rPr>
        <w:t>Federal Realty Investment Trust</w:t>
      </w:r>
      <w:r>
        <w:rPr>
          <w:rFonts w:ascii="Arial" w:cs="Arial" w:eastAsia="Arial" w:hAnsi="Arial"/>
          <w:sz w:val="19"/>
          <w:szCs w:val="19"/>
          <w:color w:val="auto"/>
        </w:rPr>
        <w:t xml:space="preserve">, a Maryland real estate investment trust (the </w:t>
      </w:r>
      <w:r>
        <w:rPr>
          <w:rFonts w:ascii="Arial" w:cs="Arial" w:eastAsia="Arial" w:hAnsi="Arial"/>
          <w:sz w:val="19"/>
          <w:szCs w:val="19"/>
          <w:b w:val="1"/>
          <w:bCs w:val="1"/>
          <w:color w:val="auto"/>
        </w:rPr>
        <w:t>“Trust”</w:t>
      </w:r>
      <w:r>
        <w:rPr>
          <w:rFonts w:ascii="Arial" w:cs="Arial" w:eastAsia="Arial" w:hAnsi="Arial"/>
          <w:sz w:val="19"/>
          <w:szCs w:val="19"/>
          <w:color w:val="auto"/>
        </w:rPr>
        <w:t xml:space="preserve">), provides notice to ___________________, an individual employee of the Trust (the </w:t>
      </w:r>
      <w:r>
        <w:rPr>
          <w:rFonts w:ascii="Arial" w:cs="Arial" w:eastAsia="Arial" w:hAnsi="Arial"/>
          <w:sz w:val="19"/>
          <w:szCs w:val="19"/>
          <w:b w:val="1"/>
          <w:bCs w:val="1"/>
          <w:color w:val="auto"/>
        </w:rPr>
        <w:t>“Key Employee”</w:t>
      </w:r>
      <w:r>
        <w:rPr>
          <w:rFonts w:ascii="Arial" w:cs="Arial" w:eastAsia="Arial" w:hAnsi="Arial"/>
          <w:sz w:val="19"/>
          <w:szCs w:val="19"/>
          <w:color w:val="auto"/>
        </w:rPr>
        <w:t>), of the terms of a Restricted Share Award.</w:t>
      </w:r>
    </w:p>
    <w:p>
      <w:pPr>
        <w:spacing w:after="0" w:line="164" w:lineRule="exact"/>
        <w:rPr>
          <w:sz w:val="20"/>
          <w:szCs w:val="20"/>
          <w:color w:val="auto"/>
        </w:rPr>
      </w:pPr>
    </w:p>
    <w:p>
      <w:pPr>
        <w:jc w:val="both"/>
        <w:ind w:firstLine="624"/>
        <w:spacing w:after="0" w:line="253" w:lineRule="auto"/>
        <w:rPr>
          <w:sz w:val="20"/>
          <w:szCs w:val="20"/>
          <w:color w:val="auto"/>
        </w:rPr>
      </w:pPr>
      <w:r>
        <w:rPr>
          <w:rFonts w:ascii="Arial" w:cs="Arial" w:eastAsia="Arial" w:hAnsi="Arial"/>
          <w:sz w:val="19"/>
          <w:szCs w:val="19"/>
          <w:color w:val="auto"/>
        </w:rPr>
        <w:t>The Board of Trustees of the Trust (the “</w:t>
      </w:r>
      <w:r>
        <w:rPr>
          <w:rFonts w:ascii="Arial" w:cs="Arial" w:eastAsia="Arial" w:hAnsi="Arial"/>
          <w:sz w:val="19"/>
          <w:szCs w:val="19"/>
          <w:b w:val="1"/>
          <w:bCs w:val="1"/>
          <w:color w:val="auto"/>
        </w:rPr>
        <w:t>Board of Trustees</w:t>
      </w:r>
      <w:r>
        <w:rPr>
          <w:rFonts w:ascii="Arial" w:cs="Arial" w:eastAsia="Arial" w:hAnsi="Arial"/>
          <w:sz w:val="19"/>
          <w:szCs w:val="19"/>
          <w:color w:val="auto"/>
        </w:rPr>
        <w:t xml:space="preserve">”) has authorized the award by the Trust to the Key Employee, under the Trust's 2010 Performance Incentive Plan (the </w:t>
      </w:r>
      <w:r>
        <w:rPr>
          <w:rFonts w:ascii="Arial" w:cs="Arial" w:eastAsia="Arial" w:hAnsi="Arial"/>
          <w:sz w:val="19"/>
          <w:szCs w:val="19"/>
          <w:b w:val="1"/>
          <w:bCs w:val="1"/>
          <w:color w:val="auto"/>
        </w:rPr>
        <w:t>“Plan”</w:t>
      </w:r>
      <w:r>
        <w:rPr>
          <w:rFonts w:ascii="Arial" w:cs="Arial" w:eastAsia="Arial" w:hAnsi="Arial"/>
          <w:sz w:val="19"/>
          <w:szCs w:val="19"/>
          <w:color w:val="auto"/>
        </w:rPr>
        <w:t xml:space="preserve">) of a Restricted Share Award for a certain number of shares of beneficial interest of the Trust (the </w:t>
      </w:r>
      <w:r>
        <w:rPr>
          <w:rFonts w:ascii="Arial" w:cs="Arial" w:eastAsia="Arial" w:hAnsi="Arial"/>
          <w:sz w:val="19"/>
          <w:szCs w:val="19"/>
          <w:b w:val="1"/>
          <w:bCs w:val="1"/>
          <w:color w:val="auto"/>
        </w:rPr>
        <w:t>“Shares”</w:t>
      </w:r>
      <w:r>
        <w:rPr>
          <w:rFonts w:ascii="Arial" w:cs="Arial" w:eastAsia="Arial" w:hAnsi="Arial"/>
          <w:sz w:val="19"/>
          <w:szCs w:val="19"/>
          <w:color w:val="auto"/>
        </w:rPr>
        <w:t>), subject to certain restrictions and covenants on the part of Key Employee. This Agreement sets forth vesting and the respective rights and</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of the Trust and the Key Employee with respect to such Shares.</w:t>
      </w:r>
    </w:p>
    <w:p>
      <w:pPr>
        <w:spacing w:after="0" w:line="177" w:lineRule="exact"/>
        <w:rPr>
          <w:sz w:val="20"/>
          <w:szCs w:val="20"/>
          <w:color w:val="auto"/>
        </w:rPr>
      </w:pPr>
    </w:p>
    <w:p>
      <w:pPr>
        <w:jc w:val="both"/>
        <w:ind w:firstLine="624"/>
        <w:spacing w:after="0" w:line="255" w:lineRule="auto"/>
        <w:rPr>
          <w:sz w:val="20"/>
          <w:szCs w:val="20"/>
          <w:color w:val="auto"/>
        </w:rPr>
      </w:pPr>
      <w:r>
        <w:rPr>
          <w:rFonts w:ascii="Arial" w:cs="Arial" w:eastAsia="Arial" w:hAnsi="Arial"/>
          <w:sz w:val="19"/>
          <w:szCs w:val="19"/>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75" w:lineRule="exact"/>
        <w:rPr>
          <w:sz w:val="20"/>
          <w:szCs w:val="20"/>
          <w:color w:val="auto"/>
        </w:rPr>
      </w:pPr>
    </w:p>
    <w:p>
      <w:pPr>
        <w:jc w:val="both"/>
        <w:ind w:firstLine="624"/>
        <w:spacing w:after="0" w:line="268" w:lineRule="auto"/>
        <w:rPr>
          <w:sz w:val="20"/>
          <w:szCs w:val="20"/>
          <w:color w:val="auto"/>
        </w:rPr>
      </w:pPr>
      <w:r>
        <w:rPr>
          <w:rFonts w:ascii="Arial" w:cs="Arial" w:eastAsia="Arial" w:hAnsi="Arial"/>
          <w:sz w:val="19"/>
          <w:szCs w:val="19"/>
          <w:color w:val="auto"/>
        </w:rPr>
        <w:t>In consideration of the covenants set forth in this Agreement, and intending to be legally bound hereby, the terms of the Restricted Share Award are as follows:</w:t>
      </w:r>
    </w:p>
    <w:p>
      <w:pPr>
        <w:spacing w:after="0" w:line="260" w:lineRule="exact"/>
        <w:rPr>
          <w:sz w:val="20"/>
          <w:szCs w:val="20"/>
          <w:color w:val="auto"/>
        </w:rPr>
      </w:pPr>
    </w:p>
    <w:p>
      <w:pPr>
        <w:ind w:left="940" w:hanging="312"/>
        <w:spacing w:after="0"/>
        <w:tabs>
          <w:tab w:leader="none" w:pos="940"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of Restricted Shares</w:t>
      </w:r>
      <w:r>
        <w:rPr>
          <w:rFonts w:ascii="Arial" w:cs="Arial" w:eastAsia="Arial" w:hAnsi="Arial"/>
          <w:sz w:val="19"/>
          <w:szCs w:val="19"/>
          <w:b w:val="1"/>
          <w:bCs w:val="1"/>
          <w:color w:val="auto"/>
        </w:rPr>
        <w:t>.</w:t>
      </w:r>
    </w:p>
    <w:p>
      <w:pPr>
        <w:spacing w:after="0" w:line="210" w:lineRule="exact"/>
        <w:rPr>
          <w:rFonts w:ascii="Arial" w:cs="Arial" w:eastAsia="Arial" w:hAnsi="Arial"/>
          <w:sz w:val="19"/>
          <w:szCs w:val="19"/>
          <w:b w:val="1"/>
          <w:bCs w:val="1"/>
          <w:color w:val="auto"/>
        </w:rPr>
      </w:pPr>
    </w:p>
    <w:p>
      <w:pPr>
        <w:ind w:left="1600" w:hanging="659"/>
        <w:spacing w:after="0"/>
        <w:tabs>
          <w:tab w:leader="none" w:pos="1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The  Trust  hereby  confirms  the  grant  to  the  Key  Employee  as  of  the  date  set  forth  above  (the  </w:t>
      </w:r>
      <w:r>
        <w:rPr>
          <w:rFonts w:ascii="Arial" w:cs="Arial" w:eastAsia="Arial" w:hAnsi="Arial"/>
          <w:sz w:val="18"/>
          <w:szCs w:val="18"/>
          <w:b w:val="1"/>
          <w:bCs w:val="1"/>
          <w:color w:val="auto"/>
        </w:rPr>
        <w:t>“Grant Date”</w:t>
      </w:r>
      <w:r>
        <w:rPr>
          <w:rFonts w:ascii="Arial" w:cs="Arial" w:eastAsia="Arial" w:hAnsi="Arial"/>
          <w:sz w:val="18"/>
          <w:szCs w:val="18"/>
          <w:color w:val="auto"/>
        </w:rPr>
        <w:t>)  of</w:t>
      </w:r>
    </w:p>
    <w:p>
      <w:pPr>
        <w:spacing w:after="0" w:line="36" w:lineRule="exact"/>
        <w:rPr>
          <w:rFonts w:ascii="Arial" w:cs="Arial" w:eastAsia="Arial" w:hAnsi="Arial"/>
          <w:sz w:val="18"/>
          <w:szCs w:val="18"/>
          <w:color w:val="auto"/>
        </w:rPr>
      </w:pPr>
    </w:p>
    <w:p>
      <w:pPr>
        <w:spacing w:after="0" w:line="251" w:lineRule="auto"/>
        <w:rPr>
          <w:rFonts w:ascii="Arial" w:cs="Arial" w:eastAsia="Arial" w:hAnsi="Arial"/>
          <w:sz w:val="18"/>
          <w:szCs w:val="18"/>
          <w:color w:val="auto"/>
        </w:rPr>
      </w:pPr>
      <w:r>
        <w:rPr>
          <w:rFonts w:ascii="Arial" w:cs="Arial" w:eastAsia="Arial" w:hAnsi="Arial"/>
          <w:sz w:val="19"/>
          <w:szCs w:val="19"/>
          <w:color w:val="auto"/>
        </w:rPr>
        <w:t xml:space="preserve">___________________ (_________) Shares (the </w:t>
      </w:r>
      <w:r>
        <w:rPr>
          <w:rFonts w:ascii="Arial" w:cs="Arial" w:eastAsia="Arial" w:hAnsi="Arial"/>
          <w:sz w:val="19"/>
          <w:szCs w:val="19"/>
          <w:b w:val="1"/>
          <w:bCs w:val="1"/>
          <w:color w:val="auto"/>
        </w:rPr>
        <w:t>“Restricted Shares”</w:t>
      </w:r>
      <w:r>
        <w:rPr>
          <w:rFonts w:ascii="Arial" w:cs="Arial" w:eastAsia="Arial" w:hAnsi="Arial"/>
          <w:sz w:val="19"/>
          <w:szCs w:val="19"/>
          <w:color w:val="auto"/>
        </w:rPr>
        <w:t>), subject to the restrictions and other terms and conditions set forth herein and in the Plan; and</w:t>
      </w:r>
    </w:p>
    <w:p>
      <w:pPr>
        <w:spacing w:after="0" w:line="177" w:lineRule="exact"/>
        <w:rPr>
          <w:rFonts w:ascii="Arial" w:cs="Arial" w:eastAsia="Arial" w:hAnsi="Arial"/>
          <w:sz w:val="18"/>
          <w:szCs w:val="18"/>
          <w:color w:val="auto"/>
        </w:rPr>
      </w:pPr>
    </w:p>
    <w:p>
      <w:pPr>
        <w:jc w:val="both"/>
        <w:ind w:firstLine="941"/>
        <w:spacing w:after="0" w:line="261" w:lineRule="auto"/>
        <w:tabs>
          <w:tab w:leader="none" w:pos="1332" w:val="left"/>
        </w:tabs>
        <w:numPr>
          <w:ilvl w:val="1"/>
          <w:numId w:val="93"/>
        </w:numPr>
        <w:rPr>
          <w:rFonts w:ascii="Arial" w:cs="Arial" w:eastAsia="Arial" w:hAnsi="Arial"/>
          <w:sz w:val="18"/>
          <w:szCs w:val="18"/>
          <w:color w:val="auto"/>
        </w:rPr>
      </w:pPr>
      <w:r>
        <w:rPr>
          <w:rFonts w:ascii="Arial" w:cs="Arial" w:eastAsia="Arial" w:hAnsi="Arial"/>
          <w:sz w:val="18"/>
          <w:szCs w:val="18"/>
          <w:color w:val="auto"/>
        </w:rPr>
        <w:t>On or as soon as practicable after the Grant Date, the Trust shall cause the Restricted Shares to be issued in certificated form or by a book-entry designation for the account for the Key Employee. Such Restricted Shares shall be subject to such stop-transfer orders and other restrictions as the Board of Trustees or any committee thereof may deem advisable under the rules, regulations, and other requirements of the Securities and Exchange Commission and any stock exchange upon which the Shares are listed and any applicable federal or state securities law. If the Restricted Shares are issued in certificated form, the certificate(s) representing the Restricted Shares shall be held in custody by the Chief Financial Officer. Restricted Shares issued by a book-entry designation shall be held in a book-entry account designated by the Trust until the restrictions provided in this Agreement with respect thereto shall have been removed. At any time as may be requested by the Trust, if necessary to enforce the restrictions applicable to the Restricted Shares, the Key Employee shall deliver to the Trust one or more undated stock powers endorsed in blank relating to the Restricted Shares.</w:t>
      </w:r>
    </w:p>
    <w:p>
      <w:pPr>
        <w:spacing w:after="0" w:line="270" w:lineRule="exact"/>
        <w:rPr>
          <w:rFonts w:ascii="Arial" w:cs="Arial" w:eastAsia="Arial" w:hAnsi="Arial"/>
          <w:sz w:val="18"/>
          <w:szCs w:val="18"/>
          <w:color w:val="auto"/>
        </w:rPr>
      </w:pPr>
    </w:p>
    <w:p>
      <w:pPr>
        <w:ind w:left="940" w:hanging="312"/>
        <w:spacing w:after="0"/>
        <w:tabs>
          <w:tab w:leader="none" w:pos="940"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Restrictions Applicable to Restricted Shares</w:t>
      </w:r>
      <w:r>
        <w:rPr>
          <w:rFonts w:ascii="Arial" w:cs="Arial" w:eastAsia="Arial" w:hAnsi="Arial"/>
          <w:sz w:val="19"/>
          <w:szCs w:val="19"/>
          <w:b w:val="1"/>
          <w:bCs w:val="1"/>
          <w:color w:val="auto"/>
        </w:rPr>
        <w:t>.</w:t>
      </w:r>
    </w:p>
    <w:p>
      <w:pPr>
        <w:spacing w:after="0" w:line="216" w:lineRule="exact"/>
        <w:rPr>
          <w:rFonts w:ascii="Arial" w:cs="Arial" w:eastAsia="Arial" w:hAnsi="Arial"/>
          <w:sz w:val="19"/>
          <w:szCs w:val="19"/>
          <w:b w:val="1"/>
          <w:bCs w:val="1"/>
          <w:color w:val="auto"/>
        </w:rPr>
      </w:pPr>
    </w:p>
    <w:p>
      <w:pPr>
        <w:ind w:firstLine="941"/>
        <w:spacing w:after="0" w:line="268" w:lineRule="auto"/>
        <w:tabs>
          <w:tab w:leader="none" w:pos="1347" w:val="left"/>
        </w:tabs>
        <w:numPr>
          <w:ilvl w:val="1"/>
          <w:numId w:val="93"/>
        </w:numPr>
        <w:rPr>
          <w:rFonts w:ascii="Arial" w:cs="Arial" w:eastAsia="Arial" w:hAnsi="Arial"/>
          <w:sz w:val="19"/>
          <w:szCs w:val="19"/>
          <w:color w:val="auto"/>
        </w:rPr>
      </w:pPr>
      <w:r>
        <w:rPr>
          <w:rFonts w:ascii="Arial" w:cs="Arial" w:eastAsia="Arial" w:hAnsi="Arial"/>
          <w:sz w:val="19"/>
          <w:szCs w:val="19"/>
          <w:color w:val="auto"/>
        </w:rPr>
        <w:t>Beginning on the Grant Date, the Key Employee shall have all rights and privileges of a stockholder with respect to the Restricted Shares, except that the following restrictions shall apply:</w:t>
      </w:r>
    </w:p>
    <w:p>
      <w:pPr>
        <w:spacing w:after="0" w:line="162" w:lineRule="exact"/>
        <w:rPr>
          <w:rFonts w:ascii="Arial" w:cs="Arial" w:eastAsia="Arial" w:hAnsi="Arial"/>
          <w:sz w:val="19"/>
          <w:szCs w:val="19"/>
          <w:color w:val="auto"/>
        </w:rPr>
      </w:pPr>
    </w:p>
    <w:p>
      <w:pPr>
        <w:jc w:val="both"/>
        <w:ind w:firstLine="1565"/>
        <w:spacing w:after="0" w:line="255" w:lineRule="auto"/>
        <w:tabs>
          <w:tab w:leader="none" w:pos="1914" w:val="left"/>
        </w:tabs>
        <w:numPr>
          <w:ilvl w:val="2"/>
          <w:numId w:val="93"/>
        </w:numPr>
        <w:rPr>
          <w:rFonts w:ascii="Arial" w:cs="Arial" w:eastAsia="Arial" w:hAnsi="Arial"/>
          <w:sz w:val="19"/>
          <w:szCs w:val="19"/>
          <w:color w:val="auto"/>
        </w:rPr>
      </w:pPr>
      <w:r>
        <w:rPr>
          <w:rFonts w:ascii="Arial" w:cs="Arial" w:eastAsia="Arial" w:hAnsi="Arial"/>
          <w:sz w:val="19"/>
          <w:szCs w:val="19"/>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while the restrictions of this Agreement apply to the Shares;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63" w:right="239" w:bottom="1440" w:gutter="0" w:footer="0" w:header="0"/>
        </w:sectPr>
      </w:pPr>
    </w:p>
    <w:bookmarkStart w:id="108" w:name="page109"/>
    <w:bookmarkEnd w:id="108"/>
    <w:p>
      <w:pPr>
        <w:ind w:left="1980" w:hanging="415"/>
        <w:spacing w:after="0"/>
        <w:tabs>
          <w:tab w:leader="none" w:pos="1980" w:val="left"/>
        </w:tabs>
        <w:numPr>
          <w:ilvl w:val="2"/>
          <w:numId w:val="94"/>
        </w:numPr>
        <w:rPr>
          <w:rFonts w:ascii="Arial" w:cs="Arial" w:eastAsia="Arial" w:hAnsi="Arial"/>
          <w:sz w:val="19"/>
          <w:szCs w:val="19"/>
          <w:color w:val="auto"/>
        </w:rPr>
      </w:pPr>
      <w:r>
        <w:rPr>
          <w:rFonts w:ascii="Arial" w:cs="Arial" w:eastAsia="Arial" w:hAnsi="Arial"/>
          <w:sz w:val="19"/>
          <w:szCs w:val="19"/>
          <w:color w:val="auto"/>
        </w:rPr>
        <w:t>all or a portion of the Restricted Shares may be forfeited in accordance with Paragraph 4; and</w:t>
      </w:r>
    </w:p>
    <w:p>
      <w:pPr>
        <w:spacing w:after="0" w:line="210" w:lineRule="exact"/>
        <w:rPr>
          <w:rFonts w:ascii="Arial" w:cs="Arial" w:eastAsia="Arial" w:hAnsi="Arial"/>
          <w:sz w:val="19"/>
          <w:szCs w:val="19"/>
          <w:color w:val="auto"/>
        </w:rPr>
      </w:pPr>
    </w:p>
    <w:p>
      <w:pPr>
        <w:jc w:val="both"/>
        <w:ind w:firstLine="1565"/>
        <w:spacing w:after="0" w:line="251" w:lineRule="auto"/>
        <w:tabs>
          <w:tab w:leader="none" w:pos="2046" w:val="left"/>
        </w:tabs>
        <w:numPr>
          <w:ilvl w:val="2"/>
          <w:numId w:val="94"/>
        </w:numPr>
        <w:rPr>
          <w:rFonts w:ascii="Arial" w:cs="Arial" w:eastAsia="Arial" w:hAnsi="Arial"/>
          <w:sz w:val="19"/>
          <w:szCs w:val="19"/>
          <w:color w:val="auto"/>
        </w:rPr>
      </w:pPr>
      <w:r>
        <w:rPr>
          <w:rFonts w:ascii="Arial" w:cs="Arial" w:eastAsia="Arial" w:hAnsi="Arial"/>
          <w:sz w:val="19"/>
          <w:szCs w:val="19"/>
          <w:color w:val="auto"/>
        </w:rPr>
        <w:t>any Shares distributed as a dividend or otherwise and any other property (other than ordinary dividends) distributed with respect to any Restricted Shares which have not vested and as to which the restrictions have not yet lapsed shall be subject to the same vesting and other restrictions as such Restricted Shares and shall be represented by book-entry and held in the same manner as the Restricted Shares with respect to which they were distributed.</w:t>
      </w:r>
    </w:p>
    <w:p>
      <w:pPr>
        <w:spacing w:after="0" w:line="178" w:lineRule="exact"/>
        <w:rPr>
          <w:rFonts w:ascii="Arial" w:cs="Arial" w:eastAsia="Arial" w:hAnsi="Arial"/>
          <w:sz w:val="19"/>
          <w:szCs w:val="19"/>
          <w:color w:val="auto"/>
        </w:rPr>
      </w:pPr>
    </w:p>
    <w:p>
      <w:pPr>
        <w:jc w:val="both"/>
        <w:ind w:firstLine="1253"/>
        <w:spacing w:after="0" w:line="251" w:lineRule="auto"/>
        <w:tabs>
          <w:tab w:leader="none" w:pos="1787" w:val="left"/>
        </w:tabs>
        <w:numPr>
          <w:ilvl w:val="1"/>
          <w:numId w:val="95"/>
        </w:numPr>
        <w:rPr>
          <w:rFonts w:ascii="Arial" w:cs="Arial" w:eastAsia="Arial" w:hAnsi="Arial"/>
          <w:sz w:val="19"/>
          <w:szCs w:val="19"/>
          <w:color w:val="auto"/>
        </w:rPr>
      </w:pPr>
      <w:r>
        <w:rPr>
          <w:rFonts w:ascii="Arial" w:cs="Arial" w:eastAsia="Arial" w:hAnsi="Arial"/>
          <w:sz w:val="19"/>
          <w:szCs w:val="19"/>
          <w:color w:val="auto"/>
        </w:rPr>
        <w:t>Upon vesting of all or a portion of the Restricted Shares as provided in Paragraph 3 and payment in accordance with Paragraph 3(c) of withholding taxes relating to those Restricted Shares which have vested, such shares shall no longer be considered Restricted Shares for purposes of this Agreement and the Trust shall cause the restrictions to be removed from the number of Shares which have become vested and for which withholding taxes have been paid.</w:t>
      </w:r>
    </w:p>
    <w:p>
      <w:pPr>
        <w:spacing w:after="0" w:line="178" w:lineRule="exact"/>
        <w:rPr>
          <w:rFonts w:ascii="Arial" w:cs="Arial" w:eastAsia="Arial" w:hAnsi="Arial"/>
          <w:sz w:val="19"/>
          <w:szCs w:val="19"/>
          <w:color w:val="auto"/>
        </w:rPr>
      </w:pPr>
    </w:p>
    <w:p>
      <w:pPr>
        <w:ind w:left="1680" w:hanging="427"/>
        <w:spacing w:after="0"/>
        <w:tabs>
          <w:tab w:leader="none" w:pos="168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Any attempt to dispose of Restricted Shares in a manner contrary to the restrictions set forth in this Agreement shall be null,</w:t>
      </w:r>
    </w:p>
    <w:p>
      <w:pPr>
        <w:spacing w:after="0" w:line="4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void and ineffective.</w:t>
      </w:r>
    </w:p>
    <w:p>
      <w:pPr>
        <w:spacing w:after="0" w:line="188" w:lineRule="exact"/>
        <w:rPr>
          <w:rFonts w:ascii="Arial" w:cs="Arial" w:eastAsia="Arial" w:hAnsi="Arial"/>
          <w:sz w:val="17"/>
          <w:szCs w:val="17"/>
          <w:color w:val="auto"/>
        </w:rPr>
      </w:pPr>
    </w:p>
    <w:p>
      <w:pPr>
        <w:ind w:left="940" w:hanging="312"/>
        <w:spacing w:after="0"/>
        <w:tabs>
          <w:tab w:leader="none" w:pos="940"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Vesting</w:t>
      </w:r>
      <w:r>
        <w:rPr>
          <w:rFonts w:ascii="Arial" w:cs="Arial" w:eastAsia="Arial" w:hAnsi="Arial"/>
          <w:sz w:val="19"/>
          <w:szCs w:val="19"/>
          <w:b w:val="1"/>
          <w:bCs w:val="1"/>
          <w:color w:val="auto"/>
        </w:rPr>
        <w:t>.</w:t>
      </w:r>
    </w:p>
    <w:p>
      <w:pPr>
        <w:spacing w:after="0" w:line="217" w:lineRule="exact"/>
        <w:rPr>
          <w:sz w:val="20"/>
          <w:szCs w:val="20"/>
          <w:color w:val="auto"/>
        </w:rPr>
      </w:pPr>
    </w:p>
    <w:p>
      <w:pPr>
        <w:ind w:left="1320" w:hanging="379"/>
        <w:spacing w:after="0"/>
        <w:tabs>
          <w:tab w:leader="none" w:pos="1320" w:val="left"/>
        </w:tabs>
        <w:numPr>
          <w:ilvl w:val="2"/>
          <w:numId w:val="97"/>
        </w:numPr>
        <w:rPr>
          <w:rFonts w:ascii="Arial" w:cs="Arial" w:eastAsia="Arial" w:hAnsi="Arial"/>
          <w:sz w:val="19"/>
          <w:szCs w:val="19"/>
          <w:color w:val="auto"/>
        </w:rPr>
      </w:pPr>
      <w:r>
        <w:rPr>
          <w:rFonts w:ascii="Arial" w:cs="Arial" w:eastAsia="Arial" w:hAnsi="Arial"/>
          <w:sz w:val="19"/>
          <w:szCs w:val="19"/>
          <w:color w:val="auto"/>
        </w:rPr>
        <w:t>The Restricted Shares shall vest as follows:</w:t>
      </w:r>
    </w:p>
    <w:p>
      <w:pPr>
        <w:spacing w:after="0" w:line="100" w:lineRule="exact"/>
        <w:rPr>
          <w:rFonts w:ascii="Arial" w:cs="Arial" w:eastAsia="Arial" w:hAnsi="Arial"/>
          <w:sz w:val="19"/>
          <w:szCs w:val="19"/>
          <w:color w:val="auto"/>
        </w:rPr>
      </w:pPr>
    </w:p>
    <w:p>
      <w:pPr>
        <w:ind w:left="1560"/>
        <w:spacing w:after="0"/>
        <w:rPr>
          <w:rFonts w:ascii="Arial" w:cs="Arial" w:eastAsia="Arial" w:hAnsi="Arial"/>
          <w:sz w:val="19"/>
          <w:szCs w:val="19"/>
          <w:color w:val="auto"/>
        </w:rPr>
      </w:pPr>
      <w:r>
        <w:rPr>
          <w:rFonts w:ascii="Arial" w:cs="Arial" w:eastAsia="Arial" w:hAnsi="Arial"/>
          <w:sz w:val="19"/>
          <w:szCs w:val="19"/>
          <w:b w:val="1"/>
          <w:bCs w:val="1"/>
          <w:color w:val="auto"/>
        </w:rPr>
        <w:t>[Insert Vesting Schedule]</w:t>
      </w:r>
    </w:p>
    <w:p>
      <w:pPr>
        <w:spacing w:after="0" w:line="216" w:lineRule="exact"/>
        <w:rPr>
          <w:rFonts w:ascii="Arial" w:cs="Arial" w:eastAsia="Arial" w:hAnsi="Arial"/>
          <w:sz w:val="19"/>
          <w:szCs w:val="19"/>
          <w:color w:val="auto"/>
        </w:rPr>
      </w:pPr>
    </w:p>
    <w:p>
      <w:pPr>
        <w:ind w:left="1340" w:hanging="399"/>
        <w:spacing w:after="0"/>
        <w:tabs>
          <w:tab w:leader="none" w:pos="1340" w:val="left"/>
        </w:tabs>
        <w:numPr>
          <w:ilvl w:val="2"/>
          <w:numId w:val="97"/>
        </w:numPr>
        <w:rPr>
          <w:rFonts w:ascii="Arial" w:cs="Arial" w:eastAsia="Arial" w:hAnsi="Arial"/>
          <w:sz w:val="19"/>
          <w:szCs w:val="19"/>
          <w:color w:val="auto"/>
        </w:rPr>
      </w:pPr>
      <w:r>
        <w:rPr>
          <w:rFonts w:ascii="Arial" w:cs="Arial" w:eastAsia="Arial" w:hAnsi="Arial"/>
          <w:sz w:val="19"/>
          <w:szCs w:val="19"/>
          <w:color w:val="auto"/>
        </w:rPr>
        <w:t>Notwithstanding the foregoing, the Restricted Shares shall vest as follows:</w:t>
      </w:r>
    </w:p>
    <w:p>
      <w:pPr>
        <w:spacing w:after="0" w:line="210" w:lineRule="exact"/>
        <w:rPr>
          <w:rFonts w:ascii="Arial" w:cs="Arial" w:eastAsia="Arial" w:hAnsi="Arial"/>
          <w:sz w:val="19"/>
          <w:szCs w:val="19"/>
          <w:color w:val="auto"/>
        </w:rPr>
      </w:pPr>
    </w:p>
    <w:p>
      <w:pPr>
        <w:ind w:left="1920" w:hanging="355"/>
        <w:spacing w:after="0"/>
        <w:tabs>
          <w:tab w:leader="none" w:pos="1920" w:val="left"/>
        </w:tabs>
        <w:numPr>
          <w:ilvl w:val="3"/>
          <w:numId w:val="97"/>
        </w:numPr>
        <w:rPr>
          <w:rFonts w:ascii="Arial" w:cs="Arial" w:eastAsia="Arial" w:hAnsi="Arial"/>
          <w:sz w:val="19"/>
          <w:szCs w:val="19"/>
          <w:color w:val="auto"/>
        </w:rPr>
      </w:pPr>
      <w:r>
        <w:rPr>
          <w:rFonts w:ascii="Arial" w:cs="Arial" w:eastAsia="Arial" w:hAnsi="Arial"/>
          <w:sz w:val="19"/>
          <w:szCs w:val="19"/>
          <w:color w:val="auto"/>
        </w:rPr>
        <w:t>all Restricted Shares shall vest in the event of the death or Disability of the Key Employee;</w:t>
      </w:r>
    </w:p>
    <w:p>
      <w:pPr>
        <w:spacing w:after="0" w:line="210" w:lineRule="exact"/>
        <w:rPr>
          <w:rFonts w:ascii="Arial" w:cs="Arial" w:eastAsia="Arial" w:hAnsi="Arial"/>
          <w:sz w:val="19"/>
          <w:szCs w:val="19"/>
          <w:color w:val="auto"/>
        </w:rPr>
      </w:pPr>
    </w:p>
    <w:p>
      <w:pPr>
        <w:ind w:left="2000" w:hanging="435"/>
        <w:spacing w:after="0"/>
        <w:tabs>
          <w:tab w:leader="none" w:pos="2000" w:val="left"/>
        </w:tabs>
        <w:numPr>
          <w:ilvl w:val="3"/>
          <w:numId w:val="97"/>
        </w:numPr>
        <w:rPr>
          <w:rFonts w:ascii="Arial" w:cs="Arial" w:eastAsia="Arial" w:hAnsi="Arial"/>
          <w:sz w:val="17"/>
          <w:szCs w:val="17"/>
          <w:color w:val="auto"/>
        </w:rPr>
      </w:pPr>
      <w:r>
        <w:rPr>
          <w:rFonts w:ascii="Arial" w:cs="Arial" w:eastAsia="Arial" w:hAnsi="Arial"/>
          <w:sz w:val="17"/>
          <w:szCs w:val="17"/>
          <w:color w:val="auto"/>
        </w:rPr>
        <w:t>all Restricted Shares shall vest in the event that the Key Employee is discharged by the Trust without Cause as defined in</w:t>
      </w:r>
    </w:p>
    <w:p>
      <w:pPr>
        <w:spacing w:after="0" w:line="4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the Plan; and</w:t>
      </w:r>
    </w:p>
    <w:p>
      <w:pPr>
        <w:spacing w:after="0" w:line="194" w:lineRule="exact"/>
        <w:rPr>
          <w:rFonts w:ascii="Arial" w:cs="Arial" w:eastAsia="Arial" w:hAnsi="Arial"/>
          <w:sz w:val="17"/>
          <w:szCs w:val="17"/>
          <w:color w:val="auto"/>
        </w:rPr>
      </w:pPr>
    </w:p>
    <w:p>
      <w:pPr>
        <w:ind w:firstLine="1565"/>
        <w:spacing w:after="0" w:line="268" w:lineRule="auto"/>
        <w:tabs>
          <w:tab w:leader="none" w:pos="2033" w:val="left"/>
        </w:tabs>
        <w:numPr>
          <w:ilvl w:val="3"/>
          <w:numId w:val="97"/>
        </w:numPr>
        <w:rPr>
          <w:rFonts w:ascii="Arial" w:cs="Arial" w:eastAsia="Arial" w:hAnsi="Arial"/>
          <w:sz w:val="19"/>
          <w:szCs w:val="19"/>
          <w:color w:val="auto"/>
        </w:rPr>
      </w:pPr>
      <w:r>
        <w:rPr>
          <w:rFonts w:ascii="Arial" w:cs="Arial" w:eastAsia="Arial" w:hAnsi="Arial"/>
          <w:sz w:val="19"/>
          <w:szCs w:val="19"/>
          <w:color w:val="auto"/>
        </w:rPr>
        <w:t>all Restricted Shares shall vest if the Key Employee shall incur an Involuntary Termination (as defined in the Plan) during the one year period commencing with the occurrence of a Change in Control.</w:t>
      </w:r>
    </w:p>
    <w:p>
      <w:pPr>
        <w:spacing w:after="0" w:line="162" w:lineRule="exact"/>
        <w:rPr>
          <w:rFonts w:ascii="Arial" w:cs="Arial" w:eastAsia="Arial" w:hAnsi="Arial"/>
          <w:sz w:val="19"/>
          <w:szCs w:val="19"/>
          <w:color w:val="auto"/>
        </w:rPr>
      </w:pPr>
    </w:p>
    <w:p>
      <w:pPr>
        <w:jc w:val="both"/>
        <w:ind w:firstLine="941"/>
        <w:spacing w:after="0" w:line="273" w:lineRule="auto"/>
        <w:tabs>
          <w:tab w:leader="none" w:pos="1439" w:val="left"/>
        </w:tabs>
        <w:numPr>
          <w:ilvl w:val="2"/>
          <w:numId w:val="97"/>
        </w:numPr>
        <w:rPr>
          <w:rFonts w:ascii="Arial" w:cs="Arial" w:eastAsia="Arial" w:hAnsi="Arial"/>
          <w:sz w:val="17"/>
          <w:szCs w:val="17"/>
          <w:color w:val="auto"/>
        </w:rPr>
      </w:pPr>
      <w:r>
        <w:rPr>
          <w:rFonts w:ascii="Arial" w:cs="Arial" w:eastAsia="Arial" w:hAnsi="Arial"/>
          <w:sz w:val="17"/>
          <w:szCs w:val="17"/>
          <w:color w:val="auto"/>
        </w:rPr>
        <w:t>As soon as reasonably practicable after the vesting of all or any portion of the Restricted Shares, the Trust shall notify Key Employee or the Key Employee's legal representative, as applicable, of the amount of required withholding taxes due on the vesting of all or a portion of Restricted Shares (“Tax Notice”). Key Employee or Key Employee's legal representative, as applicable, shall tender to the Trust the amount specified in the Tax Notice within five (5) business days after the date of the Tax Notice, or such longer period of time as the Trust may designate. The Trust shall not be required to remove the restrictions on such Shares until such time as the Key Employee or the Key Employee's legal representative, as applicable, shall have paid such tax withholding amount in full. The Trust, at its sole discretion and on such terms and conditions determined by the Trust from time to time, may permit the Key Employee or the Key Employee's legal representative to satisfy the Trust's minimum statutory tax withholding obligations as determined by the Trust's accounting department through (i) the sale of all or a portion of such Shares resulting from this Agreement through the employer's broker or (ii) by returning to the Trust a number of Shares having a fair market value equal to the minimum statutory tax withholding amount due. Shares cannot be returned to the Trust and withheld to satisfy more than the required minimum statutory tax withholding amounts. In the event Key Employee or Key Employee's legal representative, as applicable, fails to make appropriate arrangements to satisfy tax and withholding obligations, the Trust may, in its sole discretion, satisfy such tax and withholding obligations by:</w:t>
      </w:r>
    </w:p>
    <w:p>
      <w:pPr>
        <w:spacing w:after="0" w:line="1" w:lineRule="exact"/>
        <w:rPr>
          <w:rFonts w:ascii="Arial" w:cs="Arial" w:eastAsia="Arial" w:hAnsi="Arial"/>
          <w:sz w:val="17"/>
          <w:szCs w:val="17"/>
          <w:color w:val="auto"/>
        </w:rPr>
      </w:pPr>
    </w:p>
    <w:p>
      <w:pPr>
        <w:jc w:val="both"/>
        <w:ind w:firstLine="4"/>
        <w:spacing w:after="0" w:line="267" w:lineRule="auto"/>
        <w:tabs>
          <w:tab w:leader="none" w:pos="231"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returning to the Trust all or a portion of the Shares issued under this Agreement; or (ii) withholding the required amounts from other amounts due the Key Employee or Key Employee's legal representative, as applicable. The Trust is authorized to pay over to the appropriate authority, all federal, state, county, city or other taxes as shall be required pursuant to any law or governmental regulation or ruling.</w:t>
      </w:r>
    </w:p>
    <w:p>
      <w:pPr>
        <w:spacing w:after="0" w:line="158" w:lineRule="exact"/>
        <w:rPr>
          <w:rFonts w:ascii="Arial" w:cs="Arial" w:eastAsia="Arial" w:hAnsi="Arial"/>
          <w:sz w:val="18"/>
          <w:szCs w:val="18"/>
          <w:color w:val="auto"/>
        </w:rPr>
      </w:pPr>
    </w:p>
    <w:p>
      <w:pPr>
        <w:ind w:firstLine="628"/>
        <w:spacing w:after="0" w:line="275" w:lineRule="auto"/>
        <w:tabs>
          <w:tab w:leader="none" w:pos="954" w:val="left"/>
        </w:tabs>
        <w:numPr>
          <w:ilvl w:val="1"/>
          <w:numId w:val="9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Forfeiture</w:t>
      </w:r>
      <w:r>
        <w:rPr>
          <w:rFonts w:ascii="Arial" w:cs="Arial" w:eastAsia="Arial" w:hAnsi="Arial"/>
          <w:sz w:val="19"/>
          <w:szCs w:val="19"/>
          <w:b w:val="1"/>
          <w:bCs w:val="1"/>
          <w:color w:val="auto"/>
        </w:rPr>
        <w:t xml:space="preserve">. </w:t>
      </w:r>
      <w:r>
        <w:rPr>
          <w:rFonts w:ascii="Arial" w:cs="Arial" w:eastAsia="Arial" w:hAnsi="Arial"/>
          <w:sz w:val="19"/>
          <w:szCs w:val="19"/>
          <w:color w:val="auto"/>
        </w:rPr>
        <w:t>If there is a termination of the Key Employee's Service with the Trust for any reason, then all rights of the Key Employee to</w:t>
      </w:r>
      <w:r>
        <w:rPr>
          <w:rFonts w:ascii="Arial" w:cs="Arial" w:eastAsia="Arial" w:hAnsi="Arial"/>
          <w:sz w:val="19"/>
          <w:szCs w:val="19"/>
          <w:b w:val="1"/>
          <w:bCs w:val="1"/>
          <w:color w:val="auto"/>
        </w:rPr>
        <w:t xml:space="preserve"> </w:t>
      </w:r>
      <w:r>
        <w:rPr>
          <w:rFonts w:ascii="Arial" w:cs="Arial" w:eastAsia="Arial" w:hAnsi="Arial"/>
          <w:sz w:val="19"/>
          <w:szCs w:val="19"/>
          <w:color w:val="auto"/>
        </w:rPr>
        <w:t>any and all then-remaining Restricted Shares which have not vested, after giving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73" w:right="239" w:bottom="1440" w:gutter="0" w:footer="0" w:header="0"/>
        </w:sectPr>
      </w:pPr>
    </w:p>
    <w:bookmarkStart w:id="109" w:name="page110"/>
    <w:bookmarkEnd w:id="109"/>
    <w:p>
      <w:pPr>
        <w:jc w:val="both"/>
        <w:spacing w:after="0" w:line="255" w:lineRule="auto"/>
        <w:rPr>
          <w:sz w:val="20"/>
          <w:szCs w:val="20"/>
          <w:color w:val="auto"/>
        </w:rPr>
      </w:pPr>
      <w:r>
        <w:rPr>
          <w:rFonts w:ascii="Arial" w:cs="Arial" w:eastAsia="Arial" w:hAnsi="Arial"/>
          <w:sz w:val="19"/>
          <w:szCs w:val="19"/>
          <w:color w:val="auto"/>
        </w:rPr>
        <w:t>application to Paragraphs 3(a) and 3(b), shall terminate and be forfeited. Upon forfeiture of all or any portion of Restricted Shares, the certificate(s) representing the forfeited Restricted Shares shall be cancelled or the forfeited Restricted Shares shall be removed from the Key Employee's book entry account, returned to the Trust and canceled, as applicable.</w:t>
      </w:r>
    </w:p>
    <w:p>
      <w:pPr>
        <w:spacing w:after="0" w:line="169" w:lineRule="exact"/>
        <w:rPr>
          <w:sz w:val="20"/>
          <w:szCs w:val="20"/>
          <w:color w:val="auto"/>
        </w:rPr>
      </w:pPr>
    </w:p>
    <w:p>
      <w:pPr>
        <w:jc w:val="both"/>
        <w:ind w:firstLine="628"/>
        <w:spacing w:after="0" w:line="259" w:lineRule="auto"/>
        <w:tabs>
          <w:tab w:leader="none" w:pos="980" w:val="left"/>
        </w:tabs>
        <w:numPr>
          <w:ilvl w:val="0"/>
          <w:numId w:val="9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and inure to the benefit of the heirs and representatives of the Key Employee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assigns and successors of the Trust, but neither this Agreement nor any rights hereunder shall be assignable or otherwise subject to hypothecation by the Key Employee.</w:t>
      </w:r>
    </w:p>
    <w:p>
      <w:pPr>
        <w:spacing w:after="0" w:line="164" w:lineRule="exact"/>
        <w:rPr>
          <w:rFonts w:ascii="Arial" w:cs="Arial" w:eastAsia="Arial" w:hAnsi="Arial"/>
          <w:sz w:val="19"/>
          <w:szCs w:val="19"/>
          <w:b w:val="1"/>
          <w:bCs w:val="1"/>
          <w:color w:val="auto"/>
        </w:rPr>
      </w:pPr>
    </w:p>
    <w:p>
      <w:pPr>
        <w:jc w:val="both"/>
        <w:ind w:left="60" w:firstLine="633"/>
        <w:spacing w:after="0" w:line="259" w:lineRule="auto"/>
        <w:tabs>
          <w:tab w:leader="none" w:pos="1079" w:val="left"/>
        </w:tabs>
        <w:numPr>
          <w:ilvl w:val="1"/>
          <w:numId w:val="9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constitutes the entire agreement of the parties with respect to the subject matter</w:t>
      </w:r>
      <w:r>
        <w:rPr>
          <w:rFonts w:ascii="Arial" w:cs="Arial" w:eastAsia="Arial" w:hAnsi="Arial"/>
          <w:sz w:val="19"/>
          <w:szCs w:val="19"/>
          <w:b w:val="1"/>
          <w:bCs w:val="1"/>
          <w:color w:val="auto"/>
        </w:rPr>
        <w:t xml:space="preserve"> </w:t>
      </w:r>
      <w:r>
        <w:rPr>
          <w:rFonts w:ascii="Arial" w:cs="Arial" w:eastAsia="Arial" w:hAnsi="Arial"/>
          <w:sz w:val="19"/>
          <w:szCs w:val="19"/>
          <w:color w:val="auto"/>
        </w:rPr>
        <w:t>hereof and shall supersede all prior agreements and understandings, oral or written, between the parties with respect thereto. Subject to Paragraph 13, this Agreement may be amended at any time by written agreement of the parties hereto.</w:t>
      </w:r>
    </w:p>
    <w:p>
      <w:pPr>
        <w:spacing w:after="0" w:line="164" w:lineRule="exact"/>
        <w:rPr>
          <w:sz w:val="20"/>
          <w:szCs w:val="20"/>
          <w:color w:val="auto"/>
        </w:rPr>
      </w:pPr>
    </w:p>
    <w:p>
      <w:pPr>
        <w:ind w:firstLine="628"/>
        <w:spacing w:after="0" w:line="275" w:lineRule="auto"/>
        <w:tabs>
          <w:tab w:leader="none" w:pos="1006"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its validity, interpretation, performance and enforcement shall be governed by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Maryland other than the conflict of laws provisions of such laws, and shall be construed in accordance therewith.</w:t>
      </w:r>
    </w:p>
    <w:p>
      <w:pPr>
        <w:spacing w:after="0" w:line="149" w:lineRule="exact"/>
        <w:rPr>
          <w:rFonts w:ascii="Arial" w:cs="Arial" w:eastAsia="Arial" w:hAnsi="Arial"/>
          <w:sz w:val="19"/>
          <w:szCs w:val="19"/>
          <w:b w:val="1"/>
          <w:bCs w:val="1"/>
          <w:color w:val="auto"/>
        </w:rPr>
      </w:pPr>
    </w:p>
    <w:p>
      <w:pPr>
        <w:jc w:val="both"/>
        <w:ind w:firstLine="628"/>
        <w:spacing w:after="0" w:line="250" w:lineRule="auto"/>
        <w:tabs>
          <w:tab w:leader="none" w:pos="980"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If, for any reason, any provision of this Agreement is held invalid, such invalidity shall not affect any other provision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75" w:lineRule="exact"/>
        <w:rPr>
          <w:rFonts w:ascii="Arial" w:cs="Arial" w:eastAsia="Arial" w:hAnsi="Arial"/>
          <w:sz w:val="19"/>
          <w:szCs w:val="19"/>
          <w:b w:val="1"/>
          <w:bCs w:val="1"/>
          <w:color w:val="auto"/>
        </w:rPr>
      </w:pPr>
    </w:p>
    <w:p>
      <w:pPr>
        <w:ind w:firstLine="628"/>
        <w:spacing w:after="0" w:line="275" w:lineRule="auto"/>
        <w:tabs>
          <w:tab w:leader="none" w:pos="1123"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Continued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not confer upon the Key Employee any right with respect to continuance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by the Trust.</w:t>
      </w:r>
    </w:p>
    <w:p>
      <w:pPr>
        <w:spacing w:after="0" w:line="149" w:lineRule="exact"/>
        <w:rPr>
          <w:rFonts w:ascii="Arial" w:cs="Arial" w:eastAsia="Arial" w:hAnsi="Arial"/>
          <w:sz w:val="19"/>
          <w:szCs w:val="19"/>
          <w:b w:val="1"/>
          <w:bCs w:val="1"/>
          <w:color w:val="auto"/>
        </w:rPr>
      </w:pPr>
    </w:p>
    <w:p>
      <w:pPr>
        <w:jc w:val="both"/>
        <w:ind w:firstLine="628"/>
        <w:spacing w:after="0" w:line="303" w:lineRule="auto"/>
        <w:tabs>
          <w:tab w:leader="none" w:pos="1088"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References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References to the Key Employee in any provision of this Agreement under circumstances where the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31" w:lineRule="exact"/>
        <w:rPr>
          <w:rFonts w:ascii="Arial" w:cs="Arial" w:eastAsia="Arial" w:hAnsi="Arial"/>
          <w:sz w:val="17"/>
          <w:szCs w:val="17"/>
          <w:b w:val="1"/>
          <w:bCs w:val="1"/>
          <w:color w:val="auto"/>
        </w:rPr>
      </w:pPr>
    </w:p>
    <w:p>
      <w:pPr>
        <w:jc w:val="both"/>
        <w:ind w:firstLine="628"/>
        <w:spacing w:after="0" w:line="280" w:lineRule="auto"/>
        <w:tabs>
          <w:tab w:leader="none" w:pos="1025"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83(b)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Key Employee acknowledges that it is the Key Employee's sole responsibility, and not the Trust's, to file a</w:t>
      </w:r>
      <w:r>
        <w:rPr>
          <w:rFonts w:ascii="Arial" w:cs="Arial" w:eastAsia="Arial" w:hAnsi="Arial"/>
          <w:sz w:val="18"/>
          <w:szCs w:val="18"/>
          <w:b w:val="1"/>
          <w:bCs w:val="1"/>
          <w:color w:val="auto"/>
        </w:rPr>
        <w:t xml:space="preserve"> </w:t>
      </w:r>
      <w:r>
        <w:rPr>
          <w:rFonts w:ascii="Arial" w:cs="Arial" w:eastAsia="Arial" w:hAnsi="Arial"/>
          <w:sz w:val="18"/>
          <w:szCs w:val="18"/>
          <w:color w:val="auto"/>
        </w:rPr>
        <w:t>timely election under section 83(b) of the Internal Revenue Code, of 1986, as amended. The Key Employee acknowledges that he or she is relying on his or her own advisors with respect to the decision as to whether or not to file any section 83(b) election.</w:t>
      </w:r>
    </w:p>
    <w:p>
      <w:pPr>
        <w:spacing w:after="0" w:line="147" w:lineRule="exact"/>
        <w:rPr>
          <w:rFonts w:ascii="Arial" w:cs="Arial" w:eastAsia="Arial" w:hAnsi="Arial"/>
          <w:sz w:val="18"/>
          <w:szCs w:val="18"/>
          <w:b w:val="1"/>
          <w:bCs w:val="1"/>
          <w:color w:val="auto"/>
        </w:rPr>
      </w:pPr>
    </w:p>
    <w:p>
      <w:pPr>
        <w:ind w:firstLine="628"/>
        <w:spacing w:after="0" w:line="335" w:lineRule="auto"/>
        <w:tabs>
          <w:tab w:leader="none" w:pos="1049"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Notwithstanding anything herein to the contrary, the Key Employee shall be solely responsible and liable for the satisfaction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all taxes and penalties that may arise in connection with this Agreement (including any taxes arising under Section 409A of the Code).</w:t>
      </w:r>
    </w:p>
    <w:p>
      <w:pPr>
        <w:spacing w:after="0" w:line="65" w:lineRule="exact"/>
        <w:rPr>
          <w:rFonts w:ascii="Arial" w:cs="Arial" w:eastAsia="Arial" w:hAnsi="Arial"/>
          <w:sz w:val="17"/>
          <w:szCs w:val="17"/>
          <w:b w:val="1"/>
          <w:bCs w:val="1"/>
          <w:color w:val="auto"/>
        </w:rPr>
      </w:pPr>
    </w:p>
    <w:p>
      <w:pPr>
        <w:jc w:val="both"/>
        <w:ind w:firstLine="628"/>
        <w:spacing w:after="0" w:line="263" w:lineRule="auto"/>
        <w:tabs>
          <w:tab w:leader="none" w:pos="106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color w:val="auto"/>
        </w:rPr>
        <w:t>. This Agreement is intended to be exempt from Code Section 409A, and the Trust shall have complete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to interpret and construe 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Key Employee in order to accurately reflect its correct interpretation and operation to maintain an exemption from or compliance with Code Section 409A.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73" w:right="2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color w:val="auto"/>
        </w:rPr>
        <w:t>IN WITNESS WHEREOF, the Trust has caused this Agreement to be duly executed effective as of the day and year first above written.</w:t>
      </w:r>
    </w:p>
    <w:p>
      <w:pPr>
        <w:sectPr>
          <w:pgSz w:w="11900" w:h="16838" w:orient="portrait"/>
          <w:cols w:equalWidth="0" w:num="1">
            <w:col w:w="10340"/>
          </w:cols>
          <w:pgMar w:left="860" w:top="773" w:right="69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FEDERAL REALTY INVESTMENT TRUST</w:t>
      </w:r>
    </w:p>
    <w:p>
      <w:pPr>
        <w:spacing w:after="0" w:line="211"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By:___________________________________</w:t>
      </w:r>
    </w:p>
    <w:p>
      <w:pPr>
        <w:spacing w:after="0" w:line="42"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Name: Dawn M. Becker</w:t>
      </w:r>
    </w:p>
    <w:p>
      <w:pPr>
        <w:spacing w:after="0" w:line="3"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Title: Executive Vice President -</w:t>
      </w:r>
    </w:p>
    <w:p>
      <w:pPr>
        <w:spacing w:after="0" w:line="3"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General Counsel and Secretary</w:t>
      </w:r>
    </w:p>
    <w:p>
      <w:pPr>
        <w:spacing w:after="0" w:line="200" w:lineRule="exact"/>
        <w:rPr>
          <w:sz w:val="20"/>
          <w:szCs w:val="20"/>
          <w:color w:val="auto"/>
        </w:rPr>
      </w:pPr>
    </w:p>
    <w:p>
      <w:pPr>
        <w:spacing w:after="0" w:line="233"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340"/>
          </w:cols>
          <w:pgMar w:left="860" w:top="773" w:right="699" w:bottom="1440" w:gutter="0" w:footer="0" w:header="0"/>
          <w:type w:val="continuous"/>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21.1</w:t>
      </w:r>
    </w:p>
    <w:p>
      <w:pPr>
        <w:spacing w:after="0" w:line="169"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FEDERAL REALTY INVESTMENT TRUST AND SUBSIDIARIES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NAME OF</w:t>
            </w:r>
          </w:p>
        </w:tc>
        <w:tc>
          <w:tcPr>
            <w:tcW w:w="4580" w:type="dxa"/>
            <w:vAlign w:val="bottom"/>
          </w:tcPr>
          <w:p>
            <w:pPr>
              <w:jc w:val="center"/>
              <w:spacing w:after="0"/>
              <w:rPr>
                <w:sz w:val="20"/>
                <w:szCs w:val="20"/>
                <w:color w:val="auto"/>
              </w:rPr>
            </w:pPr>
            <w:r>
              <w:rPr>
                <w:rFonts w:ascii="Arial" w:cs="Arial" w:eastAsia="Arial" w:hAnsi="Arial"/>
                <w:sz w:val="12"/>
                <w:szCs w:val="12"/>
                <w:b w:val="1"/>
                <w:bCs w:val="1"/>
                <w:color w:val="auto"/>
              </w:rPr>
              <w:t>STATE OF INCORPORATION OF</w:t>
            </w:r>
          </w:p>
        </w:tc>
      </w:tr>
      <w:tr>
        <w:trPr>
          <w:trHeight w:val="158"/>
        </w:trPr>
        <w:tc>
          <w:tcPr>
            <w:tcW w:w="4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SUBSIDIARY</w:t>
            </w:r>
          </w:p>
        </w:tc>
        <w:tc>
          <w:tcPr>
            <w:tcW w:w="4580" w:type="dxa"/>
            <w:vAlign w:val="bottom"/>
          </w:tcPr>
          <w:p>
            <w:pPr>
              <w:jc w:val="center"/>
              <w:spacing w:after="0"/>
              <w:rPr>
                <w:sz w:val="20"/>
                <w:szCs w:val="20"/>
                <w:color w:val="auto"/>
              </w:rPr>
            </w:pPr>
            <w:r>
              <w:rPr>
                <w:rFonts w:ascii="Arial" w:cs="Arial" w:eastAsia="Arial" w:hAnsi="Arial"/>
                <w:sz w:val="12"/>
                <w:szCs w:val="12"/>
                <w:b w:val="1"/>
                <w:bCs w:val="1"/>
                <w:color w:val="auto"/>
              </w:rPr>
              <w:t>ORGANIZATION</w:t>
            </w:r>
          </w:p>
        </w:tc>
      </w:tr>
      <w:tr>
        <w:trPr>
          <w:trHeight w:val="107"/>
        </w:trPr>
        <w:tc>
          <w:tcPr>
            <w:tcW w:w="4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r>
      <w:tr>
        <w:trPr>
          <w:trHeight w:val="208"/>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Street Retail, Inc</w:t>
            </w:r>
          </w:p>
        </w:tc>
        <w:tc>
          <w:tcPr>
            <w:tcW w:w="4580" w:type="dxa"/>
            <w:vAlign w:val="bottom"/>
          </w:tcPr>
          <w:p>
            <w:pPr>
              <w:jc w:val="center"/>
              <w:spacing w:after="0"/>
              <w:rPr>
                <w:sz w:val="20"/>
                <w:szCs w:val="20"/>
                <w:color w:val="auto"/>
              </w:rPr>
            </w:pPr>
            <w:r>
              <w:rPr>
                <w:rFonts w:ascii="Arial" w:cs="Arial" w:eastAsia="Arial" w:hAnsi="Arial"/>
                <w:sz w:val="16"/>
                <w:szCs w:val="16"/>
                <w:color w:val="auto"/>
                <w:w w:val="94"/>
              </w:rPr>
              <w:t>Maryland</w:t>
            </w:r>
          </w:p>
        </w:tc>
      </w:tr>
      <w:tr>
        <w:trPr>
          <w:trHeight w:val="243"/>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87"/>
              </w:rPr>
              <w:t>FRIT San Jose Town and</w:t>
            </w:r>
          </w:p>
        </w:tc>
        <w:tc>
          <w:tcPr>
            <w:tcW w:w="4580" w:type="dxa"/>
            <w:vAlign w:val="bottom"/>
          </w:tcPr>
          <w:p>
            <w:pPr>
              <w:spacing w:after="0"/>
              <w:rPr>
                <w:sz w:val="21"/>
                <w:szCs w:val="21"/>
                <w:color w:val="auto"/>
              </w:rPr>
            </w:pPr>
          </w:p>
        </w:tc>
      </w:tr>
      <w:tr>
        <w:trPr>
          <w:trHeight w:val="212"/>
        </w:trPr>
        <w:tc>
          <w:tcPr>
            <w:tcW w:w="478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Country Village, LLC</w:t>
            </w:r>
          </w:p>
        </w:tc>
        <w:tc>
          <w:tcPr>
            <w:tcW w:w="4580" w:type="dxa"/>
            <w:vAlign w:val="bottom"/>
          </w:tcPr>
          <w:p>
            <w:pPr>
              <w:jc w:val="center"/>
              <w:spacing w:after="0"/>
              <w:rPr>
                <w:sz w:val="20"/>
                <w:szCs w:val="20"/>
                <w:color w:val="auto"/>
              </w:rPr>
            </w:pPr>
            <w:r>
              <w:rPr>
                <w:rFonts w:ascii="Arial" w:cs="Arial" w:eastAsia="Arial" w:hAnsi="Arial"/>
                <w:sz w:val="16"/>
                <w:szCs w:val="16"/>
                <w:color w:val="auto"/>
                <w:w w:val="91"/>
              </w:rPr>
              <w:t>California</w:t>
            </w:r>
          </w:p>
        </w:tc>
      </w:tr>
    </w:tbl>
    <w:p>
      <w:pPr>
        <w:sectPr>
          <w:pgSz w:w="11900" w:h="16838" w:orient="portrait"/>
          <w:cols w:equalWidth="0" w:num="1">
            <w:col w:w="10380"/>
          </w:cols>
          <w:pgMar w:left="1280" w:top="719"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23.1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75"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We have issued our reports dated February 12, 2013, with respect to the consolidated financial statements, schedules, and internal control over financial reporting included in the Annual Report of Federal Realty Investment Trust on Form 10-K for the year ended December 31, 2012. We hereby consent to the incorporation by reference of said reports in the Registration Statements of Federal Realty Investment Trust on Forms S-3 (File No. 333-181236 effective 5/8/2012, File No. 333-181238 effective 5/8/2012, File No. 333-166060 effective 4/14/2010, File No. 333-124195 effective 4/20/2005, File No. 333-100819 effective 10/29/2002 and File No. 033-63687 effective 10/25/1995) and on Forms S-8 (File No. 333-166531 effective 5/5/2010, File No. 333-60364 effective 05/07/2001, File No. 333-63617 effective 09/17/1998, File No. 333-147080 effective 11/01/2007 and File No. 333-147081 effective 11/01/2007).</w:t>
      </w:r>
    </w:p>
    <w:p>
      <w:pPr>
        <w:spacing w:after="0" w:line="200" w:lineRule="exact"/>
        <w:rPr>
          <w:sz w:val="20"/>
          <w:szCs w:val="20"/>
          <w:color w:val="auto"/>
        </w:rPr>
      </w:pPr>
    </w:p>
    <w:p>
      <w:pPr>
        <w:spacing w:after="0" w:line="28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/s/ GRANT THORNTON LLP</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McLean, Virginia</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12, 2013</w:t>
      </w:r>
    </w:p>
    <w:p>
      <w:pPr>
        <w:sectPr>
          <w:pgSz w:w="11900" w:h="16838" w:orient="portrait"/>
          <w:cols w:equalWidth="0" w:num="1">
            <w:col w:w="11420"/>
          </w:cols>
          <w:pgMar w:left="240" w:top="563"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 Donald C. Wood, certify that:</w:t>
      </w:r>
    </w:p>
    <w:p>
      <w:pPr>
        <w:spacing w:after="0" w:line="91" w:lineRule="exact"/>
        <w:rPr>
          <w:sz w:val="20"/>
          <w:szCs w:val="20"/>
          <w:color w:val="auto"/>
        </w:rPr>
      </w:pPr>
    </w:p>
    <w:p>
      <w:pPr>
        <w:ind w:left="840" w:hanging="446"/>
        <w:spacing w:after="0"/>
        <w:tabs>
          <w:tab w:leader="none" w:pos="8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Federal Realty Investment Trust;</w:t>
      </w:r>
    </w:p>
    <w:p>
      <w:pPr>
        <w:spacing w:after="0" w:line="90" w:lineRule="exact"/>
        <w:rPr>
          <w:rFonts w:ascii="Arial" w:cs="Arial" w:eastAsia="Arial" w:hAnsi="Arial"/>
          <w:sz w:val="17"/>
          <w:szCs w:val="17"/>
          <w:color w:val="auto"/>
        </w:rPr>
      </w:pPr>
    </w:p>
    <w:p>
      <w:pPr>
        <w:ind w:left="840" w:right="20" w:hanging="446"/>
        <w:spacing w:after="0" w:line="343" w:lineRule="auto"/>
        <w:tabs>
          <w:tab w:leader="none" w:pos="84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840" w:right="460" w:hanging="446"/>
        <w:spacing w:after="0" w:line="319" w:lineRule="auto"/>
        <w:tabs>
          <w:tab w:leader="none" w:pos="8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 w:lineRule="exact"/>
        <w:rPr>
          <w:rFonts w:ascii="Arial" w:cs="Arial" w:eastAsia="Arial" w:hAnsi="Arial"/>
          <w:sz w:val="16"/>
          <w:szCs w:val="16"/>
          <w:color w:val="auto"/>
        </w:rPr>
      </w:pPr>
    </w:p>
    <w:p>
      <w:pPr>
        <w:ind w:left="840" w:right="80" w:hanging="446"/>
        <w:spacing w:after="0" w:line="270" w:lineRule="auto"/>
        <w:tabs>
          <w:tab w:leader="none" w:pos="8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7"/>
          <w:szCs w:val="17"/>
          <w:color w:val="auto"/>
        </w:rPr>
      </w:pPr>
    </w:p>
    <w:p>
      <w:pPr>
        <w:jc w:val="both"/>
        <w:ind w:left="1360" w:right="260" w:hanging="419"/>
        <w:spacing w:after="0" w:line="270" w:lineRule="auto"/>
        <w:tabs>
          <w:tab w:leader="none" w:pos="13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7"/>
          <w:szCs w:val="17"/>
          <w:color w:val="auto"/>
        </w:rPr>
      </w:pPr>
    </w:p>
    <w:p>
      <w:pPr>
        <w:ind w:left="1360" w:right="520" w:hanging="419"/>
        <w:spacing w:after="0" w:line="270" w:lineRule="auto"/>
        <w:tabs>
          <w:tab w:leader="none" w:pos="13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7"/>
          <w:szCs w:val="17"/>
          <w:color w:val="auto"/>
        </w:rPr>
      </w:pPr>
    </w:p>
    <w:p>
      <w:pPr>
        <w:ind w:left="1360" w:right="680" w:hanging="419"/>
        <w:spacing w:after="0" w:line="343" w:lineRule="auto"/>
        <w:tabs>
          <w:tab w:leader="none" w:pos="1360" w:val="left"/>
        </w:tabs>
        <w:numPr>
          <w:ilvl w:val="1"/>
          <w:numId w:val="10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1360" w:right="280" w:hanging="419"/>
        <w:spacing w:after="0" w:line="270" w:lineRule="auto"/>
        <w:tabs>
          <w:tab w:leader="none" w:pos="13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7"/>
          <w:szCs w:val="17"/>
          <w:color w:val="auto"/>
        </w:rPr>
      </w:pPr>
    </w:p>
    <w:p>
      <w:pPr>
        <w:ind w:left="840" w:right="400" w:hanging="446"/>
        <w:spacing w:after="0" w:line="319" w:lineRule="auto"/>
        <w:tabs>
          <w:tab w:leader="none" w:pos="8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5" w:lineRule="exact"/>
        <w:rPr>
          <w:rFonts w:ascii="Arial" w:cs="Arial" w:eastAsia="Arial" w:hAnsi="Arial"/>
          <w:sz w:val="16"/>
          <w:szCs w:val="16"/>
          <w:color w:val="auto"/>
        </w:rPr>
      </w:pPr>
    </w:p>
    <w:p>
      <w:pPr>
        <w:ind w:left="1360" w:right="160" w:hanging="419"/>
        <w:spacing w:after="0" w:line="286" w:lineRule="auto"/>
        <w:tabs>
          <w:tab w:leader="none" w:pos="13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7"/>
          <w:szCs w:val="17"/>
          <w:color w:val="auto"/>
        </w:rPr>
      </w:pPr>
    </w:p>
    <w:p>
      <w:pPr>
        <w:ind w:left="1360" w:right="140" w:hanging="419"/>
        <w:spacing w:after="0" w:line="286" w:lineRule="auto"/>
        <w:tabs>
          <w:tab w:leader="none" w:pos="13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40"/>
        <w:spacing w:after="0"/>
        <w:tabs>
          <w:tab w:leader="none" w:pos="7920" w:val="left"/>
        </w:tabs>
        <w:rPr>
          <w:sz w:val="20"/>
          <w:szCs w:val="20"/>
          <w:color w:val="auto"/>
        </w:rPr>
      </w:pPr>
      <w:r>
        <w:rPr>
          <w:rFonts w:ascii="Arial" w:cs="Arial" w:eastAsia="Arial" w:hAnsi="Arial"/>
          <w:sz w:val="17"/>
          <w:szCs w:val="17"/>
          <w:color w:val="auto"/>
        </w:rPr>
        <w:t>February 12, 2013</w:t>
      </w:r>
      <w:r>
        <w:rPr>
          <w:sz w:val="20"/>
          <w:szCs w:val="20"/>
          <w:color w:val="auto"/>
        </w:rPr>
        <w:tab/>
      </w:r>
      <w:r>
        <w:rPr>
          <w:rFonts w:ascii="Arial" w:cs="Arial" w:eastAsia="Arial" w:hAnsi="Arial"/>
          <w:sz w:val="15"/>
          <w:szCs w:val="15"/>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32385</wp:posOffset>
            </wp:positionV>
            <wp:extent cx="3551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52"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Donald C. Wood,</w:t>
      </w:r>
    </w:p>
    <w:p>
      <w:pPr>
        <w:spacing w:after="0" w:line="65"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President, Chief Executive Officer and Trustee</w:t>
      </w:r>
    </w:p>
    <w:p>
      <w:pPr>
        <w:spacing w:after="0" w:line="65"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420"/>
          </w:cols>
          <w:pgMar w:left="240" w:top="563"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i w:val="1"/>
          <w:iCs w:val="1"/>
          <w:color w:val="auto"/>
        </w:rPr>
        <w:t>James M. Taylor, Jr.</w:t>
      </w:r>
      <w:r>
        <w:rPr>
          <w:rFonts w:ascii="Arial" w:cs="Arial" w:eastAsia="Arial" w:hAnsi="Arial"/>
          <w:sz w:val="17"/>
          <w:szCs w:val="17"/>
          <w:color w:val="auto"/>
        </w:rPr>
        <w:t>, certify that:</w:t>
      </w:r>
    </w:p>
    <w:p>
      <w:pPr>
        <w:spacing w:after="0" w:line="91" w:lineRule="exact"/>
        <w:rPr>
          <w:sz w:val="20"/>
          <w:szCs w:val="20"/>
          <w:color w:val="auto"/>
        </w:rPr>
      </w:pPr>
    </w:p>
    <w:p>
      <w:pPr>
        <w:ind w:left="840" w:hanging="446"/>
        <w:spacing w:after="0"/>
        <w:tabs>
          <w:tab w:leader="none" w:pos="8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Federal Realty Investment Trust;</w:t>
      </w:r>
    </w:p>
    <w:p>
      <w:pPr>
        <w:spacing w:after="0" w:line="90" w:lineRule="exact"/>
        <w:rPr>
          <w:rFonts w:ascii="Arial" w:cs="Arial" w:eastAsia="Arial" w:hAnsi="Arial"/>
          <w:sz w:val="17"/>
          <w:szCs w:val="17"/>
          <w:color w:val="auto"/>
        </w:rPr>
      </w:pPr>
    </w:p>
    <w:p>
      <w:pPr>
        <w:ind w:left="840" w:right="20" w:hanging="446"/>
        <w:spacing w:after="0" w:line="343" w:lineRule="auto"/>
        <w:tabs>
          <w:tab w:leader="none" w:pos="8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840" w:right="460" w:hanging="446"/>
        <w:spacing w:after="0" w:line="319" w:lineRule="auto"/>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 w:lineRule="exact"/>
        <w:rPr>
          <w:rFonts w:ascii="Arial" w:cs="Arial" w:eastAsia="Arial" w:hAnsi="Arial"/>
          <w:sz w:val="16"/>
          <w:szCs w:val="16"/>
          <w:color w:val="auto"/>
        </w:rPr>
      </w:pPr>
    </w:p>
    <w:p>
      <w:pPr>
        <w:ind w:left="840" w:right="80" w:hanging="446"/>
        <w:spacing w:after="0" w:line="270" w:lineRule="auto"/>
        <w:tabs>
          <w:tab w:leader="none" w:pos="8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7"/>
          <w:szCs w:val="17"/>
          <w:color w:val="auto"/>
        </w:rPr>
      </w:pPr>
    </w:p>
    <w:p>
      <w:pPr>
        <w:jc w:val="both"/>
        <w:ind w:left="1360" w:right="260" w:hanging="419"/>
        <w:spacing w:after="0" w:line="270" w:lineRule="auto"/>
        <w:tabs>
          <w:tab w:leader="none" w:pos="13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7"/>
          <w:szCs w:val="17"/>
          <w:color w:val="auto"/>
        </w:rPr>
      </w:pPr>
    </w:p>
    <w:p>
      <w:pPr>
        <w:ind w:left="1360" w:right="520" w:hanging="419"/>
        <w:spacing w:after="0" w:line="270" w:lineRule="auto"/>
        <w:tabs>
          <w:tab w:leader="none" w:pos="13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7"/>
          <w:szCs w:val="17"/>
          <w:color w:val="auto"/>
        </w:rPr>
      </w:pPr>
    </w:p>
    <w:p>
      <w:pPr>
        <w:ind w:left="1360" w:right="680" w:hanging="419"/>
        <w:spacing w:after="0" w:line="343" w:lineRule="auto"/>
        <w:tabs>
          <w:tab w:leader="none" w:pos="136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1360" w:right="280" w:hanging="419"/>
        <w:spacing w:after="0" w:line="270" w:lineRule="auto"/>
        <w:tabs>
          <w:tab w:leader="none" w:pos="13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7"/>
          <w:szCs w:val="17"/>
          <w:color w:val="auto"/>
        </w:rPr>
      </w:pPr>
    </w:p>
    <w:p>
      <w:pPr>
        <w:ind w:left="840" w:right="400" w:hanging="446"/>
        <w:spacing w:after="0" w:line="319" w:lineRule="auto"/>
        <w:tabs>
          <w:tab w:leader="none" w:pos="8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5" w:lineRule="exact"/>
        <w:rPr>
          <w:rFonts w:ascii="Arial" w:cs="Arial" w:eastAsia="Arial" w:hAnsi="Arial"/>
          <w:sz w:val="16"/>
          <w:szCs w:val="16"/>
          <w:color w:val="auto"/>
        </w:rPr>
      </w:pPr>
    </w:p>
    <w:p>
      <w:pPr>
        <w:ind w:left="1360" w:right="160" w:hanging="419"/>
        <w:spacing w:after="0" w:line="286" w:lineRule="auto"/>
        <w:tabs>
          <w:tab w:leader="none" w:pos="13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7"/>
          <w:szCs w:val="17"/>
          <w:color w:val="auto"/>
        </w:rPr>
      </w:pPr>
    </w:p>
    <w:p>
      <w:pPr>
        <w:ind w:left="1360" w:right="140" w:hanging="419"/>
        <w:spacing w:after="0" w:line="286" w:lineRule="auto"/>
        <w:tabs>
          <w:tab w:leader="none" w:pos="13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40"/>
        <w:spacing w:after="0"/>
        <w:tabs>
          <w:tab w:leader="none" w:pos="7800" w:val="left"/>
        </w:tabs>
        <w:rPr>
          <w:sz w:val="20"/>
          <w:szCs w:val="20"/>
          <w:color w:val="auto"/>
        </w:rPr>
      </w:pPr>
      <w:r>
        <w:rPr>
          <w:rFonts w:ascii="Arial" w:cs="Arial" w:eastAsia="Arial" w:hAnsi="Arial"/>
          <w:sz w:val="17"/>
          <w:szCs w:val="17"/>
          <w:color w:val="auto"/>
        </w:rPr>
        <w:t>February 12, 2013</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32385</wp:posOffset>
            </wp:positionV>
            <wp:extent cx="355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52" w:lineRule="exact"/>
        <w:rPr>
          <w:sz w:val="20"/>
          <w:szCs w:val="20"/>
          <w:color w:val="auto"/>
        </w:rPr>
      </w:pPr>
    </w:p>
    <w:p>
      <w:pPr>
        <w:ind w:left="7860"/>
        <w:spacing w:after="0"/>
        <w:rPr>
          <w:sz w:val="20"/>
          <w:szCs w:val="20"/>
          <w:color w:val="auto"/>
        </w:rPr>
      </w:pPr>
      <w:r>
        <w:rPr>
          <w:rFonts w:ascii="Arial" w:cs="Arial" w:eastAsia="Arial" w:hAnsi="Arial"/>
          <w:sz w:val="17"/>
          <w:szCs w:val="17"/>
          <w:b w:val="1"/>
          <w:bCs w:val="1"/>
          <w:color w:val="auto"/>
        </w:rPr>
        <w:t>James M. Taylor, Jr.,</w:t>
      </w:r>
    </w:p>
    <w:p>
      <w:pPr>
        <w:spacing w:after="0" w:line="65"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Executive Vice President -</w:t>
      </w:r>
    </w:p>
    <w:p>
      <w:pPr>
        <w:spacing w:after="0" w:line="31"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Chief Financial Officer and Treasurer</w:t>
      </w:r>
    </w:p>
    <w:p>
      <w:pPr>
        <w:spacing w:after="0" w:line="46"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(Principal Financial and Accounting Officer)</w:t>
      </w:r>
    </w:p>
    <w:p>
      <w:pPr>
        <w:sectPr>
          <w:pgSz w:w="11900" w:h="16838" w:orient="portrait"/>
          <w:cols w:equalWidth="0" w:num="1">
            <w:col w:w="11420"/>
          </w:cols>
          <w:pgMar w:left="240" w:top="563"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32.1</w:t>
      </w:r>
    </w:p>
    <w:p>
      <w:pPr>
        <w:spacing w:after="0" w:line="169"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CERTIFICATION</w:t>
      </w:r>
    </w:p>
    <w:p>
      <w:pPr>
        <w:spacing w:after="0" w:line="169"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6" w:lineRule="exact"/>
        <w:rPr>
          <w:sz w:val="20"/>
          <w:szCs w:val="20"/>
          <w:color w:val="auto"/>
        </w:rPr>
      </w:pPr>
    </w:p>
    <w:p>
      <w:pPr>
        <w:ind w:right="480" w:firstLine="416"/>
        <w:spacing w:after="0" w:line="270" w:lineRule="auto"/>
        <w:rPr>
          <w:sz w:val="20"/>
          <w:szCs w:val="20"/>
          <w:color w:val="auto"/>
        </w:rPr>
      </w:pPr>
      <w:r>
        <w:rPr>
          <w:rFonts w:ascii="Arial" w:cs="Arial" w:eastAsia="Arial" w:hAnsi="Arial"/>
          <w:sz w:val="17"/>
          <w:szCs w:val="17"/>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2012 (the “Report”). The undersigned hereby certifies, to the best of his knowledge, that:</w:t>
      </w:r>
    </w:p>
    <w:p>
      <w:pPr>
        <w:spacing w:after="0" w:line="69" w:lineRule="exact"/>
        <w:rPr>
          <w:sz w:val="20"/>
          <w:szCs w:val="20"/>
          <w:color w:val="auto"/>
        </w:rPr>
      </w:pPr>
    </w:p>
    <w:p>
      <w:pPr>
        <w:ind w:left="1260" w:hanging="866"/>
        <w:spacing w:after="0"/>
        <w:tabs>
          <w:tab w:leader="none" w:pos="12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6" w:lineRule="exact"/>
        <w:rPr>
          <w:rFonts w:ascii="Arial" w:cs="Arial" w:eastAsia="Arial" w:hAnsi="Arial"/>
          <w:sz w:val="17"/>
          <w:szCs w:val="17"/>
          <w:color w:val="auto"/>
        </w:rPr>
      </w:pPr>
    </w:p>
    <w:p>
      <w:pPr>
        <w:ind w:left="1260" w:hanging="866"/>
        <w:spacing w:after="0"/>
        <w:tabs>
          <w:tab w:leader="none" w:pos="12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8" w:lineRule="exact"/>
        <w:rPr>
          <w:sz w:val="20"/>
          <w:szCs w:val="20"/>
          <w:color w:val="auto"/>
        </w:rPr>
      </w:pPr>
    </w:p>
    <w:p>
      <w:pPr>
        <w:ind w:left="40"/>
        <w:spacing w:after="0"/>
        <w:tabs>
          <w:tab w:leader="none" w:pos="7920" w:val="left"/>
        </w:tabs>
        <w:rPr>
          <w:sz w:val="20"/>
          <w:szCs w:val="20"/>
          <w:color w:val="auto"/>
        </w:rPr>
      </w:pPr>
      <w:r>
        <w:rPr>
          <w:rFonts w:ascii="Arial" w:cs="Arial" w:eastAsia="Arial" w:hAnsi="Arial"/>
          <w:sz w:val="17"/>
          <w:szCs w:val="17"/>
          <w:color w:val="auto"/>
        </w:rPr>
        <w:t>February 12, 2013</w:t>
      </w:r>
      <w:r>
        <w:rPr>
          <w:sz w:val="20"/>
          <w:szCs w:val="20"/>
          <w:color w:val="auto"/>
        </w:rPr>
        <w:tab/>
      </w:r>
      <w:r>
        <w:rPr>
          <w:rFonts w:ascii="Arial" w:cs="Arial" w:eastAsia="Arial" w:hAnsi="Arial"/>
          <w:sz w:val="15"/>
          <w:szCs w:val="15"/>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32385</wp:posOffset>
            </wp:positionV>
            <wp:extent cx="3551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52"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Donald C. Wood,</w:t>
      </w:r>
    </w:p>
    <w:p>
      <w:pPr>
        <w:spacing w:after="0" w:line="65"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President, Chief Executive Officer and Trustee</w:t>
      </w:r>
    </w:p>
    <w:p>
      <w:pPr>
        <w:spacing w:after="0" w:line="65"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420"/>
          </w:cols>
          <w:pgMar w:left="240" w:top="563"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Exhibit 32.2</w:t>
      </w:r>
    </w:p>
    <w:p>
      <w:pPr>
        <w:spacing w:after="0" w:line="169"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CERTIFICATION</w:t>
      </w:r>
    </w:p>
    <w:p>
      <w:pPr>
        <w:spacing w:after="0" w:line="169"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PURSUANT TO 18 U.S.C. SECTION 1350 AS ADOPTED PURSUANT TO</w:t>
      </w:r>
    </w:p>
    <w:p>
      <w:pPr>
        <w:spacing w:after="0" w:line="3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6" w:lineRule="exact"/>
        <w:rPr>
          <w:sz w:val="20"/>
          <w:szCs w:val="20"/>
          <w:color w:val="auto"/>
        </w:rPr>
      </w:pPr>
    </w:p>
    <w:p>
      <w:pPr>
        <w:ind w:right="120" w:firstLine="416"/>
        <w:spacing w:after="0" w:line="295" w:lineRule="auto"/>
        <w:rPr>
          <w:sz w:val="20"/>
          <w:szCs w:val="20"/>
          <w:color w:val="auto"/>
        </w:rPr>
      </w:pPr>
      <w:r>
        <w:rPr>
          <w:rFonts w:ascii="Arial" w:cs="Arial" w:eastAsia="Arial" w:hAnsi="Arial"/>
          <w:sz w:val="16"/>
          <w:szCs w:val="16"/>
          <w:color w:val="auto"/>
        </w:rPr>
        <w:t>The undersigned, James M. Taylor, Jr., the Executive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2012 (the “Report”). The undersigned hereby certifies, to the best of his knowledge, that:</w:t>
      </w:r>
    </w:p>
    <w:p>
      <w:pPr>
        <w:spacing w:after="0" w:line="50" w:lineRule="exact"/>
        <w:rPr>
          <w:sz w:val="20"/>
          <w:szCs w:val="20"/>
          <w:color w:val="auto"/>
        </w:rPr>
      </w:pPr>
    </w:p>
    <w:p>
      <w:pPr>
        <w:ind w:left="1260" w:hanging="866"/>
        <w:spacing w:after="0"/>
        <w:tabs>
          <w:tab w:leader="none" w:pos="12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6" w:lineRule="exact"/>
        <w:rPr>
          <w:rFonts w:ascii="Arial" w:cs="Arial" w:eastAsia="Arial" w:hAnsi="Arial"/>
          <w:sz w:val="17"/>
          <w:szCs w:val="17"/>
          <w:color w:val="auto"/>
        </w:rPr>
      </w:pPr>
    </w:p>
    <w:p>
      <w:pPr>
        <w:ind w:left="1260" w:hanging="866"/>
        <w:spacing w:after="0"/>
        <w:tabs>
          <w:tab w:leader="none" w:pos="12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8" w:lineRule="exact"/>
        <w:rPr>
          <w:sz w:val="20"/>
          <w:szCs w:val="20"/>
          <w:color w:val="auto"/>
        </w:rPr>
      </w:pPr>
    </w:p>
    <w:p>
      <w:pPr>
        <w:ind w:left="40"/>
        <w:spacing w:after="0"/>
        <w:tabs>
          <w:tab w:leader="none" w:pos="7800" w:val="left"/>
        </w:tabs>
        <w:rPr>
          <w:sz w:val="20"/>
          <w:szCs w:val="20"/>
          <w:color w:val="auto"/>
        </w:rPr>
      </w:pPr>
      <w:r>
        <w:rPr>
          <w:rFonts w:ascii="Arial" w:cs="Arial" w:eastAsia="Arial" w:hAnsi="Arial"/>
          <w:sz w:val="17"/>
          <w:szCs w:val="17"/>
          <w:color w:val="auto"/>
        </w:rPr>
        <w:t>February 12, 2013</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32385</wp:posOffset>
            </wp:positionV>
            <wp:extent cx="3551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52" w:lineRule="exact"/>
        <w:rPr>
          <w:sz w:val="20"/>
          <w:szCs w:val="20"/>
          <w:color w:val="auto"/>
        </w:rPr>
      </w:pPr>
    </w:p>
    <w:p>
      <w:pPr>
        <w:ind w:left="7860"/>
        <w:spacing w:after="0"/>
        <w:rPr>
          <w:sz w:val="20"/>
          <w:szCs w:val="20"/>
          <w:color w:val="auto"/>
        </w:rPr>
      </w:pPr>
      <w:r>
        <w:rPr>
          <w:rFonts w:ascii="Arial" w:cs="Arial" w:eastAsia="Arial" w:hAnsi="Arial"/>
          <w:sz w:val="17"/>
          <w:szCs w:val="17"/>
          <w:b w:val="1"/>
          <w:bCs w:val="1"/>
          <w:color w:val="auto"/>
        </w:rPr>
        <w:t>James M. Taylor, Jr.,</w:t>
      </w:r>
    </w:p>
    <w:p>
      <w:pPr>
        <w:spacing w:after="0" w:line="65"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Executive Vice President -</w:t>
      </w:r>
    </w:p>
    <w:p>
      <w:pPr>
        <w:spacing w:after="0" w:line="31"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Chief Financial Officer and Treasurer</w:t>
      </w:r>
    </w:p>
    <w:p>
      <w:pPr>
        <w:spacing w:after="0" w:line="46" w:lineRule="exact"/>
        <w:rPr>
          <w:sz w:val="20"/>
          <w:szCs w:val="20"/>
          <w:color w:val="auto"/>
        </w:rPr>
      </w:pPr>
    </w:p>
    <w:p>
      <w:pPr>
        <w:jc w:val="center"/>
        <w:ind w:left="5840"/>
        <w:spacing w:after="0"/>
        <w:rPr>
          <w:sz w:val="20"/>
          <w:szCs w:val="20"/>
          <w:color w:val="auto"/>
        </w:rPr>
      </w:pPr>
      <w:r>
        <w:rPr>
          <w:rFonts w:ascii="Arial" w:cs="Arial" w:eastAsia="Arial" w:hAnsi="Arial"/>
          <w:sz w:val="17"/>
          <w:szCs w:val="17"/>
          <w:b w:val="1"/>
          <w:bCs w:val="1"/>
          <w:color w:val="auto"/>
        </w:rPr>
        <w:t>(Principal Financial and Accounting Officer)</w:t>
      </w:r>
    </w:p>
    <w:sectPr>
      <w:pgSz w:w="11900" w:h="16838" w:orient="portrait"/>
      <w:cols w:equalWidth="0" w:num="1">
        <w:col w:w="11420"/>
      </w:cols>
      <w:pgMar w:left="240" w:top="5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lvl w:ilvl="1">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1)"/>
      <w:numFmt w:val="decimal"/>
      <w:start w:val="1"/>
    </w:lvl>
  </w:abstractNum>
  <w:abstractNum w:abstractNumId="27">
    <w:nsid w:val="1DBABF00"/>
    <w:multiLevelType w:val="hybridMultilevel"/>
    <w:lvl w:ilvl="0">
      <w:lvlJc w:val="left"/>
      <w:lvlText w:val="(%1)"/>
      <w:numFmt w:val="decimal"/>
      <w:start w:val="3"/>
    </w:lvl>
  </w:abstractNum>
  <w:abstractNum w:abstractNumId="28">
    <w:nsid w:val="4AD084E9"/>
    <w:multiLevelType w:val="hybridMultilevel"/>
    <w:lvl w:ilvl="0">
      <w:lvlJc w:val="left"/>
      <w:lvlText w:val="(%1)"/>
      <w:numFmt w:val="decimal"/>
      <w:start w:val="1"/>
    </w:lvl>
  </w:abstractNum>
  <w:abstractNum w:abstractNumId="29">
    <w:nsid w:val="1F48EAA1"/>
    <w:multiLevelType w:val="hybridMultilevel"/>
    <w:lvl w:ilvl="0">
      <w:lvlJc w:val="left"/>
      <w:lvlText w:val="(%1)"/>
      <w:numFmt w:val="decimal"/>
      <w:start w:val="3"/>
    </w:lvl>
  </w:abstractNum>
  <w:abstractNum w:abstractNumId="30">
    <w:nsid w:val="1381823A"/>
    <w:multiLevelType w:val="hybridMultilevel"/>
    <w:lvl w:ilvl="0">
      <w:lvlJc w:val="left"/>
      <w:lvlText w:val="(%1)"/>
      <w:numFmt w:val="decimal"/>
      <w:start w:val="4"/>
    </w:lvl>
  </w:abstractNum>
  <w:abstractNum w:abstractNumId="31">
    <w:nsid w:val="5DB70AE5"/>
    <w:multiLevelType w:val="hybridMultilevel"/>
    <w:lvl w:ilvl="0">
      <w:lvlJc w:val="left"/>
      <w:lvlText w:val="(%1)"/>
      <w:numFmt w:val="decimal"/>
      <w:start w:val="5"/>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1)"/>
      <w:numFmt w:val="decimal"/>
      <w:start w:val="1"/>
    </w:lvl>
  </w:abstractNum>
  <w:abstractNum w:abstractNumId="49">
    <w:nsid w:val="11447B73"/>
    <w:multiLevelType w:val="hybridMultilevel"/>
    <w:lvl w:ilvl="0">
      <w:lvlJc w:val="left"/>
      <w:lvlText w:val="(%1)"/>
      <w:numFmt w:val="lowerLetter"/>
      <w:start w:val="1"/>
    </w:lvl>
    <w:lvl w:ilvl="1">
      <w:lvlJc w:val="left"/>
      <w:lvlText w:val="(%2)"/>
      <w:numFmt w:val="lowerLetter"/>
      <w:start w:val="2"/>
    </w:lvl>
  </w:abstractNum>
  <w:abstractNum w:abstractNumId="50">
    <w:nsid w:val="42963E5A"/>
    <w:multiLevelType w:val="hybridMultilevel"/>
    <w:lvl w:ilvl="0">
      <w:lvlJc w:val="left"/>
      <w:lvlText w:val="%1)"/>
      <w:numFmt w:val="decimal"/>
      <w:start w:val="1"/>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1)"/>
      <w:numFmt w:val="decimal"/>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1)"/>
      <w:numFmt w:val="lowerLetter"/>
      <w:start w:val="2"/>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1)"/>
      <w:numFmt w:val="decimal"/>
      <w:start w:val="1"/>
    </w:lvl>
  </w:abstractNum>
  <w:abstractNum w:abstractNumId="58">
    <w:nsid w:val="6A5EE64"/>
    <w:multiLevelType w:val="hybridMultilevel"/>
    <w:lvl w:ilvl="0">
      <w:lvlJc w:val="left"/>
      <w:lvlText w:val="%1."/>
      <w:numFmt w:val="decimal"/>
      <w:start w:val="1"/>
    </w:lvl>
  </w:abstractNum>
  <w:abstractNum w:abstractNumId="59">
    <w:nsid w:val="14330624"/>
    <w:multiLevelType w:val="hybridMultilevel"/>
    <w:lvl w:ilvl="0">
      <w:lvlJc w:val="left"/>
      <w:lvlText w:val="(%1)"/>
      <w:numFmt w:val="decimal"/>
      <w:start w:val="1"/>
    </w:lvl>
  </w:abstractNum>
  <w:abstractNum w:abstractNumId="60">
    <w:nsid w:val="7FFFCA11"/>
    <w:multiLevelType w:val="hybridMultilevel"/>
    <w:lvl w:ilvl="0">
      <w:lvlJc w:val="left"/>
      <w:lvlText w:val="(%1)"/>
      <w:numFmt w:val="decimal"/>
      <w:start w:val="1"/>
    </w:lvl>
  </w:abstractNum>
  <w:abstractNum w:abstractNumId="61">
    <w:nsid w:val="1A27709E"/>
    <w:multiLevelType w:val="hybridMultilevel"/>
    <w:lvl w:ilvl="0">
      <w:lvlJc w:val="left"/>
      <w:lvlText w:val="(%1)"/>
      <w:numFmt w:val="decimal"/>
      <w:start w:val="2"/>
    </w:lvl>
  </w:abstractNum>
  <w:abstractNum w:abstractNumId="62">
    <w:nsid w:val="71EA1109"/>
    <w:multiLevelType w:val="hybridMultilevel"/>
    <w:lvl w:ilvl="0">
      <w:lvlJc w:val="left"/>
      <w:lvlText w:val="(%1)"/>
      <w:numFmt w:val="decimal"/>
      <w:start w:val="1"/>
    </w:lvl>
  </w:abstractNum>
  <w:abstractNum w:abstractNumId="63">
    <w:nsid w:val="100F59DC"/>
    <w:multiLevelType w:val="hybridMultilevel"/>
    <w:lvl w:ilvl="0">
      <w:lvlJc w:val="left"/>
      <w:lvlText w:val="%1"/>
      <w:numFmt w:val="decimal"/>
      <w:start w:val="10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6">
    <w:nsid w:val="6F6DD9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7">
    <w:nsid w:val="94211F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8">
    <w:nsid w:val="885E1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9">
    <w:nsid w:val="7627211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lvl w:ilvl="3">
      <w:lvlJc w:val="left"/>
      <w:lvlText w:val="(%4)"/>
      <w:numFmt w:val="lowerRoman"/>
      <w:start w:val="1"/>
    </w:lvl>
  </w:abstractNum>
  <w:abstractNum w:abstractNumId="70">
    <w:nsid w:val="4C04A8AF"/>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71">
    <w:nsid w:val="1716703B"/>
    <w:multiLevelType w:val="hybridMultilevel"/>
    <w:lvl w:ilvl="0">
      <w:lvlJc w:val="left"/>
      <w:lvlText w:val="%1."/>
      <w:numFmt w:val="decimal"/>
      <w:start w:val="4"/>
    </w:lvl>
    <w:lvl w:ilvl="1">
      <w:lvlJc w:val="left"/>
      <w:lvlText w:val="%2."/>
      <w:numFmt w:val="decimal"/>
      <w:start w:val="6"/>
    </w:lvl>
  </w:abstractNum>
  <w:abstractNum w:abstractNumId="72">
    <w:nsid w:val="14E17E33"/>
    <w:multiLevelType w:val="hybridMultilevel"/>
    <w:lvl w:ilvl="0">
      <w:lvlJc w:val="left"/>
      <w:lvlText w:val="%1."/>
      <w:numFmt w:val="decimal"/>
      <w:start w:val="7"/>
    </w:lvl>
  </w:abstractNum>
  <w:abstractNum w:abstractNumId="73">
    <w:nsid w:val="3222E7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4">
    <w:nsid w:val="74DE0E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2"/>
    </w:lvl>
  </w:abstractNum>
  <w:abstractNum w:abstractNumId="75">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76">
    <w:nsid w:val="2DF6D64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77">
    <w:nsid w:val="46B7D44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8">
    <w:nsid w:val="4A2AC31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79">
    <w:nsid w:val="39EE015C"/>
    <w:multiLevelType w:val="hybridMultilevel"/>
    <w:lvl w:ilvl="0">
      <w:lvlJc w:val="left"/>
      <w:lvlText w:val="%1."/>
      <w:numFmt w:val="decimal"/>
      <w:start w:val="4"/>
    </w:lvl>
  </w:abstractNum>
  <w:abstractNum w:abstractNumId="80">
    <w:nsid w:val="57FC4FBB"/>
    <w:multiLevelType w:val="hybridMultilevel"/>
    <w:lvl w:ilvl="0">
      <w:lvlJc w:val="left"/>
      <w:lvlText w:val="%1."/>
      <w:numFmt w:val="decimal"/>
      <w:start w:val="5"/>
    </w:lvl>
    <w:lvl w:ilvl="1">
      <w:lvlJc w:val="left"/>
      <w:lvlText w:val="%2."/>
      <w:numFmt w:val="decimal"/>
      <w:start w:val="6"/>
    </w:lvl>
  </w:abstractNum>
  <w:abstractNum w:abstractNumId="81">
    <w:nsid w:val="CC1016F"/>
    <w:multiLevelType w:val="hybridMultilevel"/>
    <w:lvl w:ilvl="0">
      <w:lvlJc w:val="left"/>
      <w:lvlText w:val="%1."/>
      <w:numFmt w:val="decimal"/>
      <w:start w:val="7"/>
    </w:lvl>
  </w:abstractNum>
  <w:abstractNum w:abstractNumId="82">
    <w:nsid w:val="43F1842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3">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4">
    <w:nsid w:val="26F324B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5">
    <w:nsid w:val="7F01579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6">
    <w:nsid w:val="49DA307D"/>
    <w:multiLevelType w:val="hybridMultilevel"/>
    <w:lvl w:ilvl="0">
      <w:lvlJc w:val="left"/>
      <w:lvlText w:val="%1."/>
      <w:numFmt w:val="decimal"/>
      <w:start w:val="4"/>
    </w:lvl>
    <w:lvl w:ilvl="1">
      <w:lvlJc w:val="left"/>
      <w:lvlText w:val="(%2)"/>
      <w:numFmt w:val="lowerLetter"/>
      <w:start w:val="1"/>
    </w:lvl>
  </w:abstractNum>
  <w:abstractNum w:abstractNumId="87">
    <w:nsid w:val="7055A5F5"/>
    <w:multiLevelType w:val="hybridMultilevel"/>
    <w:lvl w:ilvl="0">
      <w:lvlJc w:val="left"/>
      <w:lvlText w:val="(%1)"/>
      <w:numFmt w:val="lowerLetter"/>
      <w:start w:val="2"/>
    </w:lvl>
  </w:abstractNum>
  <w:abstractNum w:abstractNumId="88">
    <w:nsid w:val="5FB8370B"/>
    <w:multiLevelType w:val="hybridMultilevel"/>
    <w:lvl w:ilvl="0">
      <w:lvlJc w:val="left"/>
      <w:lvlText w:val="(%1)"/>
      <w:numFmt w:val="lowerLetter"/>
      <w:start w:val="5"/>
    </w:lvl>
    <w:lvl w:ilvl="1">
      <w:lvlJc w:val="left"/>
      <w:lvlText w:val="(%2)"/>
      <w:numFmt w:val="lowerRoman"/>
      <w:start w:val="1"/>
    </w:lvl>
  </w:abstractNum>
  <w:abstractNum w:abstractNumId="89">
    <w:nsid w:val="50801EE1"/>
    <w:multiLevelType w:val="hybridMultilevel"/>
    <w:lvl w:ilvl="0">
      <w:lvlJc w:val="left"/>
      <w:lvlText w:val="%1."/>
      <w:numFmt w:val="decimal"/>
      <w:start w:val="5"/>
    </w:lvl>
    <w:lvl w:ilvl="1">
      <w:lvlJc w:val="left"/>
      <w:lvlText w:val="%2."/>
      <w:numFmt w:val="decimal"/>
      <w:start w:val="7"/>
    </w:lvl>
  </w:abstractNum>
  <w:abstractNum w:abstractNumId="90">
    <w:nsid w:val="488AC1A"/>
    <w:multiLevelType w:val="hybridMultilevel"/>
    <w:lvl w:ilvl="0">
      <w:lvlJc w:val="left"/>
      <w:lvlText w:val="%1."/>
      <w:numFmt w:val="decimal"/>
      <w:start w:val="8"/>
    </w:lvl>
  </w:abstractNum>
  <w:abstractNum w:abstractNumId="91">
    <w:nsid w:val="5FB8011C"/>
    <w:multiLevelType w:val="hybridMultilevel"/>
    <w:lvl w:ilvl="0">
      <w:lvlJc w:val="left"/>
      <w:lvlText w:val="%1."/>
      <w:numFmt w:val="decimal"/>
      <w:start w:val="10"/>
    </w:lvl>
  </w:abstractNum>
  <w:abstractNum w:abstractNumId="92">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93">
    <w:nsid w:val="7672B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94">
    <w:nsid w:val="6FC75AF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5">
    <w:nsid w:val="6A5F702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6">
    <w:nsid w:val="7D5E18F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7">
    <w:nsid w:val="5F3534A4"/>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98">
    <w:nsid w:val="73A1821B"/>
    <w:multiLevelType w:val="hybridMultilevel"/>
    <w:lvl w:ilvl="0">
      <w:lvlJc w:val="left"/>
      <w:lvlText w:val="%1."/>
      <w:numFmt w:val="decimal"/>
      <w:start w:val="5"/>
    </w:lvl>
    <w:lvl w:ilvl="1">
      <w:lvlJc w:val="left"/>
      <w:lvlText w:val="%2."/>
      <w:numFmt w:val="decimal"/>
      <w:start w:val="6"/>
    </w:lvl>
  </w:abstractNum>
  <w:abstractNum w:abstractNumId="99">
    <w:nsid w:val="7DE67713"/>
    <w:multiLevelType w:val="hybridMultilevel"/>
    <w:lvl w:ilvl="0">
      <w:lvlJc w:val="left"/>
      <w:lvlText w:val="%1."/>
      <w:numFmt w:val="decimal"/>
      <w:start w:val="7"/>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2019-12-05T10:05:12Z</dcterms:created>
  <dcterms:modified xsi:type="dcterms:W3CDTF">2019-12-05T10:05:12Z</dcterms:modified>
</cp:coreProperties>
</file>