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February 12, 2024</w:t>
      </w:r>
    </w:p>
    <w:p>
      <w:pPr>
        <w:spacing w:after="0" w:line="1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OP LP</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6" w:lineRule="exact"/>
        <w:rPr>
          <w:sz w:val="24"/>
          <w:szCs w:val="24"/>
          <w:color w:val="auto"/>
        </w:rPr>
      </w:pPr>
    </w:p>
    <w:tbl>
      <w:tblPr>
        <w:tblLayout w:type="fixed"/>
        <w:tblInd w:w="460" w:type="dxa"/>
        <w:tblCellMar>
          <w:top w:w="0" w:type="dxa"/>
          <w:left w:w="0" w:type="dxa"/>
          <w:bottom w:w="0" w:type="dxa"/>
          <w:right w:w="0" w:type="dxa"/>
        </w:tblCellMar>
      </w:tblPr>
      <w:tr>
        <w:trPr>
          <w:trHeight w:val="226"/>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Maryland (Federal Realty Investment Trust)</w:t>
            </w:r>
          </w:p>
        </w:tc>
        <w:tc>
          <w:tcPr>
            <w:tcW w:w="1700" w:type="dxa"/>
            <w:vAlign w:val="bottom"/>
          </w:tcPr>
          <w:p>
            <w:pPr>
              <w:jc w:val="right"/>
              <w:ind w:right="444"/>
              <w:spacing w:after="0"/>
              <w:rPr>
                <w:sz w:val="20"/>
                <w:szCs w:val="20"/>
                <w:color w:val="auto"/>
              </w:rPr>
            </w:pPr>
            <w:r>
              <w:rPr>
                <w:rFonts w:ascii="Times New Roman" w:cs="Times New Roman" w:eastAsia="Times New Roman" w:hAnsi="Times New Roman"/>
                <w:sz w:val="17"/>
                <w:szCs w:val="17"/>
                <w:b w:val="1"/>
                <w:bCs w:val="1"/>
                <w:color w:val="auto"/>
              </w:rPr>
              <w:t>1-07533</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87-3916363</w:t>
            </w:r>
          </w:p>
        </w:tc>
      </w:tr>
      <w:tr>
        <w:trPr>
          <w:trHeight w:val="229"/>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Delaware (Federal Realty OP LP)</w:t>
            </w:r>
          </w:p>
        </w:tc>
        <w:tc>
          <w:tcPr>
            <w:tcW w:w="1700" w:type="dxa"/>
            <w:vAlign w:val="bottom"/>
          </w:tcPr>
          <w:p>
            <w:pPr>
              <w:jc w:val="right"/>
              <w:ind w:right="184"/>
              <w:spacing w:after="0"/>
              <w:rPr>
                <w:sz w:val="20"/>
                <w:szCs w:val="20"/>
                <w:color w:val="auto"/>
              </w:rPr>
            </w:pPr>
            <w:r>
              <w:rPr>
                <w:rFonts w:ascii="Times New Roman" w:cs="Times New Roman" w:eastAsia="Times New Roman" w:hAnsi="Times New Roman"/>
                <w:sz w:val="17"/>
                <w:szCs w:val="17"/>
                <w:b w:val="1"/>
                <w:bCs w:val="1"/>
                <w:color w:val="auto"/>
              </w:rPr>
              <w:t>333-262016-01</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52-0782497</w:t>
            </w:r>
          </w:p>
        </w:tc>
      </w:tr>
      <w:tr>
        <w:trPr>
          <w:trHeight w:val="144"/>
        </w:trPr>
        <w:tc>
          <w:tcPr>
            <w:tcW w:w="4240" w:type="dxa"/>
            <w:vAlign w:val="bottom"/>
          </w:tcPr>
          <w:p>
            <w:pPr>
              <w:jc w:val="center"/>
              <w:ind w:right="884"/>
              <w:spacing w:after="0" w:line="144"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1700" w:type="dxa"/>
            <w:vAlign w:val="bottom"/>
          </w:tcPr>
          <w:p>
            <w:pPr>
              <w:ind w:left="560"/>
              <w:spacing w:after="0" w:line="144"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1340" w:type="dxa"/>
            <w:vAlign w:val="bottom"/>
          </w:tcPr>
          <w:p>
            <w:pPr>
              <w:spacing w:after="0"/>
              <w:rPr>
                <w:sz w:val="12"/>
                <w:szCs w:val="12"/>
                <w:color w:val="auto"/>
              </w:rPr>
            </w:pPr>
          </w:p>
        </w:tc>
        <w:tc>
          <w:tcPr>
            <w:tcW w:w="1900" w:type="dxa"/>
            <w:vAlign w:val="bottom"/>
          </w:tcPr>
          <w:p>
            <w:pPr>
              <w:jc w:val="center"/>
              <w:ind w:left="844"/>
              <w:spacing w:after="0" w:line="144"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4240" w:type="dxa"/>
            <w:vAlign w:val="bottom"/>
          </w:tcPr>
          <w:p>
            <w:pPr>
              <w:jc w:val="center"/>
              <w:ind w:right="884"/>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170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340" w:type="dxa"/>
            <w:vAlign w:val="bottom"/>
          </w:tcPr>
          <w:p>
            <w:pPr>
              <w:spacing w:after="0"/>
              <w:rPr>
                <w:sz w:val="14"/>
                <w:szCs w:val="14"/>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442"/>
        </w:trPr>
        <w:tc>
          <w:tcPr>
            <w:tcW w:w="4240" w:type="dxa"/>
            <w:vAlign w:val="bottom"/>
          </w:tcPr>
          <w:p>
            <w:pPr>
              <w:ind w:left="2140"/>
              <w:spacing w:after="0"/>
              <w:rPr>
                <w:sz w:val="20"/>
                <w:szCs w:val="20"/>
                <w:color w:val="auto"/>
              </w:rPr>
            </w:pPr>
            <w:r>
              <w:rPr>
                <w:rFonts w:ascii="Times New Roman" w:cs="Times New Roman" w:eastAsia="Times New Roman" w:hAnsi="Times New Roman"/>
                <w:sz w:val="16"/>
                <w:szCs w:val="16"/>
                <w:b w:val="1"/>
                <w:bCs w:val="1"/>
                <w:color w:val="auto"/>
              </w:rPr>
              <w:t>909 Rose Avenue, Suite 200</w:t>
            </w:r>
          </w:p>
        </w:tc>
        <w:tc>
          <w:tcPr>
            <w:tcW w:w="17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North Bethesda,</w:t>
            </w:r>
          </w:p>
        </w:tc>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1900" w:type="dxa"/>
            <w:vAlign w:val="bottom"/>
          </w:tcPr>
          <w:p>
            <w:pPr>
              <w:jc w:val="right"/>
              <w:ind w:right="724"/>
              <w:spacing w:after="0"/>
              <w:rPr>
                <w:sz w:val="20"/>
                <w:szCs w:val="20"/>
                <w:color w:val="auto"/>
              </w:rPr>
            </w:pPr>
            <w:r>
              <w:rPr>
                <w:rFonts w:ascii="Times New Roman" w:cs="Times New Roman" w:eastAsia="Times New Roman" w:hAnsi="Times New Roman"/>
                <w:sz w:val="16"/>
                <w:szCs w:val="16"/>
                <w:b w:val="1"/>
                <w:bCs w:val="1"/>
                <w:color w:val="auto"/>
              </w:rPr>
              <w:t>20852</w:t>
            </w:r>
          </w:p>
        </w:tc>
      </w:tr>
      <w:tr>
        <w:trPr>
          <w:trHeight w:val="216"/>
        </w:trPr>
        <w:tc>
          <w:tcPr>
            <w:tcW w:w="5940" w:type="dxa"/>
            <w:vAlign w:val="bottom"/>
            <w:gridSpan w:val="2"/>
          </w:tcPr>
          <w:p>
            <w:pPr>
              <w:ind w:left="31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340" w:type="dxa"/>
            <w:vAlign w:val="bottom"/>
          </w:tcPr>
          <w:p>
            <w:pPr>
              <w:spacing w:after="0"/>
              <w:rPr>
                <w:sz w:val="18"/>
                <w:szCs w:val="18"/>
                <w:color w:val="auto"/>
              </w:rPr>
            </w:pPr>
          </w:p>
        </w:tc>
        <w:tc>
          <w:tcPr>
            <w:tcW w:w="190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1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301/998-8100</w:t>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36"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30"/>
        </w:trPr>
        <w:tc>
          <w:tcPr>
            <w:tcW w:w="44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Common Shares of Beneficial Interest</w:t>
            </w:r>
          </w:p>
        </w:tc>
        <w:tc>
          <w:tcPr>
            <w:tcW w:w="580" w:type="dxa"/>
            <w:vAlign w:val="bottom"/>
          </w:tcPr>
          <w:p>
            <w:pPr>
              <w:spacing w:after="0"/>
              <w:rPr>
                <w:sz w:val="20"/>
                <w:szCs w:val="20"/>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5"/>
              </w:rPr>
              <w:t>FRT</w:t>
            </w:r>
          </w:p>
        </w:tc>
        <w:tc>
          <w:tcPr>
            <w:tcW w:w="28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4480" w:type="dxa"/>
            <w:vAlign w:val="bottom"/>
            <w:gridSpan w:val="3"/>
          </w:tcPr>
          <w:p>
            <w:pPr>
              <w:jc w:val="center"/>
              <w:ind w:left="99"/>
              <w:spacing w:after="0" w:line="168" w:lineRule="exact"/>
              <w:rPr>
                <w:sz w:val="20"/>
                <w:szCs w:val="20"/>
                <w:color w:val="auto"/>
              </w:rPr>
            </w:pPr>
            <w:r>
              <w:rPr>
                <w:rFonts w:ascii="Times New Roman" w:cs="Times New Roman" w:eastAsia="Times New Roman" w:hAnsi="Times New Roman"/>
                <w:sz w:val="16"/>
                <w:szCs w:val="16"/>
                <w:color w:val="auto"/>
              </w:rPr>
              <w:t>$.01 par value per share, with associated Common Share Purchase</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28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rPr>
              <w:t>Rights</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44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Depositary Shares, each representing 1/1000 of a share</w:t>
            </w:r>
          </w:p>
        </w:tc>
        <w:tc>
          <w:tcPr>
            <w:tcW w:w="580" w:type="dxa"/>
            <w:vAlign w:val="bottom"/>
          </w:tcPr>
          <w:p>
            <w:pPr>
              <w:spacing w:after="0"/>
              <w:rPr>
                <w:sz w:val="24"/>
                <w:szCs w:val="24"/>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6"/>
              </w:rPr>
              <w:t>FRT-C</w:t>
            </w:r>
          </w:p>
        </w:tc>
        <w:tc>
          <w:tcPr>
            <w:tcW w:w="28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7020" w:type="dxa"/>
            <w:vAlign w:val="bottom"/>
            <w:gridSpan w:val="6"/>
          </w:tcPr>
          <w:p>
            <w:pPr>
              <w:jc w:val="center"/>
              <w:ind w:right="2380"/>
              <w:spacing w:after="0" w:line="168" w:lineRule="exact"/>
              <w:rPr>
                <w:sz w:val="20"/>
                <w:szCs w:val="20"/>
                <w:color w:val="auto"/>
              </w:rPr>
            </w:pPr>
            <w:r>
              <w:rPr>
                <w:rFonts w:ascii="Times New Roman" w:cs="Times New Roman" w:eastAsia="Times New Roman" w:hAnsi="Times New Roman"/>
                <w:sz w:val="16"/>
                <w:szCs w:val="16"/>
                <w:color w:val="auto"/>
              </w:rPr>
              <w:t>of 5.00% Series C Cumulative Redeemable Preferred Stock, $.01 par</w:t>
            </w: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28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rPr>
              <w:t>value per share</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10"/>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Federal Realty OP LP</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0"/>
        </w:trPr>
        <w:tc>
          <w:tcPr>
            <w:tcW w:w="168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r>
    </w:tbl>
    <w:p>
      <w:pPr>
        <w:spacing w:after="0" w:line="208" w:lineRule="exact"/>
        <w:rPr>
          <w:sz w:val="24"/>
          <w:szCs w:val="24"/>
          <w:color w:val="auto"/>
        </w:rPr>
      </w:pPr>
    </w:p>
    <w:p>
      <w:pPr>
        <w:ind w:left="20" w:right="600"/>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ind w:left="20"/>
        <w:spacing w:after="0" w:line="184" w:lineRule="exact"/>
        <w:tabs>
          <w:tab w:leader="none" w:pos="3940" w:val="left"/>
        </w:tabs>
        <w:rPr>
          <w:sz w:val="20"/>
          <w:szCs w:val="20"/>
          <w:color w:val="auto"/>
        </w:rPr>
      </w:pPr>
      <w:r>
        <w:rPr>
          <w:rFonts w:ascii="Times New Roman" w:cs="Times New Roman" w:eastAsia="Times New Roman" w:hAnsi="Times New Roman"/>
          <w:sz w:val="16"/>
          <w:szCs w:val="16"/>
          <w:color w:val="auto"/>
        </w:rPr>
        <w:t xml:space="preserve">Federal Realty Investment Trust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Federal Realty OP LP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59" w:lineRule="exact"/>
        <w:rPr>
          <w:sz w:val="24"/>
          <w:szCs w:val="24"/>
          <w:color w:val="auto"/>
        </w:rPr>
      </w:pPr>
    </w:p>
    <w:p>
      <w:pPr>
        <w:ind w:left="20" w:right="100"/>
        <w:spacing w:after="0" w:line="242" w:lineRule="auto"/>
        <w:rPr>
          <w:sz w:val="20"/>
          <w:szCs w:val="20"/>
          <w:color w:val="auto"/>
        </w:rPr>
      </w:pPr>
      <w:r>
        <w:rPr>
          <w:rFonts w:ascii="Times New Roman" w:cs="Times New Roman" w:eastAsia="Times New Roman" w:hAnsi="Times New Roman"/>
          <w:sz w:val="16"/>
          <w:szCs w:val="16"/>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20"/>
        <w:spacing w:after="0" w:line="184" w:lineRule="exact"/>
        <w:tabs>
          <w:tab w:leader="none" w:pos="3940" w:val="left"/>
        </w:tabs>
        <w:rPr>
          <w:sz w:val="20"/>
          <w:szCs w:val="20"/>
          <w:color w:val="auto"/>
        </w:rPr>
      </w:pPr>
      <w:r>
        <w:rPr>
          <w:rFonts w:ascii="Times New Roman" w:cs="Times New Roman" w:eastAsia="Times New Roman" w:hAnsi="Times New Roman"/>
          <w:sz w:val="16"/>
          <w:szCs w:val="16"/>
          <w:color w:val="auto"/>
        </w:rPr>
        <w:t xml:space="preserve">Federal Realty Investment Trust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Federal Realty OP LP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3"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51" w:lineRule="exact"/>
        <w:rPr>
          <w:sz w:val="20"/>
          <w:szCs w:val="20"/>
          <w:color w:val="auto"/>
        </w:rPr>
      </w:pPr>
    </w:p>
    <w:p>
      <w:pPr>
        <w:ind w:firstLine="180"/>
        <w:spacing w:after="0" w:line="268" w:lineRule="auto"/>
        <w:rPr>
          <w:sz w:val="20"/>
          <w:szCs w:val="20"/>
          <w:color w:val="auto"/>
        </w:rPr>
      </w:pPr>
      <w:r>
        <w:rPr>
          <w:rFonts w:ascii="Times New Roman" w:cs="Times New Roman" w:eastAsia="Times New Roman" w:hAnsi="Times New Roman"/>
          <w:sz w:val="21"/>
          <w:szCs w:val="21"/>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91" w:lineRule="exact"/>
        <w:rPr>
          <w:sz w:val="20"/>
          <w:szCs w:val="20"/>
          <w:color w:val="auto"/>
        </w:rPr>
      </w:pPr>
    </w:p>
    <w:p>
      <w:pPr>
        <w:ind w:right="60" w:firstLine="180"/>
        <w:spacing w:after="0" w:line="263" w:lineRule="auto"/>
        <w:rPr>
          <w:sz w:val="20"/>
          <w:szCs w:val="20"/>
          <w:color w:val="auto"/>
        </w:rPr>
      </w:pPr>
      <w:r>
        <w:rPr>
          <w:rFonts w:ascii="Times New Roman" w:cs="Times New Roman" w:eastAsia="Times New Roman" w:hAnsi="Times New Roman"/>
          <w:sz w:val="22"/>
          <w:szCs w:val="22"/>
          <w:color w:val="auto"/>
        </w:rPr>
        <w:t>On February 12, 2024, Federal Realty Investment Trust issued supplemental data pertaining to its operations, as well as a press release, to report its financial results for the quarter ended December 31, 2023. The supplemental data and press release are furnished as Exhibit 99.1 hereto.</w:t>
      </w:r>
    </w:p>
    <w:p>
      <w:pPr>
        <w:spacing w:after="0" w:line="19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51" w:lineRule="exact"/>
        <w:rPr>
          <w:sz w:val="20"/>
          <w:szCs w:val="20"/>
          <w:color w:val="auto"/>
        </w:rPr>
      </w:pPr>
    </w:p>
    <w:p>
      <w:pPr>
        <w:ind w:left="180"/>
        <w:spacing w:after="0"/>
        <w:tabs>
          <w:tab w:leader="none" w:pos="5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Exhibits</w:t>
      </w:r>
    </w:p>
    <w:p>
      <w:pPr>
        <w:spacing w:after="0" w:line="247" w:lineRule="exact"/>
        <w:rPr>
          <w:sz w:val="20"/>
          <w:szCs w:val="20"/>
          <w:color w:val="auto"/>
        </w:rPr>
      </w:pPr>
    </w:p>
    <w:p>
      <w:pPr>
        <w:ind w:left="180"/>
        <w:spacing w:after="0"/>
        <w:tabs>
          <w:tab w:leader="none" w:pos="72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1"/>
          <w:szCs w:val="21"/>
          <w:color w:val="auto"/>
        </w:rPr>
        <w:t>Supplemental information at December 31, 2023 (including press release dated February 12,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94" w:lineRule="exact"/>
        <w:rPr>
          <w:sz w:val="20"/>
          <w:szCs w:val="20"/>
          <w:color w:val="auto"/>
        </w:rPr>
      </w:pPr>
    </w:p>
    <w:p>
      <w:pPr>
        <w:ind w:right="200" w:firstLine="180"/>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registrants have duly caused this report to be signed on their behalf by the undersigned hereunto duly authorized.</w:t>
      </w:r>
    </w:p>
    <w:p>
      <w:pPr>
        <w:spacing w:after="0" w:line="19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FEDERAL REALTY INVESTMENT TRUST</w:t>
      </w:r>
    </w:p>
    <w:p>
      <w:pPr>
        <w:spacing w:after="0" w:line="3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FEDERAL REALTY OP LP</w:t>
      </w:r>
    </w:p>
    <w:p>
      <w:pPr>
        <w:spacing w:after="0" w:line="275" w:lineRule="exact"/>
        <w:rPr>
          <w:sz w:val="20"/>
          <w:szCs w:val="20"/>
          <w:color w:val="auto"/>
        </w:rPr>
      </w:pPr>
    </w:p>
    <w:p>
      <w:pPr>
        <w:ind w:left="40"/>
        <w:spacing w:after="0"/>
        <w:tabs>
          <w:tab w:leader="none" w:pos="1440" w:val="left"/>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February 12, 2024</w:t>
      </w:r>
      <w:r>
        <w:rPr>
          <w:sz w:val="20"/>
          <w:szCs w:val="20"/>
          <w:color w:val="auto"/>
        </w:rPr>
        <w:tab/>
      </w:r>
      <w:r>
        <w:rPr>
          <w:rFonts w:ascii="Times New Roman" w:cs="Times New Roman" w:eastAsia="Times New Roman" w:hAnsi="Times New Roman"/>
          <w:sz w:val="21"/>
          <w:szCs w:val="21"/>
          <w:u w:val="single" w:color="auto"/>
          <w:color w:val="auto"/>
        </w:rPr>
        <w:t>/s/ Daniel Guglielmone</w:t>
      </w:r>
    </w:p>
    <w:p>
      <w:pPr>
        <w:spacing w:after="0" w:line="28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Daniel Guglielmone</w:t>
      </w:r>
    </w:p>
    <w:p>
      <w:pPr>
        <w:spacing w:after="0" w:line="2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Executive Vice President-</w:t>
      </w:r>
    </w:p>
    <w:p>
      <w:pPr>
        <w:spacing w:after="0" w:line="1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2"/>
        </w:trPr>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80" w:type="dxa"/>
            <w:vAlign w:val="bottom"/>
          </w:tcPr>
          <w:p>
            <w:pPr>
              <w:ind w:left="2980"/>
              <w:spacing w:after="0"/>
              <w:rPr>
                <w:sz w:val="20"/>
                <w:szCs w:val="20"/>
                <w:color w:val="auto"/>
              </w:rPr>
            </w:pPr>
            <w:r>
              <w:rPr>
                <w:rFonts w:ascii="Times New Roman" w:cs="Times New Roman" w:eastAsia="Times New Roman" w:hAnsi="Times New Roman"/>
                <w:sz w:val="22"/>
                <w:szCs w:val="22"/>
                <w:color w:val="auto"/>
              </w:rPr>
              <w:t>EXHIBIT INDEX</w:t>
            </w:r>
          </w:p>
        </w:tc>
      </w:tr>
      <w:tr>
        <w:trPr>
          <w:trHeight w:val="555"/>
        </w:trPr>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70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5"/>
                <w:szCs w:val="15"/>
                <w:color w:val="auto"/>
              </w:rPr>
            </w:pPr>
          </w:p>
        </w:tc>
        <w:tc>
          <w:tcPr>
            <w:tcW w:w="93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Supplemental Information at December 31, 2023</w:t>
            </w:r>
          </w:p>
        </w:tc>
      </w:tr>
      <w:tr>
        <w:trPr>
          <w:trHeight w:val="304"/>
        </w:trPr>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(the Cover Page Interactive Data File is embedded within the Inline XBRL document)</w:t>
            </w:r>
          </w:p>
        </w:tc>
      </w:tr>
    </w:tbl>
    <w:p>
      <w:pPr>
        <w:sectPr>
          <w:pgSz w:w="11900" w:h="16838" w:orient="portrait"/>
          <w:cols w:equalWidth="0" w:num="1">
            <w:col w:w="11180"/>
          </w:cols>
          <w:pgMar w:left="360" w:top="895" w:right="3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SUPPLEMENTAL INFORMATION</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1</w:t>
            </w:r>
          </w:p>
        </w:tc>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Fourth Quarter 2023 Earnings Press Release</w:t>
            </w:r>
          </w:p>
        </w:tc>
        <w:tc>
          <w:tcPr>
            <w:tcW w:w="1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16"/>
        </w:trPr>
        <w:tc>
          <w:tcPr>
            <w:tcW w:w="460" w:type="dxa"/>
            <w:vAlign w:val="bottom"/>
            <w:tcBorders>
              <w:top w:val="single" w:sz="8" w:color="CCEEFF"/>
            </w:tcBorders>
          </w:tcPr>
          <w:p>
            <w:pPr>
              <w:spacing w:after="0"/>
              <w:rPr>
                <w:sz w:val="18"/>
                <w:szCs w:val="18"/>
                <w:color w:val="auto"/>
              </w:rPr>
            </w:pPr>
          </w:p>
        </w:tc>
        <w:tc>
          <w:tcPr>
            <w:tcW w:w="69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29"/>
        </w:trPr>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2</w:t>
            </w:r>
          </w:p>
        </w:tc>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Financial Highlights</w:t>
            </w: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460" w:type="dxa"/>
            <w:vAlign w:val="bottom"/>
          </w:tcPr>
          <w:p>
            <w:pPr>
              <w:spacing w:after="0"/>
              <w:rPr>
                <w:sz w:val="16"/>
                <w:szCs w:val="16"/>
                <w:color w:val="auto"/>
              </w:rPr>
            </w:pPr>
          </w:p>
        </w:tc>
        <w:tc>
          <w:tcPr>
            <w:tcW w:w="6980" w:type="dxa"/>
            <w:vAlign w:val="bottom"/>
          </w:tcPr>
          <w:p>
            <w:pPr>
              <w:ind w:left="1140"/>
              <w:spacing w:after="0" w:line="189" w:lineRule="exact"/>
              <w:rPr>
                <w:sz w:val="20"/>
                <w:szCs w:val="20"/>
                <w:color w:val="auto"/>
              </w:rPr>
            </w:pPr>
            <w:r>
              <w:rPr>
                <w:rFonts w:ascii="Times New Roman" w:cs="Times New Roman" w:eastAsia="Times New Roman" w:hAnsi="Times New Roman"/>
                <w:sz w:val="18"/>
                <w:szCs w:val="18"/>
                <w:color w:val="auto"/>
              </w:rPr>
              <w:t>Consolidated Income Statements</w:t>
            </w:r>
          </w:p>
        </w:tc>
        <w:tc>
          <w:tcPr>
            <w:tcW w:w="18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60" w:type="dxa"/>
            <w:vAlign w:val="bottom"/>
            <w:tcBorders>
              <w:bottom w:val="single" w:sz="8" w:color="CCEEFF"/>
            </w:tcBorders>
            <w:shd w:val="clear" w:color="auto" w:fill="CCEEFF"/>
          </w:tcPr>
          <w:p>
            <w:pPr>
              <w:spacing w:after="0"/>
              <w:rPr>
                <w:sz w:val="18"/>
                <w:szCs w:val="18"/>
                <w:color w:val="auto"/>
              </w:rPr>
            </w:pPr>
          </w:p>
        </w:tc>
        <w:tc>
          <w:tcPr>
            <w:tcW w:w="6980" w:type="dxa"/>
            <w:vAlign w:val="bottom"/>
            <w:tcBorders>
              <w:bottom w:val="single" w:sz="8" w:color="CCEEFF"/>
            </w:tcBorders>
            <w:shd w:val="clear" w:color="auto" w:fill="CCEEFF"/>
          </w:tcPr>
          <w:p>
            <w:pPr>
              <w:ind w:left="1140"/>
              <w:spacing w:after="0" w:line="189" w:lineRule="exact"/>
              <w:rPr>
                <w:sz w:val="20"/>
                <w:szCs w:val="20"/>
                <w:color w:val="auto"/>
              </w:rPr>
            </w:pPr>
            <w:r>
              <w:rPr>
                <w:rFonts w:ascii="Times New Roman" w:cs="Times New Roman" w:eastAsia="Times New Roman" w:hAnsi="Times New Roman"/>
                <w:sz w:val="18"/>
                <w:szCs w:val="18"/>
                <w:color w:val="auto"/>
              </w:rPr>
              <w:t>Consolidated Balance Sheets</w:t>
            </w:r>
          </w:p>
        </w:tc>
        <w:tc>
          <w:tcPr>
            <w:tcW w:w="17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460" w:type="dxa"/>
            <w:vAlign w:val="bottom"/>
          </w:tcPr>
          <w:p>
            <w:pPr>
              <w:spacing w:after="0"/>
              <w:rPr>
                <w:sz w:val="16"/>
                <w:szCs w:val="16"/>
                <w:color w:val="auto"/>
              </w:rPr>
            </w:pPr>
          </w:p>
        </w:tc>
        <w:tc>
          <w:tcPr>
            <w:tcW w:w="6980" w:type="dxa"/>
            <w:vAlign w:val="bottom"/>
          </w:tcPr>
          <w:p>
            <w:pPr>
              <w:ind w:left="1140"/>
              <w:spacing w:after="0" w:line="189" w:lineRule="exact"/>
              <w:rPr>
                <w:sz w:val="20"/>
                <w:szCs w:val="20"/>
                <w:color w:val="auto"/>
              </w:rPr>
            </w:pPr>
            <w:r>
              <w:rPr>
                <w:rFonts w:ascii="Times New Roman" w:cs="Times New Roman" w:eastAsia="Times New Roman" w:hAnsi="Times New Roman"/>
                <w:sz w:val="18"/>
                <w:szCs w:val="18"/>
                <w:color w:val="auto"/>
              </w:rPr>
              <w:t>Funds From Operations / Other Supplemental Information</w:t>
            </w:r>
          </w:p>
        </w:tc>
        <w:tc>
          <w:tcPr>
            <w:tcW w:w="18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60" w:type="dxa"/>
            <w:vAlign w:val="bottom"/>
            <w:tcBorders>
              <w:bottom w:val="single" w:sz="8" w:color="CCEEFF"/>
            </w:tcBorders>
            <w:shd w:val="clear" w:color="auto" w:fill="CCEEFF"/>
          </w:tcPr>
          <w:p>
            <w:pPr>
              <w:spacing w:after="0"/>
              <w:rPr>
                <w:sz w:val="18"/>
                <w:szCs w:val="18"/>
                <w:color w:val="auto"/>
              </w:rPr>
            </w:pPr>
          </w:p>
        </w:tc>
        <w:tc>
          <w:tcPr>
            <w:tcW w:w="6980" w:type="dxa"/>
            <w:vAlign w:val="bottom"/>
            <w:tcBorders>
              <w:bottom w:val="single" w:sz="8" w:color="CCEEFF"/>
            </w:tcBorders>
            <w:shd w:val="clear" w:color="auto" w:fill="CCEEFF"/>
          </w:tcPr>
          <w:p>
            <w:pPr>
              <w:ind w:left="1140"/>
              <w:spacing w:after="0" w:line="189" w:lineRule="exact"/>
              <w:rPr>
                <w:sz w:val="20"/>
                <w:szCs w:val="20"/>
                <w:color w:val="auto"/>
              </w:rPr>
            </w:pPr>
            <w:r>
              <w:rPr>
                <w:rFonts w:ascii="Times New Roman" w:cs="Times New Roman" w:eastAsia="Times New Roman" w:hAnsi="Times New Roman"/>
                <w:sz w:val="18"/>
                <w:szCs w:val="18"/>
                <w:color w:val="auto"/>
              </w:rPr>
              <w:t>Components of Rental Income</w:t>
            </w:r>
          </w:p>
        </w:tc>
        <w:tc>
          <w:tcPr>
            <w:tcW w:w="1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460" w:type="dxa"/>
            <w:vAlign w:val="bottom"/>
          </w:tcPr>
          <w:p>
            <w:pPr>
              <w:spacing w:after="0"/>
              <w:rPr>
                <w:sz w:val="16"/>
                <w:szCs w:val="16"/>
                <w:color w:val="auto"/>
              </w:rPr>
            </w:pPr>
          </w:p>
        </w:tc>
        <w:tc>
          <w:tcPr>
            <w:tcW w:w="6980" w:type="dxa"/>
            <w:vAlign w:val="bottom"/>
          </w:tcPr>
          <w:p>
            <w:pPr>
              <w:ind w:left="1140"/>
              <w:spacing w:after="0" w:line="189" w:lineRule="exact"/>
              <w:rPr>
                <w:sz w:val="20"/>
                <w:szCs w:val="20"/>
                <w:color w:val="auto"/>
              </w:rPr>
            </w:pPr>
            <w:r>
              <w:rPr>
                <w:rFonts w:ascii="Times New Roman" w:cs="Times New Roman" w:eastAsia="Times New Roman" w:hAnsi="Times New Roman"/>
                <w:sz w:val="18"/>
                <w:szCs w:val="18"/>
                <w:color w:val="auto"/>
              </w:rPr>
              <w:t>Comparable Property Information</w:t>
            </w:r>
          </w:p>
        </w:tc>
        <w:tc>
          <w:tcPr>
            <w:tcW w:w="18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60" w:type="dxa"/>
            <w:vAlign w:val="bottom"/>
            <w:shd w:val="clear" w:color="auto" w:fill="CCEEFF"/>
          </w:tcPr>
          <w:p>
            <w:pPr>
              <w:spacing w:after="0"/>
              <w:rPr>
                <w:sz w:val="16"/>
                <w:szCs w:val="16"/>
                <w:color w:val="auto"/>
              </w:rPr>
            </w:pPr>
          </w:p>
        </w:tc>
        <w:tc>
          <w:tcPr>
            <w:tcW w:w="6980" w:type="dxa"/>
            <w:vAlign w:val="bottom"/>
            <w:shd w:val="clear" w:color="auto" w:fill="CCEEFF"/>
          </w:tcPr>
          <w:p>
            <w:pPr>
              <w:ind w:left="1140"/>
              <w:spacing w:after="0" w:line="189" w:lineRule="exact"/>
              <w:rPr>
                <w:sz w:val="20"/>
                <w:szCs w:val="20"/>
                <w:color w:val="auto"/>
              </w:rPr>
            </w:pPr>
            <w:r>
              <w:rPr>
                <w:rFonts w:ascii="Times New Roman" w:cs="Times New Roman" w:eastAsia="Times New Roman" w:hAnsi="Times New Roman"/>
                <w:sz w:val="18"/>
                <w:szCs w:val="18"/>
                <w:color w:val="auto"/>
              </w:rPr>
              <w:t>Market Data and Leverage and Liquidity Ratios</w:t>
            </w:r>
          </w:p>
        </w:tc>
        <w:tc>
          <w:tcPr>
            <w:tcW w:w="18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shd w:val="clear" w:color="auto" w:fill="CCEEFF"/>
          </w:tcPr>
          <w:p>
            <w:pPr>
              <w:spacing w:after="0"/>
              <w:rPr>
                <w:sz w:val="16"/>
                <w:szCs w:val="16"/>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69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11" w:lineRule="exact"/>
        <w:rPr>
          <w:sz w:val="20"/>
          <w:szCs w:val="20"/>
          <w:color w:val="auto"/>
        </w:rPr>
      </w:pPr>
    </w:p>
    <w:p>
      <w:pPr>
        <w:ind w:left="800" w:hanging="789"/>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5906135" cy="145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6135"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65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Summary of Outstanding Debt</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7"/>
                <w:szCs w:val="17"/>
                <w:color w:val="auto"/>
              </w:rPr>
            </w:pPr>
          </w:p>
        </w:tc>
      </w:tr>
      <w:tr>
        <w:trPr>
          <w:trHeight w:val="21"/>
        </w:trPr>
        <w:tc>
          <w:tcPr>
            <w:tcW w:w="5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00" w:type="dxa"/>
            <w:vAlign w:val="bottom"/>
            <w:shd w:val="clear" w:color="auto" w:fill="CCEEFF"/>
          </w:tcPr>
          <w:p>
            <w:pPr>
              <w:spacing w:after="0"/>
              <w:rPr>
                <w:sz w:val="18"/>
                <w:szCs w:val="18"/>
                <w:color w:val="auto"/>
              </w:rPr>
            </w:pPr>
          </w:p>
        </w:tc>
        <w:tc>
          <w:tcPr>
            <w:tcW w:w="6560" w:type="dxa"/>
            <w:vAlign w:val="bottom"/>
            <w:shd w:val="clear" w:color="auto" w:fill="CCEEFF"/>
          </w:tcPr>
          <w:p>
            <w:pPr>
              <w:ind w:left="1100"/>
              <w:spacing w:after="0" w:line="189" w:lineRule="exact"/>
              <w:rPr>
                <w:sz w:val="20"/>
                <w:szCs w:val="20"/>
                <w:color w:val="auto"/>
              </w:rPr>
            </w:pPr>
            <w:r>
              <w:rPr>
                <w:rFonts w:ascii="Times New Roman" w:cs="Times New Roman" w:eastAsia="Times New Roman" w:hAnsi="Times New Roman"/>
                <w:sz w:val="18"/>
                <w:szCs w:val="18"/>
                <w:color w:val="auto"/>
              </w:rPr>
              <w:t>Summary of Debt Maturities</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Summary of Redevelopment and Expansion Opportunities</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5</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Future Redevelopment and Expansion Opportunities</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17</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6</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Property Acquisition, Dispositions, &amp; Other Transactions</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Real Estate Status Report</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19</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8</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Retail Leasing Summary</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9</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Lease Expirations</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Portfolio Leased Statistics</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Summary of Top 25 Tenants</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Reconciliation of FFO Guidance</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28</w:t>
            </w:r>
          </w:p>
        </w:tc>
        <w:tc>
          <w:tcPr>
            <w:tcW w:w="20" w:type="dxa"/>
            <w:vAlign w:val="bottom"/>
            <w:shd w:val="clear" w:color="auto" w:fill="CCEEFF"/>
          </w:tcPr>
          <w:p>
            <w:pPr>
              <w:spacing w:after="0"/>
              <w:rPr>
                <w:sz w:val="18"/>
                <w:szCs w:val="18"/>
                <w:color w:val="auto"/>
              </w:rPr>
            </w:pPr>
          </w:p>
        </w:tc>
      </w:tr>
      <w:tr>
        <w:trPr>
          <w:trHeight w:val="270"/>
        </w:trPr>
        <w:tc>
          <w:tcPr>
            <w:tcW w:w="500" w:type="dxa"/>
            <w:vAlign w:val="bottom"/>
            <w:tcBorders>
              <w:top w:val="single" w:sz="8" w:color="CCEEFF"/>
            </w:tcBorders>
          </w:tcPr>
          <w:p>
            <w:pPr>
              <w:spacing w:after="0"/>
              <w:rPr>
                <w:sz w:val="23"/>
                <w:szCs w:val="23"/>
                <w:color w:val="auto"/>
              </w:rPr>
            </w:pPr>
          </w:p>
        </w:tc>
        <w:tc>
          <w:tcPr>
            <w:tcW w:w="656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Glossary of Terms</w:t>
            </w:r>
          </w:p>
        </w:tc>
        <w:tc>
          <w:tcPr>
            <w:tcW w:w="2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50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bl>
    <w:p>
      <w:pPr>
        <w:jc w:val="center"/>
        <w:ind w:right="20"/>
        <w:spacing w:after="0"/>
        <w:rPr>
          <w:sz w:val="20"/>
          <w:szCs w:val="20"/>
          <w:color w:val="auto"/>
        </w:rPr>
      </w:pPr>
      <w:r>
        <w:rPr>
          <w:rFonts w:ascii="Times New Roman" w:cs="Times New Roman" w:eastAsia="Times New Roman" w:hAnsi="Times New Roman"/>
          <w:sz w:val="18"/>
          <w:szCs w:val="18"/>
          <w:color w:val="auto"/>
        </w:rPr>
        <w:t>909 Rose Avenue, Suite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906135"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6135" cy="146050"/>
                    </a:xfrm>
                    <a:prstGeom prst="rect">
                      <a:avLst/>
                    </a:prstGeom>
                    <a:noFill/>
                  </pic:spPr>
                </pic:pic>
              </a:graphicData>
            </a:graphic>
          </wp:anchor>
        </w:drawing>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301-998-8100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300"/>
          </w:cols>
          <w:pgMar w:left="1300" w:top="1022" w:right="1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Language</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12, 2024, and include the following:</w:t>
      </w:r>
    </w:p>
    <w:p>
      <w:pPr>
        <w:spacing w:after="0" w:line="214" w:lineRule="exact"/>
        <w:rPr>
          <w:sz w:val="20"/>
          <w:szCs w:val="20"/>
          <w:color w:val="auto"/>
        </w:rPr>
      </w:pPr>
    </w:p>
    <w:p>
      <w:pPr>
        <w:ind w:left="980" w:right="160" w:hanging="324"/>
        <w:spacing w:after="0" w:line="26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our tenants will not pay rent, may vacate early or may file for bankruptcy or that we may be unable to renew leases or re-let space at favorable rents as leases expire or to fill existing vacancy;</w:t>
      </w:r>
    </w:p>
    <w:p>
      <w:pPr>
        <w:ind w:left="98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Times New Roman" w:cs="Times New Roman" w:eastAsia="Times New Roman" w:hAnsi="Times New Roman"/>
          <w:sz w:val="18"/>
          <w:szCs w:val="18"/>
          <w:color w:val="auto"/>
        </w:rPr>
      </w:pPr>
    </w:p>
    <w:p>
      <w:pPr>
        <w:ind w:left="980" w:right="100" w:hanging="324"/>
        <w:spacing w:after="0" w:line="250"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Times New Roman" w:cs="Times New Roman" w:eastAsia="Times New Roman" w:hAnsi="Times New Roman"/>
          <w:sz w:val="18"/>
          <w:szCs w:val="18"/>
          <w:i w:val="1"/>
          <w:iCs w:val="1"/>
          <w:color w:val="auto"/>
        </w:rPr>
      </w:pPr>
    </w:p>
    <w:p>
      <w:pPr>
        <w:ind w:left="980" w:right="28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our growth will be limited if we cannot obtain additional capital, or if the costs of capital we obtain are significantly higher than historical levels;</w:t>
      </w:r>
    </w:p>
    <w:p>
      <w:pPr>
        <w:ind w:left="980" w:hanging="324"/>
        <w:spacing w:after="0"/>
        <w:tabs>
          <w:tab w:leader="none" w:pos="9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general economic conditions, including inflation and local economic conditions in our geographic markets;</w:t>
      </w:r>
    </w:p>
    <w:p>
      <w:pPr>
        <w:spacing w:after="0" w:line="9" w:lineRule="exact"/>
        <w:rPr>
          <w:rFonts w:ascii="Times New Roman" w:cs="Times New Roman" w:eastAsia="Times New Roman" w:hAnsi="Times New Roman"/>
          <w:sz w:val="18"/>
          <w:szCs w:val="18"/>
          <w:i w:val="1"/>
          <w:iCs w:val="1"/>
          <w:color w:val="auto"/>
        </w:rPr>
      </w:pPr>
    </w:p>
    <w:p>
      <w:pPr>
        <w:ind w:left="980" w:right="36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jc w:val="both"/>
        <w:ind w:left="980" w:right="42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Times New Roman" w:cs="Times New Roman" w:eastAsia="Times New Roman" w:hAnsi="Times New Roman"/>
          <w:sz w:val="18"/>
          <w:szCs w:val="18"/>
          <w:color w:val="auto"/>
        </w:rPr>
      </w:pPr>
    </w:p>
    <w:p>
      <w:pPr>
        <w:ind w:left="980" w:right="40" w:hanging="324"/>
        <w:spacing w:after="0" w:line="253"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2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12, 2024.</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87"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2548255</wp:posOffset>
            </wp:positionH>
            <wp:positionV relativeFrom="page">
              <wp:posOffset>757555</wp:posOffset>
            </wp:positionV>
            <wp:extent cx="2451735" cy="960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45173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NEWS RELEASE</w:t>
            </w:r>
          </w:p>
        </w:tc>
        <w:tc>
          <w:tcPr>
            <w:tcW w:w="5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www.federalrealty.com</w:t>
            </w:r>
          </w:p>
        </w:tc>
      </w:tr>
      <w:tr>
        <w:trPr>
          <w:trHeight w:val="321"/>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FOR IMMEDIATE RELEASE</w:t>
            </w:r>
          </w:p>
        </w:tc>
        <w:tc>
          <w:tcPr>
            <w:tcW w:w="5820" w:type="dxa"/>
            <w:vAlign w:val="bottom"/>
          </w:tcPr>
          <w:p>
            <w:pPr>
              <w:spacing w:after="0"/>
              <w:rPr>
                <w:sz w:val="24"/>
                <w:szCs w:val="24"/>
                <w:color w:val="auto"/>
              </w:rPr>
            </w:pPr>
          </w:p>
        </w:tc>
      </w:tr>
      <w:tr>
        <w:trPr>
          <w:trHeight w:val="390"/>
        </w:trPr>
        <w:tc>
          <w:tcPr>
            <w:tcW w:w="5060" w:type="dxa"/>
            <w:vAlign w:val="bottom"/>
          </w:tcPr>
          <w:p>
            <w:pPr>
              <w:ind w:left="20"/>
              <w:spacing w:after="0"/>
              <w:rPr>
                <w:sz w:val="20"/>
                <w:szCs w:val="20"/>
                <w:color w:val="auto"/>
              </w:rPr>
            </w:pPr>
            <w:r>
              <w:rPr>
                <w:rFonts w:ascii="Arial" w:cs="Arial" w:eastAsia="Arial" w:hAnsi="Arial"/>
                <w:sz w:val="18"/>
                <w:szCs w:val="18"/>
                <w:i w:val="1"/>
                <w:iCs w:val="1"/>
                <w:color w:val="auto"/>
              </w:rPr>
              <w:t>Investor Inquiries:</w:t>
            </w:r>
          </w:p>
        </w:tc>
        <w:tc>
          <w:tcPr>
            <w:tcW w:w="5820" w:type="dxa"/>
            <w:vAlign w:val="bottom"/>
          </w:tcPr>
          <w:p>
            <w:pPr>
              <w:jc w:val="right"/>
              <w:spacing w:after="0"/>
              <w:rPr>
                <w:sz w:val="20"/>
                <w:szCs w:val="20"/>
                <w:color w:val="auto"/>
              </w:rPr>
            </w:pPr>
            <w:r>
              <w:rPr>
                <w:rFonts w:ascii="Arial" w:cs="Arial" w:eastAsia="Arial" w:hAnsi="Arial"/>
                <w:sz w:val="18"/>
                <w:szCs w:val="18"/>
                <w:i w:val="1"/>
                <w:iCs w:val="1"/>
                <w:color w:val="auto"/>
              </w:rPr>
              <w:t>Media Inquiries:</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Leah Andress Brady</w:t>
            </w:r>
          </w:p>
        </w:tc>
        <w:tc>
          <w:tcPr>
            <w:tcW w:w="5820" w:type="dxa"/>
            <w:vAlign w:val="bottom"/>
          </w:tcPr>
          <w:p>
            <w:pPr>
              <w:jc w:val="right"/>
              <w:spacing w:after="0"/>
              <w:rPr>
                <w:sz w:val="20"/>
                <w:szCs w:val="20"/>
                <w:color w:val="auto"/>
              </w:rPr>
            </w:pPr>
            <w:r>
              <w:rPr>
                <w:rFonts w:ascii="Arial" w:cs="Arial" w:eastAsia="Arial" w:hAnsi="Arial"/>
                <w:sz w:val="18"/>
                <w:szCs w:val="18"/>
                <w:color w:val="auto"/>
              </w:rPr>
              <w:t>Brenda Pomar</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Vice President, Investor Relations</w:t>
            </w:r>
          </w:p>
        </w:tc>
        <w:tc>
          <w:tcPr>
            <w:tcW w:w="5820" w:type="dxa"/>
            <w:vAlign w:val="bottom"/>
          </w:tcPr>
          <w:p>
            <w:pPr>
              <w:jc w:val="right"/>
              <w:spacing w:after="0"/>
              <w:rPr>
                <w:sz w:val="20"/>
                <w:szCs w:val="20"/>
                <w:color w:val="auto"/>
              </w:rPr>
            </w:pPr>
            <w:r>
              <w:rPr>
                <w:rFonts w:ascii="Arial" w:cs="Arial" w:eastAsia="Arial" w:hAnsi="Arial"/>
                <w:sz w:val="18"/>
                <w:szCs w:val="18"/>
                <w:color w:val="auto"/>
              </w:rPr>
              <w:t>Senior Director, Corporate Communications</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301.998.8265</w:t>
            </w:r>
          </w:p>
        </w:tc>
        <w:tc>
          <w:tcPr>
            <w:tcW w:w="5820" w:type="dxa"/>
            <w:vAlign w:val="bottom"/>
          </w:tcPr>
          <w:p>
            <w:pPr>
              <w:jc w:val="right"/>
              <w:spacing w:after="0"/>
              <w:rPr>
                <w:sz w:val="20"/>
                <w:szCs w:val="20"/>
                <w:color w:val="auto"/>
              </w:rPr>
            </w:pPr>
            <w:r>
              <w:rPr>
                <w:rFonts w:ascii="Arial" w:cs="Arial" w:eastAsia="Arial" w:hAnsi="Arial"/>
                <w:sz w:val="18"/>
                <w:szCs w:val="18"/>
                <w:color w:val="auto"/>
              </w:rPr>
              <w:t>301.998.8316</w:t>
            </w:r>
          </w:p>
        </w:tc>
      </w:tr>
      <w:tr>
        <w:trPr>
          <w:trHeight w:val="239"/>
        </w:trPr>
        <w:tc>
          <w:tcPr>
            <w:tcW w:w="5060" w:type="dxa"/>
            <w:vAlign w:val="bottom"/>
          </w:tcPr>
          <w:p>
            <w:pPr>
              <w:ind w:left="20"/>
              <w:spacing w:after="0"/>
              <w:rPr>
                <w:sz w:val="20"/>
                <w:szCs w:val="20"/>
                <w:color w:val="auto"/>
              </w:rPr>
            </w:pPr>
            <w:r>
              <w:rPr>
                <w:rFonts w:ascii="Arial" w:cs="Arial" w:eastAsia="Arial" w:hAnsi="Arial"/>
                <w:sz w:val="18"/>
                <w:szCs w:val="18"/>
                <w:color w:val="auto"/>
              </w:rPr>
              <w:t>lbrady@federalrealty.com</w:t>
            </w:r>
          </w:p>
        </w:tc>
        <w:tc>
          <w:tcPr>
            <w:tcW w:w="5820" w:type="dxa"/>
            <w:vAlign w:val="bottom"/>
          </w:tcPr>
          <w:p>
            <w:pPr>
              <w:jc w:val="right"/>
              <w:spacing w:after="0"/>
              <w:rPr>
                <w:sz w:val="20"/>
                <w:szCs w:val="20"/>
                <w:color w:val="auto"/>
              </w:rPr>
            </w:pPr>
            <w:r>
              <w:rPr>
                <w:rFonts w:ascii="Arial" w:cs="Arial" w:eastAsia="Arial" w:hAnsi="Arial"/>
                <w:sz w:val="18"/>
                <w:szCs w:val="18"/>
                <w:color w:val="auto"/>
              </w:rPr>
              <w:t>bpomar@federalrealty.com</w:t>
            </w:r>
          </w:p>
        </w:tc>
      </w:tr>
    </w:tbl>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Operating Results for the Year and Quarter Ended December 31, 2023</w:t>
      </w:r>
    </w:p>
    <w:p>
      <w:pPr>
        <w:spacing w:after="0" w:line="249" w:lineRule="exact"/>
        <w:rPr>
          <w:sz w:val="20"/>
          <w:szCs w:val="20"/>
          <w:color w:val="auto"/>
        </w:rPr>
      </w:pPr>
    </w:p>
    <w:p>
      <w:pPr>
        <w:ind w:right="20"/>
        <w:spacing w:after="0" w:line="370" w:lineRule="auto"/>
        <w:rPr>
          <w:sz w:val="20"/>
          <w:szCs w:val="20"/>
          <w:color w:val="auto"/>
        </w:rPr>
      </w:pPr>
      <w:r>
        <w:rPr>
          <w:rFonts w:ascii="Arial" w:cs="Arial" w:eastAsia="Arial" w:hAnsi="Arial"/>
          <w:sz w:val="18"/>
          <w:szCs w:val="18"/>
          <w:color w:val="auto"/>
        </w:rPr>
        <w:t xml:space="preserve">NORTH BETHESDA, Md. (February 12, 2024) - </w:t>
      </w:r>
      <w:r>
        <w:rPr>
          <w:rFonts w:ascii="Arial" w:cs="Arial" w:eastAsia="Arial" w:hAnsi="Arial"/>
          <w:sz w:val="18"/>
          <w:szCs w:val="18"/>
          <w:u w:val="single" w:color="auto"/>
          <w:color w:val="auto"/>
        </w:rPr>
        <w:t>Federal Realty Investment Trust</w:t>
      </w:r>
      <w:r>
        <w:rPr>
          <w:rFonts w:ascii="Arial" w:cs="Arial" w:eastAsia="Arial" w:hAnsi="Arial"/>
          <w:sz w:val="18"/>
          <w:szCs w:val="18"/>
          <w:color w:val="auto"/>
        </w:rPr>
        <w:t xml:space="preserve"> (NYSE:FRT) today reported operating results for its year and quarter ended December 31, 2023. For the year ended December 31, 2023 and 2022, net income available for common shareholders was $2.80 per diluted share and $4.71 per diluted share, respectively. For the three months ended December 31, 2023 and 2022, net income available for common shareholders was $0.76 per diluted share and $1.40 per diluted share, respectively. For the year ended December 31, 2023 and 2022, Federal Realty reported operating income of $406.5 million and $526.4 million, respectively. For the three months ended December 31, 2023 and 2022, operating income was $108.8 million and $155.1 million,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the full year, fourth quarter and subsequent to quarter-end include:</w:t>
      </w:r>
    </w:p>
    <w:p>
      <w:pPr>
        <w:spacing w:after="0" w:line="252" w:lineRule="exact"/>
        <w:rPr>
          <w:sz w:val="20"/>
          <w:szCs w:val="20"/>
          <w:color w:val="auto"/>
        </w:rPr>
      </w:pPr>
    </w:p>
    <w:p>
      <w:pPr>
        <w:ind w:left="66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funds from operations available to common shareholders (FFO) per diluted share of $6.55 for the year, compared to $6.32 in 2022. For the fourth quarter, generated FFO per diluted share of $1.64, compared to $1.58 for the fourth quarter 2022.</w:t>
      </w:r>
    </w:p>
    <w:p>
      <w:pPr>
        <w:ind w:left="660" w:hanging="328"/>
        <w:spacing w:after="0" w:line="36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comparable property operating income (POI) excluding lease termination fees and prior period rents collected growth of 4.3% for the year 2023 and 4.4% for the fourth quarter.</w:t>
      </w:r>
    </w:p>
    <w:p>
      <w:pPr>
        <w:spacing w:after="0" w:line="1" w:lineRule="exact"/>
        <w:rPr>
          <w:rFonts w:ascii="Arial" w:cs="Arial" w:eastAsia="Arial" w:hAnsi="Arial"/>
          <w:sz w:val="18"/>
          <w:szCs w:val="18"/>
          <w:color w:val="auto"/>
        </w:rPr>
      </w:pPr>
    </w:p>
    <w:p>
      <w:pPr>
        <w:ind w:left="660" w:right="2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robust levels of leasing with 100 signed comparable retail leases in the fourth quarter at a cash basis rollover of 12%, bringing 2023 to 408 signed leases for over 2 million square feet of comparable space.</w:t>
      </w: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Comparable leases represented 98% of total retail leases signed in the fourth quarter.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Realty’s portfolio was 92.2% occupied and 94.2% leased at quarter end.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strong small shop leasing, ending the quarter at 90.7% representing an increase of 70 basis points year-over-year.</w:t>
      </w:r>
    </w:p>
    <w:p>
      <w:pPr>
        <w:spacing w:after="0" w:line="117" w:lineRule="exact"/>
        <w:rPr>
          <w:rFonts w:ascii="Arial" w:cs="Arial" w:eastAsia="Arial" w:hAnsi="Arial"/>
          <w:sz w:val="18"/>
          <w:szCs w:val="18"/>
          <w:color w:val="auto"/>
        </w:rPr>
      </w:pPr>
    </w:p>
    <w:p>
      <w:pPr>
        <w:ind w:left="66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second phase of residential redevelopment at Bala Cynwyd in Bala Cynwyd, PA at a projected cost of $90 - $95 million and projected return on investment (ROI) of 7%.</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Raised $685.0 million of capital in two separate financings: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$200.0 million mortgage loan secured by Bethesda Row.</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$485.0 million of 3.25% Exchangeable Senior Notes due January 2029.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Repaid $600.0 million 3.95% senior unsecured notes at maturity, January 16, 2024.</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Introduced 2024 earnings per diluted share guidance of $2.72 to $2.94 and 2024 FFO per diluted share guidance of $6.65 to $6.87.</w:t>
      </w:r>
    </w:p>
    <w:p>
      <w:pPr>
        <w:spacing w:after="0" w:line="252" w:lineRule="exact"/>
        <w:rPr>
          <w:sz w:val="20"/>
          <w:szCs w:val="20"/>
          <w:color w:val="auto"/>
        </w:rPr>
      </w:pPr>
    </w:p>
    <w:p>
      <w:pPr>
        <w:ind w:right="300"/>
        <w:spacing w:after="0" w:line="370" w:lineRule="auto"/>
        <w:rPr>
          <w:sz w:val="20"/>
          <w:szCs w:val="20"/>
          <w:color w:val="auto"/>
        </w:rPr>
      </w:pPr>
      <w:r>
        <w:rPr>
          <w:rFonts w:ascii="Arial" w:cs="Arial" w:eastAsia="Arial" w:hAnsi="Arial"/>
          <w:sz w:val="18"/>
          <w:szCs w:val="18"/>
          <w:color w:val="auto"/>
        </w:rPr>
        <w:t>“In 2023, Federal’s FFO per diluted share reached an all-time high, showcasing the Company's resilience in the face of elevated interest rates,” said Donald C. Wood, Federal Realty’s Chief Executive Officer. “Our multi-faceted business plan drove FFO growth, marked by continued growth in our comparable pool, contributions from our redevelopment and expansion program and accretive acquisition activity. We believe that Federal's high-quality open-air shopping centers and mixed-use communities located in the first-tier suburbs of major metropolitan markets remain the real-estate of choice for today’s top-tier tenants. We head into 2024 energized and optimistic, poised for another exceptional year ahead.”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w:t>
      </w:r>
      <w:r>
        <w:rPr>
          <w:rFonts w:ascii="Arial" w:cs="Arial" w:eastAsia="Arial" w:hAnsi="Arial"/>
          <w:sz w:val="18"/>
          <w:szCs w:val="18"/>
          <w:color w:val="auto"/>
        </w:rPr>
        <w:t>e</w:t>
      </w:r>
    </w:p>
    <w:p>
      <w:pPr>
        <w:spacing w:after="0" w:line="252" w:lineRule="exact"/>
        <w:rPr>
          <w:sz w:val="20"/>
          <w:szCs w:val="20"/>
          <w:color w:val="auto"/>
        </w:rPr>
      </w:pPr>
    </w:p>
    <w:p>
      <w:pPr>
        <w:ind w:right="20"/>
        <w:spacing w:after="0" w:line="386" w:lineRule="auto"/>
        <w:rPr>
          <w:sz w:val="20"/>
          <w:szCs w:val="20"/>
          <w:color w:val="auto"/>
        </w:rPr>
      </w:pPr>
      <w:r>
        <w:rPr>
          <w:rFonts w:ascii="Arial" w:cs="Arial" w:eastAsia="Arial" w:hAnsi="Arial"/>
          <w:sz w:val="18"/>
          <w:szCs w:val="18"/>
          <w:color w:val="auto"/>
        </w:rPr>
        <w:t>For the full year 2023, Federal Realty reported net income available for common shareholders of $229.0 million and earnings per diluted share of $2.80. This compares to net income available for common shareholders of $377.5 million and earnings per diluted share of $4.71 for the full year 2022, which included significant one-time gains from transaction activity.</w:t>
      </w:r>
    </w:p>
    <w:p>
      <w:pPr>
        <w:spacing w:after="0" w:line="95" w:lineRule="exact"/>
        <w:rPr>
          <w:sz w:val="20"/>
          <w:szCs w:val="20"/>
          <w:color w:val="auto"/>
        </w:rPr>
      </w:pPr>
    </w:p>
    <w:p>
      <w:pPr>
        <w:ind w:right="20"/>
        <w:spacing w:after="0" w:line="396" w:lineRule="auto"/>
        <w:rPr>
          <w:sz w:val="20"/>
          <w:szCs w:val="20"/>
          <w:color w:val="auto"/>
        </w:rPr>
      </w:pPr>
      <w:r>
        <w:rPr>
          <w:rFonts w:ascii="Arial" w:cs="Arial" w:eastAsia="Arial" w:hAnsi="Arial"/>
          <w:sz w:val="18"/>
          <w:szCs w:val="18"/>
          <w:color w:val="auto"/>
        </w:rPr>
        <w:t>For the fourth quarter 2023, net income available for common shareholders was $62.1 million and earnings per diluted share was $0.76 versus $113.7 million and $1.40, respectively, for the fourth quarter 2022.</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FFO</w:t>
      </w:r>
    </w:p>
    <w:p>
      <w:pPr>
        <w:spacing w:after="0" w:line="237" w:lineRule="exact"/>
        <w:rPr>
          <w:sz w:val="20"/>
          <w:szCs w:val="20"/>
          <w:color w:val="auto"/>
        </w:rPr>
      </w:pPr>
    </w:p>
    <w:p>
      <w:pPr>
        <w:ind w:right="120"/>
        <w:spacing w:after="0" w:line="412" w:lineRule="auto"/>
        <w:rPr>
          <w:sz w:val="20"/>
          <w:szCs w:val="20"/>
          <w:color w:val="auto"/>
        </w:rPr>
      </w:pPr>
      <w:r>
        <w:rPr>
          <w:rFonts w:ascii="Arial" w:cs="Arial" w:eastAsia="Arial" w:hAnsi="Arial"/>
          <w:sz w:val="18"/>
          <w:szCs w:val="18"/>
          <w:color w:val="auto"/>
        </w:rPr>
        <w:t>For the full year 2023, Federal Realty generated funds from operations available for common shareholders (FFO) of $537.3 million, or $6.55 per diluted share. This compares to FFO of $509.2 million, or $6.32 per diluted share for the full year 2022.</w:t>
      </w:r>
    </w:p>
    <w:p>
      <w:pPr>
        <w:spacing w:after="0" w:line="59" w:lineRule="exact"/>
        <w:rPr>
          <w:sz w:val="20"/>
          <w:szCs w:val="20"/>
          <w:color w:val="auto"/>
        </w:rPr>
      </w:pPr>
    </w:p>
    <w:p>
      <w:pPr>
        <w:spacing w:after="0" w:line="412" w:lineRule="auto"/>
        <w:rPr>
          <w:sz w:val="20"/>
          <w:szCs w:val="20"/>
          <w:color w:val="auto"/>
        </w:rPr>
      </w:pPr>
      <w:r>
        <w:rPr>
          <w:rFonts w:ascii="Arial" w:cs="Arial" w:eastAsia="Arial" w:hAnsi="Arial"/>
          <w:sz w:val="18"/>
          <w:szCs w:val="18"/>
          <w:color w:val="auto"/>
        </w:rPr>
        <w:t>For the fourth quarter 2023, FFO was $134.9 million, or $1.64 per diluted share, compared to $129.0 million, or $1.58 per diluted share for the fourth quarter 2022.</w:t>
      </w:r>
    </w:p>
    <w:p>
      <w:pPr>
        <w:spacing w:after="0" w:line="59" w:lineRule="exact"/>
        <w:rPr>
          <w:sz w:val="20"/>
          <w:szCs w:val="20"/>
          <w:color w:val="auto"/>
        </w:rPr>
      </w:pPr>
    </w:p>
    <w:p>
      <w:pPr>
        <w:ind w:right="20"/>
        <w:spacing w:after="0" w:line="412"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Update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portfolio was 92.2% occupied and 94.2% leased as of December 31,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Additionally, our comparable residential properties were 95.9% leased as of December 31, 2023.</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 Activity</w:t>
      </w:r>
    </w:p>
    <w:p>
      <w:pPr>
        <w:spacing w:after="0" w:line="250" w:lineRule="exact"/>
        <w:rPr>
          <w:sz w:val="20"/>
          <w:szCs w:val="20"/>
          <w:color w:val="auto"/>
        </w:rPr>
      </w:pPr>
    </w:p>
    <w:p>
      <w:pPr>
        <w:ind w:right="20"/>
        <w:spacing w:after="0" w:line="378" w:lineRule="auto"/>
        <w:rPr>
          <w:sz w:val="20"/>
          <w:szCs w:val="20"/>
          <w:color w:val="auto"/>
        </w:rPr>
      </w:pPr>
      <w:r>
        <w:rPr>
          <w:rFonts w:ascii="Arial" w:cs="Arial" w:eastAsia="Arial" w:hAnsi="Arial"/>
          <w:sz w:val="18"/>
          <w:szCs w:val="18"/>
          <w:color w:val="auto"/>
        </w:rPr>
        <w:t>For the full year 2023, Federal Realty signed 426 leases for 2,091,071 square feet of retail space. On a comparable space basis (i.e., spaces for which there was a former tenant), Federal Realty signed 408 leases for 2,027,373 square feet at an average rent of $36.75 per square foot compared to the average contractual rent of $33.43 per square foot for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22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the last year of the prior leases, representing a cash basis rollover growth on those comparable spaces of 10%, 22% on a straight-line basis.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Comparable leases represented 96% of total comparable and non-comparable leases signed during 2023.</w:t>
      </w:r>
    </w:p>
    <w:p>
      <w:pPr>
        <w:spacing w:after="0" w:line="252"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During the fourth quarter 2023, Federal Realty signed 102 leases for 398,378 square feet of retail space. On a comparable space basis (i.e., spaces for which there was a former tenant), Federal Realty signed 100 leases for 393,761 square feet at an average rent of $44.57 per square foot compared to the average contractual rent of $39.97 per square foot for the last year of the prior leases, representing a cash basis rollover growth on those comparable spaces of 12%, 23% on a straight-line basis. Comparable leases represented 98% of total comparable and non-comparable leases signed during the fourth quarter 2023.</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Redevelopment</w:t>
      </w:r>
    </w:p>
    <w:p>
      <w:pPr>
        <w:spacing w:after="0" w:line="237" w:lineRule="exact"/>
        <w:rPr>
          <w:sz w:val="20"/>
          <w:szCs w:val="20"/>
          <w:color w:val="auto"/>
        </w:rPr>
      </w:pPr>
    </w:p>
    <w:p>
      <w:pPr>
        <w:jc w:val="both"/>
        <w:spacing w:after="0" w:line="377" w:lineRule="auto"/>
        <w:rPr>
          <w:sz w:val="20"/>
          <w:szCs w:val="20"/>
          <w:color w:val="auto"/>
        </w:rPr>
      </w:pPr>
      <w:r>
        <w:rPr>
          <w:rFonts w:ascii="Arial" w:cs="Arial" w:eastAsia="Arial" w:hAnsi="Arial"/>
          <w:sz w:val="18"/>
          <w:szCs w:val="18"/>
          <w:color w:val="auto"/>
        </w:rPr>
        <w:t>Subsequent to quarter end, Federal Realty announced the second phase of residential redevelopment at Bala Cynwyd in Bala Cynwyd, PA. The redevelopment will include the demolition of a two level department store building to construct a new six story residential building with 217 residential units, 16,000 square feet of retail and a two-story parking structure with 234 parking stalls. The redevelopment has a projected cost of $90 - $95 million and projected ROI of 7%.</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Transactions</w:t>
      </w:r>
    </w:p>
    <w:p>
      <w:pPr>
        <w:spacing w:after="0" w:line="250" w:lineRule="exact"/>
        <w:rPr>
          <w:sz w:val="20"/>
          <w:szCs w:val="20"/>
          <w:color w:val="auto"/>
        </w:rPr>
      </w:pPr>
    </w:p>
    <w:p>
      <w:pPr>
        <w:jc w:val="both"/>
        <w:ind w:right="20"/>
        <w:spacing w:after="0" w:line="378" w:lineRule="auto"/>
        <w:rPr>
          <w:sz w:val="20"/>
          <w:szCs w:val="20"/>
          <w:color w:val="auto"/>
        </w:rPr>
      </w:pPr>
      <w:r>
        <w:rPr>
          <w:rFonts w:ascii="Arial" w:cs="Arial" w:eastAsia="Arial" w:hAnsi="Arial"/>
          <w:sz w:val="18"/>
          <w:szCs w:val="18"/>
          <w:color w:val="auto"/>
        </w:rPr>
        <w:t>On December 28, 2023, one of our wholly-owned subsidiaries entered into a $200.0 million mortgage loan, which bears interest at SOFR plus a 95 basis point spread, matures on December 28, 2025, plus two one-year extensions, at our option, and is secured by our Bethesda Row property. The interest rate is effectively fixed at 5.03% through the initial maturity date.</w:t>
      </w:r>
    </w:p>
    <w:p>
      <w:pPr>
        <w:spacing w:after="0" w:line="102" w:lineRule="exact"/>
        <w:rPr>
          <w:sz w:val="20"/>
          <w:szCs w:val="20"/>
          <w:color w:val="auto"/>
        </w:rPr>
      </w:pPr>
    </w:p>
    <w:p>
      <w:pPr>
        <w:jc w:val="both"/>
        <w:spacing w:after="0" w:line="378" w:lineRule="auto"/>
        <w:rPr>
          <w:sz w:val="20"/>
          <w:szCs w:val="20"/>
          <w:color w:val="auto"/>
        </w:rPr>
      </w:pPr>
      <w:r>
        <w:rPr>
          <w:rFonts w:ascii="Arial" w:cs="Arial" w:eastAsia="Arial" w:hAnsi="Arial"/>
          <w:sz w:val="18"/>
          <w:szCs w:val="18"/>
          <w:color w:val="auto"/>
        </w:rPr>
        <w:t>On January 11, 2024, our Operating Partnership issued $485.0 million aggregate principal amount of 3.25% Exchangeable Senior Notes that mature on January 15, 2029, unless earlier exchanged, purchased or redeemed. See our Form 8-K filing on January 11, 2024 for additional information on this transaction.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On January 16, 2024, we repaid the $600.0 million 3.95% senior unsecured notes at maturity.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Regular Quarterly Dividends</w:t>
      </w:r>
    </w:p>
    <w:p>
      <w:pPr>
        <w:spacing w:after="0" w:line="252" w:lineRule="exact"/>
        <w:rPr>
          <w:sz w:val="20"/>
          <w:szCs w:val="20"/>
          <w:color w:val="auto"/>
        </w:rPr>
      </w:pPr>
    </w:p>
    <w:p>
      <w:pPr>
        <w:jc w:val="both"/>
        <w:spacing w:after="0" w:line="378" w:lineRule="auto"/>
        <w:rPr>
          <w:sz w:val="20"/>
          <w:szCs w:val="20"/>
          <w:color w:val="auto"/>
        </w:rPr>
      </w:pPr>
      <w:r>
        <w:rPr>
          <w:rFonts w:ascii="Arial" w:cs="Arial" w:eastAsia="Arial" w:hAnsi="Arial"/>
          <w:sz w:val="18"/>
          <w:szCs w:val="18"/>
          <w:color w:val="auto"/>
        </w:rPr>
        <w:t>Federal Realty announced today that its Board of Trustees declared a regular quarterly cash dividend of $1.09 per common share, resulting in an indicated annual rate of $4.36 per common share. The regular common dividend will be payable on April 15, 2024 to common shareholders of record as of March 13, 2024.</w:t>
      </w:r>
    </w:p>
    <w:p>
      <w:pPr>
        <w:spacing w:after="0" w:line="102" w:lineRule="exact"/>
        <w:rPr>
          <w:sz w:val="20"/>
          <w:szCs w:val="20"/>
          <w:color w:val="auto"/>
        </w:rPr>
      </w:pPr>
    </w:p>
    <w:p>
      <w:pPr>
        <w:jc w:val="both"/>
        <w:spacing w:after="0" w:line="378" w:lineRule="auto"/>
        <w:rPr>
          <w:sz w:val="20"/>
          <w:szCs w:val="20"/>
          <w:color w:val="auto"/>
        </w:rPr>
      </w:pPr>
      <w:r>
        <w:rPr>
          <w:rFonts w:ascii="Arial" w:cs="Arial" w:eastAsia="Arial" w:hAnsi="Arial"/>
          <w:sz w:val="18"/>
          <w:szCs w:val="18"/>
          <w:color w:val="auto"/>
        </w:rPr>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April 15, 2024 to shareholders of record as of April 1, 2024.</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2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7"/>
        </w:trPr>
        <w:tc>
          <w:tcPr>
            <w:tcW w:w="7880" w:type="dxa"/>
            <w:vAlign w:val="bottom"/>
          </w:tcPr>
          <w:p>
            <w:pPr>
              <w:spacing w:after="0"/>
              <w:rPr>
                <w:sz w:val="20"/>
                <w:szCs w:val="20"/>
                <w:color w:val="auto"/>
              </w:rPr>
            </w:pPr>
            <w:r>
              <w:rPr>
                <w:rFonts w:ascii="Arial" w:cs="Arial" w:eastAsia="Arial" w:hAnsi="Arial"/>
                <w:sz w:val="18"/>
                <w:szCs w:val="18"/>
                <w:b w:val="1"/>
                <w:bCs w:val="1"/>
                <w:color w:val="auto"/>
              </w:rPr>
              <w:t>2024 Initial Guidance</w:t>
            </w:r>
          </w:p>
        </w:tc>
        <w:tc>
          <w:tcPr>
            <w:tcW w:w="14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04"/>
        </w:trPr>
        <w:tc>
          <w:tcPr>
            <w:tcW w:w="7880" w:type="dxa"/>
            <w:vAlign w:val="bottom"/>
          </w:tcPr>
          <w:p>
            <w:pPr>
              <w:spacing w:after="0"/>
              <w:rPr>
                <w:sz w:val="17"/>
                <w:szCs w:val="17"/>
                <w:color w:val="auto"/>
              </w:rPr>
            </w:pPr>
          </w:p>
        </w:tc>
        <w:tc>
          <w:tcPr>
            <w:tcW w:w="3360" w:type="dxa"/>
            <w:vAlign w:val="bottom"/>
            <w:gridSpan w:val="2"/>
          </w:tcPr>
          <w:p>
            <w:pPr>
              <w:spacing w:after="0"/>
              <w:rPr>
                <w:sz w:val="17"/>
                <w:szCs w:val="17"/>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 Earnings per diluted share</w:t>
            </w:r>
          </w:p>
        </w:tc>
        <w:tc>
          <w:tcPr>
            <w:tcW w:w="33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$2.72 to $2.94</w:t>
            </w:r>
          </w:p>
        </w:tc>
      </w:tr>
      <w:tr>
        <w:trPr>
          <w:trHeight w:val="239"/>
        </w:trPr>
        <w:tc>
          <w:tcPr>
            <w:tcW w:w="7880" w:type="dxa"/>
            <w:vAlign w:val="bottom"/>
          </w:tcPr>
          <w:p>
            <w:pPr>
              <w:ind w:left="20"/>
              <w:spacing w:after="0"/>
              <w:rPr>
                <w:sz w:val="20"/>
                <w:szCs w:val="20"/>
                <w:color w:val="auto"/>
              </w:rPr>
            </w:pPr>
            <w:r>
              <w:rPr>
                <w:rFonts w:ascii="Arial" w:cs="Arial" w:eastAsia="Arial" w:hAnsi="Arial"/>
                <w:sz w:val="18"/>
                <w:szCs w:val="18"/>
                <w:color w:val="auto"/>
              </w:rPr>
              <w:t>2024 FFO per diluted share</w:t>
            </w:r>
          </w:p>
        </w:tc>
        <w:tc>
          <w:tcPr>
            <w:tcW w:w="3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$6.65 to $6.87</w:t>
            </w:r>
          </w:p>
        </w:tc>
      </w:tr>
      <w:tr>
        <w:trPr>
          <w:trHeight w:val="577"/>
        </w:trPr>
        <w:tc>
          <w:tcPr>
            <w:tcW w:w="7880" w:type="dxa"/>
            <w:vAlign w:val="bottom"/>
          </w:tcPr>
          <w:p>
            <w:pPr>
              <w:spacing w:after="0"/>
              <w:rPr>
                <w:sz w:val="20"/>
                <w:szCs w:val="20"/>
                <w:color w:val="auto"/>
              </w:rPr>
            </w:pPr>
            <w:r>
              <w:rPr>
                <w:rFonts w:ascii="Arial" w:cs="Arial" w:eastAsia="Arial" w:hAnsi="Arial"/>
                <w:sz w:val="18"/>
                <w:szCs w:val="18"/>
                <w:color w:val="auto"/>
              </w:rPr>
              <w:t xml:space="preserve">The company's initial 2024 guidance is based on the following assumptions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4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29"/>
        </w:trPr>
        <w:tc>
          <w:tcPr>
            <w:tcW w:w="7880" w:type="dxa"/>
            <w:vAlign w:val="bottom"/>
          </w:tcPr>
          <w:p>
            <w:pPr>
              <w:spacing w:after="0"/>
              <w:rPr>
                <w:sz w:val="11"/>
                <w:szCs w:val="11"/>
                <w:color w:val="auto"/>
              </w:rPr>
            </w:pPr>
          </w:p>
        </w:tc>
        <w:tc>
          <w:tcPr>
            <w:tcW w:w="3360" w:type="dxa"/>
            <w:vAlign w:val="bottom"/>
            <w:gridSpan w:val="2"/>
          </w:tcPr>
          <w:p>
            <w:pPr>
              <w:spacing w:after="0"/>
              <w:rPr>
                <w:sz w:val="11"/>
                <w:szCs w:val="1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Comparable properties growth</w:t>
            </w:r>
          </w:p>
        </w:tc>
        <w:tc>
          <w:tcPr>
            <w:tcW w:w="33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8"/>
              </w:rPr>
              <w:t>2% - 3.5%</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Comparable properties growth excluding prior period rents and lease termination fees</w:t>
            </w:r>
          </w:p>
        </w:tc>
        <w:tc>
          <w:tcPr>
            <w:tcW w:w="3360" w:type="dxa"/>
            <w:vAlign w:val="bottom"/>
            <w:gridSpan w:val="2"/>
          </w:tcPr>
          <w:p>
            <w:pPr>
              <w:jc w:val="center"/>
              <w:ind w:left="130"/>
              <w:spacing w:after="0"/>
              <w:rPr>
                <w:sz w:val="20"/>
                <w:szCs w:val="20"/>
                <w:color w:val="auto"/>
              </w:rPr>
            </w:pPr>
            <w:r>
              <w:rPr>
                <w:rFonts w:ascii="Arial" w:cs="Arial" w:eastAsia="Arial" w:hAnsi="Arial"/>
                <w:sz w:val="18"/>
                <w:szCs w:val="18"/>
                <w:color w:val="auto"/>
                <w:w w:val="98"/>
              </w:rPr>
              <w:t>2.5% - 4%</w:t>
            </w:r>
          </w:p>
        </w:tc>
      </w:tr>
      <w:tr>
        <w:trPr>
          <w:trHeight w:val="230"/>
        </w:trPr>
        <w:tc>
          <w:tcPr>
            <w:tcW w:w="7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Prior period rents </w:t>
            </w:r>
            <w:r>
              <w:rPr>
                <w:rFonts w:ascii="Arial" w:cs="Arial" w:eastAsia="Arial" w:hAnsi="Arial"/>
                <w:sz w:val="23"/>
                <w:szCs w:val="23"/>
                <w:color w:val="auto"/>
                <w:vertAlign w:val="superscript"/>
              </w:rPr>
              <w:t>(2)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 million</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Lease termination fees</w:t>
            </w: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c>
          <w:tcPr>
            <w:tcW w:w="1900" w:type="dxa"/>
            <w:vAlign w:val="bottom"/>
          </w:tcPr>
          <w:p>
            <w:pPr>
              <w:ind w:left="20"/>
              <w:spacing w:after="0"/>
              <w:rPr>
                <w:sz w:val="20"/>
                <w:szCs w:val="20"/>
                <w:color w:val="auto"/>
              </w:rPr>
            </w:pPr>
            <w:r>
              <w:rPr>
                <w:rFonts w:ascii="Arial" w:cs="Arial" w:eastAsia="Arial" w:hAnsi="Arial"/>
                <w:sz w:val="18"/>
                <w:szCs w:val="18"/>
                <w:color w:val="auto"/>
              </w:rPr>
              <w:t>- $7 million</w:t>
            </w:r>
          </w:p>
        </w:tc>
      </w:tr>
      <w:tr>
        <w:trPr>
          <w:trHeight w:val="229"/>
        </w:trPr>
        <w:tc>
          <w:tcPr>
            <w:tcW w:w="7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Incremental redevelopment/expansion POI </w:t>
            </w:r>
            <w:r>
              <w:rPr>
                <w:rFonts w:ascii="Arial" w:cs="Arial" w:eastAsia="Arial" w:hAnsi="Arial"/>
                <w:sz w:val="23"/>
                <w:szCs w:val="23"/>
                <w:color w:val="auto"/>
                <w:vertAlign w:val="superscript"/>
              </w:rPr>
              <w:t>(3)</w:t>
            </w:r>
          </w:p>
        </w:tc>
        <w:tc>
          <w:tcPr>
            <w:tcW w:w="33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$9 - $12 million</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460" w:type="dxa"/>
            <w:vAlign w:val="bottom"/>
          </w:tcPr>
          <w:p>
            <w:pPr>
              <w:jc w:val="right"/>
              <w:spacing w:after="0"/>
              <w:rPr>
                <w:sz w:val="20"/>
                <w:szCs w:val="20"/>
                <w:color w:val="auto"/>
              </w:rPr>
            </w:pPr>
            <w:r>
              <w:rPr>
                <w:rFonts w:ascii="Arial" w:cs="Arial" w:eastAsia="Arial" w:hAnsi="Arial"/>
                <w:sz w:val="18"/>
                <w:szCs w:val="18"/>
                <w:color w:val="auto"/>
              </w:rPr>
              <w:t>$48</w:t>
            </w:r>
          </w:p>
        </w:tc>
        <w:tc>
          <w:tcPr>
            <w:tcW w:w="1900" w:type="dxa"/>
            <w:vAlign w:val="bottom"/>
          </w:tcPr>
          <w:p>
            <w:pPr>
              <w:ind w:left="20"/>
              <w:spacing w:after="0"/>
              <w:rPr>
                <w:sz w:val="20"/>
                <w:szCs w:val="20"/>
                <w:color w:val="auto"/>
              </w:rPr>
            </w:pPr>
            <w:r>
              <w:rPr>
                <w:rFonts w:ascii="Arial" w:cs="Arial" w:eastAsia="Arial" w:hAnsi="Arial"/>
                <w:sz w:val="18"/>
                <w:szCs w:val="18"/>
                <w:color w:val="auto"/>
              </w:rPr>
              <w:t>- $52 million</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Development/redevelopment capital</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$150 million</w:t>
            </w:r>
          </w:p>
        </w:tc>
      </w:tr>
      <w:tr>
        <w:trPr>
          <w:trHeight w:val="239"/>
        </w:trPr>
        <w:tc>
          <w:tcPr>
            <w:tcW w:w="788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c>
          <w:tcPr>
            <w:tcW w:w="1900" w:type="dxa"/>
            <w:vAlign w:val="bottom"/>
          </w:tcPr>
          <w:p>
            <w:pPr>
              <w:ind w:left="20"/>
              <w:spacing w:after="0"/>
              <w:rPr>
                <w:sz w:val="20"/>
                <w:szCs w:val="20"/>
                <w:color w:val="auto"/>
              </w:rPr>
            </w:pPr>
            <w:r>
              <w:rPr>
                <w:rFonts w:ascii="Arial" w:cs="Arial" w:eastAsia="Arial" w:hAnsi="Arial"/>
                <w:sz w:val="18"/>
                <w:szCs w:val="18"/>
                <w:color w:val="auto"/>
              </w:rPr>
              <w:t>- $21 million</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r>
    </w:p>
    <w:p>
      <w:pPr>
        <w:ind w:left="660" w:hanging="328"/>
        <w:spacing w:after="0"/>
        <w:tabs>
          <w:tab w:leader="none" w:pos="660" w:val="left"/>
        </w:tabs>
        <w:numPr>
          <w:ilvl w:val="0"/>
          <w:numId w:val="6"/>
        </w:numPr>
        <w:rPr>
          <w:rFonts w:ascii="Arial" w:cs="Arial" w:eastAsia="Arial" w:hAnsi="Arial"/>
          <w:sz w:val="11"/>
          <w:szCs w:val="11"/>
          <w:color w:val="auto"/>
        </w:rPr>
      </w:pPr>
      <w:r>
        <w:rPr>
          <w:rFonts w:ascii="Arial" w:cs="Arial" w:eastAsia="Arial" w:hAnsi="Arial"/>
          <w:sz w:val="11"/>
          <w:szCs w:val="11"/>
          <w:color w:val="auto"/>
        </w:rPr>
        <w:t>Does not assume the impact of potential acquisitions or dispositions which have not closed as of January 31, 2024.</w:t>
      </w:r>
    </w:p>
    <w:p>
      <w:pPr>
        <w:spacing w:after="0" w:line="62" w:lineRule="exact"/>
        <w:rPr>
          <w:rFonts w:ascii="Arial" w:cs="Arial" w:eastAsia="Arial" w:hAnsi="Arial"/>
          <w:sz w:val="11"/>
          <w:szCs w:val="11"/>
          <w:color w:val="auto"/>
        </w:rPr>
      </w:pPr>
    </w:p>
    <w:p>
      <w:pPr>
        <w:ind w:left="660" w:hanging="328"/>
        <w:spacing w:after="0"/>
        <w:tabs>
          <w:tab w:leader="none" w:pos="660" w:val="left"/>
        </w:tabs>
        <w:numPr>
          <w:ilvl w:val="0"/>
          <w:numId w:val="6"/>
        </w:numPr>
        <w:rPr>
          <w:rFonts w:ascii="Arial" w:cs="Arial" w:eastAsia="Arial" w:hAnsi="Arial"/>
          <w:sz w:val="11"/>
          <w:szCs w:val="11"/>
          <w:color w:val="auto"/>
        </w:rPr>
      </w:pPr>
      <w:r>
        <w:rPr>
          <w:rFonts w:ascii="Arial" w:cs="Arial" w:eastAsia="Arial" w:hAnsi="Arial"/>
          <w:sz w:val="11"/>
          <w:szCs w:val="11"/>
          <w:color w:val="auto"/>
        </w:rPr>
        <w:t>Reflects amounts which were contractually deferred or payments renegotiated specifically related to the COVID-19 pandemic.</w:t>
      </w:r>
    </w:p>
    <w:p>
      <w:pPr>
        <w:spacing w:after="0" w:line="62" w:lineRule="exact"/>
        <w:rPr>
          <w:rFonts w:ascii="Arial" w:cs="Arial" w:eastAsia="Arial" w:hAnsi="Arial"/>
          <w:sz w:val="11"/>
          <w:szCs w:val="11"/>
          <w:color w:val="auto"/>
        </w:rPr>
      </w:pPr>
    </w:p>
    <w:p>
      <w:pPr>
        <w:ind w:left="660" w:right="20" w:hanging="328"/>
        <w:spacing w:after="0" w:line="387" w:lineRule="auto"/>
        <w:tabs>
          <w:tab w:leader="none" w:pos="657" w:val="left"/>
        </w:tabs>
        <w:numPr>
          <w:ilvl w:val="0"/>
          <w:numId w:val="6"/>
        </w:numPr>
        <w:rPr>
          <w:rFonts w:ascii="Arial" w:cs="Arial" w:eastAsia="Arial" w:hAnsi="Arial"/>
          <w:sz w:val="11"/>
          <w:szCs w:val="11"/>
          <w:color w:val="auto"/>
        </w:rPr>
      </w:pPr>
      <w:r>
        <w:rPr>
          <w:rFonts w:ascii="Arial" w:cs="Arial" w:eastAsia="Arial" w:hAnsi="Arial"/>
          <w:sz w:val="11"/>
          <w:szCs w:val="11"/>
          <w:color w:val="auto"/>
        </w:rPr>
        <w:t>Includes the expected additional POI to be recognized in 2024 compared to the amount recognized in 2023 from all of the redevelopments listed on page 16 of our supplemental information document filed on Form 8-K on February 12, 2024. Does not include any additional POI from "Active Property Improvement Projects."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39" w:lineRule="exact"/>
        <w:rPr>
          <w:sz w:val="20"/>
          <w:szCs w:val="20"/>
          <w:color w:val="auto"/>
        </w:rPr>
      </w:pPr>
    </w:p>
    <w:p>
      <w:pPr>
        <w:jc w:val="both"/>
        <w:spacing w:after="0" w:line="398" w:lineRule="auto"/>
        <w:rPr>
          <w:sz w:val="20"/>
          <w:szCs w:val="20"/>
          <w:color w:val="auto"/>
        </w:rPr>
      </w:pPr>
      <w:r>
        <w:rPr>
          <w:rFonts w:ascii="Arial" w:cs="Arial" w:eastAsia="Arial" w:hAnsi="Arial"/>
          <w:sz w:val="17"/>
          <w:szCs w:val="17"/>
          <w:color w:val="auto"/>
        </w:rPr>
        <w:t>Federal Realty’s management team will present an in-depth discussion of Federal Realty’s operating performance on its fourth quarter 2023 earnings conference call, which is scheduled for Monday, February 12, 2024 at 5:00 PM ET. To participate, please call 844-826-3035 or 412-317-5195 five to ten minutes prior to the call start time. The teleconference can also be accessed via a live webcast at www.federalrealty.com in the Investors section. A replay of the webcast will be available on Federal Realty’s website at www.federalrealty.com. A telephonic replay of the conference call will also be available through February 26, 2024 by dialing 844-512-2921 or 412-317-6671; Passcode: 10185405.</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Federal Realty</w:t>
      </w:r>
    </w:p>
    <w:p>
      <w:pPr>
        <w:spacing w:after="0" w:line="252" w:lineRule="exact"/>
        <w:rPr>
          <w:sz w:val="20"/>
          <w:szCs w:val="20"/>
          <w:color w:val="auto"/>
        </w:rPr>
      </w:pPr>
    </w:p>
    <w:p>
      <w:pPr>
        <w:jc w:val="both"/>
        <w:spacing w:after="0" w:line="368"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retail-based properties located primarily in major coastal markets from Washington, D.C. to Boston as well as San Francisco and Los Angeles. Founded in 1962, Federal Realty’s mission is to deliver long-term, sustainable growth through investing in communities where retail demand exceeds supply. 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102 properties include approximately 3,300 tenants, in 26 million commercial square feet, and approximately 3,100 residential units.</w:t>
      </w:r>
    </w:p>
    <w:p>
      <w:pPr>
        <w:spacing w:after="0" w:line="114" w:lineRule="exact"/>
        <w:rPr>
          <w:sz w:val="20"/>
          <w:szCs w:val="20"/>
          <w:color w:val="auto"/>
        </w:rPr>
      </w:pPr>
    </w:p>
    <w:p>
      <w:pPr>
        <w:ind w:right="120"/>
        <w:spacing w:after="0" w:line="378" w:lineRule="auto"/>
        <w:rPr>
          <w:sz w:val="20"/>
          <w:szCs w:val="20"/>
          <w:color w:val="auto"/>
        </w:rPr>
      </w:pPr>
      <w:r>
        <w:rPr>
          <w:rFonts w:ascii="Arial" w:cs="Arial" w:eastAsia="Arial" w:hAnsi="Arial"/>
          <w:sz w:val="18"/>
          <w:szCs w:val="18"/>
          <w:color w:val="auto"/>
        </w:rPr>
        <w:t>Federal Realty has increased its quarterly dividends to its shareholders for 56 consecutive years, the longest record in the REIT industry. Federal Realty is an S&amp;P 500 index member and its shares are traded on the NYSE under the symbol FRT. For additional information about Federal Realty and its properties, visit www.federalrealty.com.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2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Safe Harbor Language</w:t>
      </w:r>
    </w:p>
    <w:p>
      <w:pPr>
        <w:spacing w:after="0" w:line="210" w:lineRule="exact"/>
        <w:rPr>
          <w:sz w:val="20"/>
          <w:szCs w:val="20"/>
          <w:color w:val="auto"/>
        </w:rPr>
      </w:pPr>
    </w:p>
    <w:p>
      <w:pPr>
        <w:spacing w:after="0" w:line="271"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12, 2024 and include the following:</w:t>
      </w:r>
    </w:p>
    <w:p>
      <w:pPr>
        <w:spacing w:after="0" w:line="211" w:lineRule="exact"/>
        <w:rPr>
          <w:sz w:val="20"/>
          <w:szCs w:val="20"/>
          <w:color w:val="auto"/>
        </w:rPr>
      </w:pPr>
    </w:p>
    <w:p>
      <w:pPr>
        <w:ind w:left="980" w:right="60" w:hanging="324"/>
        <w:spacing w:after="0" w:line="280" w:lineRule="auto"/>
        <w:tabs>
          <w:tab w:leader="none" w:pos="976"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 or to fill existing vacancy;</w:t>
      </w:r>
    </w:p>
    <w:p>
      <w:pPr>
        <w:ind w:left="980" w:right="160" w:hanging="324"/>
        <w:spacing w:after="0" w:line="254" w:lineRule="auto"/>
        <w:tabs>
          <w:tab w:leader="none" w:pos="976"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Arial" w:cs="Arial" w:eastAsia="Arial" w:hAnsi="Arial"/>
          <w:sz w:val="14"/>
          <w:szCs w:val="14"/>
          <w:i w:val="1"/>
          <w:iCs w:val="1"/>
          <w:color w:val="auto"/>
        </w:rPr>
      </w:pPr>
    </w:p>
    <w:p>
      <w:pPr>
        <w:ind w:left="980" w:hanging="324"/>
        <w:spacing w:after="0" w:line="257" w:lineRule="auto"/>
        <w:tabs>
          <w:tab w:leader="none" w:pos="976"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2" w:lineRule="exact"/>
        <w:rPr>
          <w:rFonts w:ascii="Arial" w:cs="Arial" w:eastAsia="Arial" w:hAnsi="Arial"/>
          <w:sz w:val="14"/>
          <w:szCs w:val="14"/>
          <w:i w:val="1"/>
          <w:iCs w:val="1"/>
          <w:color w:val="auto"/>
        </w:rPr>
      </w:pPr>
    </w:p>
    <w:p>
      <w:pPr>
        <w:ind w:left="980" w:hanging="324"/>
        <w:spacing w:after="0"/>
        <w:tabs>
          <w:tab w:leader="none" w:pos="98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risks that our growth will be limited if we cannot obtain additional capital, or if the costs of capital we obtain are significantly higher than historical levels;</w:t>
      </w:r>
    </w:p>
    <w:p>
      <w:pPr>
        <w:spacing w:after="0" w:line="14" w:lineRule="exact"/>
        <w:rPr>
          <w:rFonts w:ascii="Arial" w:cs="Arial" w:eastAsia="Arial" w:hAnsi="Arial"/>
          <w:sz w:val="14"/>
          <w:szCs w:val="14"/>
          <w:color w:val="auto"/>
        </w:rPr>
      </w:pPr>
    </w:p>
    <w:p>
      <w:pPr>
        <w:ind w:left="980" w:hanging="324"/>
        <w:spacing w:after="0"/>
        <w:tabs>
          <w:tab w:leader="none" w:pos="98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associated with general economic conditions, including inflation and local economic conditions in our geographic markets;</w:t>
      </w:r>
    </w:p>
    <w:p>
      <w:pPr>
        <w:spacing w:after="0" w:line="14" w:lineRule="exact"/>
        <w:rPr>
          <w:rFonts w:ascii="Arial" w:cs="Arial" w:eastAsia="Arial" w:hAnsi="Arial"/>
          <w:sz w:val="14"/>
          <w:szCs w:val="14"/>
          <w:i w:val="1"/>
          <w:iCs w:val="1"/>
          <w:color w:val="auto"/>
        </w:rPr>
      </w:pPr>
    </w:p>
    <w:p>
      <w:pPr>
        <w:ind w:left="980" w:right="320" w:hanging="324"/>
        <w:spacing w:after="0" w:line="251" w:lineRule="auto"/>
        <w:tabs>
          <w:tab w:leader="none" w:pos="976"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980" w:hanging="324"/>
        <w:spacing w:after="0" w:line="261" w:lineRule="auto"/>
        <w:tabs>
          <w:tab w:leader="none" w:pos="976"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Arial" w:cs="Arial" w:eastAsia="Arial" w:hAnsi="Arial"/>
          <w:sz w:val="14"/>
          <w:szCs w:val="14"/>
          <w:i w:val="1"/>
          <w:iCs w:val="1"/>
          <w:color w:val="auto"/>
        </w:rPr>
      </w:pPr>
    </w:p>
    <w:p>
      <w:pPr>
        <w:ind w:left="980" w:right="40" w:hanging="324"/>
        <w:spacing w:after="0" w:line="262" w:lineRule="auto"/>
        <w:tabs>
          <w:tab w:leader="none" w:pos="976"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365"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12, 2024.</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228"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0" w:type="dxa"/>
            <w:vAlign w:val="bottom"/>
          </w:tcPr>
          <w:p>
            <w:pPr>
              <w:spacing w:after="0"/>
              <w:rPr>
                <w:sz w:val="16"/>
                <w:szCs w:val="16"/>
                <w:color w:val="auto"/>
              </w:rPr>
            </w:pPr>
          </w:p>
        </w:tc>
      </w:tr>
      <w:tr>
        <w:trPr>
          <w:trHeight w:val="191"/>
        </w:trPr>
        <w:tc>
          <w:tcPr>
            <w:tcW w:w="6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center"/>
              <w:ind w:left="3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0"/>
        </w:trPr>
        <w:tc>
          <w:tcPr>
            <w:tcW w:w="6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6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center"/>
              <w:ind w:left="39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5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30"/>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Rental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1,131,041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1,073,292</w:t>
            </w:r>
          </w:p>
        </w:tc>
      </w:tr>
      <w:tr>
        <w:trPr>
          <w:trHeight w:val="229"/>
        </w:trPr>
        <w:tc>
          <w:tcPr>
            <w:tcW w:w="6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Mortgage interest income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23"/>
        </w:trPr>
        <w:tc>
          <w:tcPr>
            <w:tcW w:w="6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280,057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1,132,154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1,074,378</w:t>
            </w:r>
          </w:p>
        </w:tc>
      </w:tr>
      <w:tr>
        <w:trPr>
          <w:trHeight w:val="20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Rental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228,958</w:t>
            </w:r>
          </w:p>
        </w:tc>
      </w:tr>
      <w:tr>
        <w:trPr>
          <w:trHeight w:val="230"/>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taxes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127,824</w:t>
            </w:r>
          </w:p>
        </w:tc>
      </w:tr>
      <w:tr>
        <w:trPr>
          <w:trHeight w:val="229"/>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52,636</w:t>
            </w:r>
          </w:p>
        </w:tc>
      </w:tr>
      <w:tr>
        <w:trPr>
          <w:trHeight w:val="230"/>
        </w:trPr>
        <w:tc>
          <w:tcPr>
            <w:tcW w:w="6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79,165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302,409</w:t>
            </w:r>
          </w:p>
        </w:tc>
      </w:tr>
      <w:tr>
        <w:trPr>
          <w:trHeight w:val="223"/>
        </w:trPr>
        <w:tc>
          <w:tcPr>
            <w:tcW w:w="6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188,720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711,827</w:t>
            </w:r>
          </w:p>
        </w:tc>
      </w:tr>
      <w:tr>
        <w:trPr>
          <w:trHeight w:val="250"/>
        </w:trPr>
        <w:tc>
          <w:tcPr>
            <w:tcW w:w="6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9"/>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deconsolidation of VIE</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70,374</w:t>
            </w:r>
          </w:p>
        </w:tc>
      </w:tr>
      <w:tr>
        <w:trPr>
          <w:trHeight w:val="230"/>
        </w:trPr>
        <w:tc>
          <w:tcPr>
            <w:tcW w:w="6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63,760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93,483</w:t>
            </w:r>
          </w:p>
        </w:tc>
      </w:tr>
      <w:tr>
        <w:trPr>
          <w:trHeight w:val="250"/>
        </w:trPr>
        <w:tc>
          <w:tcPr>
            <w:tcW w:w="6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526,408</w:t>
            </w:r>
          </w:p>
        </w:tc>
      </w:tr>
      <w:tr>
        <w:trPr>
          <w:trHeight w:val="270"/>
        </w:trPr>
        <w:tc>
          <w:tcPr>
            <w:tcW w:w="6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INCOME/(EXPENSE)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interest income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30"/>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(136,989)</w:t>
            </w:r>
          </w:p>
        </w:tc>
      </w:tr>
      <w:tr>
        <w:trPr>
          <w:trHeight w:val="229"/>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partnerships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395,661</w:t>
            </w:r>
          </w:p>
        </w:tc>
      </w:tr>
      <w:tr>
        <w:trPr>
          <w:trHeight w:val="229"/>
        </w:trPr>
        <w:tc>
          <w:tcPr>
            <w:tcW w:w="6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385,491</w:t>
            </w:r>
          </w:p>
        </w:tc>
      </w:tr>
      <w:tr>
        <w:trPr>
          <w:trHeight w:val="230"/>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(8,034)</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62,095</w:t>
            </w:r>
          </w:p>
        </w:tc>
        <w:tc>
          <w:tcPr>
            <w:tcW w:w="10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113,685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228,953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377,457</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6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5"/>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0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81,617</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80,966</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81,313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79,854</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6"/>
        </w:trPr>
        <w:tc>
          <w:tcPr>
            <w:tcW w:w="6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COMMON SHARE, DILUTED:</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9"/>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340" w:top="1022"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560" w:type="dxa"/>
            <w:vAlign w:val="bottom"/>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r>
      <w:tr>
        <w:trPr>
          <w:trHeight w:val="128"/>
        </w:trPr>
        <w:tc>
          <w:tcPr>
            <w:tcW w:w="8560" w:type="dxa"/>
            <w:vAlign w:val="bottom"/>
          </w:tcPr>
          <w:p>
            <w:pPr>
              <w:spacing w:after="0"/>
              <w:rPr>
                <w:sz w:val="11"/>
                <w:szCs w:val="11"/>
                <w:color w:val="auto"/>
              </w:rPr>
            </w:pPr>
          </w:p>
        </w:tc>
        <w:tc>
          <w:tcPr>
            <w:tcW w:w="2620" w:type="dxa"/>
            <w:vAlign w:val="bottom"/>
            <w:gridSpan w:val="5"/>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w:t>
            </w:r>
          </w:p>
        </w:tc>
      </w:tr>
      <w:tr>
        <w:trPr>
          <w:trHeight w:val="190"/>
        </w:trPr>
        <w:tc>
          <w:tcPr>
            <w:tcW w:w="8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data)</w:t>
            </w:r>
          </w:p>
        </w:tc>
        <w:tc>
          <w:tcPr>
            <w:tcW w:w="1100" w:type="dxa"/>
            <w:vAlign w:val="bottom"/>
          </w:tcPr>
          <w:p>
            <w:pPr>
              <w:spacing w:after="0"/>
              <w:rPr>
                <w:sz w:val="16"/>
                <w:szCs w:val="16"/>
                <w:color w:val="auto"/>
              </w:rPr>
            </w:pPr>
          </w:p>
        </w:tc>
      </w:tr>
      <w:tr>
        <w:trPr>
          <w:trHeight w:val="458"/>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Real estate, at cost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Operating (including $2,021,622 and $1,997,583 of consolidated variable interest entities, respectively)</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9,932,891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9,441,945</w:t>
            </w:r>
          </w:p>
        </w:tc>
      </w:tr>
      <w:tr>
        <w:trPr>
          <w:trHeight w:val="176"/>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Construction-in-progress (including $8,677 and $8,477 of consolidated variable interest entities,</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613,296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662,554</w:t>
            </w:r>
          </w:p>
        </w:tc>
      </w:tr>
      <w:tr>
        <w:trPr>
          <w:trHeight w:val="223"/>
        </w:trPr>
        <w:tc>
          <w:tcPr>
            <w:tcW w:w="8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10,546,187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10,104,499</w:t>
            </w: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Less accumulated depreciation and amortization (including $416,663 and $362,921 of consolidated variable</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(2,963,519)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(2,715,817)</w:t>
            </w:r>
          </w:p>
        </w:tc>
      </w:tr>
      <w:tr>
        <w:trPr>
          <w:trHeight w:val="223"/>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real estate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7,582,668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7,388,682</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85,558</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197,648</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9,456</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145,205</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94,569</w:t>
            </w: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lease right of use assets,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45,467</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263,377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267,406</w:t>
            </w: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8,436,512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8,233,991</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8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 AND SHAREHOLDERS’ EQUITY</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Mortgages payable, net (including $189,286 and $191,827 of consolidated variable interest entities,</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516,936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320,615</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Notes payable,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601,077</w:t>
            </w: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3,480,296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3,407,701</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190,340</w:t>
            </w:r>
          </w:p>
        </w:tc>
      </w:tr>
      <w:tr>
        <w:trPr>
          <w:trHeight w:val="229"/>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90,263</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28,508</w:t>
            </w: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77,743</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67,660</w:t>
            </w:r>
          </w:p>
        </w:tc>
      </w:tr>
      <w:tr>
        <w:trPr>
          <w:trHeight w:val="229"/>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225,443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237,699</w:t>
            </w:r>
          </w:p>
        </w:tc>
      </w:tr>
      <w:tr>
        <w:trPr>
          <w:trHeight w:val="223"/>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5,210,990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5,021,606</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178,370</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Preferred shares, authorized 15,000,000 shares, $0.01 par:</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6"/>
        </w:trPr>
        <w:tc>
          <w:tcPr>
            <w:tcW w:w="8560" w:type="dxa"/>
            <w:vAlign w:val="bottom"/>
            <w:shd w:val="clear" w:color="auto" w:fill="CCEEFF"/>
          </w:tcPr>
          <w:p>
            <w:pPr>
              <w:ind w:left="780"/>
              <w:spacing w:after="0" w:line="176" w:lineRule="exact"/>
              <w:rPr>
                <w:sz w:val="20"/>
                <w:szCs w:val="20"/>
                <w:color w:val="auto"/>
              </w:rPr>
            </w:pPr>
            <w:r>
              <w:rPr>
                <w:rFonts w:ascii="Times New Roman" w:cs="Times New Roman" w:eastAsia="Times New Roman" w:hAnsi="Times New Roman"/>
                <w:sz w:val="18"/>
                <w:szCs w:val="18"/>
                <w:color w:val="auto"/>
              </w:rPr>
              <w:t>5.0% Series C Cumulative Redeemable Preferred Shares, (stated at liquidation preference $25,000 per</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share), 6,000 shares issued and outstanding</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175"/>
        </w:trPr>
        <w:tc>
          <w:tcPr>
            <w:tcW w:w="8560" w:type="dxa"/>
            <w:vAlign w:val="bottom"/>
          </w:tcPr>
          <w:p>
            <w:pPr>
              <w:ind w:left="780"/>
              <w:spacing w:after="0" w:line="176" w:lineRule="exact"/>
              <w:rPr>
                <w:sz w:val="20"/>
                <w:szCs w:val="20"/>
                <w:color w:val="auto"/>
              </w:rPr>
            </w:pPr>
            <w:r>
              <w:rPr>
                <w:rFonts w:ascii="Times New Roman" w:cs="Times New Roman" w:eastAsia="Times New Roman" w:hAnsi="Times New Roman"/>
                <w:sz w:val="18"/>
                <w:szCs w:val="18"/>
                <w:color w:val="auto"/>
              </w:rPr>
              <w:t>5.417% Series 1 Cumulative Convertible Preferred Shares, (stated at liquidation preference $25 per share),</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8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392,878 shares issued and outstanding</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w:t>
            </w: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Common shares of beneficial interest, $0.01 par, 200,000,000 and 100,000,000 shares authorized,</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respectively, 82,775,286 and 81,342,959 shares issued and outstanding, respectively</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3,959,276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3,821,801</w:t>
            </w: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Accumulated dividends in excess of net income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(1,160,474)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(1,034,186)</w:t>
            </w:r>
          </w:p>
        </w:tc>
      </w:tr>
      <w:tr>
        <w:trPr>
          <w:trHeight w:val="229"/>
        </w:trPr>
        <w:tc>
          <w:tcPr>
            <w:tcW w:w="85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w:t>
            </w:r>
          </w:p>
        </w:tc>
      </w:tr>
      <w:tr>
        <w:trPr>
          <w:trHeight w:val="223"/>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 of the Trust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2,963,509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2,954,012</w:t>
            </w:r>
          </w:p>
        </w:tc>
      </w:tr>
      <w:tr>
        <w:trPr>
          <w:trHeight w:val="229"/>
        </w:trPr>
        <w:tc>
          <w:tcPr>
            <w:tcW w:w="85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78,650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80,003</w:t>
            </w:r>
          </w:p>
        </w:tc>
      </w:tr>
      <w:tr>
        <w:trPr>
          <w:trHeight w:val="223"/>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3,042,159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3,034,015</w:t>
            </w: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8,436,512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8,233,991</w:t>
            </w: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10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180"/>
          </w:cols>
          <w:pgMar w:left="360" w:top="1022" w:right="359"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Funds From Operations / Other Supplemental Information</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80" w:type="dxa"/>
            <w:vAlign w:val="bottom"/>
            <w:gridSpan w:val="6"/>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Funds from Operations available for common shareholders (FFO) (1)</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49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67,090</w:t>
            </w:r>
          </w:p>
        </w:tc>
        <w:tc>
          <w:tcPr>
            <w:tcW w:w="1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117,692</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247,217</w:t>
            </w: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395,661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(2,987)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Gain on deconsolidation of VIE</w:t>
            </w:r>
          </w:p>
        </w:tc>
        <w:tc>
          <w:tcPr>
            <w:tcW w:w="3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(70,374)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(8,179)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(63,760)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30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72,897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70,582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266,741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initial direct costs of leases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7,740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8,139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Funds from operations</w:t>
            </w:r>
          </w:p>
        </w:tc>
        <w:tc>
          <w:tcPr>
            <w:tcW w:w="30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136,561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130,654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515,643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on preferred shares (2)</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Income attributable to downREIT operating partnership units</w:t>
            </w:r>
          </w:p>
        </w:tc>
        <w:tc>
          <w:tcPr>
            <w:tcW w:w="30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attributable to unvested shares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gridSpan w:val="6"/>
          </w:tcPr>
          <w:p>
            <w:pPr>
              <w:ind w:left="320"/>
              <w:spacing w:after="0" w:line="196" w:lineRule="exact"/>
              <w:rPr>
                <w:sz w:val="20"/>
                <w:szCs w:val="20"/>
                <w:color w:val="auto"/>
              </w:rPr>
            </w:pPr>
            <w:r>
              <w:rPr>
                <w:rFonts w:ascii="Times New Roman" w:cs="Times New Roman" w:eastAsia="Times New Roman" w:hAnsi="Times New Roman"/>
                <w:sz w:val="18"/>
                <w:szCs w:val="18"/>
                <w:color w:val="auto"/>
              </w:rPr>
              <w:t>FFO</w:t>
            </w:r>
          </w:p>
        </w:tc>
        <w:tc>
          <w:tcPr>
            <w:tcW w:w="30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134,905</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rPr>
              <w:t>129,033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537,313</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509,156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Borders>
              <w:bottom w:val="single" w:sz="8" w:color="CCEEFF"/>
            </w:tcBorders>
            <w:shd w:val="clear" w:color="auto" w:fill="CCEEFF"/>
          </w:tcPr>
          <w:p>
            <w:pPr>
              <w:spacing w:after="0"/>
              <w:rPr>
                <w:sz w:val="18"/>
                <w:szCs w:val="18"/>
                <w:color w:val="auto"/>
              </w:rPr>
            </w:pPr>
          </w:p>
        </w:tc>
        <w:tc>
          <w:tcPr>
            <w:tcW w:w="5980" w:type="dxa"/>
            <w:vAlign w:val="bottom"/>
            <w:tcBorders>
              <w:bottom w:val="single" w:sz="8" w:color="CCEEFF"/>
            </w:tcBorders>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diluted (2)(3)</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82,346</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rPr>
              <w:t>81,707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82,044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80,603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bottom w:val="single" w:sz="8" w:color="CCEEFF"/>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FFO per diluted share (3)</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980" w:type="dxa"/>
            <w:vAlign w:val="bottom"/>
            <w:gridSpan w:val="6"/>
            <w:vMerge w:val="continue"/>
          </w:tcPr>
          <w:p>
            <w:pPr>
              <w:spacing w:after="0"/>
              <w:rPr>
                <w:sz w:val="15"/>
                <w:szCs w:val="15"/>
                <w:color w:val="auto"/>
              </w:rPr>
            </w:pPr>
          </w:p>
        </w:tc>
        <w:tc>
          <w:tcPr>
            <w:tcW w:w="300" w:type="dxa"/>
            <w:vAlign w:val="bottom"/>
            <w:tcBorders>
              <w:bottom w:val="single" w:sz="8" w:color="auto"/>
            </w:tcBorders>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2"/>
              <w:spacing w:after="0" w:line="176" w:lineRule="exact"/>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32"/>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31"/>
              <w:spacing w:after="0" w:line="176" w:lineRule="exact"/>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5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Dividends and Payout Ratios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Regular common dividends declared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90,219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87,844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Dividend payout ratio as a percentage of FFO</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Summary of Capital Expenditures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Non-maintenance capital expenditures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Development, redevelopment and expansions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31,370</w:t>
            </w:r>
          </w:p>
        </w:tc>
        <w:tc>
          <w:tcPr>
            <w:tcW w:w="12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72,531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193,298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288,518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98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Tenant improvements and incentives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17,358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23,993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Total non-maintenance capital expenditures</w:t>
            </w:r>
          </w:p>
        </w:tc>
        <w:tc>
          <w:tcPr>
            <w:tcW w:w="30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48,728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96,524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367,658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98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8,643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11,981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57,371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108,505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288,397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403,568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 costs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7,272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Share-based compensation expense (non-cash)</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3,477</w:t>
            </w:r>
          </w:p>
        </w:tc>
        <w:tc>
          <w:tcPr>
            <w:tcW w:w="12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13,704</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Noncontrolling Interests Supplemental Information (4)</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operating income (1)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4,268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(1,809)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2,294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73"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59" w:lineRule="exact"/>
        <w:rPr>
          <w:rFonts w:ascii="Times New Roman" w:cs="Times New Roman" w:eastAsia="Times New Roman" w:hAnsi="Times New Roman"/>
          <w:sz w:val="16"/>
          <w:szCs w:val="16"/>
          <w:color w:val="auto"/>
        </w:rPr>
      </w:pPr>
    </w:p>
    <w:p>
      <w:pPr>
        <w:ind w:left="660" w:right="600" w:hanging="652"/>
        <w:spacing w:after="0" w:line="283" w:lineRule="auto"/>
        <w:tabs>
          <w:tab w:leader="none" w:pos="65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For the three months and year ended December 31, 2023 and 2022, dividends on our Series 1 preferred stock were not deducted in the calculation of FFO available to common shareholders, as the related shares were dilutive and are included in "weighted average number of common shares, diluted."</w:t>
      </w:r>
    </w:p>
    <w:p>
      <w:pPr>
        <w:spacing w:after="0" w:line="11" w:lineRule="exact"/>
        <w:rPr>
          <w:rFonts w:ascii="Times New Roman" w:cs="Times New Roman" w:eastAsia="Times New Roman" w:hAnsi="Times New Roman"/>
          <w:sz w:val="17"/>
          <w:szCs w:val="17"/>
          <w:color w:val="auto"/>
        </w:rPr>
      </w:pPr>
    </w:p>
    <w:p>
      <w:pPr>
        <w:ind w:left="660" w:right="120" w:hanging="652"/>
        <w:spacing w:after="0" w:line="264" w:lineRule="auto"/>
        <w:tabs>
          <w:tab w:leader="none" w:pos="65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For the three months and year ended December 31, 2023, the weighted average common shares used to compute FFO per diluted common share includes downREIT operating partnership units that were excluded from the computation of diluted EPS. Conversion of these operating partnership units is dilutive in the computation of FFO per diluted share, but is anti-dilutive for the computation of dilutive EPS for these periods.</w:t>
      </w:r>
    </w:p>
    <w:p>
      <w:pPr>
        <w:spacing w:after="0" w:line="28" w:lineRule="exact"/>
        <w:rPr>
          <w:rFonts w:ascii="Times New Roman" w:cs="Times New Roman" w:eastAsia="Times New Roman" w:hAnsi="Times New Roman"/>
          <w:sz w:val="17"/>
          <w:szCs w:val="17"/>
          <w:color w:val="auto"/>
        </w:rPr>
      </w:pPr>
    </w:p>
    <w:p>
      <w:pPr>
        <w:ind w:left="660" w:right="260" w:hanging="652"/>
        <w:spacing w:after="0" w:line="280"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the components of "net income attributable to noncontrolling interests," but excludes "income attributable to downREIT operating partnership units."</w:t>
      </w:r>
    </w:p>
    <w:p>
      <w:pPr>
        <w:sectPr>
          <w:pgSz w:w="11900" w:h="16838" w:orient="portrait"/>
          <w:cols w:equalWidth="0" w:num="1">
            <w:col w:w="11220"/>
          </w:cols>
          <w:pgMar w:left="320" w:top="1143" w:right="359" w:bottom="1440" w:gutter="0" w:footer="0" w:header="0"/>
        </w:sect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1143" w:right="359" w:bottom="1440" w:gutter="0" w:footer="0" w:header="0"/>
          <w:type w:val="continuous"/>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Components of Rental Income</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Components of Rental Income (1)</w:t>
            </w:r>
          </w:p>
        </w:tc>
        <w:tc>
          <w:tcPr>
            <w:tcW w:w="280" w:type="dxa"/>
            <w:vAlign w:val="bottom"/>
          </w:tcPr>
          <w:p>
            <w:pPr>
              <w:spacing w:after="0"/>
              <w:rPr>
                <w:sz w:val="19"/>
                <w:szCs w:val="19"/>
                <w:color w:val="auto"/>
              </w:rPr>
            </w:pPr>
          </w:p>
        </w:tc>
        <w:tc>
          <w:tcPr>
            <w:tcW w:w="23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9"/>
                <w:szCs w:val="19"/>
                <w:color w:val="auto"/>
              </w:rPr>
            </w:pPr>
          </w:p>
        </w:tc>
        <w:tc>
          <w:tcPr>
            <w:tcW w:w="1300" w:type="dxa"/>
            <w:vAlign w:val="bottom"/>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80" w:type="dxa"/>
            <w:vAlign w:val="bottom"/>
          </w:tcPr>
          <w:p>
            <w:pPr>
              <w:spacing w:after="0"/>
              <w:rPr>
                <w:sz w:val="19"/>
                <w:szCs w:val="19"/>
                <w:color w:val="auto"/>
              </w:rPr>
            </w:pPr>
          </w:p>
        </w:tc>
      </w:tr>
      <w:tr>
        <w:trPr>
          <w:trHeight w:val="195"/>
        </w:trPr>
        <w:tc>
          <w:tcPr>
            <w:tcW w:w="6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spacing w:after="0"/>
              <w:rPr>
                <w:sz w:val="16"/>
                <w:szCs w:val="16"/>
                <w:color w:val="auto"/>
              </w:rPr>
            </w:pPr>
          </w:p>
        </w:tc>
      </w:tr>
      <w:tr>
        <w:trPr>
          <w:trHeight w:val="23"/>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6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0"/>
        </w:trPr>
        <w:tc>
          <w:tcPr>
            <w:tcW w:w="6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4"/>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Minimum rents (2)</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7"/>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Commercial</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190,122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180,746</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742,977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700,517</w:t>
            </w:r>
          </w:p>
        </w:tc>
      </w:tr>
      <w:tr>
        <w:trPr>
          <w:trHeight w:val="226"/>
        </w:trPr>
        <w:tc>
          <w:tcPr>
            <w:tcW w:w="60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Residential</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25,482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98,233</w:t>
            </w:r>
          </w:p>
        </w:tc>
      </w:tr>
      <w:tr>
        <w:trPr>
          <w:trHeight w:val="23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reimbursements</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56,110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53,401</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211,693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200,393</w:t>
            </w:r>
          </w:p>
        </w:tc>
      </w:tr>
      <w:tr>
        <w:trPr>
          <w:trHeight w:val="226"/>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rents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18,803</w:t>
            </w:r>
          </w:p>
        </w:tc>
      </w:tr>
      <w:tr>
        <w:trPr>
          <w:trHeight w:val="23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(3)</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12,637</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53,835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51,374</w:t>
            </w:r>
          </w:p>
        </w:tc>
      </w:tr>
      <w:tr>
        <w:trPr>
          <w:trHeight w:val="226"/>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Collectibility related impacts (4)</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3,972</w:t>
            </w:r>
          </w:p>
        </w:tc>
      </w:tr>
      <w:tr>
        <w:trPr>
          <w:trHeight w:val="252"/>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rental income</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291,532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279,776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1,131,041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1,073,292</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p>
    <w:p>
      <w:pPr>
        <w:spacing w:after="0" w:line="75" w:lineRule="exact"/>
        <w:rPr>
          <w:sz w:val="20"/>
          <w:szCs w:val="20"/>
          <w:color w:val="auto"/>
        </w:rPr>
      </w:pPr>
    </w:p>
    <w:p>
      <w:pPr>
        <w:ind w:left="660" w:right="240" w:hanging="652"/>
        <w:spacing w:after="0" w:line="265" w:lineRule="auto"/>
        <w:tabs>
          <w:tab w:leader="none" w:pos="65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income from tenant leases is reported as a single line item called "rental income." We have provided the above supplemental information with a breakout of the contractual components of the rental income line, however, these breakouts are provided for informational purposes only and should be considered a non-GAAP presentation.</w:t>
      </w:r>
    </w:p>
    <w:p>
      <w:pPr>
        <w:spacing w:after="0" w:line="13"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rents include the following:</w:t>
      </w:r>
    </w:p>
    <w:p>
      <w:pPr>
        <w:spacing w:after="0" w:line="45" w:lineRule="exact"/>
        <w:rPr>
          <w:sz w:val="20"/>
          <w:szCs w:val="20"/>
          <w:color w:val="auto"/>
        </w:rPr>
      </w:pPr>
    </w:p>
    <w:tbl>
      <w:tblPr>
        <w:tblLayout w:type="fixed"/>
        <w:tblInd w:w="80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12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0" w:type="dxa"/>
            <w:vAlign w:val="bottom"/>
          </w:tcPr>
          <w:p>
            <w:pPr>
              <w:spacing w:after="0"/>
              <w:rPr>
                <w:sz w:val="16"/>
                <w:szCs w:val="16"/>
                <w:color w:val="auto"/>
              </w:rPr>
            </w:pPr>
          </w:p>
        </w:tc>
      </w:tr>
      <w:tr>
        <w:trPr>
          <w:trHeight w:val="203"/>
        </w:trPr>
        <w:tc>
          <w:tcPr>
            <w:tcW w:w="5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7"/>
                <w:szCs w:val="17"/>
                <w:color w:val="auto"/>
              </w:rPr>
            </w:pPr>
          </w:p>
        </w:tc>
      </w:tr>
      <w:tr>
        <w:trPr>
          <w:trHeight w:val="23"/>
        </w:trPr>
        <w:tc>
          <w:tcPr>
            <w:tcW w:w="5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0"/>
        </w:trPr>
        <w:tc>
          <w:tcPr>
            <w:tcW w:w="5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88"/>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Straight-line rents</w:t>
            </w:r>
          </w:p>
        </w:tc>
        <w:tc>
          <w:tcPr>
            <w:tcW w:w="780" w:type="dxa"/>
            <w:vAlign w:val="bottom"/>
          </w:tcPr>
          <w:p>
            <w:pPr>
              <w:jc w:val="right"/>
              <w:ind w:right="601"/>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3.0</w:t>
            </w:r>
          </w:p>
        </w:tc>
        <w:tc>
          <w:tcPr>
            <w:tcW w:w="900" w:type="dxa"/>
            <w:vAlign w:val="bottom"/>
          </w:tcPr>
          <w:p>
            <w:pPr>
              <w:jc w:val="right"/>
              <w:ind w:right="639"/>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24"/>
                <w:szCs w:val="24"/>
                <w:color w:val="auto"/>
              </w:rPr>
            </w:pP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11.6</w:t>
            </w:r>
          </w:p>
        </w:tc>
        <w:tc>
          <w:tcPr>
            <w:tcW w:w="4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r>
      <w:tr>
        <w:trPr>
          <w:trHeight w:val="23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in-place leases</w:t>
            </w: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3.0</w:t>
            </w:r>
          </w:p>
        </w:tc>
        <w:tc>
          <w:tcPr>
            <w:tcW w:w="90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12.6</w:t>
            </w:r>
          </w:p>
        </w:tc>
        <w:tc>
          <w:tcPr>
            <w:tcW w:w="4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r>
    </w:tbl>
    <w:p>
      <w:pPr>
        <w:spacing w:after="0" w:line="127" w:lineRule="exact"/>
        <w:rPr>
          <w:sz w:val="20"/>
          <w:szCs w:val="20"/>
          <w:color w:val="auto"/>
        </w:rPr>
      </w:pPr>
    </w:p>
    <w:p>
      <w:pPr>
        <w:ind w:left="660" w:right="180" w:hanging="652"/>
        <w:spacing w:after="0" w:line="281" w:lineRule="auto"/>
        <w:tabs>
          <w:tab w:leader="none" w:pos="65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Includes lease termination fees of $1.3 million and $1.1 million for the three months ended December 31, 2023 and 2022, respectively, and $6.9 million and $9.5 million for the </w:t>
      </w:r>
      <w:r>
        <w:rPr>
          <w:rFonts w:ascii="Times New Roman" w:cs="Times New Roman" w:eastAsia="Times New Roman" w:hAnsi="Times New Roman"/>
          <w:sz w:val="16"/>
          <w:szCs w:val="16"/>
          <w:color w:val="auto"/>
        </w:rPr>
        <w:t>year</w:t>
      </w:r>
      <w:r>
        <w:rPr>
          <w:rFonts w:ascii="Times New Roman" w:cs="Times New Roman" w:eastAsia="Times New Roman" w:hAnsi="Times New Roman"/>
          <w:sz w:val="17"/>
          <w:szCs w:val="17"/>
          <w:color w:val="auto"/>
        </w:rPr>
        <w:t xml:space="preserve"> ended December 31, 2023 and 2022, respectively.</w:t>
      </w:r>
    </w:p>
    <w:p>
      <w:pPr>
        <w:spacing w:after="0" w:line="1" w:lineRule="exact"/>
        <w:rPr>
          <w:rFonts w:ascii="Times New Roman" w:cs="Times New Roman" w:eastAsia="Times New Roman" w:hAnsi="Times New Roman"/>
          <w:sz w:val="17"/>
          <w:szCs w:val="17"/>
          <w:color w:val="auto"/>
        </w:rPr>
      </w:pPr>
    </w:p>
    <w:p>
      <w:pPr>
        <w:ind w:left="660" w:right="140" w:hanging="652"/>
        <w:spacing w:after="0" w:line="273" w:lineRule="auto"/>
        <w:tabs>
          <w:tab w:leader="none" w:pos="65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collectability related impacts include the collection of approximately $1.1 million and $1.8 million, for the three months ended December 31, 2023 and 2022, respectively, and $5.1 million and $8.9 million for the </w:t>
      </w:r>
      <w:r>
        <w:rPr>
          <w:rFonts w:ascii="Times New Roman" w:cs="Times New Roman" w:eastAsia="Times New Roman" w:hAnsi="Times New Roman"/>
          <w:sz w:val="16"/>
          <w:szCs w:val="16"/>
          <w:color w:val="auto"/>
        </w:rPr>
        <w:t>year</w:t>
      </w:r>
      <w:r>
        <w:rPr>
          <w:rFonts w:ascii="Times New Roman" w:cs="Times New Roman" w:eastAsia="Times New Roman" w:hAnsi="Times New Roman"/>
          <w:sz w:val="17"/>
          <w:szCs w:val="17"/>
          <w:color w:val="auto"/>
        </w:rPr>
        <w:t xml:space="preserve"> ended December 31, 2023 and 2022, respectively, of prior period rents which were contractually deferred or payments renegotiated specifically related to the COVID-19 pandemic.</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022" w:right="359"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5"/>
          <w:szCs w:val="15"/>
          <w:b w:val="1"/>
          <w:bCs w:val="1"/>
          <w:color w:val="auto"/>
        </w:rPr>
        <w:t>Federal Realty Investment Trust</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Comparable Property Information</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December 31, 2023</w:t>
      </w:r>
    </w:p>
    <w:p>
      <w:pPr>
        <w:spacing w:after="0" w:line="88" w:lineRule="exact"/>
        <w:rPr>
          <w:sz w:val="20"/>
          <w:szCs w:val="20"/>
          <w:color w:val="auto"/>
        </w:rPr>
      </w:pPr>
    </w:p>
    <w:p>
      <w:pPr>
        <w:ind w:left="40" w:right="400"/>
        <w:spacing w:after="0" w:line="227" w:lineRule="auto"/>
        <w:rPr>
          <w:sz w:val="20"/>
          <w:szCs w:val="20"/>
          <w:color w:val="auto"/>
        </w:rPr>
      </w:pPr>
      <w:r>
        <w:rPr>
          <w:rFonts w:ascii="Times New Roman" w:cs="Times New Roman" w:eastAsia="Times New Roman" w:hAnsi="Times New Roman"/>
          <w:sz w:val="15"/>
          <w:szCs w:val="15"/>
          <w:color w:val="auto"/>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w:t>
      </w:r>
    </w:p>
    <w:p>
      <w:pPr>
        <w:ind w:left="40" w:right="160"/>
        <w:spacing w:after="0" w:line="212" w:lineRule="auto"/>
        <w:rPr>
          <w:sz w:val="20"/>
          <w:szCs w:val="20"/>
          <w:color w:val="auto"/>
        </w:rPr>
      </w:pPr>
      <w:r>
        <w:rPr>
          <w:rFonts w:ascii="Times New Roman" w:cs="Times New Roman" w:eastAsia="Times New Roman" w:hAnsi="Times New Roman"/>
          <w:sz w:val="15"/>
          <w:szCs w:val="15"/>
          <w:color w:val="auto"/>
        </w:rPr>
        <w:t>development or being repositioned for significant redevelopment and investment. The assets excluded from Comparable Properties in Q4 include: Assembly Row Phase III, Darien Commons, Friendship Center, Huntington Shopping Center, Pike &amp; Rose Phases III and IV, Willow Grove Shopping Center, and all properties acquired, disposed of, or not consolidated from Q4 2022 to Q4 2023. Comparable Property property operating income ("Comparable Property POI") is a non-GAAP measure used by management in evaluating</w:t>
      </w:r>
    </w:p>
    <w:p>
      <w:pPr>
        <w:spacing w:after="0" w:line="2" w:lineRule="exact"/>
        <w:rPr>
          <w:sz w:val="20"/>
          <w:szCs w:val="20"/>
          <w:color w:val="auto"/>
        </w:rPr>
      </w:pPr>
    </w:p>
    <w:p>
      <w:pPr>
        <w:ind w:left="40" w:right="240"/>
        <w:spacing w:after="0" w:line="230" w:lineRule="auto"/>
        <w:rPr>
          <w:sz w:val="20"/>
          <w:szCs w:val="20"/>
          <w:color w:val="auto"/>
        </w:rPr>
      </w:pPr>
      <w:r>
        <w:rPr>
          <w:rFonts w:ascii="Times New Roman" w:cs="Times New Roman" w:eastAsia="Times New Roman" w:hAnsi="Times New Roman"/>
          <w:sz w:val="15"/>
          <w:szCs w:val="15"/>
          <w:color w:val="auto"/>
        </w:rPr>
        <w:t>the operating performance of our properties period over period. The amounts shown below for the years ended December 31, 2023 and 2022 reflect the summation of our reported quarterly results.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900" w:type="dxa"/>
            <w:vAlign w:val="bottom"/>
            <w:gridSpan w:val="5"/>
          </w:tcPr>
          <w:p>
            <w:pPr>
              <w:spacing w:after="0"/>
              <w:rPr>
                <w:sz w:val="20"/>
                <w:szCs w:val="20"/>
                <w:color w:val="auto"/>
              </w:rPr>
            </w:pPr>
            <w:r>
              <w:rPr>
                <w:rFonts w:ascii="Times New Roman" w:cs="Times New Roman" w:eastAsia="Times New Roman" w:hAnsi="Times New Roman"/>
                <w:sz w:val="15"/>
                <w:szCs w:val="15"/>
                <w:i w:val="1"/>
                <w:iCs w:val="1"/>
                <w:color w:val="auto"/>
              </w:rPr>
              <w:t>Reconciliation of GAAP operating income to Comparable Property POI</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5"/>
        </w:trPr>
        <w:tc>
          <w:tcPr>
            <w:tcW w:w="29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4"/>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840" w:type="dxa"/>
            <w:vAlign w:val="bottom"/>
          </w:tcPr>
          <w:p>
            <w:pPr>
              <w:spacing w:after="0"/>
              <w:rPr>
                <w:sz w:val="18"/>
                <w:szCs w:val="18"/>
                <w:color w:val="auto"/>
              </w:rPr>
            </w:pPr>
          </w:p>
        </w:tc>
      </w:tr>
      <w:tr>
        <w:trPr>
          <w:trHeight w:val="206"/>
        </w:trPr>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left="40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740" w:type="dxa"/>
            <w:vAlign w:val="bottom"/>
            <w:tcBorders>
              <w:bottom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40" w:type="dxa"/>
            <w:vAlign w:val="bottom"/>
          </w:tcPr>
          <w:p>
            <w:pPr>
              <w:spacing w:after="0"/>
              <w:rPr>
                <w:sz w:val="17"/>
                <w:szCs w:val="17"/>
                <w:color w:val="auto"/>
              </w:rPr>
            </w:pPr>
          </w:p>
        </w:tc>
      </w:tr>
      <w:tr>
        <w:trPr>
          <w:trHeight w:val="200"/>
        </w:trPr>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40" w:type="dxa"/>
            <w:vAlign w:val="bottom"/>
          </w:tcPr>
          <w:p>
            <w:pPr>
              <w:spacing w:after="0"/>
              <w:rPr>
                <w:sz w:val="17"/>
                <w:szCs w:val="17"/>
                <w:color w:val="auto"/>
              </w:rPr>
            </w:pPr>
          </w:p>
        </w:tc>
      </w:tr>
      <w:tr>
        <w:trPr>
          <w:trHeight w:val="196"/>
        </w:trPr>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4"/>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gridSpan w:val="4"/>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40" w:type="dxa"/>
            <w:vAlign w:val="bottom"/>
          </w:tcPr>
          <w:p>
            <w:pPr>
              <w:spacing w:after="0"/>
              <w:rPr>
                <w:sz w:val="17"/>
                <w:szCs w:val="17"/>
                <w:color w:val="auto"/>
              </w:rPr>
            </w:pPr>
          </w:p>
        </w:tc>
      </w:tr>
      <w:tr>
        <w:trPr>
          <w:trHeight w:val="203"/>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108,777</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155,097</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406,470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526,408</w:t>
            </w:r>
          </w:p>
        </w:tc>
        <w:tc>
          <w:tcPr>
            <w:tcW w:w="840" w:type="dxa"/>
            <w:vAlign w:val="bottom"/>
            <w:shd w:val="clear" w:color="auto" w:fill="CCEEFF"/>
          </w:tcPr>
          <w:p>
            <w:pPr>
              <w:spacing w:after="0"/>
              <w:rPr>
                <w:sz w:val="17"/>
                <w:szCs w:val="17"/>
                <w:color w:val="auto"/>
              </w:rPr>
            </w:pPr>
          </w:p>
        </w:tc>
      </w:tr>
      <w:tr>
        <w:trPr>
          <w:trHeight w:val="200"/>
        </w:trPr>
        <w:tc>
          <w:tcPr>
            <w:tcW w:w="49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Add: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5"/>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82,421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79,165</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321,763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302,409</w:t>
            </w:r>
          </w:p>
        </w:tc>
        <w:tc>
          <w:tcPr>
            <w:tcW w:w="840" w:type="dxa"/>
            <w:vAlign w:val="bottom"/>
            <w:shd w:val="clear" w:color="auto" w:fill="CCEEFF"/>
          </w:tcPr>
          <w:p>
            <w:pPr>
              <w:spacing w:after="0"/>
              <w:rPr>
                <w:sz w:val="17"/>
                <w:szCs w:val="17"/>
                <w:color w:val="auto"/>
              </w:rPr>
            </w:pPr>
          </w:p>
        </w:tc>
      </w:tr>
      <w:tr>
        <w:trPr>
          <w:trHeight w:val="200"/>
        </w:trPr>
        <w:tc>
          <w:tcPr>
            <w:tcW w:w="49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13,100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13,590</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50,707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52,636</w:t>
            </w:r>
          </w:p>
        </w:tc>
        <w:tc>
          <w:tcPr>
            <w:tcW w:w="840" w:type="dxa"/>
            <w:vAlign w:val="bottom"/>
          </w:tcPr>
          <w:p>
            <w:pPr>
              <w:spacing w:after="0"/>
              <w:rPr>
                <w:sz w:val="17"/>
                <w:szCs w:val="17"/>
                <w:color w:val="auto"/>
              </w:rPr>
            </w:pPr>
          </w:p>
        </w:tc>
      </w:tr>
      <w:tr>
        <w:trPr>
          <w:trHeight w:val="205"/>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Gain on deconsolidation of VIE</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(70,374)</w:t>
            </w:r>
          </w:p>
        </w:tc>
        <w:tc>
          <w:tcPr>
            <w:tcW w:w="840" w:type="dxa"/>
            <w:vAlign w:val="bottom"/>
            <w:shd w:val="clear" w:color="auto" w:fill="CCEEFF"/>
          </w:tcPr>
          <w:p>
            <w:pPr>
              <w:spacing w:after="0"/>
              <w:rPr>
                <w:sz w:val="17"/>
                <w:szCs w:val="17"/>
                <w:color w:val="auto"/>
              </w:rPr>
            </w:pPr>
          </w:p>
        </w:tc>
      </w:tr>
      <w:tr>
        <w:trPr>
          <w:trHeight w:val="200"/>
        </w:trPr>
        <w:tc>
          <w:tcPr>
            <w:tcW w:w="49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5"/>
                <w:szCs w:val="15"/>
                <w:color w:val="auto"/>
              </w:rPr>
              <w:t>Gain on sale of real estate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(8,179)</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(63,760)</w:t>
            </w:r>
          </w:p>
        </w:tc>
        <w:tc>
          <w:tcPr>
            <w:tcW w:w="8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(9,881)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(93,483)</w:t>
            </w:r>
          </w:p>
        </w:tc>
        <w:tc>
          <w:tcPr>
            <w:tcW w:w="840" w:type="dxa"/>
            <w:vAlign w:val="bottom"/>
            <w:tcBorders>
              <w:bottom w:val="single" w:sz="8" w:color="CCEEFF"/>
            </w:tcBorders>
          </w:tcPr>
          <w:p>
            <w:pPr>
              <w:spacing w:after="0"/>
              <w:rPr>
                <w:sz w:val="17"/>
                <w:szCs w:val="17"/>
                <w:color w:val="auto"/>
              </w:rPr>
            </w:pPr>
          </w:p>
        </w:tc>
      </w:tr>
      <w:tr>
        <w:trPr>
          <w:trHeight w:val="198"/>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operating income (POI)</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196,119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184,092</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769,059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717,596</w:t>
            </w:r>
          </w:p>
        </w:tc>
        <w:tc>
          <w:tcPr>
            <w:tcW w:w="840" w:type="dxa"/>
            <w:vAlign w:val="bottom"/>
            <w:shd w:val="clear" w:color="auto" w:fill="CCEEFF"/>
          </w:tcPr>
          <w:p>
            <w:pPr>
              <w:spacing w:after="0"/>
              <w:rPr>
                <w:sz w:val="17"/>
                <w:szCs w:val="17"/>
                <w:color w:val="auto"/>
              </w:rPr>
            </w:pPr>
          </w:p>
        </w:tc>
      </w:tr>
      <w:tr>
        <w:trPr>
          <w:trHeight w:val="200"/>
        </w:trPr>
        <w:tc>
          <w:tcPr>
            <w:tcW w:w="49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Less: Non-comparable POI - acquisitions/dispositions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(961)</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(11,218)</w:t>
            </w:r>
          </w:p>
        </w:tc>
        <w:tc>
          <w:tcPr>
            <w:tcW w:w="840" w:type="dxa"/>
            <w:vAlign w:val="bottom"/>
          </w:tcPr>
          <w:p>
            <w:pPr>
              <w:spacing w:after="0"/>
              <w:rPr>
                <w:sz w:val="17"/>
                <w:szCs w:val="17"/>
                <w:color w:val="auto"/>
              </w:rPr>
            </w:pPr>
          </w:p>
        </w:tc>
      </w:tr>
      <w:tr>
        <w:trPr>
          <w:trHeight w:val="205"/>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Non-comparable POI - redevelopment, development &amp; other</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(14,822)</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(9,696)</w:t>
            </w:r>
          </w:p>
        </w:tc>
        <w:tc>
          <w:tcPr>
            <w:tcW w:w="8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(63,005)</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(42,934)</w:t>
            </w:r>
          </w:p>
        </w:tc>
        <w:tc>
          <w:tcPr>
            <w:tcW w:w="840" w:type="dxa"/>
            <w:vAlign w:val="bottom"/>
            <w:shd w:val="clear" w:color="auto" w:fill="CCEEFF"/>
          </w:tcPr>
          <w:p>
            <w:pPr>
              <w:spacing w:after="0"/>
              <w:rPr>
                <w:sz w:val="17"/>
                <w:szCs w:val="17"/>
                <w:color w:val="auto"/>
              </w:rPr>
            </w:pPr>
          </w:p>
        </w:tc>
      </w:tr>
      <w:tr>
        <w:trPr>
          <w:trHeight w:val="192"/>
        </w:trPr>
        <w:tc>
          <w:tcPr>
            <w:tcW w:w="49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Comparable property POI</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180,425</w:t>
            </w:r>
          </w:p>
        </w:tc>
        <w:tc>
          <w:tcPr>
            <w:tcW w:w="80" w:type="dxa"/>
            <w:vAlign w:val="bottom"/>
          </w:tcPr>
          <w:p>
            <w:pPr>
              <w:spacing w:after="0"/>
              <w:rPr>
                <w:sz w:val="16"/>
                <w:szCs w:val="16"/>
                <w:color w:val="auto"/>
              </w:rPr>
            </w:pPr>
          </w:p>
        </w:tc>
        <w:tc>
          <w:tcPr>
            <w:tcW w:w="40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173,435</w:t>
            </w:r>
          </w:p>
        </w:tc>
        <w:tc>
          <w:tcPr>
            <w:tcW w:w="88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684,631</w:t>
            </w:r>
          </w:p>
        </w:tc>
        <w:tc>
          <w:tcPr>
            <w:tcW w:w="8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663,444</w:t>
            </w:r>
          </w:p>
        </w:tc>
        <w:tc>
          <w:tcPr>
            <w:tcW w:w="840" w:type="dxa"/>
            <w:vAlign w:val="bottom"/>
          </w:tcPr>
          <w:p>
            <w:pPr>
              <w:spacing w:after="0"/>
              <w:rPr>
                <w:sz w:val="16"/>
                <w:szCs w:val="16"/>
                <w:color w:val="auto"/>
              </w:rPr>
            </w:pPr>
          </w:p>
        </w:tc>
      </w:tr>
      <w:tr>
        <w:trPr>
          <w:trHeight w:val="261"/>
        </w:trPr>
        <w:tc>
          <w:tcPr>
            <w:tcW w:w="4900" w:type="dxa"/>
            <w:vAlign w:val="bottom"/>
            <w:gridSpan w:val="5"/>
          </w:tcPr>
          <w:p>
            <w:pPr>
              <w:spacing w:after="0"/>
              <w:rPr>
                <w:sz w:val="20"/>
                <w:szCs w:val="20"/>
                <w:color w:val="auto"/>
              </w:rPr>
            </w:pPr>
            <w:r>
              <w:rPr>
                <w:rFonts w:ascii="Times New Roman" w:cs="Times New Roman" w:eastAsia="Times New Roman" w:hAnsi="Times New Roman"/>
                <w:sz w:val="15"/>
                <w:szCs w:val="15"/>
                <w:i w:val="1"/>
                <w:iCs w:val="1"/>
                <w:color w:val="auto"/>
              </w:rPr>
              <w:t>Additional information regarding the components of Comparable Property POI</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15"/>
        </w:trPr>
        <w:tc>
          <w:tcPr>
            <w:tcW w:w="29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4"/>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840" w:type="dxa"/>
            <w:vAlign w:val="bottom"/>
          </w:tcPr>
          <w:p>
            <w:pPr>
              <w:spacing w:after="0"/>
              <w:rPr>
                <w:sz w:val="18"/>
                <w:szCs w:val="18"/>
                <w:color w:val="auto"/>
              </w:rPr>
            </w:pPr>
          </w:p>
        </w:tc>
      </w:tr>
      <w:tr>
        <w:trPr>
          <w:trHeight w:val="204"/>
        </w:trPr>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left="40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740" w:type="dxa"/>
            <w:vAlign w:val="bottom"/>
            <w:tcBorders>
              <w:bottom w:val="single" w:sz="8" w:color="auto"/>
            </w:tcBorders>
          </w:tcPr>
          <w:p>
            <w:pPr>
              <w:spacing w:after="0"/>
              <w:rPr>
                <w:sz w:val="17"/>
                <w:szCs w:val="17"/>
                <w:color w:val="auto"/>
              </w:rPr>
            </w:pPr>
          </w:p>
        </w:tc>
        <w:tc>
          <w:tcPr>
            <w:tcW w:w="88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2"/>
        </w:trPr>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196"/>
        </w:trPr>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4"/>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gridSpan w:val="4"/>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40" w:type="dxa"/>
            <w:vAlign w:val="bottom"/>
          </w:tcPr>
          <w:p>
            <w:pPr>
              <w:spacing w:after="0"/>
              <w:rPr>
                <w:sz w:val="17"/>
                <w:szCs w:val="17"/>
                <w:color w:val="auto"/>
              </w:rPr>
            </w:pPr>
          </w:p>
        </w:tc>
      </w:tr>
      <w:tr>
        <w:trPr>
          <w:trHeight w:val="203"/>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Minimum rents (1)</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198,717</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192,857</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754,648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731,273</w:t>
            </w:r>
          </w:p>
        </w:tc>
        <w:tc>
          <w:tcPr>
            <w:tcW w:w="840" w:type="dxa"/>
            <w:vAlign w:val="bottom"/>
            <w:shd w:val="clear" w:color="auto" w:fill="CCEEFF"/>
          </w:tcPr>
          <w:p>
            <w:pPr>
              <w:spacing w:after="0"/>
              <w:rPr>
                <w:sz w:val="17"/>
                <w:szCs w:val="17"/>
                <w:color w:val="auto"/>
              </w:rPr>
            </w:pPr>
          </w:p>
        </w:tc>
      </w:tr>
      <w:tr>
        <w:trPr>
          <w:trHeight w:val="200"/>
        </w:trPr>
        <w:tc>
          <w:tcPr>
            <w:tcW w:w="49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Cost reimbursements</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52,778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51,265</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194,252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188,380</w:t>
            </w:r>
          </w:p>
        </w:tc>
        <w:tc>
          <w:tcPr>
            <w:tcW w:w="840" w:type="dxa"/>
            <w:vAlign w:val="bottom"/>
          </w:tcPr>
          <w:p>
            <w:pPr>
              <w:spacing w:after="0"/>
              <w:rPr>
                <w:sz w:val="17"/>
                <w:szCs w:val="17"/>
                <w:color w:val="auto"/>
              </w:rPr>
            </w:pPr>
          </w:p>
        </w:tc>
      </w:tr>
      <w:tr>
        <w:trPr>
          <w:trHeight w:val="205"/>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14,448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13,889</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49,644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51,846</w:t>
            </w:r>
          </w:p>
        </w:tc>
        <w:tc>
          <w:tcPr>
            <w:tcW w:w="840" w:type="dxa"/>
            <w:vAlign w:val="bottom"/>
            <w:shd w:val="clear" w:color="auto" w:fill="CCEEFF"/>
          </w:tcPr>
          <w:p>
            <w:pPr>
              <w:spacing w:after="0"/>
              <w:rPr>
                <w:sz w:val="17"/>
                <w:szCs w:val="17"/>
                <w:color w:val="auto"/>
              </w:rPr>
            </w:pPr>
          </w:p>
        </w:tc>
      </w:tr>
      <w:tr>
        <w:trPr>
          <w:trHeight w:val="200"/>
        </w:trPr>
        <w:tc>
          <w:tcPr>
            <w:tcW w:w="49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5"/>
                <w:szCs w:val="15"/>
                <w:color w:val="auto"/>
              </w:rPr>
              <w:t>Collectibility related impacts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174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1,495</w:t>
            </w:r>
          </w:p>
        </w:tc>
        <w:tc>
          <w:tcPr>
            <w:tcW w:w="8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1,121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3,839</w:t>
            </w:r>
          </w:p>
        </w:tc>
        <w:tc>
          <w:tcPr>
            <w:tcW w:w="840" w:type="dxa"/>
            <w:vAlign w:val="bottom"/>
            <w:tcBorders>
              <w:bottom w:val="single" w:sz="8" w:color="CCEEFF"/>
            </w:tcBorders>
          </w:tcPr>
          <w:p>
            <w:pPr>
              <w:spacing w:after="0"/>
              <w:rPr>
                <w:sz w:val="17"/>
                <w:szCs w:val="17"/>
                <w:color w:val="auto"/>
              </w:rPr>
            </w:pPr>
          </w:p>
        </w:tc>
      </w:tr>
      <w:tr>
        <w:trPr>
          <w:trHeight w:val="198"/>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property revenue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266,117</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259,506</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999,665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975,338</w:t>
            </w:r>
          </w:p>
        </w:tc>
        <w:tc>
          <w:tcPr>
            <w:tcW w:w="840" w:type="dxa"/>
            <w:vAlign w:val="bottom"/>
            <w:shd w:val="clear" w:color="auto" w:fill="CCEEFF"/>
          </w:tcPr>
          <w:p>
            <w:pPr>
              <w:spacing w:after="0"/>
              <w:rPr>
                <w:sz w:val="17"/>
                <w:szCs w:val="17"/>
                <w:color w:val="auto"/>
              </w:rPr>
            </w:pPr>
          </w:p>
        </w:tc>
      </w:tr>
      <w:tr>
        <w:trPr>
          <w:trHeight w:val="94"/>
        </w:trPr>
        <w:tc>
          <w:tcPr>
            <w:tcW w:w="2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03"/>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Rental expenses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(55,058)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(54,955)</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(196,644)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(195,153)</w:t>
            </w:r>
          </w:p>
        </w:tc>
        <w:tc>
          <w:tcPr>
            <w:tcW w:w="840" w:type="dxa"/>
            <w:vAlign w:val="bottom"/>
            <w:shd w:val="clear" w:color="auto" w:fill="CCEEFF"/>
          </w:tcPr>
          <w:p>
            <w:pPr>
              <w:spacing w:after="0"/>
              <w:rPr>
                <w:sz w:val="17"/>
                <w:szCs w:val="17"/>
                <w:color w:val="auto"/>
              </w:rPr>
            </w:pPr>
          </w:p>
        </w:tc>
      </w:tr>
      <w:tr>
        <w:trPr>
          <w:trHeight w:val="200"/>
        </w:trPr>
        <w:tc>
          <w:tcPr>
            <w:tcW w:w="49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5"/>
                <w:szCs w:val="15"/>
                <w:color w:val="auto"/>
              </w:rPr>
              <w:t>Real estate taxes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(30,634)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(31,116)</w:t>
            </w:r>
          </w:p>
        </w:tc>
        <w:tc>
          <w:tcPr>
            <w:tcW w:w="8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(118,390)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(116,741)</w:t>
            </w:r>
          </w:p>
        </w:tc>
        <w:tc>
          <w:tcPr>
            <w:tcW w:w="840" w:type="dxa"/>
            <w:vAlign w:val="bottom"/>
            <w:tcBorders>
              <w:bottom w:val="single" w:sz="8" w:color="CCEEFF"/>
            </w:tcBorders>
          </w:tcPr>
          <w:p>
            <w:pPr>
              <w:spacing w:after="0"/>
              <w:rPr>
                <w:sz w:val="17"/>
                <w:szCs w:val="17"/>
                <w:color w:val="auto"/>
              </w:rPr>
            </w:pPr>
          </w:p>
        </w:tc>
      </w:tr>
      <w:tr>
        <w:trPr>
          <w:trHeight w:val="198"/>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property expenses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(85,692)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(86,071)</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(315,034)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(311,894)</w:t>
            </w:r>
          </w:p>
        </w:tc>
        <w:tc>
          <w:tcPr>
            <w:tcW w:w="840" w:type="dxa"/>
            <w:vAlign w:val="bottom"/>
            <w:shd w:val="clear" w:color="auto" w:fill="CCEEFF"/>
          </w:tcPr>
          <w:p>
            <w:pPr>
              <w:spacing w:after="0"/>
              <w:rPr>
                <w:sz w:val="17"/>
                <w:szCs w:val="17"/>
                <w:color w:val="auto"/>
              </w:rPr>
            </w:pPr>
          </w:p>
        </w:tc>
      </w:tr>
      <w:tr>
        <w:trPr>
          <w:trHeight w:val="94"/>
        </w:trPr>
        <w:tc>
          <w:tcPr>
            <w:tcW w:w="2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03"/>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Comparable property POI</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180,425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173,435</w:t>
            </w:r>
          </w:p>
        </w:tc>
        <w:tc>
          <w:tcPr>
            <w:tcW w:w="880" w:type="dxa"/>
            <w:vAlign w:val="bottom"/>
            <w:shd w:val="clear" w:color="auto" w:fill="CCEEFF"/>
          </w:tcPr>
          <w:p>
            <w:pPr>
              <w:jc w:val="center"/>
              <w:ind w:right="4"/>
              <w:spacing w:after="0"/>
              <w:rPr>
                <w:sz w:val="20"/>
                <w:szCs w:val="20"/>
                <w:color w:val="auto"/>
              </w:rPr>
            </w:pPr>
            <w:r>
              <w:rPr>
                <w:rFonts w:ascii="Times New Roman" w:cs="Times New Roman" w:eastAsia="Times New Roman" w:hAnsi="Times New Roman"/>
                <w:sz w:val="15"/>
                <w:szCs w:val="15"/>
                <w:color w:val="auto"/>
              </w:rPr>
              <w:t>4.0%</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684,631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663,444</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w:t>
            </w:r>
          </w:p>
        </w:tc>
      </w:tr>
      <w:tr>
        <w:trPr>
          <w:trHeight w:val="200"/>
        </w:trPr>
        <w:tc>
          <w:tcPr>
            <w:tcW w:w="49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Less: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5"/>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 termination fees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(1,066)</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(6,640)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(9,340)</w:t>
            </w:r>
          </w:p>
        </w:tc>
        <w:tc>
          <w:tcPr>
            <w:tcW w:w="840" w:type="dxa"/>
            <w:vAlign w:val="bottom"/>
            <w:shd w:val="clear" w:color="auto" w:fill="CCEEFF"/>
          </w:tcPr>
          <w:p>
            <w:pPr>
              <w:spacing w:after="0"/>
              <w:rPr>
                <w:sz w:val="17"/>
                <w:szCs w:val="17"/>
                <w:color w:val="auto"/>
              </w:rPr>
            </w:pPr>
          </w:p>
        </w:tc>
      </w:tr>
      <w:tr>
        <w:trPr>
          <w:trHeight w:val="200"/>
        </w:trPr>
        <w:tc>
          <w:tcPr>
            <w:tcW w:w="49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5"/>
                <w:szCs w:val="15"/>
                <w:color w:val="auto"/>
              </w:rPr>
              <w:t>Prior period rents collected (2)</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(993)</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(1,746)</w:t>
            </w:r>
          </w:p>
        </w:tc>
        <w:tc>
          <w:tcPr>
            <w:tcW w:w="8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(4,346)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(8,103)</w:t>
            </w:r>
          </w:p>
        </w:tc>
        <w:tc>
          <w:tcPr>
            <w:tcW w:w="840" w:type="dxa"/>
            <w:vAlign w:val="bottom"/>
            <w:tcBorders>
              <w:bottom w:val="single" w:sz="8" w:color="CCEEFF"/>
            </w:tcBorders>
          </w:tcPr>
          <w:p>
            <w:pPr>
              <w:spacing w:after="0"/>
              <w:rPr>
                <w:sz w:val="17"/>
                <w:szCs w:val="17"/>
                <w:color w:val="auto"/>
              </w:rPr>
            </w:pPr>
          </w:p>
        </w:tc>
      </w:tr>
      <w:tr>
        <w:trPr>
          <w:trHeight w:val="131"/>
        </w:trPr>
        <w:tc>
          <w:tcPr>
            <w:tcW w:w="4900" w:type="dxa"/>
            <w:vAlign w:val="bottom"/>
            <w:gridSpan w:val="5"/>
            <w:shd w:val="clear" w:color="auto" w:fill="CCEEFF"/>
          </w:tcPr>
          <w:p>
            <w:pPr>
              <w:spacing w:after="0" w:line="131" w:lineRule="exact"/>
              <w:rPr>
                <w:sz w:val="20"/>
                <w:szCs w:val="20"/>
                <w:color w:val="auto"/>
              </w:rPr>
            </w:pPr>
            <w:r>
              <w:rPr>
                <w:rFonts w:ascii="Times New Roman" w:cs="Times New Roman" w:eastAsia="Times New Roman" w:hAnsi="Times New Roman"/>
                <w:sz w:val="15"/>
                <w:szCs w:val="15"/>
                <w:color w:val="auto"/>
              </w:rPr>
              <w:t>Comparable property POI excluding lease termination fees and prior period</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216"/>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rents collected</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178,151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170,623</w:t>
            </w:r>
          </w:p>
        </w:tc>
        <w:tc>
          <w:tcPr>
            <w:tcW w:w="880" w:type="dxa"/>
            <w:vAlign w:val="bottom"/>
            <w:shd w:val="clear" w:color="auto" w:fill="CCEEFF"/>
          </w:tcPr>
          <w:p>
            <w:pPr>
              <w:jc w:val="center"/>
              <w:ind w:right="4"/>
              <w:spacing w:after="0"/>
              <w:rPr>
                <w:sz w:val="20"/>
                <w:szCs w:val="20"/>
                <w:color w:val="auto"/>
              </w:rPr>
            </w:pPr>
            <w:r>
              <w:rPr>
                <w:rFonts w:ascii="Times New Roman" w:cs="Times New Roman" w:eastAsia="Times New Roman" w:hAnsi="Times New Roman"/>
                <w:sz w:val="15"/>
                <w:szCs w:val="15"/>
                <w:color w:val="auto"/>
              </w:rPr>
              <w:t>4.4%</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673,645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646,001</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4.3%</w:t>
            </w:r>
          </w:p>
        </w:tc>
      </w:tr>
      <w:tr>
        <w:trPr>
          <w:trHeight w:val="257"/>
        </w:trPr>
        <w:tc>
          <w:tcPr>
            <w:tcW w:w="4900" w:type="dxa"/>
            <w:vAlign w:val="bottom"/>
            <w:gridSpan w:val="5"/>
          </w:tcPr>
          <w:p>
            <w:pPr>
              <w:spacing w:after="0"/>
              <w:rPr>
                <w:sz w:val="20"/>
                <w:szCs w:val="20"/>
                <w:color w:val="auto"/>
              </w:rPr>
            </w:pPr>
            <w:r>
              <w:rPr>
                <w:rFonts w:ascii="Times New Roman" w:cs="Times New Roman" w:eastAsia="Times New Roman" w:hAnsi="Times New Roman"/>
                <w:sz w:val="15"/>
                <w:szCs w:val="15"/>
                <w:i w:val="1"/>
                <w:iCs w:val="1"/>
                <w:color w:val="auto"/>
              </w:rPr>
              <w:t>Comparable Property - Summary of Capital Expenditures (3)</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15"/>
        </w:trPr>
        <w:tc>
          <w:tcPr>
            <w:tcW w:w="29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4"/>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840" w:type="dxa"/>
            <w:vAlign w:val="bottom"/>
          </w:tcPr>
          <w:p>
            <w:pPr>
              <w:spacing w:after="0"/>
              <w:rPr>
                <w:sz w:val="18"/>
                <w:szCs w:val="18"/>
                <w:color w:val="auto"/>
              </w:rPr>
            </w:pPr>
          </w:p>
        </w:tc>
      </w:tr>
      <w:tr>
        <w:trPr>
          <w:trHeight w:val="207"/>
        </w:trPr>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left="40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740" w:type="dxa"/>
            <w:vAlign w:val="bottom"/>
            <w:tcBorders>
              <w:bottom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40" w:type="dxa"/>
            <w:vAlign w:val="bottom"/>
          </w:tcPr>
          <w:p>
            <w:pPr>
              <w:spacing w:after="0"/>
              <w:rPr>
                <w:sz w:val="17"/>
                <w:szCs w:val="17"/>
                <w:color w:val="auto"/>
              </w:rPr>
            </w:pPr>
          </w:p>
        </w:tc>
      </w:tr>
      <w:tr>
        <w:trPr>
          <w:trHeight w:val="200"/>
        </w:trPr>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40" w:type="dxa"/>
            <w:vAlign w:val="bottom"/>
          </w:tcPr>
          <w:p>
            <w:pPr>
              <w:spacing w:after="0"/>
              <w:rPr>
                <w:sz w:val="17"/>
                <w:szCs w:val="17"/>
                <w:color w:val="auto"/>
              </w:rPr>
            </w:pPr>
          </w:p>
        </w:tc>
      </w:tr>
      <w:tr>
        <w:trPr>
          <w:trHeight w:val="196"/>
        </w:trPr>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4"/>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gridSpan w:val="4"/>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40" w:type="dxa"/>
            <w:vAlign w:val="bottom"/>
          </w:tcPr>
          <w:p>
            <w:pPr>
              <w:spacing w:after="0"/>
              <w:rPr>
                <w:sz w:val="17"/>
                <w:szCs w:val="17"/>
                <w:color w:val="auto"/>
              </w:rPr>
            </w:pPr>
          </w:p>
        </w:tc>
      </w:tr>
      <w:tr>
        <w:trPr>
          <w:trHeight w:val="203"/>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Redevelopment and tenant improvements and incentives</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27,217</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41,964</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123,378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147,454</w:t>
            </w:r>
          </w:p>
        </w:tc>
        <w:tc>
          <w:tcPr>
            <w:tcW w:w="840" w:type="dxa"/>
            <w:vAlign w:val="bottom"/>
            <w:shd w:val="clear" w:color="auto" w:fill="CCEEFF"/>
          </w:tcPr>
          <w:p>
            <w:pPr>
              <w:spacing w:after="0"/>
              <w:rPr>
                <w:sz w:val="17"/>
                <w:szCs w:val="17"/>
                <w:color w:val="auto"/>
              </w:rPr>
            </w:pPr>
          </w:p>
        </w:tc>
      </w:tr>
      <w:tr>
        <w:trPr>
          <w:trHeight w:val="200"/>
        </w:trPr>
        <w:tc>
          <w:tcPr>
            <w:tcW w:w="49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5"/>
                <w:szCs w:val="15"/>
                <w:color w:val="auto"/>
              </w:rPr>
              <w:t>Maintenance capital expenditures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8,569</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12,026</w:t>
            </w:r>
          </w:p>
        </w:tc>
        <w:tc>
          <w:tcPr>
            <w:tcW w:w="8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21,464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34,607</w:t>
            </w:r>
          </w:p>
        </w:tc>
        <w:tc>
          <w:tcPr>
            <w:tcW w:w="840" w:type="dxa"/>
            <w:vAlign w:val="bottom"/>
            <w:tcBorders>
              <w:bottom w:val="single" w:sz="8" w:color="CCEEFF"/>
            </w:tcBorders>
          </w:tcPr>
          <w:p>
            <w:pPr>
              <w:spacing w:after="0"/>
              <w:rPr>
                <w:sz w:val="17"/>
                <w:szCs w:val="17"/>
                <w:color w:val="auto"/>
              </w:rPr>
            </w:pPr>
          </w:p>
        </w:tc>
      </w:tr>
      <w:tr>
        <w:trPr>
          <w:trHeight w:val="198"/>
        </w:trPr>
        <w:tc>
          <w:tcPr>
            <w:tcW w:w="29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35,786</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53,990</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144,842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182,061</w:t>
            </w:r>
          </w:p>
        </w:tc>
        <w:tc>
          <w:tcPr>
            <w:tcW w:w="840" w:type="dxa"/>
            <w:vAlign w:val="bottom"/>
            <w:shd w:val="clear" w:color="auto" w:fill="CCEEFF"/>
          </w:tcPr>
          <w:p>
            <w:pPr>
              <w:spacing w:after="0"/>
              <w:rPr>
                <w:sz w:val="17"/>
                <w:szCs w:val="17"/>
                <w:color w:val="auto"/>
              </w:rPr>
            </w:pPr>
          </w:p>
        </w:tc>
      </w:tr>
      <w:tr>
        <w:trPr>
          <w:trHeight w:val="256"/>
        </w:trPr>
        <w:tc>
          <w:tcPr>
            <w:tcW w:w="4900" w:type="dxa"/>
            <w:vAlign w:val="bottom"/>
            <w:gridSpan w:val="5"/>
          </w:tcPr>
          <w:p>
            <w:pPr>
              <w:spacing w:after="0"/>
              <w:rPr>
                <w:sz w:val="20"/>
                <w:szCs w:val="20"/>
                <w:color w:val="auto"/>
              </w:rPr>
            </w:pPr>
            <w:r>
              <w:rPr>
                <w:rFonts w:ascii="Times New Roman" w:cs="Times New Roman" w:eastAsia="Times New Roman" w:hAnsi="Times New Roman"/>
                <w:sz w:val="15"/>
                <w:szCs w:val="15"/>
                <w:i w:val="1"/>
                <w:iCs w:val="1"/>
                <w:color w:val="auto"/>
              </w:rPr>
              <w:t>Comparable Property - Occupancy Statistics (3)</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19"/>
        </w:trPr>
        <w:tc>
          <w:tcPr>
            <w:tcW w:w="296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At December 31,</w:t>
            </w:r>
          </w:p>
        </w:tc>
        <w:tc>
          <w:tcPr>
            <w:tcW w:w="840" w:type="dxa"/>
            <w:vAlign w:val="bottom"/>
          </w:tcPr>
          <w:p>
            <w:pPr>
              <w:spacing w:after="0"/>
              <w:rPr>
                <w:sz w:val="19"/>
                <w:szCs w:val="19"/>
                <w:color w:val="auto"/>
              </w:rPr>
            </w:pPr>
          </w:p>
        </w:tc>
      </w:tr>
      <w:tr>
        <w:trPr>
          <w:trHeight w:val="200"/>
        </w:trPr>
        <w:tc>
          <w:tcPr>
            <w:tcW w:w="29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40" w:type="dxa"/>
            <w:vAlign w:val="bottom"/>
            <w:tcBorders>
              <w:bottom w:val="single" w:sz="8" w:color="CCEEFF"/>
            </w:tcBorders>
          </w:tcPr>
          <w:p>
            <w:pPr>
              <w:spacing w:after="0"/>
              <w:rPr>
                <w:sz w:val="17"/>
                <w:szCs w:val="17"/>
                <w:color w:val="auto"/>
              </w:rPr>
            </w:pPr>
          </w:p>
        </w:tc>
      </w:tr>
      <w:tr>
        <w:trPr>
          <w:trHeight w:val="196"/>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GLA - comparable commercial properties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24,538,000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24,578,000</w:t>
            </w:r>
          </w:p>
        </w:tc>
        <w:tc>
          <w:tcPr>
            <w:tcW w:w="840" w:type="dxa"/>
            <w:vAlign w:val="bottom"/>
            <w:shd w:val="clear" w:color="auto" w:fill="CCEEFF"/>
          </w:tcPr>
          <w:p>
            <w:pPr>
              <w:spacing w:after="0"/>
              <w:rPr>
                <w:sz w:val="17"/>
                <w:szCs w:val="17"/>
                <w:color w:val="auto"/>
              </w:rPr>
            </w:pPr>
          </w:p>
        </w:tc>
      </w:tr>
      <w:tr>
        <w:trPr>
          <w:trHeight w:val="200"/>
        </w:trPr>
        <w:tc>
          <w:tcPr>
            <w:tcW w:w="49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Leased % - comparable commercial properties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94.4%</w:t>
            </w:r>
          </w:p>
        </w:tc>
        <w:tc>
          <w:tcPr>
            <w:tcW w:w="840" w:type="dxa"/>
            <w:vAlign w:val="bottom"/>
          </w:tcPr>
          <w:p>
            <w:pPr>
              <w:spacing w:after="0"/>
              <w:rPr>
                <w:sz w:val="17"/>
                <w:szCs w:val="17"/>
                <w:color w:val="auto"/>
              </w:rPr>
            </w:pPr>
          </w:p>
        </w:tc>
      </w:tr>
      <w:tr>
        <w:trPr>
          <w:trHeight w:val="205"/>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Occupancy % - comparable commercial properties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92.7%</w:t>
            </w:r>
          </w:p>
        </w:tc>
        <w:tc>
          <w:tcPr>
            <w:tcW w:w="840" w:type="dxa"/>
            <w:vAlign w:val="bottom"/>
            <w:shd w:val="clear" w:color="auto" w:fill="CCEEFF"/>
          </w:tcPr>
          <w:p>
            <w:pPr>
              <w:spacing w:after="0"/>
              <w:rPr>
                <w:sz w:val="17"/>
                <w:szCs w:val="17"/>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Notes:</w:t>
      </w:r>
    </w:p>
    <w:p>
      <w:pPr>
        <w:spacing w:after="0" w:line="6" w:lineRule="exact"/>
        <w:rPr>
          <w:sz w:val="20"/>
          <w:szCs w:val="20"/>
          <w:color w:val="auto"/>
        </w:rPr>
      </w:pPr>
    </w:p>
    <w:p>
      <w:pPr>
        <w:ind w:left="660" w:right="160" w:hanging="652"/>
        <w:spacing w:after="0" w:line="253" w:lineRule="auto"/>
        <w:tabs>
          <w:tab w:leader="none" w:pos="649"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months ended December 31, 2023 and 2022, amount includes straight-line rents of $1.9 million and $2.9 million, respectively, and $6.7 million and $9.0 million for the year ended December 31, 2023 and 2022, respectively. For both the three months ended December 31, 2023 and 2022, amount includes amortization of in-place leases of $3.0 million, and $10.8 million and $10.6 million for the year ended December 31, 2023 and 2022, respectively.</w:t>
      </w:r>
    </w:p>
    <w:p>
      <w:pPr>
        <w:spacing w:after="0" w:line="1" w:lineRule="exact"/>
        <w:rPr>
          <w:rFonts w:ascii="Times New Roman" w:cs="Times New Roman" w:eastAsia="Times New Roman" w:hAnsi="Times New Roman"/>
          <w:sz w:val="15"/>
          <w:szCs w:val="15"/>
          <w:color w:val="auto"/>
        </w:rPr>
      </w:pPr>
    </w:p>
    <w:p>
      <w:pPr>
        <w:ind w:left="640" w:hanging="632"/>
        <w:spacing w:after="0"/>
        <w:tabs>
          <w:tab w:leader="none" w:pos="6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 represents collection of prior period rents which were contractually deferred or payment renegotiated specifically related to the COVID-19 pandemic.</w:t>
      </w:r>
    </w:p>
    <w:p>
      <w:pPr>
        <w:spacing w:after="0" w:line="9" w:lineRule="exact"/>
        <w:rPr>
          <w:rFonts w:ascii="Times New Roman" w:cs="Times New Roman" w:eastAsia="Times New Roman" w:hAnsi="Times New Roman"/>
          <w:sz w:val="15"/>
          <w:szCs w:val="15"/>
          <w:color w:val="auto"/>
        </w:rPr>
      </w:pPr>
    </w:p>
    <w:p>
      <w:pPr>
        <w:ind w:left="640" w:hanging="632"/>
        <w:spacing w:after="0"/>
        <w:tabs>
          <w:tab w:leader="none" w:pos="6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page 10 for "Summary of Capital Expenditures" and page 26 for portfolio occupancy statistics for our entire portfolio.</w:t>
      </w:r>
    </w:p>
    <w:p>
      <w:pPr>
        <w:sectPr>
          <w:pgSz w:w="11900" w:h="16838" w:orient="portrait"/>
          <w:cols w:equalWidth="0" w:num="1">
            <w:col w:w="11220"/>
          </w:cols>
          <w:pgMar w:left="320" w:top="604" w:right="359" w:bottom="1440" w:gutter="0" w:footer="0" w:header="0"/>
        </w:sectPr>
      </w:pP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604" w:right="359" w:bottom="1440" w:gutter="0" w:footer="0" w:header="0"/>
          <w:type w:val="continuous"/>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Market Data and Leverage and Liquidity Ratios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bottom w:val="single" w:sz="8" w:color="auto"/>
            </w:tcBorders>
          </w:tcPr>
          <w:p>
            <w:pPr>
              <w:spacing w:after="0"/>
              <w:rPr>
                <w:sz w:val="17"/>
                <w:szCs w:val="17"/>
                <w:color w:val="auto"/>
              </w:rPr>
            </w:pPr>
          </w:p>
        </w:tc>
      </w:tr>
      <w:tr>
        <w:trPr>
          <w:trHeight w:val="196"/>
        </w:trPr>
        <w:tc>
          <w:tcPr>
            <w:tcW w:w="8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8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6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3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shares outstanding and downREIT operating partnership units (1)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83,411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81,988</w:t>
            </w:r>
          </w:p>
        </w:tc>
      </w:tr>
      <w:tr>
        <w:trPr>
          <w:trHeight w:val="229"/>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Market price per common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w:t>
            </w:r>
          </w:p>
        </w:tc>
      </w:tr>
      <w:tr>
        <w:trPr>
          <w:trHeight w:val="223"/>
        </w:trPr>
        <w:tc>
          <w:tcPr>
            <w:tcW w:w="80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Common equity market capitalization including downREIT operating partnership units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8,595,504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8,284,068</w:t>
            </w:r>
          </w:p>
        </w:tc>
      </w:tr>
      <w:tr>
        <w:trPr>
          <w:trHeight w:val="196"/>
        </w:trPr>
        <w:tc>
          <w:tcPr>
            <w:tcW w:w="8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9"/>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Series C preferred shares outstanding</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Liquidation price per Series C preferred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23"/>
        </w:trPr>
        <w:tc>
          <w:tcPr>
            <w:tcW w:w="80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Series C preferred equity market capitalization</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196"/>
        </w:trPr>
        <w:tc>
          <w:tcPr>
            <w:tcW w:w="8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9"/>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Series 1 preferred shares outstanding (2)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9"/>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Liquidation price per Series 1 preferred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3"/>
        </w:trPr>
        <w:tc>
          <w:tcPr>
            <w:tcW w:w="80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Series 1 preferred equity market capitalization</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9,825</w:t>
            </w:r>
          </w:p>
        </w:tc>
      </w:tr>
      <w:tr>
        <w:trPr>
          <w:trHeight w:val="196"/>
        </w:trPr>
        <w:tc>
          <w:tcPr>
            <w:tcW w:w="8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9"/>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market capitalization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8,755,329</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8,443,893</w:t>
            </w:r>
          </w:p>
        </w:tc>
      </w:tr>
      <w:tr>
        <w:trPr>
          <w:trHeight w:val="216"/>
        </w:trPr>
        <w:tc>
          <w:tcPr>
            <w:tcW w:w="8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4,599,177</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4,329,393</w:t>
            </w:r>
          </w:p>
        </w:tc>
      </w:tr>
      <w:tr>
        <w:trPr>
          <w:trHeight w:val="229"/>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(250,825)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(85,558)</w:t>
            </w:r>
          </w:p>
        </w:tc>
      </w:tr>
      <w:tr>
        <w:trPr>
          <w:trHeight w:val="223"/>
        </w:trPr>
        <w:tc>
          <w:tcPr>
            <w:tcW w:w="80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Total net debt (3)</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4,348,352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4,243,835</w:t>
            </w:r>
          </w:p>
        </w:tc>
      </w:tr>
      <w:tr>
        <w:trPr>
          <w:trHeight w:val="196"/>
        </w:trPr>
        <w:tc>
          <w:tcPr>
            <w:tcW w:w="8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market capitalization</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13,103,681</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12,687,728</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8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Leverage and Liquidity Ratios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net debt to market capitalization at market price per common share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175"/>
        </w:trPr>
        <w:tc>
          <w:tcPr>
            <w:tcW w:w="808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Ratio of EBITDAre to combined fixed charges and preferred share dividends, three months ended (4)</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3.5x</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3.7x</w:t>
            </w:r>
          </w:p>
        </w:tc>
      </w:tr>
      <w:tr>
        <w:trPr>
          <w:trHeight w:val="230"/>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Ratio of EBITDAre to combined fixed charges and preferred share dividends, year ended (4)(5)</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3.6x</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4.0x</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73"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635,431 and 644,554 downREIT operating partnership units outstanding at December 31, 2023 and 2022, respectively.</w:t>
      </w:r>
    </w:p>
    <w:p>
      <w:pPr>
        <w:spacing w:after="0" w:line="59"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shares, issued March 8, 2007, are unregistered.</w:t>
      </w:r>
    </w:p>
    <w:p>
      <w:pPr>
        <w:spacing w:after="0" w:line="59" w:lineRule="exact"/>
        <w:rPr>
          <w:rFonts w:ascii="Times New Roman" w:cs="Times New Roman" w:eastAsia="Times New Roman" w:hAnsi="Times New Roman"/>
          <w:sz w:val="16"/>
          <w:szCs w:val="16"/>
          <w:color w:val="auto"/>
        </w:rPr>
      </w:pPr>
    </w:p>
    <w:p>
      <w:pPr>
        <w:ind w:left="660" w:right="20" w:hanging="652"/>
        <w:spacing w:after="0" w:line="290"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net debt includes mortgages payable, notes payable, senior notes and debentures, net of premiums/discounts and debt issuance costs and net of cash and cash equivalents from our consolidated balance sheet.</w:t>
      </w:r>
    </w:p>
    <w:p>
      <w:pPr>
        <w:ind w:left="660" w:hanging="652"/>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EBITDAre is reconciled to net income in the Glossary of Terms.</w:t>
      </w:r>
    </w:p>
    <w:p>
      <w:pPr>
        <w:spacing w:after="0" w:line="72" w:lineRule="exact"/>
        <w:rPr>
          <w:rFonts w:ascii="Times New Roman" w:cs="Times New Roman" w:eastAsia="Times New Roman" w:hAnsi="Times New Roman"/>
          <w:sz w:val="16"/>
          <w:szCs w:val="16"/>
          <w:color w:val="auto"/>
        </w:rPr>
      </w:pPr>
    </w:p>
    <w:p>
      <w:pPr>
        <w:ind w:left="660" w:right="80" w:hanging="652"/>
        <w:spacing w:after="0" w:line="280"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Fixed charges consist of interest on borrowed funds and finance leases (including capitalized interest), amortization of debt discount/premium and debt costs, and the portion of rent expense representing an interest factor.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1022" w:right="35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Summary of Outstanding Debt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Stated maturity date</w:t>
            </w: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Stated interest rate</w:t>
            </w:r>
          </w:p>
        </w:tc>
        <w:tc>
          <w:tcPr>
            <w:tcW w:w="140" w:type="dxa"/>
            <w:vAlign w:val="bottom"/>
          </w:tcPr>
          <w:p>
            <w:pPr>
              <w:spacing w:after="0"/>
              <w:rPr>
                <w:sz w:val="11"/>
                <w:szCs w:val="11"/>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jc w:val="right"/>
              <w:ind w:right="99"/>
              <w:spacing w:after="0" w:line="135"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880" w:type="dxa"/>
            <w:vAlign w:val="bottom"/>
            <w:gridSpan w:val="2"/>
            <w:vMerge w:val="continue"/>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effective rate (7)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4180" w:type="dxa"/>
            <w:vAlign w:val="bottom"/>
            <w:gridSpan w:val="4"/>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Mortgages Payable (1)</w:t>
            </w:r>
          </w:p>
        </w:tc>
        <w:tc>
          <w:tcPr>
            <w:tcW w:w="1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i w:val="1"/>
                <w:iCs w:val="1"/>
                <w:color w:val="auto"/>
              </w:rPr>
              <w:t>Secured fixed rate</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Azalea</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11/1/2025</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Bethesda Row</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12/28/2025 (2)</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5.03% (3)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Bell Gardens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8/1/2026</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4.06%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Plaza El Segundo</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6/5/2027</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The Grove at Shrewsbury (East)</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9/1/2027</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Brook 35</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7/1/2029</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Hoboken (24 Buildings)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12/15/2029</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3.67% (3)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53,617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Various Hoboken (14 Buildings)</w:t>
            </w: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Various through 2029</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3.91% to 5.00%</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29,878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Chelsea</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1/15/2031</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5.36%</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180" w:type="dxa"/>
            <w:vAlign w:val="bottom"/>
            <w:gridSpan w:val="4"/>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519,144</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Net unamortized debt issuance costs and discount</w:t>
            </w:r>
          </w:p>
        </w:tc>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180" w:type="dxa"/>
            <w:vAlign w:val="bottom"/>
            <w:tcBorders>
              <w:bottom w:val="single" w:sz="8" w:color="CCEEFF"/>
            </w:tcBorders>
            <w:gridSpan w:val="4"/>
          </w:tcPr>
          <w:p>
            <w:pPr>
              <w:ind w:left="700"/>
              <w:spacing w:after="0"/>
              <w:rPr>
                <w:sz w:val="20"/>
                <w:szCs w:val="20"/>
                <w:color w:val="auto"/>
              </w:rPr>
            </w:pPr>
            <w:r>
              <w:rPr>
                <w:rFonts w:ascii="Times New Roman" w:cs="Times New Roman" w:eastAsia="Times New Roman" w:hAnsi="Times New Roman"/>
                <w:sz w:val="16"/>
                <w:szCs w:val="16"/>
                <w:color w:val="auto"/>
              </w:rPr>
              <w:t>Total mortgages payable, net</w:t>
            </w:r>
          </w:p>
        </w:tc>
        <w:tc>
          <w:tcPr>
            <w:tcW w:w="17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516,936</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ind w:right="241"/>
              <w:spacing w:after="0"/>
              <w:rPr>
                <w:sz w:val="20"/>
                <w:szCs w:val="20"/>
                <w:color w:val="auto"/>
              </w:rPr>
            </w:pPr>
            <w:r>
              <w:rPr>
                <w:rFonts w:ascii="Times New Roman" w:cs="Times New Roman" w:eastAsia="Times New Roman" w:hAnsi="Times New Roman"/>
                <w:sz w:val="16"/>
                <w:szCs w:val="16"/>
                <w:color w:val="auto"/>
              </w:rPr>
              <w:t>4.50%</w:t>
            </w:r>
          </w:p>
        </w:tc>
        <w:tc>
          <w:tcPr>
            <w:tcW w:w="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8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Notes payable</w:t>
            </w: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Term Loan (4)(5)</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4/16/2024</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SOFR + 0.85%</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Revolving Credit Facility (5)(6)</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4/5/2027</w:t>
            </w:r>
          </w:p>
        </w:tc>
        <w:tc>
          <w:tcPr>
            <w:tcW w:w="14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SOFR + 0.775%</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Various</w:t>
            </w:r>
          </w:p>
        </w:tc>
        <w:tc>
          <w:tcPr>
            <w:tcW w:w="18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Various through 2059</w:t>
            </w:r>
          </w:p>
        </w:tc>
        <w:tc>
          <w:tcPr>
            <w:tcW w:w="1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Various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180" w:type="dxa"/>
            <w:vAlign w:val="bottom"/>
            <w:gridSpan w:val="4"/>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602,387</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Net unamortized debt issuance costs</w:t>
            </w:r>
          </w:p>
        </w:tc>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180" w:type="dxa"/>
            <w:vAlign w:val="bottom"/>
            <w:tcBorders>
              <w:bottom w:val="single" w:sz="8" w:color="CCEEFF"/>
            </w:tcBorders>
            <w:gridSpan w:val="4"/>
          </w:tcPr>
          <w:p>
            <w:pPr>
              <w:ind w:left="700"/>
              <w:spacing w:after="0"/>
              <w:rPr>
                <w:sz w:val="20"/>
                <w:szCs w:val="20"/>
                <w:color w:val="auto"/>
              </w:rPr>
            </w:pPr>
            <w:r>
              <w:rPr>
                <w:rFonts w:ascii="Times New Roman" w:cs="Times New Roman" w:eastAsia="Times New Roman" w:hAnsi="Times New Roman"/>
                <w:sz w:val="16"/>
                <w:szCs w:val="16"/>
                <w:color w:val="auto"/>
              </w:rPr>
              <w:t>Total notes payable, net</w:t>
            </w:r>
          </w:p>
        </w:tc>
        <w:tc>
          <w:tcPr>
            <w:tcW w:w="17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601,945</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ind w:right="241"/>
              <w:spacing w:after="0"/>
              <w:rPr>
                <w:sz w:val="20"/>
                <w:szCs w:val="20"/>
                <w:color w:val="auto"/>
              </w:rPr>
            </w:pPr>
            <w:r>
              <w:rPr>
                <w:rFonts w:ascii="Times New Roman" w:cs="Times New Roman" w:eastAsia="Times New Roman" w:hAnsi="Times New Roman"/>
                <w:sz w:val="16"/>
                <w:szCs w:val="16"/>
                <w:color w:val="auto"/>
              </w:rPr>
              <w:t>6.56%</w:t>
            </w:r>
          </w:p>
        </w:tc>
        <w:tc>
          <w:tcPr>
            <w:tcW w:w="40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Senior notes and debentures</w:t>
            </w: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3.95% notes</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1/15/2024</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1.25% notes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2/15/2026</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7.48% debentures</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8/15/2026</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3.25% notes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7/15/2027</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6.82% medium term notes</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8/1/2027</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5.375% notes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5/1/2028</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5.375%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3.20% notes</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6/15/2029</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3.50% notes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6/1/2030</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3.50%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4.50% notes</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12/1/2044</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3.625% notes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8/1/2046</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3.625%</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180" w:type="dxa"/>
            <w:vAlign w:val="bottom"/>
            <w:gridSpan w:val="4"/>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3,494,200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Net unamortized debt issuance costs and premium</w:t>
            </w:r>
          </w:p>
        </w:tc>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180" w:type="dxa"/>
            <w:vAlign w:val="bottom"/>
            <w:tcBorders>
              <w:bottom w:val="single" w:sz="8" w:color="CCEEFF"/>
            </w:tcBorders>
            <w:gridSpan w:val="4"/>
          </w:tcPr>
          <w:p>
            <w:pPr>
              <w:ind w:left="700"/>
              <w:spacing w:after="0"/>
              <w:rPr>
                <w:sz w:val="20"/>
                <w:szCs w:val="20"/>
                <w:color w:val="auto"/>
              </w:rPr>
            </w:pPr>
            <w:r>
              <w:rPr>
                <w:rFonts w:ascii="Times New Roman" w:cs="Times New Roman" w:eastAsia="Times New Roman" w:hAnsi="Times New Roman"/>
                <w:sz w:val="16"/>
                <w:szCs w:val="16"/>
                <w:color w:val="auto"/>
              </w:rPr>
              <w:t>Total senior notes and debentures, net</w:t>
            </w:r>
          </w:p>
        </w:tc>
        <w:tc>
          <w:tcPr>
            <w:tcW w:w="17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3,480,296</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ind w:right="241"/>
              <w:spacing w:after="0"/>
              <w:rPr>
                <w:sz w:val="20"/>
                <w:szCs w:val="20"/>
                <w:color w:val="auto"/>
              </w:rPr>
            </w:pPr>
            <w:r>
              <w:rPr>
                <w:rFonts w:ascii="Times New Roman" w:cs="Times New Roman" w:eastAsia="Times New Roman" w:hAnsi="Times New Roman"/>
                <w:sz w:val="16"/>
                <w:szCs w:val="16"/>
                <w:color w:val="auto"/>
              </w:rPr>
              <w:t>3.75%</w:t>
            </w:r>
          </w:p>
        </w:tc>
        <w:tc>
          <w:tcPr>
            <w:tcW w:w="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Total debt, net</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4,599,177</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36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 fixed rate debt, net</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3,999,592</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10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3.85%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variable rate debt, net</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599,585</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6.55%</w:t>
            </w:r>
          </w:p>
        </w:tc>
        <w:tc>
          <w:tcPr>
            <w:tcW w:w="4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 debt, net</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4,599,177</w:t>
            </w: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4.20%</w:t>
            </w:r>
          </w:p>
        </w:tc>
        <w:tc>
          <w:tcPr>
            <w:tcW w:w="4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69" w:lineRule="exact"/>
        <w:rPr>
          <w:sz w:val="20"/>
          <w:szCs w:val="20"/>
          <w:color w:val="auto"/>
        </w:rPr>
      </w:pPr>
    </w:p>
    <w:p>
      <w:pPr>
        <w:ind w:left="660" w:right="20" w:hanging="652"/>
        <w:spacing w:after="0" w:line="301" w:lineRule="auto"/>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Mortgages payable does not include our share of debt on our unconsolidated real estate partnerships. At December 31, 2023, our share of unconsolidated debt was approximately $62.4 million. At December 31, 2023, our noncontrolling interests' share of mortgages payable was $15.4 million.</w:t>
      </w:r>
    </w:p>
    <w:p>
      <w:pPr>
        <w:spacing w:after="0" w:line="1"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two one-year extensions, at our option to extend the maturity date to December 28, 2027.</w:t>
      </w:r>
    </w:p>
    <w:p>
      <w:pPr>
        <w:spacing w:after="0" w:line="68"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loans have interest rate swap agreements that effectively fix the interest rate through the initial maturity date.</w:t>
      </w:r>
    </w:p>
    <w:p>
      <w:pPr>
        <w:spacing w:after="0" w:line="55"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6, 2024, we extended the maturity date to April 16, 2025, with an additional one year extension at our option still available to further extend the loan to April 16, 2026.</w:t>
      </w:r>
    </w:p>
    <w:p>
      <w:pPr>
        <w:spacing w:after="0" w:line="68" w:lineRule="exact"/>
        <w:rPr>
          <w:rFonts w:ascii="Times New Roman" w:cs="Times New Roman" w:eastAsia="Times New Roman" w:hAnsi="Times New Roman"/>
          <w:sz w:val="14"/>
          <w:szCs w:val="14"/>
          <w:color w:val="auto"/>
        </w:rPr>
      </w:pPr>
    </w:p>
    <w:p>
      <w:pPr>
        <w:ind w:left="660" w:right="580" w:hanging="652"/>
        <w:spacing w:after="0" w:line="301" w:lineRule="auto"/>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revolving credit facility SOFR loans bear interest at Daily Simple SOFR or Term SOFR and our term loan bears interest at Term SOFR as defined in the respective credit agreements, plus 0.10%, plus a spread, based on our current credit rating.</w:t>
      </w:r>
    </w:p>
    <w:p>
      <w:pPr>
        <w:spacing w:after="0" w:line="1" w:lineRule="exact"/>
        <w:rPr>
          <w:rFonts w:ascii="Times New Roman" w:cs="Times New Roman" w:eastAsia="Times New Roman" w:hAnsi="Times New Roman"/>
          <w:sz w:val="14"/>
          <w:szCs w:val="14"/>
          <w:color w:val="auto"/>
        </w:rPr>
      </w:pPr>
    </w:p>
    <w:p>
      <w:pPr>
        <w:ind w:left="660" w:right="40" w:hanging="652"/>
        <w:spacing w:after="0" w:line="271" w:lineRule="auto"/>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amount drawn under our $1.25 billion revolving credit facility during the three months and year ended December 31, 2023 was $115.5 million for both periods. The weighted average interest rate on borrowings under our credit facility, before amortization of debt fees, for the three months and year ended December 31, 2023 was 6.19% and 5.90%, respectively.</w:t>
      </w:r>
    </w:p>
    <w:p>
      <w:pPr>
        <w:spacing w:after="0" w:line="21"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effective interest rate includes the amortization of any debt issuance costs and discounts and premiums, if applicable, except as described in Note 8.</w:t>
      </w:r>
    </w:p>
    <w:p>
      <w:pPr>
        <w:spacing w:after="0" w:line="68"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effective interest rate excludes $0.9 million in quarterly financing fees and quarterly debt fee amortization on our revolving credit facility.</w:t>
      </w:r>
    </w:p>
    <w:p>
      <w:pPr>
        <w:sectPr>
          <w:pgSz w:w="11900" w:h="16838" w:orient="portrait"/>
          <w:cols w:equalWidth="0" w:num="1">
            <w:col w:w="11240"/>
          </w:cols>
          <w:pgMar w:left="320" w:top="704" w:right="339"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704" w:right="339" w:bottom="1440" w:gutter="0" w:footer="0" w:header="0"/>
          <w:type w:val="continuous"/>
        </w:sectPr>
      </w:pPr>
    </w:p>
    <w:bookmarkStart w:id="17" w:name="page18"/>
    <w:bookmarkEnd w:id="17"/>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Summary of Debt Maturities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00" w:type="dxa"/>
            <w:vAlign w:val="bottom"/>
          </w:tcPr>
          <w:p>
            <w:pPr>
              <w:spacing w:after="0"/>
              <w:rPr>
                <w:sz w:val="16"/>
                <w:szCs w:val="16"/>
                <w:color w:val="auto"/>
              </w:rPr>
            </w:pPr>
          </w:p>
        </w:tc>
        <w:tc>
          <w:tcPr>
            <w:tcW w:w="164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Scheduled</w:t>
            </w:r>
          </w:p>
        </w:tc>
        <w:tc>
          <w:tcPr>
            <w:tcW w:w="220" w:type="dxa"/>
            <w:vAlign w:val="bottom"/>
          </w:tcPr>
          <w:p>
            <w:pPr>
              <w:spacing w:after="0"/>
              <w:rPr>
                <w:sz w:val="16"/>
                <w:szCs w:val="16"/>
                <w:color w:val="auto"/>
              </w:rPr>
            </w:pPr>
          </w:p>
        </w:tc>
        <w:tc>
          <w:tcPr>
            <w:tcW w:w="128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Maturities</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restart"/>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80" w:type="dxa"/>
            <w:vAlign w:val="bottom"/>
          </w:tcPr>
          <w:p>
            <w:pPr>
              <w:spacing w:after="0"/>
              <w:rPr>
                <w:sz w:val="16"/>
                <w:szCs w:val="16"/>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Percent of Debt</w:t>
            </w:r>
          </w:p>
        </w:tc>
        <w:tc>
          <w:tcPr>
            <w:tcW w:w="222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Weighted Average Rate</w:t>
            </w:r>
          </w:p>
        </w:tc>
        <w:tc>
          <w:tcPr>
            <w:tcW w:w="0" w:type="dxa"/>
            <w:vAlign w:val="bottom"/>
          </w:tcPr>
          <w:p>
            <w:pPr>
              <w:spacing w:after="0"/>
              <w:rPr>
                <w:sz w:val="1"/>
                <w:szCs w:val="1"/>
                <w:color w:val="auto"/>
              </w:rPr>
            </w:pPr>
          </w:p>
        </w:tc>
      </w:tr>
      <w:tr>
        <w:trPr>
          <w:trHeight w:val="214"/>
        </w:trPr>
        <w:tc>
          <w:tcPr>
            <w:tcW w:w="19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Maturing</w:t>
            </w:r>
          </w:p>
        </w:tc>
        <w:tc>
          <w:tcPr>
            <w:tcW w:w="2220" w:type="dxa"/>
            <w:vAlign w:val="bottom"/>
            <w:tcBorders>
              <w:bottom w:val="single" w:sz="8" w:color="auto"/>
            </w:tcBorders>
          </w:tcPr>
          <w:p>
            <w:pPr>
              <w:jc w:val="right"/>
              <w:ind w:right="1051"/>
              <w:spacing w:after="0"/>
              <w:rPr>
                <w:sz w:val="20"/>
                <w:szCs w:val="20"/>
                <w:color w:val="auto"/>
              </w:rPr>
            </w:pPr>
            <w:r>
              <w:rPr>
                <w:rFonts w:ascii="Times New Roman" w:cs="Times New Roman" w:eastAsia="Times New Roman" w:hAnsi="Times New Roman"/>
                <w:sz w:val="16"/>
                <w:szCs w:val="16"/>
                <w:b w:val="1"/>
                <w:bCs w:val="1"/>
                <w:color w:val="auto"/>
              </w:rPr>
              <w:t>(6)</w:t>
            </w:r>
          </w:p>
        </w:tc>
        <w:tc>
          <w:tcPr>
            <w:tcW w:w="0" w:type="dxa"/>
            <w:vAlign w:val="bottom"/>
          </w:tcPr>
          <w:p>
            <w:pPr>
              <w:spacing w:after="0"/>
              <w:rPr>
                <w:sz w:val="1"/>
                <w:szCs w:val="1"/>
                <w:color w:val="auto"/>
              </w:rPr>
            </w:pPr>
          </w:p>
        </w:tc>
      </w:tr>
      <w:tr>
        <w:trPr>
          <w:trHeight w:val="192"/>
        </w:trPr>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3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6"/>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603,936</w:t>
            </w:r>
          </w:p>
        </w:tc>
        <w:tc>
          <w:tcPr>
            <w:tcW w:w="3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2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44,298</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48,120</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2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1,052,450</w:t>
            </w:r>
          </w:p>
        </w:tc>
        <w:tc>
          <w:tcPr>
            <w:tcW w:w="3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6"/>
              </w:rPr>
              <w:t>(2)</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1,055,626</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2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890,682</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6"/>
              </w:rPr>
              <w:t>(3)</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893,361</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22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3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6"/>
              </w:rPr>
              <w:t>(4)</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352,511</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2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 xml:space="preserve">5.7 % </w:t>
            </w: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0"/>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458,105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460,434</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2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400,684</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0"/>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2033</w:t>
            </w:r>
          </w:p>
        </w:tc>
        <w:tc>
          <w:tcPr>
            <w:tcW w:w="200" w:type="dxa"/>
            <w:vAlign w:val="bottom"/>
          </w:tcPr>
          <w:p>
            <w:pPr>
              <w:spacing w:after="0"/>
              <w:rPr>
                <w:sz w:val="19"/>
                <w:szCs w:val="19"/>
                <w:color w:val="auto"/>
              </w:rPr>
            </w:pPr>
          </w:p>
        </w:tc>
        <w:tc>
          <w:tcPr>
            <w:tcW w:w="1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801,000</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801,000</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3"/>
        </w:trPr>
        <w:tc>
          <w:tcPr>
            <w:tcW w:w="1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19,196</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4,596,535</w:t>
            </w:r>
          </w:p>
        </w:tc>
        <w:tc>
          <w:tcPr>
            <w:tcW w:w="3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4,615,731</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6"/>
              </w:rPr>
              <w:t>(5)</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above table assumes all extension options are exercised.</w:t>
      </w:r>
    </w:p>
    <w:p>
      <w:pPr>
        <w:spacing w:after="0" w:line="100"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16, 2024, we repaid our $600.0 million 3.95% senior unsecured notes at maturity.</w:t>
      </w:r>
    </w:p>
    <w:p>
      <w:pPr>
        <w:spacing w:after="0" w:line="59" w:lineRule="exact"/>
        <w:rPr>
          <w:rFonts w:ascii="Times New Roman" w:cs="Times New Roman" w:eastAsia="Times New Roman" w:hAnsi="Times New Roman"/>
          <w:sz w:val="16"/>
          <w:szCs w:val="16"/>
          <w:color w:val="auto"/>
        </w:rPr>
      </w:pPr>
    </w:p>
    <w:p>
      <w:pPr>
        <w:ind w:left="660" w:right="420" w:hanging="652"/>
        <w:spacing w:after="0" w:line="290"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$600.0 million term loan had an original maturity date of April 16, 2024. On February 6, 2024, we extended the maturity date to April 16, 2025, with an additional one year extension at our option still available to further extend the loan to April 16, 2026.</w:t>
      </w:r>
    </w:p>
    <w:p>
      <w:pPr>
        <w:ind w:left="660" w:hanging="652"/>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$200.0 million mortgage loan secured by Bethesda Row matures on December 28, 2025 plus two one-year extensions, at our option to December 28, 2027.</w:t>
      </w:r>
    </w:p>
    <w:p>
      <w:pPr>
        <w:spacing w:after="0" w:line="59" w:lineRule="exact"/>
        <w:rPr>
          <w:rFonts w:ascii="Times New Roman" w:cs="Times New Roman" w:eastAsia="Times New Roman" w:hAnsi="Times New Roman"/>
          <w:sz w:val="16"/>
          <w:szCs w:val="16"/>
          <w:color w:val="auto"/>
        </w:rPr>
      </w:pPr>
    </w:p>
    <w:p>
      <w:pPr>
        <w:ind w:left="660" w:right="80" w:hanging="652"/>
        <w:spacing w:after="0" w:line="290"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$1.25 billion revolving credit facility matures on April 5, 2027, plus two six-month extensions at our option to April 5, 2028. As of December 31, 2023, there was no balance outstanding under this credit facility.</w:t>
      </w:r>
    </w:p>
    <w:p>
      <w:pPr>
        <w:ind w:left="660" w:right="60" w:hanging="652"/>
        <w:spacing w:after="0" w:line="272"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debt maturities differ from the total reported on the consolidated balance sheet due to the debt issuance costs and unamortized net premium/discount on certain mortgage loans, notes payable, and senior notes as of December 31, 2023. The weighted average remaining term on our mortgages payable, notes payable, and senior notes and debentures is approximately 6 years.</w:t>
      </w:r>
    </w:p>
    <w:p>
      <w:pPr>
        <w:spacing w:after="0" w:line="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rate reflects the weighted average interest rate on debt maturing in the respective year.</w:t>
      </w:r>
    </w:p>
    <w:p>
      <w:pPr>
        <w:spacing w:after="0" w:line="72"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rate excludes $0.9 million in quarterly financing fees and quarterly debt fee amortization on our $1.25 billion revolving credit facility.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022" w:right="339"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Summary of Redevelopment and Expansion Opportunities</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The following redevelopment opportunities are actively being worked on by the Trust. (1)</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Projected POI Delivered (2)</w:t>
            </w:r>
          </w:p>
        </w:tc>
        <w:tc>
          <w:tcPr>
            <w:tcW w:w="0" w:type="dxa"/>
            <w:vAlign w:val="bottom"/>
          </w:tcPr>
          <w:p>
            <w:pPr>
              <w:spacing w:after="0"/>
              <w:rPr>
                <w:sz w:val="1"/>
                <w:szCs w:val="1"/>
                <w:color w:val="auto"/>
              </w:rPr>
            </w:pPr>
          </w:p>
        </w:tc>
      </w:tr>
      <w:tr>
        <w:trPr>
          <w:trHeight w:val="158"/>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3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5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760" w:type="dxa"/>
            <w:vAlign w:val="bottom"/>
          </w:tcPr>
          <w:p>
            <w:pPr>
              <w:jc w:val="right"/>
              <w:ind w:right="28"/>
              <w:spacing w:after="0" w:line="159" w:lineRule="exact"/>
              <w:rPr>
                <w:sz w:val="20"/>
                <w:szCs w:val="20"/>
                <w:color w:val="auto"/>
              </w:rPr>
            </w:pPr>
            <w:r>
              <w:rPr>
                <w:rFonts w:ascii="Times New Roman" w:cs="Times New Roman" w:eastAsia="Times New Roman" w:hAnsi="Times New Roman"/>
                <w:sz w:val="14"/>
                <w:szCs w:val="14"/>
                <w:b w:val="1"/>
                <w:bCs w:val="1"/>
                <w:color w:val="auto"/>
              </w:rPr>
              <w:t>Projected</w:t>
            </w:r>
          </w:p>
        </w:tc>
        <w:tc>
          <w:tcPr>
            <w:tcW w:w="760" w:type="dxa"/>
            <w:vAlign w:val="bottom"/>
          </w:tcPr>
          <w:p>
            <w:pPr>
              <w:jc w:val="center"/>
              <w:ind w:right="8"/>
              <w:spacing w:after="0" w:line="159" w:lineRule="exact"/>
              <w:rPr>
                <w:sz w:val="20"/>
                <w:szCs w:val="20"/>
                <w:color w:val="auto"/>
              </w:rPr>
            </w:pPr>
            <w:r>
              <w:rPr>
                <w:rFonts w:ascii="Times New Roman" w:cs="Times New Roman" w:eastAsia="Times New Roman" w:hAnsi="Times New Roman"/>
                <w:sz w:val="14"/>
                <w:szCs w:val="14"/>
                <w:b w:val="1"/>
                <w:bCs w:val="1"/>
                <w:color w:val="auto"/>
              </w:rPr>
              <w:t>Projected</w:t>
            </w:r>
          </w:p>
        </w:tc>
        <w:tc>
          <w:tcPr>
            <w:tcW w:w="720" w:type="dxa"/>
            <w:vAlign w:val="bottom"/>
          </w:tcPr>
          <w:p>
            <w:pPr>
              <w:jc w:val="center"/>
              <w:ind w:right="28"/>
              <w:spacing w:after="0" w:line="159" w:lineRule="exact"/>
              <w:rPr>
                <w:sz w:val="20"/>
                <w:szCs w:val="20"/>
                <w:color w:val="auto"/>
              </w:rPr>
            </w:pPr>
            <w:r>
              <w:rPr>
                <w:rFonts w:ascii="Times New Roman" w:cs="Times New Roman" w:eastAsia="Times New Roman" w:hAnsi="Times New Roman"/>
                <w:sz w:val="14"/>
                <w:szCs w:val="14"/>
                <w:b w:val="1"/>
                <w:bCs w:val="1"/>
                <w:color w:val="auto"/>
                <w:w w:val="98"/>
              </w:rPr>
              <w:t>Cost to</w:t>
            </w:r>
          </w:p>
        </w:tc>
        <w:tc>
          <w:tcPr>
            <w:tcW w:w="840" w:type="dxa"/>
            <w:vAlign w:val="bottom"/>
          </w:tcPr>
          <w:p>
            <w:pPr>
              <w:ind w:left="200"/>
              <w:spacing w:after="0" w:line="159" w:lineRule="exact"/>
              <w:rPr>
                <w:sz w:val="20"/>
                <w:szCs w:val="20"/>
                <w:color w:val="auto"/>
              </w:rPr>
            </w:pPr>
            <w:r>
              <w:rPr>
                <w:rFonts w:ascii="Times New Roman" w:cs="Times New Roman" w:eastAsia="Times New Roman" w:hAnsi="Times New Roman"/>
                <w:sz w:val="14"/>
                <w:szCs w:val="14"/>
                <w:b w:val="1"/>
                <w:bCs w:val="1"/>
                <w:color w:val="auto"/>
              </w:rPr>
              <w:t>Actual</w:t>
            </w:r>
          </w:p>
        </w:tc>
        <w:tc>
          <w:tcPr>
            <w:tcW w:w="1000" w:type="dxa"/>
            <w:vAlign w:val="bottom"/>
          </w:tcPr>
          <w:p>
            <w:pPr>
              <w:ind w:left="220"/>
              <w:spacing w:after="0" w:line="159" w:lineRule="exact"/>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454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ROI (2)</w:t>
            </w:r>
          </w:p>
        </w:tc>
        <w:tc>
          <w:tcPr>
            <w:tcW w:w="7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Cost (1)</w:t>
            </w:r>
          </w:p>
        </w:tc>
        <w:tc>
          <w:tcPr>
            <w:tcW w:w="7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Date</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jc w:val="center"/>
              <w:ind w:right="8"/>
              <w:spacing w:after="0" w:line="135" w:lineRule="exact"/>
              <w:rPr>
                <w:sz w:val="20"/>
                <w:szCs w:val="20"/>
                <w:color w:val="auto"/>
              </w:rPr>
            </w:pPr>
            <w:r>
              <w:rPr>
                <w:rFonts w:ascii="Times New Roman" w:cs="Times New Roman" w:eastAsia="Times New Roman" w:hAnsi="Times New Roman"/>
                <w:sz w:val="14"/>
                <w:szCs w:val="14"/>
                <w:color w:val="auto"/>
              </w:rPr>
              <w:t>(in</w:t>
            </w:r>
          </w:p>
        </w:tc>
        <w:tc>
          <w:tcPr>
            <w:tcW w:w="720" w:type="dxa"/>
            <w:vAlign w:val="bottom"/>
          </w:tcPr>
          <w:p>
            <w:pPr>
              <w:jc w:val="center"/>
              <w:ind w:right="8"/>
              <w:spacing w:after="0" w:line="135" w:lineRule="exact"/>
              <w:rPr>
                <w:sz w:val="20"/>
                <w:szCs w:val="20"/>
                <w:color w:val="auto"/>
              </w:rPr>
            </w:pPr>
            <w:r>
              <w:rPr>
                <w:rFonts w:ascii="Times New Roman" w:cs="Times New Roman" w:eastAsia="Times New Roman" w:hAnsi="Times New Roman"/>
                <w:sz w:val="14"/>
                <w:szCs w:val="14"/>
                <w:color w:val="auto"/>
              </w:rPr>
              <w:t>(in</w:t>
            </w:r>
          </w:p>
        </w:tc>
        <w:tc>
          <w:tcPr>
            <w:tcW w:w="1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(as a % of Total)</w:t>
            </w: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millions)</w:t>
            </w: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millions)</w:t>
            </w:r>
          </w:p>
        </w:tc>
        <w:tc>
          <w:tcPr>
            <w:tcW w:w="1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Santana West (3)</w:t>
            </w:r>
          </w:p>
        </w:tc>
        <w:tc>
          <w:tcPr>
            <w:tcW w:w="130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San Jose, CA</w:t>
            </w:r>
          </w:p>
        </w:tc>
        <w:tc>
          <w:tcPr>
            <w:tcW w:w="454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Development of a 376,000 square foot office building. 29,000 square feet of</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6 %</w:t>
            </w:r>
          </w:p>
        </w:tc>
        <w:tc>
          <w:tcPr>
            <w:tcW w:w="7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$315 -</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$228</w:t>
            </w:r>
          </w:p>
        </w:tc>
        <w:tc>
          <w:tcPr>
            <w:tcW w:w="8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office space leased.</w:t>
            </w:r>
          </w:p>
        </w:tc>
        <w:tc>
          <w:tcPr>
            <w:tcW w:w="7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$330</w:t>
            </w: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Pike &amp; Rose - 915</w:t>
            </w:r>
          </w:p>
        </w:tc>
        <w:tc>
          <w:tcPr>
            <w:tcW w:w="1300" w:type="dxa"/>
            <w:vAlign w:val="bottom"/>
          </w:tcPr>
          <w:p>
            <w:pPr>
              <w:ind w:left="200"/>
              <w:spacing w:after="0" w:line="135" w:lineRule="exact"/>
              <w:rPr>
                <w:sz w:val="20"/>
                <w:szCs w:val="20"/>
                <w:color w:val="auto"/>
              </w:rPr>
            </w:pPr>
            <w:r>
              <w:rPr>
                <w:rFonts w:ascii="Times New Roman" w:cs="Times New Roman" w:eastAsia="Times New Roman" w:hAnsi="Times New Roman"/>
                <w:sz w:val="14"/>
                <w:szCs w:val="14"/>
                <w:color w:val="auto"/>
              </w:rPr>
              <w:t>North Bethesda,</w:t>
            </w:r>
          </w:p>
        </w:tc>
        <w:tc>
          <w:tcPr>
            <w:tcW w:w="4540" w:type="dxa"/>
            <w:vAlign w:val="bottom"/>
          </w:tcPr>
          <w:p>
            <w:pPr>
              <w:ind w:left="80"/>
              <w:spacing w:after="0" w:line="135" w:lineRule="exact"/>
              <w:rPr>
                <w:sz w:val="20"/>
                <w:szCs w:val="20"/>
                <w:color w:val="auto"/>
              </w:rPr>
            </w:pPr>
            <w:r>
              <w:rPr>
                <w:rFonts w:ascii="Times New Roman" w:cs="Times New Roman" w:eastAsia="Times New Roman" w:hAnsi="Times New Roman"/>
                <w:sz w:val="14"/>
                <w:szCs w:val="14"/>
                <w:color w:val="auto"/>
              </w:rPr>
              <w:t>Development of a 266,000 square foot office building with 10,000 square</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6 %</w:t>
            </w:r>
          </w:p>
        </w:tc>
        <w:tc>
          <w:tcPr>
            <w:tcW w:w="760" w:type="dxa"/>
            <w:vAlign w:val="bottom"/>
          </w:tcPr>
          <w:p>
            <w:pPr>
              <w:jc w:val="right"/>
              <w:ind w:right="8"/>
              <w:spacing w:after="0" w:line="135" w:lineRule="exact"/>
              <w:rPr>
                <w:sz w:val="20"/>
                <w:szCs w:val="20"/>
                <w:color w:val="auto"/>
              </w:rPr>
            </w:pPr>
            <w:r>
              <w:rPr>
                <w:rFonts w:ascii="Times New Roman" w:cs="Times New Roman" w:eastAsia="Times New Roman" w:hAnsi="Times New Roman"/>
                <w:sz w:val="14"/>
                <w:szCs w:val="14"/>
                <w:color w:val="auto"/>
              </w:rPr>
              <w:t>$185 -</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$148</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10%</w:t>
            </w:r>
          </w:p>
        </w:tc>
        <w:tc>
          <w:tcPr>
            <w:tcW w:w="1000" w:type="dxa"/>
            <w:vAlign w:val="bottom"/>
          </w:tcPr>
          <w:p>
            <w:pPr>
              <w:jc w:val="center"/>
              <w:ind w:left="8"/>
              <w:spacing w:after="0" w:line="135" w:lineRule="exact"/>
              <w:rPr>
                <w:sz w:val="20"/>
                <w:szCs w:val="20"/>
                <w:color w:val="auto"/>
              </w:rPr>
            </w:pPr>
            <w:r>
              <w:rPr>
                <w:rFonts w:ascii="Times New Roman" w:cs="Times New Roman" w:eastAsia="Times New Roman" w:hAnsi="Times New Roman"/>
                <w:sz w:val="14"/>
                <w:szCs w:val="14"/>
                <w:color w:val="auto"/>
              </w:rPr>
              <w:t>45 - 55%</w:t>
            </w:r>
          </w:p>
        </w:tc>
        <w:tc>
          <w:tcPr>
            <w:tcW w:w="0" w:type="dxa"/>
            <w:vAlign w:val="bottom"/>
          </w:tcPr>
          <w:p>
            <w:pPr>
              <w:spacing w:after="0"/>
              <w:rPr>
                <w:sz w:val="1"/>
                <w:szCs w:val="1"/>
                <w:color w:val="auto"/>
              </w:rPr>
            </w:pPr>
          </w:p>
        </w:tc>
      </w:tr>
      <w:tr>
        <w:trPr>
          <w:trHeight w:val="139"/>
        </w:trPr>
        <w:tc>
          <w:tcPr>
            <w:tcW w:w="1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Meeting Street (3)</w:t>
            </w:r>
          </w:p>
        </w:tc>
        <w:tc>
          <w:tcPr>
            <w:tcW w:w="13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MD</w:t>
            </w:r>
          </w:p>
        </w:tc>
        <w:tc>
          <w:tcPr>
            <w:tcW w:w="4540" w:type="dxa"/>
            <w:vAlign w:val="bottom"/>
          </w:tcPr>
          <w:p>
            <w:pPr>
              <w:ind w:left="80"/>
              <w:spacing w:after="0" w:line="139" w:lineRule="exact"/>
              <w:rPr>
                <w:sz w:val="20"/>
                <w:szCs w:val="20"/>
                <w:color w:val="auto"/>
              </w:rPr>
            </w:pPr>
            <w:r>
              <w:rPr>
                <w:rFonts w:ascii="Times New Roman" w:cs="Times New Roman" w:eastAsia="Times New Roman" w:hAnsi="Times New Roman"/>
                <w:sz w:val="14"/>
                <w:szCs w:val="14"/>
                <w:color w:val="auto"/>
              </w:rPr>
              <w:t>feet of retail space. 172,000 square feet of office and 8,000 square feet of</w:t>
            </w:r>
          </w:p>
        </w:tc>
        <w:tc>
          <w:tcPr>
            <w:tcW w:w="760" w:type="dxa"/>
            <w:vAlign w:val="bottom"/>
          </w:tcPr>
          <w:p>
            <w:pPr>
              <w:spacing w:after="0"/>
              <w:rPr>
                <w:sz w:val="12"/>
                <w:szCs w:val="12"/>
                <w:color w:val="auto"/>
              </w:rPr>
            </w:pPr>
          </w:p>
        </w:tc>
        <w:tc>
          <w:tcPr>
            <w:tcW w:w="760" w:type="dxa"/>
            <w:vAlign w:val="bottom"/>
          </w:tcPr>
          <w:p>
            <w:pPr>
              <w:jc w:val="right"/>
              <w:ind w:right="8"/>
              <w:spacing w:after="0" w:line="139" w:lineRule="exact"/>
              <w:rPr>
                <w:sz w:val="20"/>
                <w:szCs w:val="20"/>
                <w:color w:val="auto"/>
              </w:rPr>
            </w:pPr>
            <w:r>
              <w:rPr>
                <w:rFonts w:ascii="Times New Roman" w:cs="Times New Roman" w:eastAsia="Times New Roman" w:hAnsi="Times New Roman"/>
                <w:sz w:val="14"/>
                <w:szCs w:val="14"/>
                <w:color w:val="auto"/>
              </w:rPr>
              <w:t>$200</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retail space leased.</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2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Darien Commons</w:t>
            </w:r>
          </w:p>
        </w:tc>
        <w:tc>
          <w:tcPr>
            <w:tcW w:w="1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4"/>
                <w:szCs w:val="14"/>
                <w:color w:val="auto"/>
              </w:rPr>
              <w:t>Darien, CT</w:t>
            </w:r>
          </w:p>
        </w:tc>
        <w:tc>
          <w:tcPr>
            <w:tcW w:w="45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4"/>
                <w:szCs w:val="14"/>
                <w:color w:val="auto"/>
              </w:rPr>
              <w:t>Demolition of a 45,000 square foot anchor space to construct 75,000 square</w:t>
            </w:r>
          </w:p>
        </w:tc>
        <w:tc>
          <w:tcPr>
            <w:tcW w:w="1520" w:type="dxa"/>
            <w:vAlign w:val="bottom"/>
            <w:gridSpan w:val="2"/>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4"/>
                <w:szCs w:val="14"/>
                <w:color w:val="auto"/>
              </w:rPr>
              <w:t>6 % $110 - $120</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$110</w:t>
            </w:r>
          </w:p>
        </w:tc>
        <w:tc>
          <w:tcPr>
            <w:tcW w:w="8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50%</w:t>
            </w:r>
          </w:p>
        </w:tc>
        <w:tc>
          <w:tcPr>
            <w:tcW w:w="1000" w:type="dxa"/>
            <w:vAlign w:val="bottom"/>
            <w:shd w:val="clear" w:color="auto" w:fill="CCEEFF"/>
          </w:tcPr>
          <w:p>
            <w:pPr>
              <w:jc w:val="center"/>
              <w:ind w:left="8"/>
              <w:spacing w:after="0" w:line="135" w:lineRule="exact"/>
              <w:rPr>
                <w:sz w:val="20"/>
                <w:szCs w:val="20"/>
                <w:color w:val="auto"/>
              </w:rPr>
            </w:pPr>
            <w:r>
              <w:rPr>
                <w:rFonts w:ascii="Times New Roman" w:cs="Times New Roman" w:eastAsia="Times New Roman" w:hAnsi="Times New Roman"/>
                <w:sz w:val="14"/>
                <w:szCs w:val="14"/>
                <w:color w:val="auto"/>
              </w:rPr>
              <w:t>85 - 95%</w:t>
            </w: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feet of new retail space, 122 rental apartments, and 720 parking spaces</w:t>
            </w:r>
          </w:p>
        </w:tc>
        <w:tc>
          <w:tcPr>
            <w:tcW w:w="7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Bala Cynwyd</w:t>
            </w:r>
          </w:p>
        </w:tc>
        <w:tc>
          <w:tcPr>
            <w:tcW w:w="1300" w:type="dxa"/>
            <w:vAlign w:val="bottom"/>
          </w:tcPr>
          <w:p>
            <w:pPr>
              <w:ind w:left="200"/>
              <w:spacing w:after="0" w:line="135" w:lineRule="exact"/>
              <w:rPr>
                <w:sz w:val="20"/>
                <w:szCs w:val="20"/>
                <w:color w:val="auto"/>
              </w:rPr>
            </w:pPr>
            <w:r>
              <w:rPr>
                <w:rFonts w:ascii="Times New Roman" w:cs="Times New Roman" w:eastAsia="Times New Roman" w:hAnsi="Times New Roman"/>
                <w:sz w:val="14"/>
                <w:szCs w:val="14"/>
                <w:color w:val="auto"/>
              </w:rPr>
              <w:t>Bala Cynwyd, PA</w:t>
            </w:r>
          </w:p>
        </w:tc>
        <w:tc>
          <w:tcPr>
            <w:tcW w:w="4540" w:type="dxa"/>
            <w:vAlign w:val="bottom"/>
          </w:tcPr>
          <w:p>
            <w:pPr>
              <w:ind w:left="80"/>
              <w:spacing w:after="0" w:line="135" w:lineRule="exact"/>
              <w:rPr>
                <w:sz w:val="20"/>
                <w:szCs w:val="20"/>
                <w:color w:val="auto"/>
              </w:rPr>
            </w:pPr>
            <w:r>
              <w:rPr>
                <w:rFonts w:ascii="Times New Roman" w:cs="Times New Roman" w:eastAsia="Times New Roman" w:hAnsi="Times New Roman"/>
                <w:sz w:val="14"/>
                <w:szCs w:val="14"/>
                <w:color w:val="auto"/>
              </w:rPr>
              <w:t>Demolition of two level department store building to construct a new six</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7 %</w:t>
            </w:r>
          </w:p>
        </w:tc>
        <w:tc>
          <w:tcPr>
            <w:tcW w:w="760" w:type="dxa"/>
            <w:vAlign w:val="bottom"/>
          </w:tcPr>
          <w:p>
            <w:pPr>
              <w:jc w:val="right"/>
              <w:ind w:right="8"/>
              <w:spacing w:after="0" w:line="135" w:lineRule="exact"/>
              <w:rPr>
                <w:sz w:val="20"/>
                <w:szCs w:val="20"/>
                <w:color w:val="auto"/>
              </w:rPr>
            </w:pPr>
            <w:r>
              <w:rPr>
                <w:rFonts w:ascii="Times New Roman" w:cs="Times New Roman" w:eastAsia="Times New Roman" w:hAnsi="Times New Roman"/>
                <w:sz w:val="14"/>
                <w:szCs w:val="14"/>
                <w:color w:val="auto"/>
              </w:rPr>
              <w:t>$90 - $95</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$4</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39"/>
        </w:trPr>
        <w:tc>
          <w:tcPr>
            <w:tcW w:w="1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540" w:type="dxa"/>
            <w:vAlign w:val="bottom"/>
          </w:tcPr>
          <w:p>
            <w:pPr>
              <w:ind w:left="80"/>
              <w:spacing w:after="0" w:line="139" w:lineRule="exact"/>
              <w:rPr>
                <w:sz w:val="20"/>
                <w:szCs w:val="20"/>
                <w:color w:val="auto"/>
              </w:rPr>
            </w:pPr>
            <w:r>
              <w:rPr>
                <w:rFonts w:ascii="Times New Roman" w:cs="Times New Roman" w:eastAsia="Times New Roman" w:hAnsi="Times New Roman"/>
                <w:sz w:val="14"/>
                <w:szCs w:val="14"/>
                <w:color w:val="auto"/>
              </w:rPr>
              <w:t>story building with 217 residential units, 16,000 square feet of retail and a</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two-story parking structure with 234 parking stalls</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2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Huntington</w:t>
            </w:r>
          </w:p>
        </w:tc>
        <w:tc>
          <w:tcPr>
            <w:tcW w:w="1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4"/>
                <w:szCs w:val="14"/>
                <w:color w:val="auto"/>
              </w:rPr>
              <w:t>Huntington, NY</w:t>
            </w:r>
          </w:p>
        </w:tc>
        <w:tc>
          <w:tcPr>
            <w:tcW w:w="45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4"/>
                <w:szCs w:val="14"/>
                <w:color w:val="auto"/>
              </w:rPr>
              <w:t>Demolition of the main two level building consisting of 161,000 square feet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7 - 8 %</w:t>
            </w:r>
          </w:p>
        </w:tc>
        <w:tc>
          <w:tcPr>
            <w:tcW w:w="760" w:type="dxa"/>
            <w:vAlign w:val="bottom"/>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4"/>
                <w:szCs w:val="14"/>
                <w:color w:val="auto"/>
              </w:rPr>
              <w:t>$80 - $85</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$70</w:t>
            </w:r>
          </w:p>
        </w:tc>
        <w:tc>
          <w:tcPr>
            <w:tcW w:w="8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25%</w:t>
            </w:r>
          </w:p>
        </w:tc>
        <w:tc>
          <w:tcPr>
            <w:tcW w:w="1000" w:type="dxa"/>
            <w:vAlign w:val="bottom"/>
            <w:shd w:val="clear" w:color="auto" w:fill="CCEEFF"/>
          </w:tcPr>
          <w:p>
            <w:pPr>
              <w:jc w:val="center"/>
              <w:ind w:left="8"/>
              <w:spacing w:after="0" w:line="135" w:lineRule="exact"/>
              <w:rPr>
                <w:sz w:val="20"/>
                <w:szCs w:val="20"/>
                <w:color w:val="auto"/>
              </w:rPr>
            </w:pPr>
            <w:r>
              <w:rPr>
                <w:rFonts w:ascii="Times New Roman" w:cs="Times New Roman" w:eastAsia="Times New Roman" w:hAnsi="Times New Roman"/>
                <w:sz w:val="14"/>
                <w:szCs w:val="14"/>
                <w:color w:val="auto"/>
              </w:rPr>
              <w:t>60 - 70%</w:t>
            </w:r>
          </w:p>
        </w:tc>
        <w:tc>
          <w:tcPr>
            <w:tcW w:w="0" w:type="dxa"/>
            <w:vAlign w:val="bottom"/>
          </w:tcPr>
          <w:p>
            <w:pPr>
              <w:spacing w:after="0"/>
              <w:rPr>
                <w:sz w:val="1"/>
                <w:szCs w:val="1"/>
                <w:color w:val="auto"/>
              </w:rPr>
            </w:pPr>
          </w:p>
        </w:tc>
      </w:tr>
      <w:tr>
        <w:trPr>
          <w:trHeight w:val="139"/>
        </w:trPr>
        <w:tc>
          <w:tcPr>
            <w:tcW w:w="1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4540" w:type="dxa"/>
            <w:vAlign w:val="bottom"/>
            <w:shd w:val="clear" w:color="auto" w:fill="CCEEFF"/>
          </w:tcPr>
          <w:p>
            <w:pPr>
              <w:ind w:left="80"/>
              <w:spacing w:after="0" w:line="139" w:lineRule="exact"/>
              <w:rPr>
                <w:sz w:val="20"/>
                <w:szCs w:val="20"/>
                <w:color w:val="auto"/>
              </w:rPr>
            </w:pPr>
            <w:r>
              <w:rPr>
                <w:rFonts w:ascii="Times New Roman" w:cs="Times New Roman" w:eastAsia="Times New Roman" w:hAnsi="Times New Roman"/>
                <w:sz w:val="14"/>
                <w:szCs w:val="14"/>
                <w:color w:val="auto"/>
              </w:rPr>
              <w:t>of anchor and small shop space to construct 102,000 square feet of new</w:t>
            </w: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ground-level anchor and small shop retail space</w:t>
            </w:r>
          </w:p>
        </w:tc>
        <w:tc>
          <w:tcPr>
            <w:tcW w:w="7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7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70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Cost to</w:t>
            </w:r>
          </w:p>
        </w:tc>
        <w:tc>
          <w:tcPr>
            <w:tcW w:w="1860" w:type="dxa"/>
            <w:vAlign w:val="bottom"/>
          </w:tcPr>
          <w:p>
            <w:pPr>
              <w:jc w:val="center"/>
              <w:ind w:right="908"/>
              <w:spacing w:after="0"/>
              <w:rPr>
                <w:sz w:val="20"/>
                <w:szCs w:val="20"/>
                <w:color w:val="auto"/>
              </w:rPr>
            </w:pPr>
            <w:r>
              <w:rPr>
                <w:rFonts w:ascii="Times New Roman" w:cs="Times New Roman" w:eastAsia="Times New Roman" w:hAnsi="Times New Roman"/>
                <w:sz w:val="14"/>
                <w:szCs w:val="14"/>
                <w:b w:val="1"/>
                <w:bCs w:val="1"/>
                <w:color w:val="auto"/>
              </w:rPr>
              <w:t>Anticipated</w:t>
            </w:r>
          </w:p>
        </w:tc>
        <w:tc>
          <w:tcPr>
            <w:tcW w:w="0" w:type="dxa"/>
            <w:vAlign w:val="bottom"/>
          </w:tcPr>
          <w:p>
            <w:pPr>
              <w:spacing w:after="0"/>
              <w:rPr>
                <w:sz w:val="1"/>
                <w:szCs w:val="1"/>
                <w:color w:val="auto"/>
              </w:rPr>
            </w:pPr>
          </w:p>
        </w:tc>
      </w:tr>
      <w:tr>
        <w:trPr>
          <w:trHeight w:val="148"/>
        </w:trPr>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4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5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860" w:type="dxa"/>
            <w:vAlign w:val="bottom"/>
          </w:tcPr>
          <w:p>
            <w:pPr>
              <w:jc w:val="center"/>
              <w:ind w:right="888"/>
              <w:spacing w:after="0" w:line="149" w:lineRule="exact"/>
              <w:rPr>
                <w:sz w:val="20"/>
                <w:szCs w:val="20"/>
                <w:color w:val="auto"/>
              </w:rPr>
            </w:pPr>
            <w:r>
              <w:rPr>
                <w:rFonts w:ascii="Times New Roman" w:cs="Times New Roman" w:eastAsia="Times New Roman" w:hAnsi="Times New Roman"/>
                <w:sz w:val="14"/>
                <w:szCs w:val="14"/>
                <w:b w:val="1"/>
                <w:bCs w:val="1"/>
                <w:color w:val="auto"/>
              </w:rPr>
              <w:t>Stabilization</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452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ROI (4)</w:t>
            </w:r>
          </w:p>
        </w:tc>
        <w:tc>
          <w:tcPr>
            <w:tcW w:w="7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Cost (1)</w:t>
            </w:r>
          </w:p>
        </w:tc>
        <w:tc>
          <w:tcPr>
            <w:tcW w:w="7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860" w:type="dxa"/>
            <w:vAlign w:val="bottom"/>
            <w:tcBorders>
              <w:bottom w:val="single" w:sz="8" w:color="auto"/>
            </w:tcBorders>
          </w:tcPr>
          <w:p>
            <w:pPr>
              <w:jc w:val="center"/>
              <w:ind w:right="888"/>
              <w:spacing w:after="0"/>
              <w:rPr>
                <w:sz w:val="20"/>
                <w:szCs w:val="20"/>
                <w:color w:val="auto"/>
              </w:rPr>
            </w:pPr>
            <w:r>
              <w:rPr>
                <w:rFonts w:ascii="Times New Roman" w:cs="Times New Roman" w:eastAsia="Times New Roman" w:hAnsi="Times New Roman"/>
                <w:sz w:val="14"/>
                <w:szCs w:val="14"/>
                <w:b w:val="1"/>
                <w:bCs w:val="1"/>
                <w:color w:val="auto"/>
              </w:rPr>
              <w:t>(5)</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jc w:val="center"/>
              <w:ind w:right="8"/>
              <w:spacing w:after="0" w:line="135" w:lineRule="exact"/>
              <w:rPr>
                <w:sz w:val="20"/>
                <w:szCs w:val="20"/>
                <w:color w:val="auto"/>
              </w:rPr>
            </w:pPr>
            <w:r>
              <w:rPr>
                <w:rFonts w:ascii="Times New Roman" w:cs="Times New Roman" w:eastAsia="Times New Roman" w:hAnsi="Times New Roman"/>
                <w:sz w:val="14"/>
                <w:szCs w:val="14"/>
                <w:color w:val="auto"/>
              </w:rPr>
              <w:t>(in</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(in</w:t>
            </w: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millions)</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millions)</w:t>
            </w: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Lawrence Park</w:t>
            </w:r>
          </w:p>
        </w:tc>
        <w:tc>
          <w:tcPr>
            <w:tcW w:w="1420" w:type="dxa"/>
            <w:vAlign w:val="bottom"/>
            <w:shd w:val="clear" w:color="auto" w:fill="CCEEFF"/>
          </w:tcPr>
          <w:p>
            <w:pPr>
              <w:ind w:left="300"/>
              <w:spacing w:after="0" w:line="142" w:lineRule="exact"/>
              <w:rPr>
                <w:sz w:val="20"/>
                <w:szCs w:val="20"/>
                <w:color w:val="auto"/>
              </w:rPr>
            </w:pPr>
            <w:r>
              <w:rPr>
                <w:rFonts w:ascii="Times New Roman" w:cs="Times New Roman" w:eastAsia="Times New Roman" w:hAnsi="Times New Roman"/>
                <w:sz w:val="14"/>
                <w:szCs w:val="14"/>
                <w:color w:val="auto"/>
              </w:rPr>
              <w:t>Broomall, PA</w:t>
            </w:r>
          </w:p>
        </w:tc>
        <w:tc>
          <w:tcPr>
            <w:tcW w:w="452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Full shopping center redevelopment to include expansion of Main Line</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8 %</w:t>
            </w:r>
          </w:p>
        </w:tc>
        <w:tc>
          <w:tcPr>
            <w:tcW w:w="7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1860" w:type="dxa"/>
            <w:vAlign w:val="bottom"/>
            <w:shd w:val="clear" w:color="auto" w:fill="CCEEFF"/>
          </w:tcPr>
          <w:p>
            <w:pPr>
              <w:jc w:val="center"/>
              <w:ind w:right="888"/>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39"/>
        </w:trPr>
        <w:tc>
          <w:tcPr>
            <w:tcW w:w="11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520" w:type="dxa"/>
            <w:vAlign w:val="bottom"/>
            <w:shd w:val="clear" w:color="auto" w:fill="CCEEFF"/>
          </w:tcPr>
          <w:p>
            <w:pPr>
              <w:ind w:left="60"/>
              <w:spacing w:after="0" w:line="139" w:lineRule="exact"/>
              <w:rPr>
                <w:sz w:val="20"/>
                <w:szCs w:val="20"/>
                <w:color w:val="auto"/>
              </w:rPr>
            </w:pPr>
            <w:r>
              <w:rPr>
                <w:rFonts w:ascii="Times New Roman" w:cs="Times New Roman" w:eastAsia="Times New Roman" w:hAnsi="Times New Roman"/>
                <w:sz w:val="14"/>
                <w:szCs w:val="14"/>
                <w:color w:val="auto"/>
              </w:rPr>
              <w:t>Health into vacant lower level space, creation of 17,800 square feet of small</w:t>
            </w: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52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shop space converted from vacated anchor space, a new 2,000 square foot</w:t>
            </w: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18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45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bank pad building, and a façade renovation for the entire center</w:t>
            </w:r>
          </w:p>
        </w:tc>
        <w:tc>
          <w:tcPr>
            <w:tcW w:w="7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Willow Grove</w:t>
            </w:r>
          </w:p>
        </w:tc>
        <w:tc>
          <w:tcPr>
            <w:tcW w:w="14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Willow Grove, PA</w:t>
            </w:r>
          </w:p>
        </w:tc>
        <w:tc>
          <w:tcPr>
            <w:tcW w:w="4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Development of a new 17,000 square foot multi-tenant pad building</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60" w:type="dxa"/>
            <w:vAlign w:val="bottom"/>
          </w:tcPr>
          <w:p>
            <w:pPr>
              <w:jc w:val="center"/>
              <w:ind w:right="888"/>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42"/>
        </w:trPr>
        <w:tc>
          <w:tcPr>
            <w:tcW w:w="1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Pike 7 Plaza</w:t>
            </w:r>
          </w:p>
        </w:tc>
        <w:tc>
          <w:tcPr>
            <w:tcW w:w="1420" w:type="dxa"/>
            <w:vAlign w:val="bottom"/>
            <w:shd w:val="clear" w:color="auto" w:fill="CCEEFF"/>
          </w:tcPr>
          <w:p>
            <w:pPr>
              <w:ind w:left="300"/>
              <w:spacing w:after="0" w:line="142" w:lineRule="exact"/>
              <w:rPr>
                <w:sz w:val="20"/>
                <w:szCs w:val="20"/>
                <w:color w:val="auto"/>
              </w:rPr>
            </w:pPr>
            <w:r>
              <w:rPr>
                <w:rFonts w:ascii="Times New Roman" w:cs="Times New Roman" w:eastAsia="Times New Roman" w:hAnsi="Times New Roman"/>
                <w:sz w:val="14"/>
                <w:szCs w:val="14"/>
                <w:color w:val="auto"/>
              </w:rPr>
              <w:t>Vienna, VA</w:t>
            </w:r>
          </w:p>
        </w:tc>
        <w:tc>
          <w:tcPr>
            <w:tcW w:w="452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Development of a new 3,200 square foot pad building pre-leased to a</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8 %</w:t>
            </w:r>
          </w:p>
        </w:tc>
        <w:tc>
          <w:tcPr>
            <w:tcW w:w="7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860" w:type="dxa"/>
            <w:vAlign w:val="bottom"/>
            <w:shd w:val="clear" w:color="auto" w:fill="CCEEFF"/>
          </w:tcPr>
          <w:p>
            <w:pPr>
              <w:jc w:val="center"/>
              <w:ind w:right="888"/>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02"/>
        </w:trPr>
        <w:tc>
          <w:tcPr>
            <w:tcW w:w="1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restaurant tenant</w:t>
            </w:r>
          </w:p>
        </w:tc>
        <w:tc>
          <w:tcPr>
            <w:tcW w:w="7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Flourtown</w:t>
            </w:r>
          </w:p>
        </w:tc>
        <w:tc>
          <w:tcPr>
            <w:tcW w:w="14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Flourtown, PA</w:t>
            </w:r>
          </w:p>
        </w:tc>
        <w:tc>
          <w:tcPr>
            <w:tcW w:w="4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Development of a new 2,450 square foot bank pad building</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60" w:type="dxa"/>
            <w:vAlign w:val="bottom"/>
          </w:tcPr>
          <w:p>
            <w:pPr>
              <w:jc w:val="center"/>
              <w:ind w:right="888"/>
              <w:spacing w:after="0"/>
              <w:rPr>
                <w:sz w:val="20"/>
                <w:szCs w:val="20"/>
                <w:color w:val="auto"/>
              </w:rPr>
            </w:pPr>
            <w:r>
              <w:rPr>
                <w:rFonts w:ascii="Times New Roman" w:cs="Times New Roman" w:eastAsia="Times New Roman" w:hAnsi="Times New Roman"/>
                <w:sz w:val="14"/>
                <w:szCs w:val="14"/>
                <w:color w:val="auto"/>
              </w:rPr>
              <w:t>Stabilized</w:t>
            </w:r>
          </w:p>
        </w:tc>
        <w:tc>
          <w:tcPr>
            <w:tcW w:w="0" w:type="dxa"/>
            <w:vAlign w:val="bottom"/>
          </w:tcPr>
          <w:p>
            <w:pPr>
              <w:spacing w:after="0"/>
              <w:rPr>
                <w:sz w:val="1"/>
                <w:szCs w:val="1"/>
                <w:color w:val="auto"/>
              </w:rPr>
            </w:pPr>
          </w:p>
        </w:tc>
      </w:tr>
      <w:tr>
        <w:trPr>
          <w:trHeight w:val="142"/>
        </w:trPr>
        <w:tc>
          <w:tcPr>
            <w:tcW w:w="1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Dedham</w:t>
            </w:r>
          </w:p>
        </w:tc>
        <w:tc>
          <w:tcPr>
            <w:tcW w:w="1420" w:type="dxa"/>
            <w:vAlign w:val="bottom"/>
            <w:shd w:val="clear" w:color="auto" w:fill="CCEEFF"/>
          </w:tcPr>
          <w:p>
            <w:pPr>
              <w:ind w:left="300"/>
              <w:spacing w:after="0" w:line="142" w:lineRule="exact"/>
              <w:rPr>
                <w:sz w:val="20"/>
                <w:szCs w:val="20"/>
                <w:color w:val="auto"/>
              </w:rPr>
            </w:pPr>
            <w:r>
              <w:rPr>
                <w:rFonts w:ascii="Times New Roman" w:cs="Times New Roman" w:eastAsia="Times New Roman" w:hAnsi="Times New Roman"/>
                <w:sz w:val="14"/>
                <w:szCs w:val="14"/>
                <w:color w:val="auto"/>
              </w:rPr>
              <w:t>Dedham, MA</w:t>
            </w:r>
          </w:p>
        </w:tc>
        <w:tc>
          <w:tcPr>
            <w:tcW w:w="452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Development of a new 4,000 square foot pad building with drive-thru pre-</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7 %</w:t>
            </w:r>
          </w:p>
        </w:tc>
        <w:tc>
          <w:tcPr>
            <w:tcW w:w="7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860" w:type="dxa"/>
            <w:vAlign w:val="bottom"/>
            <w:shd w:val="clear" w:color="auto" w:fill="CCEEFF"/>
          </w:tcPr>
          <w:p>
            <w:pPr>
              <w:jc w:val="center"/>
              <w:ind w:right="888"/>
              <w:spacing w:after="0" w:line="142" w:lineRule="exact"/>
              <w:rPr>
                <w:sz w:val="20"/>
                <w:szCs w:val="20"/>
                <w:color w:val="auto"/>
              </w:rPr>
            </w:pPr>
            <w:r>
              <w:rPr>
                <w:rFonts w:ascii="Times New Roman" w:cs="Times New Roman" w:eastAsia="Times New Roman" w:hAnsi="Times New Roman"/>
                <w:sz w:val="14"/>
                <w:szCs w:val="14"/>
                <w:color w:val="auto"/>
              </w:rPr>
              <w:t>Stabilized</w:t>
            </w: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leased to a restaurant tenant</w:t>
            </w:r>
          </w:p>
        </w:tc>
        <w:tc>
          <w:tcPr>
            <w:tcW w:w="7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600" w:type="dxa"/>
            <w:vAlign w:val="bottom"/>
            <w:gridSpan w:val="2"/>
          </w:tcPr>
          <w:p>
            <w:pPr>
              <w:spacing w:after="0"/>
              <w:rPr>
                <w:sz w:val="12"/>
                <w:szCs w:val="12"/>
                <w:color w:val="auto"/>
              </w:rPr>
            </w:pPr>
          </w:p>
        </w:tc>
        <w:tc>
          <w:tcPr>
            <w:tcW w:w="4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600" w:type="dxa"/>
            <w:vAlign w:val="bottom"/>
            <w:gridSpan w:val="2"/>
            <w:shd w:val="clear" w:color="auto" w:fill="CCEEFF"/>
          </w:tcPr>
          <w:p>
            <w:pPr>
              <w:spacing w:after="0"/>
              <w:rPr>
                <w:sz w:val="17"/>
                <w:szCs w:val="17"/>
                <w:color w:val="auto"/>
              </w:rPr>
            </w:pPr>
          </w:p>
        </w:tc>
        <w:tc>
          <w:tcPr>
            <w:tcW w:w="4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6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Active Property Improvement Projects (6)</w:t>
            </w:r>
          </w:p>
        </w:tc>
        <w:tc>
          <w:tcPr>
            <w:tcW w:w="45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Ongoing improvements at 16 properties to better position those properties to</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6% - 13%</w:t>
            </w:r>
          </w:p>
        </w:tc>
        <w:tc>
          <w:tcPr>
            <w:tcW w:w="760" w:type="dxa"/>
            <w:vAlign w:val="bottom"/>
          </w:tcPr>
          <w:p>
            <w:pPr>
              <w:jc w:val="right"/>
              <w:ind w:right="8"/>
              <w:spacing w:after="0" w:line="135" w:lineRule="exact"/>
              <w:rPr>
                <w:sz w:val="20"/>
                <w:szCs w:val="20"/>
                <w:color w:val="auto"/>
              </w:rPr>
            </w:pPr>
            <w:r>
              <w:rPr>
                <w:rFonts w:ascii="Times New Roman" w:cs="Times New Roman" w:eastAsia="Times New Roman" w:hAnsi="Times New Roman"/>
                <w:sz w:val="14"/>
                <w:szCs w:val="14"/>
                <w:color w:val="auto"/>
              </w:rPr>
              <w:t>$78</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$65</w:t>
            </w: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capture a disproportionate amount of retail demand</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27" w:lineRule="exact"/>
        <w:rPr>
          <w:sz w:val="20"/>
          <w:szCs w:val="20"/>
          <w:color w:val="auto"/>
        </w:rPr>
      </w:pPr>
    </w:p>
    <w:p>
      <w:pPr>
        <w:ind w:left="260" w:right="20" w:hanging="252"/>
        <w:spacing w:after="0" w:line="263" w:lineRule="auto"/>
        <w:tabs>
          <w:tab w:leader="none" w:pos="253"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guarantee that the Trust will ultimately complete any or all of these opportunities, that the ROI or Projected Costs will be the amounts shown or that stabilization will occur as anticipated. The projected returns on investment (ROI) and Projected Cost are management's best estimate based on current information and may change over time. Anticipated total cost, and projected ROI, and projected POI delivered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spacing w:after="0" w:line="2" w:lineRule="exact"/>
        <w:rPr>
          <w:rFonts w:ascii="Times New Roman" w:cs="Times New Roman" w:eastAsia="Times New Roman" w:hAnsi="Times New Roman"/>
          <w:sz w:val="13"/>
          <w:szCs w:val="13"/>
          <w:color w:val="auto"/>
        </w:rPr>
      </w:pPr>
    </w:p>
    <w:p>
      <w:pPr>
        <w:ind w:left="260" w:hanging="252"/>
        <w:spacing w:after="0" w:line="260" w:lineRule="auto"/>
        <w:tabs>
          <w:tab w:leader="none" w:pos="253"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Projected ROI for mixed-use redevelopment/expansion projects reflects the unleveraged Property Operating Income (POI) generated by the project and is calculated as POI divided by cost. Projected POI delivered includes straight line rent.</w:t>
      </w:r>
    </w:p>
    <w:p>
      <w:pPr>
        <w:ind w:left="260" w:hanging="252"/>
        <w:spacing w:after="0"/>
        <w:tabs>
          <w:tab w:leader="none" w:pos="2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Projected costs for Pike &amp; Rose include an allocation of infrastructure costs for the entire project. Santana West includes an allocation of infrastructure for the Santana West site.</w:t>
      </w:r>
    </w:p>
    <w:p>
      <w:pPr>
        <w:spacing w:after="0" w:line="12" w:lineRule="exact"/>
        <w:rPr>
          <w:rFonts w:ascii="Times New Roman" w:cs="Times New Roman" w:eastAsia="Times New Roman" w:hAnsi="Times New Roman"/>
          <w:sz w:val="13"/>
          <w:szCs w:val="13"/>
          <w:color w:val="auto"/>
        </w:rPr>
      </w:pPr>
    </w:p>
    <w:p>
      <w:pPr>
        <w:ind w:left="260" w:right="40" w:hanging="252"/>
        <w:spacing w:after="0" w:line="260" w:lineRule="auto"/>
        <w:tabs>
          <w:tab w:leader="none" w:pos="253"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Projected ROI for redevelopment projects generally reflects only the deal specific cash, unleveraged incremental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generally does not include peripheral impacts, such as the impact on future lease rollovers at the property or the impact on the long-term value of the property but may for certain property improvement projects.</w:t>
      </w:r>
    </w:p>
    <w:p>
      <w:pPr>
        <w:ind w:left="260" w:hanging="252"/>
        <w:spacing w:after="0"/>
        <w:tabs>
          <w:tab w:leader="none" w:pos="2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Stabilization is generally the year in which 90% physical occupancy of the redeveloped space is achieved. Economic stabilization may occur at a later point in time.</w:t>
      </w:r>
    </w:p>
    <w:p>
      <w:pPr>
        <w:spacing w:after="0" w:line="12" w:lineRule="exact"/>
        <w:rPr>
          <w:rFonts w:ascii="Times New Roman" w:cs="Times New Roman" w:eastAsia="Times New Roman" w:hAnsi="Times New Roman"/>
          <w:sz w:val="13"/>
          <w:szCs w:val="13"/>
          <w:color w:val="auto"/>
        </w:rPr>
      </w:pPr>
    </w:p>
    <w:p>
      <w:pPr>
        <w:ind w:left="260" w:right="40" w:hanging="252"/>
        <w:spacing w:after="0" w:line="266" w:lineRule="auto"/>
        <w:tabs>
          <w:tab w:leader="none" w:pos="253"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Property improvement projects generally consist of façade renovations, site improvements, landscaping, improved outdoor amenity spaces, and other upgrades to improve the overall look and environment of the property. These projects improve overall tenant and customer experiences, improve market rents, drive leasing demand, and/or provide outdoor spaces critical to meeting the needs of the current environment. Returns on these projects are typically seen over one to five years, however, some projects could extend beyond that. Projected ROI range reflects management's best estimate of the long term expected return on cost of these investments.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028"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7"/>
          <w:szCs w:val="17"/>
          <w:b w:val="1"/>
          <w:bCs w:val="1"/>
          <w:color w:val="auto"/>
        </w:rPr>
        <w:t>Federal Realty Investment Trust</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Future Redevelopment and Expansion Opportunities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89" w:lineRule="exact"/>
        <w:rPr>
          <w:sz w:val="20"/>
          <w:szCs w:val="20"/>
          <w:color w:val="auto"/>
        </w:rPr>
      </w:pPr>
    </w:p>
    <w:p>
      <w:pPr>
        <w:ind w:left="20" w:right="260"/>
        <w:spacing w:after="0" w:line="221" w:lineRule="auto"/>
        <w:rPr>
          <w:sz w:val="20"/>
          <w:szCs w:val="20"/>
          <w:color w:val="auto"/>
        </w:rPr>
      </w:pPr>
      <w:r>
        <w:rPr>
          <w:rFonts w:ascii="Times New Roman" w:cs="Times New Roman" w:eastAsia="Times New Roman" w:hAnsi="Times New Roman"/>
          <w:sz w:val="17"/>
          <w:szCs w:val="17"/>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opportunities is in its preliminary stages and may not ultimately come to fruition.</w:t>
      </w:r>
    </w:p>
    <w:p>
      <w:pPr>
        <w:spacing w:after="0" w:line="1" w:lineRule="exact"/>
        <w:rPr>
          <w:sz w:val="20"/>
          <w:szCs w:val="20"/>
          <w:color w:val="auto"/>
        </w:rPr>
      </w:pPr>
    </w:p>
    <w:p>
      <w:pPr>
        <w:ind w:left="20" w:right="60"/>
        <w:spacing w:after="0" w:line="233" w:lineRule="auto"/>
        <w:rPr>
          <w:sz w:val="20"/>
          <w:szCs w:val="20"/>
          <w:color w:val="auto"/>
        </w:rPr>
      </w:pPr>
      <w:r>
        <w:rPr>
          <w:rFonts w:ascii="Times New Roman" w:cs="Times New Roman" w:eastAsia="Times New Roman" w:hAnsi="Times New Roman"/>
          <w:sz w:val="17"/>
          <w:szCs w:val="17"/>
          <w:b w:val="1"/>
          <w:bCs w:val="1"/>
          <w:i w:val="1"/>
          <w:iCs w:val="1"/>
          <w:color w:val="auto"/>
        </w:rPr>
        <w:t>This list will change from time to time as we identify hurdles that cannot be overcome in the near term, and focus on those opportunities that are most likely to lead to the creation of shareholder value over time.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shd w:val="clear" w:color="auto" w:fill="DBDBDB"/>
          </w:tcPr>
          <w:p>
            <w:pPr>
              <w:spacing w:after="0"/>
              <w:rPr>
                <w:sz w:val="19"/>
                <w:szCs w:val="19"/>
                <w:color w:val="auto"/>
              </w:rPr>
            </w:pPr>
          </w:p>
        </w:tc>
        <w:tc>
          <w:tcPr>
            <w:tcW w:w="230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7"/>
                <w:szCs w:val="17"/>
                <w:b w:val="1"/>
                <w:bCs w:val="1"/>
                <w:color w:val="auto"/>
              </w:rPr>
              <w:t>Redevelopment Opportunities</w:t>
            </w:r>
          </w:p>
        </w:tc>
        <w:tc>
          <w:tcPr>
            <w:tcW w:w="2140" w:type="dxa"/>
            <w:vAlign w:val="bottom"/>
            <w:tcBorders>
              <w:bottom w:val="single" w:sz="8" w:color="auto"/>
            </w:tcBorders>
            <w:shd w:val="clear" w:color="auto" w:fill="DBDBDB"/>
          </w:tcPr>
          <w:p>
            <w:pPr>
              <w:spacing w:after="0"/>
              <w:rPr>
                <w:sz w:val="19"/>
                <w:szCs w:val="19"/>
                <w:color w:val="auto"/>
              </w:rPr>
            </w:pPr>
          </w:p>
        </w:tc>
      </w:tr>
      <w:tr>
        <w:trPr>
          <w:trHeight w:val="221"/>
        </w:trPr>
        <w:tc>
          <w:tcPr>
            <w:tcW w:w="2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Property</w:t>
            </w:r>
          </w:p>
        </w:tc>
        <w:tc>
          <w:tcPr>
            <w:tcW w:w="22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2160" w:type="dxa"/>
            <w:vAlign w:val="bottom"/>
            <w:tcBorders>
              <w:bottom w:val="single" w:sz="8" w:color="auto"/>
            </w:tcBorders>
          </w:tcPr>
          <w:p>
            <w:pPr>
              <w:jc w:val="center"/>
              <w:ind w:left="135"/>
              <w:spacing w:after="0"/>
              <w:rPr>
                <w:sz w:val="20"/>
                <w:szCs w:val="20"/>
                <w:color w:val="auto"/>
              </w:rPr>
            </w:pPr>
            <w:r>
              <w:rPr>
                <w:rFonts w:ascii="Times New Roman" w:cs="Times New Roman" w:eastAsia="Times New Roman" w:hAnsi="Times New Roman"/>
                <w:sz w:val="17"/>
                <w:szCs w:val="17"/>
                <w:b w:val="1"/>
                <w:bCs w:val="1"/>
                <w:color w:val="auto"/>
              </w:rPr>
              <w:t>Expansion/Conversion (4)</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Residential (5)</w:t>
            </w:r>
          </w:p>
        </w:tc>
        <w:tc>
          <w:tcPr>
            <w:tcW w:w="214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rPr>
              <w:t>Mixed Use - Long Term</w:t>
            </w:r>
          </w:p>
        </w:tc>
      </w:tr>
      <w:tr>
        <w:trPr>
          <w:trHeight w:val="217"/>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Assembly Row (1)</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Somerville, MA</w:t>
            </w:r>
          </w:p>
        </w:tc>
        <w:tc>
          <w:tcPr>
            <w:tcW w:w="2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140" w:type="dxa"/>
            <w:vAlign w:val="bottom"/>
          </w:tcPr>
          <w:p>
            <w:pPr>
              <w:jc w:val="center"/>
              <w:ind w:right="195"/>
              <w:spacing w:after="0"/>
              <w:rPr>
                <w:sz w:val="20"/>
                <w:szCs w:val="20"/>
                <w:color w:val="auto"/>
              </w:rPr>
            </w:pPr>
            <w:r>
              <w:rPr>
                <w:rFonts w:ascii="Wingdings" w:cs="Wingdings" w:eastAsia="Wingdings" w:hAnsi="Wingdings"/>
                <w:sz w:val="17"/>
                <w:szCs w:val="17"/>
                <w:b w:val="1"/>
                <w:bCs w:val="1"/>
                <w:color w:val="auto"/>
                <w:highlight w:val="black"/>
              </w:rPr>
              <w:t>ü</w:t>
            </w:r>
          </w:p>
        </w:tc>
      </w:tr>
      <w:tr>
        <w:trPr>
          <w:trHeight w:val="21"/>
        </w:trPr>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3"/>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Andorra</w:t>
            </w:r>
          </w:p>
        </w:tc>
        <w:tc>
          <w:tcPr>
            <w:tcW w:w="2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Philadelphia, PA</w:t>
            </w:r>
          </w:p>
        </w:tc>
        <w:tc>
          <w:tcPr>
            <w:tcW w:w="2160" w:type="dxa"/>
            <w:vAlign w:val="bottom"/>
            <w:tcBorders>
              <w:bottom w:val="single" w:sz="8" w:color="CCEEFF"/>
            </w:tcBorders>
            <w:shd w:val="clear" w:color="auto" w:fill="CCEEFF"/>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Borders>
              <w:bottom w:val="single" w:sz="8" w:color="CCEEFF"/>
            </w:tcBorders>
            <w:shd w:val="clear" w:color="auto" w:fill="CCEEFF"/>
          </w:tcPr>
          <w:p>
            <w:pPr>
              <w:spacing w:after="0"/>
              <w:rPr>
                <w:sz w:val="19"/>
                <w:szCs w:val="19"/>
                <w:color w:val="auto"/>
              </w:rPr>
            </w:pPr>
          </w:p>
        </w:tc>
        <w:tc>
          <w:tcPr>
            <w:tcW w:w="2140" w:type="dxa"/>
            <w:vAlign w:val="bottom"/>
            <w:tcBorders>
              <w:bottom w:val="single" w:sz="8" w:color="CCEEFF"/>
            </w:tcBorders>
            <w:shd w:val="clear" w:color="auto" w:fill="CCEEFF"/>
          </w:tcPr>
          <w:p>
            <w:pPr>
              <w:spacing w:after="0"/>
              <w:rPr>
                <w:sz w:val="19"/>
                <w:szCs w:val="19"/>
                <w:color w:val="auto"/>
              </w:rPr>
            </w:pPr>
          </w:p>
        </w:tc>
      </w:tr>
      <w:tr>
        <w:trPr>
          <w:trHeight w:val="222"/>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 Cynwyd</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Bala Cynwyd, PA</w:t>
            </w:r>
          </w:p>
        </w:tc>
        <w:tc>
          <w:tcPr>
            <w:tcW w:w="2160" w:type="dxa"/>
            <w:vAlign w:val="bottom"/>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tcPr>
          <w:p>
            <w:pPr>
              <w:spacing w:after="0"/>
              <w:rPr>
                <w:sz w:val="19"/>
                <w:szCs w:val="19"/>
                <w:color w:val="auto"/>
              </w:rPr>
            </w:pPr>
          </w:p>
        </w:tc>
      </w:tr>
      <w:tr>
        <w:trPr>
          <w:trHeight w:val="21"/>
        </w:trPr>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3"/>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Barracks Road</w:t>
            </w:r>
          </w:p>
        </w:tc>
        <w:tc>
          <w:tcPr>
            <w:tcW w:w="2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Charlottesville, VA</w:t>
            </w:r>
          </w:p>
        </w:tc>
        <w:tc>
          <w:tcPr>
            <w:tcW w:w="2160" w:type="dxa"/>
            <w:vAlign w:val="bottom"/>
            <w:tcBorders>
              <w:bottom w:val="single" w:sz="8" w:color="CCEEFF"/>
            </w:tcBorders>
            <w:shd w:val="clear" w:color="auto" w:fill="CCEEFF"/>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Borders>
              <w:bottom w:val="single" w:sz="8" w:color="CCEEFF"/>
            </w:tcBorders>
            <w:shd w:val="clear" w:color="auto" w:fill="CCEEFF"/>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tcBorders>
              <w:bottom w:val="single" w:sz="8" w:color="CCEEFF"/>
            </w:tcBorders>
            <w:shd w:val="clear" w:color="auto" w:fill="CCEEFF"/>
          </w:tcPr>
          <w:p>
            <w:pPr>
              <w:spacing w:after="0"/>
              <w:rPr>
                <w:sz w:val="19"/>
                <w:szCs w:val="19"/>
                <w:color w:val="auto"/>
              </w:rPr>
            </w:pPr>
          </w:p>
        </w:tc>
      </w:tr>
      <w:tr>
        <w:trPr>
          <w:trHeight w:val="22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Bethesda Row</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Bethesda, MD</w:t>
            </w:r>
          </w:p>
        </w:tc>
        <w:tc>
          <w:tcPr>
            <w:tcW w:w="2160" w:type="dxa"/>
            <w:vAlign w:val="bottom"/>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tcPr>
          <w:p>
            <w:pPr>
              <w:spacing w:after="0"/>
              <w:rPr>
                <w:sz w:val="19"/>
                <w:szCs w:val="19"/>
                <w:color w:val="auto"/>
              </w:rPr>
            </w:pPr>
          </w:p>
        </w:tc>
      </w:tr>
      <w:tr>
        <w:trPr>
          <w:trHeight w:val="23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Camelback Colonnade</w:t>
            </w:r>
          </w:p>
        </w:tc>
        <w:tc>
          <w:tcPr>
            <w:tcW w:w="2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Phoenix, AZ</w:t>
            </w:r>
          </w:p>
        </w:tc>
        <w:tc>
          <w:tcPr>
            <w:tcW w:w="2160" w:type="dxa"/>
            <w:vAlign w:val="bottom"/>
            <w:shd w:val="clear" w:color="auto" w:fill="CCEEFF"/>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shd w:val="clear" w:color="auto" w:fill="CCEEFF"/>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shd w:val="clear" w:color="auto" w:fill="CCEEFF"/>
          </w:tcPr>
          <w:p>
            <w:pPr>
              <w:spacing w:after="0"/>
              <w:rPr>
                <w:sz w:val="20"/>
                <w:szCs w:val="20"/>
                <w:color w:val="auto"/>
              </w:rPr>
            </w:pPr>
          </w:p>
        </w:tc>
      </w:tr>
      <w:tr>
        <w:trPr>
          <w:trHeight w:val="22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Chelsea Commons</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Chelsea, MA</w:t>
            </w:r>
          </w:p>
        </w:tc>
        <w:tc>
          <w:tcPr>
            <w:tcW w:w="2160" w:type="dxa"/>
            <w:vAlign w:val="bottom"/>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3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Dedham Plaza</w:t>
            </w:r>
          </w:p>
        </w:tc>
        <w:tc>
          <w:tcPr>
            <w:tcW w:w="2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Dedham, MA</w:t>
            </w:r>
          </w:p>
        </w:tc>
        <w:tc>
          <w:tcPr>
            <w:tcW w:w="2160" w:type="dxa"/>
            <w:vAlign w:val="bottom"/>
            <w:shd w:val="clear" w:color="auto" w:fill="CCEEFF"/>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22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Escondido Promenade</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Escondido, CA</w:t>
            </w:r>
          </w:p>
        </w:tc>
        <w:tc>
          <w:tcPr>
            <w:tcW w:w="2160" w:type="dxa"/>
            <w:vAlign w:val="bottom"/>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3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Fairfax Junction</w:t>
            </w:r>
          </w:p>
        </w:tc>
        <w:tc>
          <w:tcPr>
            <w:tcW w:w="2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Fairfax, VA</w:t>
            </w:r>
          </w:p>
        </w:tc>
        <w:tc>
          <w:tcPr>
            <w:tcW w:w="2160" w:type="dxa"/>
            <w:vAlign w:val="bottom"/>
            <w:shd w:val="clear" w:color="auto" w:fill="CCEEFF"/>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shd w:val="clear" w:color="auto" w:fill="CCEEFF"/>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shd w:val="clear" w:color="auto" w:fill="CCEEFF"/>
          </w:tcPr>
          <w:p>
            <w:pPr>
              <w:spacing w:after="0"/>
              <w:rPr>
                <w:sz w:val="20"/>
                <w:szCs w:val="20"/>
                <w:color w:val="auto"/>
              </w:rPr>
            </w:pPr>
          </w:p>
        </w:tc>
      </w:tr>
      <w:tr>
        <w:trPr>
          <w:trHeight w:val="22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Federal Plaza</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Rockville, MD</w:t>
            </w:r>
          </w:p>
        </w:tc>
        <w:tc>
          <w:tcPr>
            <w:tcW w:w="216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tcPr>
          <w:p>
            <w:pPr>
              <w:spacing w:after="0"/>
              <w:rPr>
                <w:sz w:val="19"/>
                <w:szCs w:val="19"/>
                <w:color w:val="auto"/>
              </w:rPr>
            </w:pPr>
          </w:p>
        </w:tc>
      </w:tr>
      <w:tr>
        <w:trPr>
          <w:trHeight w:val="23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Fresh Meadows</w:t>
            </w:r>
          </w:p>
        </w:tc>
        <w:tc>
          <w:tcPr>
            <w:tcW w:w="2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Queens, NY</w:t>
            </w:r>
          </w:p>
        </w:tc>
        <w:tc>
          <w:tcPr>
            <w:tcW w:w="2160" w:type="dxa"/>
            <w:vAlign w:val="bottom"/>
            <w:shd w:val="clear" w:color="auto" w:fill="CCEEFF"/>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22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Friendship Center</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Washington, DC</w:t>
            </w:r>
          </w:p>
        </w:tc>
        <w:tc>
          <w:tcPr>
            <w:tcW w:w="2160" w:type="dxa"/>
            <w:vAlign w:val="bottom"/>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tcPr>
          <w:p>
            <w:pPr>
              <w:spacing w:after="0"/>
              <w:rPr>
                <w:sz w:val="19"/>
                <w:szCs w:val="19"/>
                <w:color w:val="auto"/>
              </w:rPr>
            </w:pPr>
          </w:p>
        </w:tc>
      </w:tr>
      <w:tr>
        <w:trPr>
          <w:trHeight w:val="23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Grossmont Center</w:t>
            </w:r>
          </w:p>
        </w:tc>
        <w:tc>
          <w:tcPr>
            <w:tcW w:w="2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La Mesa, CA</w:t>
            </w:r>
          </w:p>
        </w:tc>
        <w:tc>
          <w:tcPr>
            <w:tcW w:w="2160" w:type="dxa"/>
            <w:vAlign w:val="bottom"/>
            <w:shd w:val="clear" w:color="auto" w:fill="CCEEFF"/>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22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Hoboken</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Hoboken, NJ</w:t>
            </w:r>
          </w:p>
        </w:tc>
        <w:tc>
          <w:tcPr>
            <w:tcW w:w="216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tcPr>
          <w:p>
            <w:pPr>
              <w:spacing w:after="0"/>
              <w:rPr>
                <w:sz w:val="19"/>
                <w:szCs w:val="19"/>
                <w:color w:val="auto"/>
              </w:rPr>
            </w:pPr>
          </w:p>
        </w:tc>
      </w:tr>
      <w:tr>
        <w:trPr>
          <w:trHeight w:val="23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Huntington</w:t>
            </w:r>
          </w:p>
        </w:tc>
        <w:tc>
          <w:tcPr>
            <w:tcW w:w="2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Huntington, NY</w:t>
            </w:r>
          </w:p>
        </w:tc>
        <w:tc>
          <w:tcPr>
            <w:tcW w:w="216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shd w:val="clear" w:color="auto" w:fill="CCEEFF"/>
          </w:tcPr>
          <w:p>
            <w:pPr>
              <w:spacing w:after="0"/>
              <w:rPr>
                <w:sz w:val="20"/>
                <w:szCs w:val="20"/>
                <w:color w:val="auto"/>
              </w:rPr>
            </w:pPr>
          </w:p>
        </w:tc>
      </w:tr>
      <w:tr>
        <w:trPr>
          <w:trHeight w:val="22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Mercer Mall</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Lawrenceville, NJ</w:t>
            </w:r>
          </w:p>
        </w:tc>
        <w:tc>
          <w:tcPr>
            <w:tcW w:w="2160" w:type="dxa"/>
            <w:vAlign w:val="bottom"/>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3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Pan Am</w:t>
            </w:r>
          </w:p>
        </w:tc>
        <w:tc>
          <w:tcPr>
            <w:tcW w:w="2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Fairfax, VA</w:t>
            </w:r>
          </w:p>
        </w:tc>
        <w:tc>
          <w:tcPr>
            <w:tcW w:w="2160" w:type="dxa"/>
            <w:vAlign w:val="bottom"/>
            <w:shd w:val="clear" w:color="auto" w:fill="CCEEFF"/>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shd w:val="clear" w:color="auto" w:fill="CCEEFF"/>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shd w:val="clear" w:color="auto" w:fill="CCEEFF"/>
          </w:tcPr>
          <w:p>
            <w:pPr>
              <w:spacing w:after="0"/>
              <w:rPr>
                <w:sz w:val="20"/>
                <w:szCs w:val="20"/>
                <w:color w:val="auto"/>
              </w:rPr>
            </w:pPr>
          </w:p>
        </w:tc>
      </w:tr>
      <w:tr>
        <w:trPr>
          <w:trHeight w:val="22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Pike &amp; Rose (2)</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North Bethesda, MD</w:t>
            </w:r>
          </w:p>
        </w:tc>
        <w:tc>
          <w:tcPr>
            <w:tcW w:w="21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140" w:type="dxa"/>
            <w:vAlign w:val="bottom"/>
          </w:tcPr>
          <w:p>
            <w:pPr>
              <w:jc w:val="center"/>
              <w:ind w:right="195"/>
              <w:spacing w:after="0"/>
              <w:rPr>
                <w:sz w:val="20"/>
                <w:szCs w:val="20"/>
                <w:color w:val="auto"/>
              </w:rPr>
            </w:pPr>
            <w:r>
              <w:rPr>
                <w:rFonts w:ascii="Wingdings" w:cs="Wingdings" w:eastAsia="Wingdings" w:hAnsi="Wingdings"/>
                <w:sz w:val="17"/>
                <w:szCs w:val="17"/>
                <w:b w:val="1"/>
                <w:bCs w:val="1"/>
                <w:color w:val="auto"/>
                <w:highlight w:val="black"/>
              </w:rPr>
              <w:t>ü</w:t>
            </w:r>
          </w:p>
        </w:tc>
      </w:tr>
      <w:tr>
        <w:trPr>
          <w:trHeight w:val="23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Pike 7 Plaza</w:t>
            </w:r>
          </w:p>
        </w:tc>
        <w:tc>
          <w:tcPr>
            <w:tcW w:w="2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Vienna, VA</w:t>
            </w:r>
          </w:p>
        </w:tc>
        <w:tc>
          <w:tcPr>
            <w:tcW w:w="216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140" w:type="dxa"/>
            <w:vAlign w:val="bottom"/>
            <w:shd w:val="clear" w:color="auto" w:fill="CCEEFF"/>
          </w:tcPr>
          <w:p>
            <w:pPr>
              <w:jc w:val="center"/>
              <w:ind w:right="195"/>
              <w:spacing w:after="0"/>
              <w:rPr>
                <w:sz w:val="20"/>
                <w:szCs w:val="20"/>
                <w:color w:val="auto"/>
              </w:rPr>
            </w:pPr>
            <w:r>
              <w:rPr>
                <w:rFonts w:ascii="Wingdings" w:cs="Wingdings" w:eastAsia="Wingdings" w:hAnsi="Wingdings"/>
                <w:sz w:val="17"/>
                <w:szCs w:val="17"/>
                <w:b w:val="1"/>
                <w:bCs w:val="1"/>
                <w:color w:val="auto"/>
                <w:highlight w:val="black"/>
              </w:rPr>
              <w:t>ü</w:t>
            </w:r>
          </w:p>
        </w:tc>
      </w:tr>
      <w:tr>
        <w:trPr>
          <w:trHeight w:val="22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Riverpoint Center</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Chicago, IL</w:t>
            </w:r>
          </w:p>
        </w:tc>
        <w:tc>
          <w:tcPr>
            <w:tcW w:w="2160" w:type="dxa"/>
            <w:vAlign w:val="bottom"/>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3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Santana Row (3)</w:t>
            </w:r>
          </w:p>
        </w:tc>
        <w:tc>
          <w:tcPr>
            <w:tcW w:w="2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San Jose, CA</w:t>
            </w:r>
          </w:p>
        </w:tc>
        <w:tc>
          <w:tcPr>
            <w:tcW w:w="216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140" w:type="dxa"/>
            <w:vAlign w:val="bottom"/>
            <w:shd w:val="clear" w:color="auto" w:fill="CCEEFF"/>
          </w:tcPr>
          <w:p>
            <w:pPr>
              <w:jc w:val="center"/>
              <w:ind w:right="195"/>
              <w:spacing w:after="0"/>
              <w:rPr>
                <w:sz w:val="20"/>
                <w:szCs w:val="20"/>
                <w:color w:val="auto"/>
              </w:rPr>
            </w:pPr>
            <w:r>
              <w:rPr>
                <w:rFonts w:ascii="Wingdings" w:cs="Wingdings" w:eastAsia="Wingdings" w:hAnsi="Wingdings"/>
                <w:sz w:val="17"/>
                <w:szCs w:val="17"/>
                <w:b w:val="1"/>
                <w:bCs w:val="1"/>
                <w:color w:val="auto"/>
                <w:highlight w:val="black"/>
              </w:rPr>
              <w:t>ü</w:t>
            </w:r>
          </w:p>
        </w:tc>
      </w:tr>
      <w:tr>
        <w:trPr>
          <w:trHeight w:val="22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Shops at Pembroke Gardens</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Pembroke Pines, FL</w:t>
            </w:r>
          </w:p>
        </w:tc>
        <w:tc>
          <w:tcPr>
            <w:tcW w:w="216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tcPr>
          <w:p>
            <w:pPr>
              <w:spacing w:after="0"/>
              <w:rPr>
                <w:sz w:val="19"/>
                <w:szCs w:val="19"/>
                <w:color w:val="auto"/>
              </w:rPr>
            </w:pPr>
          </w:p>
        </w:tc>
      </w:tr>
      <w:tr>
        <w:trPr>
          <w:trHeight w:val="23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 AVENUE at White Marsh</w:t>
            </w:r>
          </w:p>
        </w:tc>
        <w:tc>
          <w:tcPr>
            <w:tcW w:w="2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White Marsh, MD</w:t>
            </w:r>
          </w:p>
        </w:tc>
        <w:tc>
          <w:tcPr>
            <w:tcW w:w="216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shd w:val="clear" w:color="auto" w:fill="CCEEFF"/>
          </w:tcPr>
          <w:p>
            <w:pPr>
              <w:spacing w:after="0"/>
              <w:rPr>
                <w:sz w:val="20"/>
                <w:szCs w:val="20"/>
                <w:color w:val="auto"/>
              </w:rPr>
            </w:pPr>
          </w:p>
        </w:tc>
      </w:tr>
      <w:tr>
        <w:trPr>
          <w:trHeight w:val="22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Village at Shirlington</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Arlington, VA</w:t>
            </w:r>
          </w:p>
        </w:tc>
        <w:tc>
          <w:tcPr>
            <w:tcW w:w="216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tcPr>
          <w:p>
            <w:pPr>
              <w:spacing w:after="0"/>
              <w:rPr>
                <w:sz w:val="19"/>
                <w:szCs w:val="19"/>
                <w:color w:val="auto"/>
              </w:rPr>
            </w:pPr>
          </w:p>
        </w:tc>
      </w:tr>
      <w:tr>
        <w:trPr>
          <w:trHeight w:val="23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Willow Grove</w:t>
            </w:r>
          </w:p>
        </w:tc>
        <w:tc>
          <w:tcPr>
            <w:tcW w:w="2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Willow Grove, PA</w:t>
            </w:r>
          </w:p>
        </w:tc>
        <w:tc>
          <w:tcPr>
            <w:tcW w:w="2160" w:type="dxa"/>
            <w:vAlign w:val="bottom"/>
            <w:shd w:val="clear" w:color="auto" w:fill="CCEEFF"/>
          </w:tcPr>
          <w:p>
            <w:pPr>
              <w:jc w:val="center"/>
              <w:ind w:left="135"/>
              <w:spacing w:after="0"/>
              <w:rPr>
                <w:sz w:val="20"/>
                <w:szCs w:val="20"/>
                <w:color w:val="auto"/>
              </w:rPr>
            </w:pPr>
            <w:r>
              <w:rPr>
                <w:rFonts w:ascii="Wingdings" w:cs="Wingdings" w:eastAsia="Wingdings" w:hAnsi="Wingdings"/>
                <w:sz w:val="17"/>
                <w:szCs w:val="17"/>
                <w:b w:val="1"/>
                <w:bCs w:val="1"/>
                <w:color w:val="auto"/>
                <w:highlight w:val="black"/>
              </w:rPr>
              <w:t>ü</w:t>
            </w:r>
          </w:p>
        </w:tc>
        <w:tc>
          <w:tcPr>
            <w:tcW w:w="2300" w:type="dxa"/>
            <w:vAlign w:val="bottom"/>
            <w:shd w:val="clear" w:color="auto" w:fill="CCEEFF"/>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shd w:val="clear" w:color="auto" w:fill="CCEEFF"/>
          </w:tcPr>
          <w:p>
            <w:pPr>
              <w:spacing w:after="0"/>
              <w:rPr>
                <w:sz w:val="20"/>
                <w:szCs w:val="20"/>
                <w:color w:val="auto"/>
              </w:rPr>
            </w:pPr>
          </w:p>
        </w:tc>
      </w:tr>
      <w:tr>
        <w:trPr>
          <w:trHeight w:val="222"/>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Willow Lawn</w:t>
            </w:r>
          </w:p>
        </w:tc>
        <w:tc>
          <w:tcPr>
            <w:tcW w:w="2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Richmond, VA</w:t>
            </w:r>
          </w:p>
        </w:tc>
        <w:tc>
          <w:tcPr>
            <w:tcW w:w="216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Wingdings" w:cs="Wingdings" w:eastAsia="Wingdings" w:hAnsi="Wingdings"/>
                <w:sz w:val="17"/>
                <w:szCs w:val="17"/>
                <w:b w:val="1"/>
                <w:bCs w:val="1"/>
                <w:color w:val="auto"/>
                <w:highlight w:val="black"/>
              </w:rPr>
              <w:t>ü</w:t>
            </w:r>
          </w:p>
        </w:tc>
        <w:tc>
          <w:tcPr>
            <w:tcW w:w="2140" w:type="dxa"/>
            <w:vAlign w:val="bottom"/>
          </w:tcPr>
          <w:p>
            <w:pPr>
              <w:spacing w:after="0"/>
              <w:rPr>
                <w:sz w:val="19"/>
                <w:szCs w:val="19"/>
                <w:color w:val="auto"/>
              </w:rPr>
            </w:pPr>
          </w:p>
        </w:tc>
      </w:tr>
      <w:tr>
        <w:trPr>
          <w:trHeight w:val="250"/>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Notes:</w:t>
            </w:r>
          </w:p>
        </w:tc>
        <w:tc>
          <w:tcPr>
            <w:tcW w:w="19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140" w:type="dxa"/>
            <w:vAlign w:val="bottom"/>
          </w:tcPr>
          <w:p>
            <w:pPr>
              <w:spacing w:after="0"/>
              <w:rPr>
                <w:sz w:val="21"/>
                <w:szCs w:val="21"/>
                <w:color w:val="auto"/>
              </w:rPr>
            </w:pPr>
          </w:p>
        </w:tc>
      </w:tr>
    </w:tbl>
    <w:p>
      <w:pPr>
        <w:spacing w:after="0" w:line="130"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entitlements at Assembly Row include approximately 1.5 million square feet of commercial-use buildings and 326 residential units.</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entitlements at Pike &amp; Rose include approximately 530,000 square feet of commercial-use buildings and 741 residential units.</w:t>
      </w:r>
    </w:p>
    <w:p>
      <w:pPr>
        <w:spacing w:after="0" w:line="9" w:lineRule="exact"/>
        <w:rPr>
          <w:rFonts w:ascii="Times New Roman" w:cs="Times New Roman" w:eastAsia="Times New Roman" w:hAnsi="Times New Roman"/>
          <w:sz w:val="18"/>
          <w:szCs w:val="18"/>
          <w:color w:val="auto"/>
        </w:rPr>
      </w:pPr>
    </w:p>
    <w:p>
      <w:pPr>
        <w:ind w:left="660" w:right="440" w:hanging="652"/>
        <w:spacing w:after="0" w:line="250" w:lineRule="auto"/>
        <w:tabs>
          <w:tab w:leader="none" w:pos="6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entitlements at Santana Row include approximately 321,000 square feet of commercial space and 395 residential units, as well as approximately 604,000 square feet of commercial space across from Santana Row.</w:t>
      </w:r>
    </w:p>
    <w:p>
      <w:pPr>
        <w:ind w:left="660" w:right="60" w:hanging="652"/>
        <w:spacing w:after="0" w:line="265" w:lineRule="auto"/>
        <w:tabs>
          <w:tab w:leader="none" w:pos="65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Property expansion/conversion includes opportunities at successful retail properties to convert previously underutilized land into new GLA, to convert other existing uses into more productive uses for the property, and/or to add both single tenant and multi-tenant stand alone pad buildings.</w:t>
      </w: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includes opportunities to add residential units to existing retail and mixed-use properties.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1018" w:right="35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Property Acquisition, Dispositions, &amp; Other Transactions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Property Acquisition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City/State</w:t>
            </w: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GLA</w:t>
            </w:r>
          </w:p>
        </w:tc>
        <w:tc>
          <w:tcPr>
            <w:tcW w:w="12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Purchase</w:t>
            </w:r>
          </w:p>
        </w:tc>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Principal Tenants</w:t>
            </w:r>
          </w:p>
        </w:tc>
        <w:tc>
          <w:tcPr>
            <w:tcW w:w="0" w:type="dxa"/>
            <w:vAlign w:val="bottom"/>
          </w:tcPr>
          <w:p>
            <w:pPr>
              <w:spacing w:after="0"/>
              <w:rPr>
                <w:sz w:val="1"/>
                <w:szCs w:val="1"/>
                <w:color w:val="auto"/>
              </w:rPr>
            </w:pPr>
          </w:p>
        </w:tc>
      </w:tr>
      <w:tr>
        <w:trPr>
          <w:trHeight w:val="214"/>
        </w:trPr>
        <w:tc>
          <w:tcPr>
            <w:tcW w:w="1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gridSpan w:val="2"/>
            <w:vMerge w:val="continue"/>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square feet)</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31, 2023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Huntington Square (1)</w:t>
            </w: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East Northport, New York</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06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35.5  At Home / AMC</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60" w:right="760" w:hanging="652"/>
        <w:spacing w:after="0" w:line="280" w:lineRule="auto"/>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 price includes the acquisition of the portions of the property not previously owned, as well as the acquisition of the fee interest in the land underneath the portion of Huntington Square shopping center which we control under a long-term ground lease.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Other Investment Transactions</w:t>
      </w:r>
    </w:p>
    <w:p>
      <w:pPr>
        <w:spacing w:after="0" w:line="183"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On May 26, 2023, we exercised our option and acquired the 22.3% tenancy in common ("TIC") interest from our co-owner at Escondido Promenade for $30.5 million, bringing our ownership interest to 100%. As a result of the transaction, we gained control of this property, and effective May 26, 2023, we have consolidated this property.</w:t>
      </w:r>
    </w:p>
    <w:p>
      <w:pPr>
        <w:spacing w:after="0" w:line="124"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On October 12, 2023, we acquired the fee interest under a portion of our Mercer on One (formerly known as Mercer Mall) shopping center for $55.0 million pursuant to the purchase option included in the master lease.</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Property Dispositions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47"/>
        </w:trPr>
        <w:tc>
          <w:tcPr>
            <w:tcW w:w="1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20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8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City/State</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Sales Price</w:t>
            </w:r>
          </w:p>
        </w:tc>
      </w:tr>
      <w:tr>
        <w:trPr>
          <w:trHeight w:val="211"/>
        </w:trPr>
        <w:tc>
          <w:tcPr>
            <w:tcW w:w="15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8"/>
        </w:trPr>
        <w:tc>
          <w:tcPr>
            <w:tcW w:w="1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15, 2023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Town Center of New Britain</w:t>
            </w:r>
          </w:p>
        </w:tc>
        <w:tc>
          <w:tcPr>
            <w:tcW w:w="18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Britain, Pennsylvania</w:t>
            </w:r>
          </w:p>
        </w:tc>
        <w:tc>
          <w:tcPr>
            <w:tcW w:w="1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0"/>
        </w:trPr>
        <w:tc>
          <w:tcPr>
            <w:tcW w:w="1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October 27, 2023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Third Street Promenade (1 building)</w:t>
            </w:r>
          </w:p>
        </w:tc>
        <w:tc>
          <w:tcPr>
            <w:tcW w:w="18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Santa Monica, California</w:t>
            </w:r>
          </w:p>
        </w:tc>
        <w:tc>
          <w:tcPr>
            <w:tcW w:w="17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627"/>
        </w:trPr>
        <w:tc>
          <w:tcPr>
            <w:tcW w:w="17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Financing Transactions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5"/>
        </w:trPr>
        <w:tc>
          <w:tcPr>
            <w:tcW w:w="1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Issuances of Debt</w:t>
            </w:r>
          </w:p>
        </w:tc>
        <w:tc>
          <w:tcPr>
            <w:tcW w:w="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7"/>
        </w:trPr>
        <w:tc>
          <w:tcPr>
            <w:tcW w:w="17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Issuance Date</w:t>
            </w:r>
          </w:p>
        </w:tc>
        <w:tc>
          <w:tcPr>
            <w:tcW w:w="40" w:type="dxa"/>
            <w:vAlign w:val="bottom"/>
          </w:tcPr>
          <w:p>
            <w:pPr>
              <w:spacing w:after="0"/>
              <w:rPr>
                <w:sz w:val="24"/>
                <w:szCs w:val="24"/>
                <w:color w:val="auto"/>
              </w:rPr>
            </w:pPr>
          </w:p>
        </w:tc>
        <w:tc>
          <w:tcPr>
            <w:tcW w:w="29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Debt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172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Stated Interest Rate</w:t>
            </w:r>
          </w:p>
        </w:tc>
        <w:tc>
          <w:tcPr>
            <w:tcW w:w="302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Maturity Date</w:t>
            </w:r>
          </w:p>
        </w:tc>
      </w:tr>
      <w:tr>
        <w:trPr>
          <w:trHeight w:val="211"/>
        </w:trPr>
        <w:tc>
          <w:tcPr>
            <w:tcW w:w="15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360" w:type="dxa"/>
            <w:vAlign w:val="bottom"/>
          </w:tcPr>
          <w:p>
            <w:pPr>
              <w:spacing w:after="0"/>
              <w:rPr>
                <w:sz w:val="18"/>
                <w:szCs w:val="18"/>
                <w:color w:val="auto"/>
              </w:rPr>
            </w:pPr>
          </w:p>
        </w:tc>
      </w:tr>
      <w:tr>
        <w:trPr>
          <w:trHeight w:val="218"/>
        </w:trPr>
        <w:tc>
          <w:tcPr>
            <w:tcW w:w="1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12, 2023</w:t>
            </w:r>
          </w:p>
        </w:tc>
        <w:tc>
          <w:tcPr>
            <w:tcW w:w="40" w:type="dxa"/>
            <w:vAlign w:val="bottom"/>
            <w:shd w:val="clear" w:color="auto" w:fill="CCEEFF"/>
          </w:tcPr>
          <w:p>
            <w:pPr>
              <w:spacing w:after="0"/>
              <w:rPr>
                <w:sz w:val="18"/>
                <w:szCs w:val="18"/>
                <w:color w:val="auto"/>
              </w:rPr>
            </w:pPr>
          </w:p>
        </w:tc>
        <w:tc>
          <w:tcPr>
            <w:tcW w:w="2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5.375% Senior Notes (1)</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5.375 %</w:t>
            </w:r>
          </w:p>
        </w:tc>
        <w:tc>
          <w:tcPr>
            <w:tcW w:w="8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jc w:val="right"/>
              <w:ind w:right="1380"/>
              <w:spacing w:after="0"/>
              <w:rPr>
                <w:sz w:val="20"/>
                <w:szCs w:val="20"/>
                <w:color w:val="auto"/>
              </w:rPr>
            </w:pPr>
            <w:r>
              <w:rPr>
                <w:rFonts w:ascii="Times New Roman" w:cs="Times New Roman" w:eastAsia="Times New Roman" w:hAnsi="Times New Roman"/>
                <w:sz w:val="16"/>
                <w:szCs w:val="16"/>
                <w:color w:val="auto"/>
              </w:rPr>
              <w:t>May 1, 2028</w:t>
            </w:r>
          </w:p>
        </w:tc>
      </w:tr>
      <w:tr>
        <w:trPr>
          <w:trHeight w:val="213"/>
        </w:trPr>
        <w:tc>
          <w:tcPr>
            <w:tcW w:w="1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December 28, 2023</w:t>
            </w:r>
          </w:p>
        </w:tc>
        <w:tc>
          <w:tcPr>
            <w:tcW w:w="40" w:type="dxa"/>
            <w:vAlign w:val="bottom"/>
          </w:tcPr>
          <w:p>
            <w:pPr>
              <w:spacing w:after="0"/>
              <w:rPr>
                <w:sz w:val="18"/>
                <w:szCs w:val="18"/>
                <w:color w:val="auto"/>
              </w:rPr>
            </w:pPr>
          </w:p>
        </w:tc>
        <w:tc>
          <w:tcPr>
            <w:tcW w:w="29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Bethesda Row Mortgage Loan (2)</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SOFR + 0.95%</w:t>
            </w:r>
          </w:p>
        </w:tc>
        <w:tc>
          <w:tcPr>
            <w:tcW w:w="3020" w:type="dxa"/>
            <w:vAlign w:val="bottom"/>
            <w:gridSpan w:val="3"/>
          </w:tcPr>
          <w:p>
            <w:pPr>
              <w:jc w:val="right"/>
              <w:ind w:right="1380"/>
              <w:spacing w:after="0"/>
              <w:rPr>
                <w:sz w:val="20"/>
                <w:szCs w:val="20"/>
                <w:color w:val="auto"/>
              </w:rPr>
            </w:pPr>
            <w:r>
              <w:rPr>
                <w:rFonts w:ascii="Times New Roman" w:cs="Times New Roman" w:eastAsia="Times New Roman" w:hAnsi="Times New Roman"/>
                <w:sz w:val="16"/>
                <w:szCs w:val="16"/>
                <w:color w:val="auto"/>
              </w:rPr>
              <w:t>December 28, 2025</w:t>
            </w:r>
          </w:p>
        </w:tc>
      </w:tr>
      <w:tr>
        <w:trPr>
          <w:trHeight w:val="219"/>
        </w:trPr>
        <w:tc>
          <w:tcPr>
            <w:tcW w:w="1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11, 2024</w:t>
            </w:r>
          </w:p>
        </w:tc>
        <w:tc>
          <w:tcPr>
            <w:tcW w:w="40" w:type="dxa"/>
            <w:vAlign w:val="bottom"/>
            <w:shd w:val="clear" w:color="auto" w:fill="CCEEFF"/>
          </w:tcPr>
          <w:p>
            <w:pPr>
              <w:spacing w:after="0"/>
              <w:rPr>
                <w:sz w:val="19"/>
                <w:szCs w:val="19"/>
                <w:color w:val="auto"/>
              </w:rPr>
            </w:pPr>
          </w:p>
        </w:tc>
        <w:tc>
          <w:tcPr>
            <w:tcW w:w="2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3.25% Exchangeable Senior Notes (3)</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80" w:type="dxa"/>
            <w:vAlign w:val="bottom"/>
            <w:shd w:val="clear" w:color="auto" w:fill="CCEEFF"/>
          </w:tcPr>
          <w:p>
            <w:pPr>
              <w:spacing w:after="0"/>
              <w:rPr>
                <w:sz w:val="19"/>
                <w:szCs w:val="19"/>
                <w:color w:val="auto"/>
              </w:rPr>
            </w:pPr>
          </w:p>
        </w:tc>
        <w:tc>
          <w:tcPr>
            <w:tcW w:w="3020" w:type="dxa"/>
            <w:vAlign w:val="bottom"/>
            <w:gridSpan w:val="3"/>
            <w:shd w:val="clear" w:color="auto" w:fill="CCEEFF"/>
          </w:tcPr>
          <w:p>
            <w:pPr>
              <w:jc w:val="right"/>
              <w:ind w:right="1380"/>
              <w:spacing w:after="0"/>
              <w:rPr>
                <w:sz w:val="20"/>
                <w:szCs w:val="20"/>
                <w:color w:val="auto"/>
              </w:rPr>
            </w:pPr>
            <w:r>
              <w:rPr>
                <w:rFonts w:ascii="Times New Roman" w:cs="Times New Roman" w:eastAsia="Times New Roman" w:hAnsi="Times New Roman"/>
                <w:sz w:val="16"/>
                <w:szCs w:val="16"/>
                <w:color w:val="auto"/>
              </w:rPr>
              <w:t>January 15, 2029</w:t>
            </w:r>
          </w:p>
        </w:tc>
      </w:tr>
    </w:tbl>
    <w:p>
      <w:pPr>
        <w:spacing w:after="0" w:line="81" w:lineRule="exact"/>
        <w:rPr>
          <w:sz w:val="20"/>
          <w:szCs w:val="20"/>
          <w:color w:val="auto"/>
        </w:rPr>
      </w:pPr>
    </w:p>
    <w:p>
      <w:pPr>
        <w:ind w:left="660" w:right="200" w:hanging="652"/>
        <w:spacing w:after="0" w:line="272" w:lineRule="auto"/>
        <w:tabs>
          <w:tab w:leader="none" w:pos="6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notes were offered at 99.590% of the principal amount with a yield to maturity of 5.468%. The net proceeds, after issuance discount, underwriting fees, and other costs were $345.7 million.</w:t>
      </w:r>
    </w:p>
    <w:p>
      <w:pPr>
        <w:spacing w:after="0" w:line="1" w:lineRule="exact"/>
        <w:rPr>
          <w:rFonts w:ascii="Times New Roman" w:cs="Times New Roman" w:eastAsia="Times New Roman" w:hAnsi="Times New Roman"/>
          <w:sz w:val="16"/>
          <w:szCs w:val="16"/>
          <w:color w:val="auto"/>
        </w:rPr>
      </w:pPr>
    </w:p>
    <w:p>
      <w:pPr>
        <w:ind w:left="660" w:right="60" w:hanging="652"/>
        <w:spacing w:after="0" w:line="270" w:lineRule="auto"/>
        <w:tabs>
          <w:tab w:leader="none" w:pos="6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two one-year extensions, at our option. The interest rate is effectively fixed at 5.03% through the initial maturity date, as a result of three interest rate swap agreements. Our net proceeds were $199.1 million, after debt issuance costs. Our subsidiary's obligations under the mortgage loan are guaranteed by Federal Realty OP LP (the "Operating Partnership").</w:t>
      </w:r>
    </w:p>
    <w:p>
      <w:pPr>
        <w:ind w:left="660" w:right="340" w:hanging="652"/>
        <w:spacing w:after="0" w:line="263" w:lineRule="auto"/>
        <w:tabs>
          <w:tab w:leader="none" w:pos="6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notes were issued by the Operating Partnership and can be earlier exchanged, purchased, or redeemed on or after July 15, 2028. The Notes will be exchangeable for cash up to the principal amount of the Notes and, if applicable, cash, common shares of the Trust, or a combination thereof at our option, in respect of the remainder, if any, of the exchange obligation in excess of the principal amount subject to capped call transactions. Net proceeds after the initial purchaser’s discount and estimated offering costs were approximately $471 million, of which $19.4 million was used to pay the capped call premium. See our Form 8-K filing on January 11, 2024 for additional information on this transaction.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Repayments of Debt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senior unsecured notes were repaid at maturity: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Repayment Date</w:t>
            </w: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Debt</w:t>
            </w:r>
          </w:p>
        </w:tc>
        <w:tc>
          <w:tcPr>
            <w:tcW w:w="260" w:type="dxa"/>
            <w:vAlign w:val="bottom"/>
          </w:tcPr>
          <w:p>
            <w:pPr>
              <w:spacing w:after="0"/>
              <w:rPr>
                <w:sz w:val="18"/>
                <w:szCs w:val="18"/>
                <w:color w:val="auto"/>
              </w:rPr>
            </w:pPr>
          </w:p>
        </w:tc>
        <w:tc>
          <w:tcPr>
            <w:tcW w:w="62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Payoff Amount</w:t>
            </w:r>
          </w:p>
        </w:tc>
      </w:tr>
      <w:tr>
        <w:trPr>
          <w:trHeight w:val="211"/>
        </w:trPr>
        <w:tc>
          <w:tcPr>
            <w:tcW w:w="1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540" w:type="dxa"/>
            <w:vAlign w:val="bottom"/>
          </w:tcPr>
          <w:p>
            <w:pPr>
              <w:spacing w:after="0"/>
              <w:rPr>
                <w:sz w:val="18"/>
                <w:szCs w:val="18"/>
                <w:color w:val="auto"/>
              </w:rPr>
            </w:pPr>
          </w:p>
        </w:tc>
      </w:tr>
      <w:tr>
        <w:trPr>
          <w:trHeight w:val="218"/>
        </w:trPr>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 2023</w:t>
            </w:r>
          </w:p>
        </w:tc>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2.75% Senior Notes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4540" w:type="dxa"/>
            <w:vAlign w:val="bottom"/>
            <w:shd w:val="clear" w:color="auto" w:fill="CCEEFF"/>
          </w:tcPr>
          <w:p>
            <w:pPr>
              <w:spacing w:after="0"/>
              <w:rPr>
                <w:sz w:val="18"/>
                <w:szCs w:val="18"/>
                <w:color w:val="auto"/>
              </w:rPr>
            </w:pPr>
          </w:p>
        </w:tc>
      </w:tr>
      <w:tr>
        <w:trPr>
          <w:trHeight w:val="210"/>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January 16, 2024</w:t>
            </w: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3.95% Senior Notes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4540" w:type="dxa"/>
            <w:vAlign w:val="bottom"/>
          </w:tcPr>
          <w:p>
            <w:pPr>
              <w:spacing w:after="0"/>
              <w:rPr>
                <w:sz w:val="18"/>
                <w:szCs w:val="18"/>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860"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Real Estate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820" w:type="dxa"/>
            <w:vAlign w:val="bottom"/>
            <w:vMerge w:val="restart"/>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Grocery</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Grocery Anchor</w:t>
            </w: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Rent</w:t>
            </w:r>
          </w:p>
        </w:tc>
        <w:tc>
          <w:tcPr>
            <w:tcW w:w="66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1040" w:type="dxa"/>
            <w:vAlign w:val="bottom"/>
            <w:vMerge w:val="continue"/>
          </w:tcPr>
          <w:p>
            <w:pPr>
              <w:spacing w:after="0"/>
              <w:rPr>
                <w:sz w:val="10"/>
                <w:szCs w:val="10"/>
                <w:color w:val="auto"/>
              </w:rPr>
            </w:pP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5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at Cost</w:t>
            </w: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GLA (1)</w:t>
            </w:r>
          </w:p>
        </w:tc>
        <w:tc>
          <w:tcPr>
            <w:tcW w:w="5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w:t>
            </w: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Occupied(1)</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PSF (2)</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1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(3)</w:t>
            </w:r>
          </w:p>
        </w:tc>
        <w:tc>
          <w:tcPr>
            <w:tcW w:w="2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California</w:t>
            </w:r>
          </w:p>
        </w:tc>
        <w:tc>
          <w:tcPr>
            <w:tcW w:w="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Azalea</w:t>
            </w:r>
          </w:p>
        </w:tc>
        <w:tc>
          <w:tcPr>
            <w:tcW w:w="3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(4)</w:t>
            </w:r>
          </w:p>
        </w:tc>
        <w:tc>
          <w:tcPr>
            <w:tcW w:w="150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Los Angeles-Long Beach- $</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109,352</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226,000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$30.13</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Walmart (S)</w:t>
            </w:r>
          </w:p>
        </w:tc>
        <w:tc>
          <w:tcPr>
            <w:tcW w:w="224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Marshalls / Ross Dress for Less / Ulta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Anaheim, CA</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Michaels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Bell Gardens</w:t>
            </w:r>
          </w:p>
        </w:tc>
        <w:tc>
          <w:tcPr>
            <w:tcW w:w="38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8"/>
              </w:rPr>
              <w:t>(4)(5)</w:t>
            </w:r>
          </w:p>
        </w:tc>
        <w:tc>
          <w:tcPr>
            <w:tcW w:w="1500" w:type="dxa"/>
            <w:vAlign w:val="bottom"/>
            <w:gridSpan w:val="3"/>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Los Angeles-Long Beach-</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119,259</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330,000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$23.74</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67,000</w:t>
            </w:r>
          </w:p>
        </w:tc>
        <w:tc>
          <w:tcPr>
            <w:tcW w:w="10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Food 4 Less</w:t>
            </w:r>
          </w:p>
        </w:tc>
        <w:tc>
          <w:tcPr>
            <w:tcW w:w="22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Marshalls / Ross Dress for Less / Bob's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Anaheim, CA</w:t>
            </w:r>
          </w:p>
        </w:tc>
        <w:tc>
          <w:tcPr>
            <w:tcW w:w="5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Discount Furniture</w:t>
            </w:r>
          </w:p>
        </w:tc>
        <w:tc>
          <w:tcPr>
            <w:tcW w:w="0" w:type="dxa"/>
            <w:vAlign w:val="bottom"/>
          </w:tcPr>
          <w:p>
            <w:pPr>
              <w:spacing w:after="0"/>
              <w:rPr>
                <w:sz w:val="1"/>
                <w:szCs w:val="1"/>
                <w:color w:val="auto"/>
              </w:rPr>
            </w:pPr>
          </w:p>
        </w:tc>
      </w:tr>
      <w:tr>
        <w:trPr>
          <w:trHeight w:val="122"/>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Colorado Blvd</w:t>
            </w:r>
          </w:p>
        </w:tc>
        <w:tc>
          <w:tcPr>
            <w:tcW w:w="3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(5)</w:t>
            </w:r>
          </w:p>
        </w:tc>
        <w:tc>
          <w:tcPr>
            <w:tcW w:w="150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3"/>
                <w:szCs w:val="13"/>
                <w:color w:val="auto"/>
              </w:rPr>
              <w:t>Los Angeles-Long Beach-</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13,983</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42,000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73 %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73 %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$59.98</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4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Banana Republic / True Food Kitchen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Anaheim, CA</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Crow Canyon</w:t>
            </w:r>
          </w:p>
        </w:tc>
        <w:tc>
          <w:tcPr>
            <w:tcW w:w="380" w:type="dxa"/>
            <w:vAlign w:val="bottom"/>
            <w:shd w:val="clear" w:color="auto" w:fill="CCEEFF"/>
          </w:tcPr>
          <w:p>
            <w:pPr>
              <w:spacing w:after="0"/>
              <w:rPr>
                <w:sz w:val="10"/>
                <w:szCs w:val="10"/>
                <w:color w:val="auto"/>
              </w:rPr>
            </w:pPr>
          </w:p>
        </w:tc>
        <w:tc>
          <w:tcPr>
            <w:tcW w:w="1500" w:type="dxa"/>
            <w:vAlign w:val="bottom"/>
            <w:gridSpan w:val="3"/>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San Francisco-Oakland-</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92,236</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239,000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85 %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84 %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$35.49</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32,000</w:t>
            </w:r>
          </w:p>
        </w:tc>
        <w:tc>
          <w:tcPr>
            <w:tcW w:w="10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Sprouts</w:t>
            </w:r>
          </w:p>
        </w:tc>
        <w:tc>
          <w:tcPr>
            <w:tcW w:w="22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Total Wine &amp; More / Alamo Ace</w:t>
            </w:r>
          </w:p>
        </w:tc>
        <w:tc>
          <w:tcPr>
            <w:tcW w:w="0" w:type="dxa"/>
            <w:vAlign w:val="bottom"/>
          </w:tcPr>
          <w:p>
            <w:pPr>
              <w:spacing w:after="0"/>
              <w:rPr>
                <w:sz w:val="1"/>
                <w:szCs w:val="1"/>
                <w:color w:val="auto"/>
              </w:rPr>
            </w:pPr>
          </w:p>
        </w:tc>
      </w:tr>
      <w:tr>
        <w:trPr>
          <w:trHeight w:val="169"/>
        </w:trPr>
        <w:tc>
          <w:tcPr>
            <w:tcW w:w="1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Commons</w:t>
            </w:r>
          </w:p>
        </w:tc>
        <w:tc>
          <w:tcPr>
            <w:tcW w:w="38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Hayward, CA</w:t>
            </w:r>
          </w:p>
        </w:tc>
        <w:tc>
          <w:tcPr>
            <w:tcW w:w="5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Hardware</w:t>
            </w:r>
          </w:p>
        </w:tc>
        <w:tc>
          <w:tcPr>
            <w:tcW w:w="0" w:type="dxa"/>
            <w:vAlign w:val="bottom"/>
          </w:tcPr>
          <w:p>
            <w:pPr>
              <w:spacing w:after="0"/>
              <w:rPr>
                <w:sz w:val="1"/>
                <w:szCs w:val="1"/>
                <w:color w:val="auto"/>
              </w:rPr>
            </w:pPr>
          </w:p>
        </w:tc>
      </w:tr>
      <w:tr>
        <w:trPr>
          <w:trHeight w:val="122"/>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East Bay Bridge</w:t>
            </w:r>
          </w:p>
        </w:tc>
        <w:tc>
          <w:tcPr>
            <w:tcW w:w="380" w:type="dxa"/>
            <w:vAlign w:val="bottom"/>
          </w:tcPr>
          <w:p>
            <w:pPr>
              <w:spacing w:after="0"/>
              <w:rPr>
                <w:sz w:val="10"/>
                <w:szCs w:val="10"/>
                <w:color w:val="auto"/>
              </w:rPr>
            </w:pPr>
          </w:p>
        </w:tc>
        <w:tc>
          <w:tcPr>
            <w:tcW w:w="150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3"/>
                <w:szCs w:val="13"/>
                <w:color w:val="auto"/>
              </w:rPr>
              <w:t>San Francisco-Oakland-</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180,079</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440,000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$20.45</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199,000</w:t>
            </w:r>
          </w:p>
        </w:tc>
        <w:tc>
          <w:tcPr>
            <w:tcW w:w="32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Pak-N-Save / Target Home Depot / Nordstrom Rack / Ulta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Hayward, CA</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Michaels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Escondido</w:t>
            </w:r>
          </w:p>
        </w:tc>
        <w:tc>
          <w:tcPr>
            <w:tcW w:w="380" w:type="dxa"/>
            <w:vAlign w:val="bottom"/>
            <w:shd w:val="clear" w:color="auto" w:fill="CCEEFF"/>
          </w:tcPr>
          <w:p>
            <w:pPr>
              <w:spacing w:after="0"/>
              <w:rPr>
                <w:sz w:val="10"/>
                <w:szCs w:val="10"/>
                <w:color w:val="auto"/>
              </w:rPr>
            </w:pPr>
          </w:p>
        </w:tc>
        <w:tc>
          <w:tcPr>
            <w:tcW w:w="1500" w:type="dxa"/>
            <w:vAlign w:val="bottom"/>
            <w:gridSpan w:val="3"/>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San Diego-Carlsbad, CA</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135,199</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298,000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$30.47</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Target (S)</w:t>
            </w:r>
          </w:p>
        </w:tc>
        <w:tc>
          <w:tcPr>
            <w:tcW w:w="22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w w:val="99"/>
              </w:rPr>
              <w:t>TJ Maxx / Dick’s Sporting Goods / Ross</w:t>
            </w:r>
          </w:p>
        </w:tc>
        <w:tc>
          <w:tcPr>
            <w:tcW w:w="0" w:type="dxa"/>
            <w:vAlign w:val="bottom"/>
          </w:tcPr>
          <w:p>
            <w:pPr>
              <w:spacing w:after="0"/>
              <w:rPr>
                <w:sz w:val="1"/>
                <w:szCs w:val="1"/>
                <w:color w:val="auto"/>
              </w:rPr>
            </w:pPr>
          </w:p>
        </w:tc>
      </w:tr>
      <w:tr>
        <w:trPr>
          <w:trHeight w:val="169"/>
        </w:trPr>
        <w:tc>
          <w:tcPr>
            <w:tcW w:w="1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Promenade</w:t>
            </w:r>
          </w:p>
        </w:tc>
        <w:tc>
          <w:tcPr>
            <w:tcW w:w="3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8"/>
              </w:rPr>
              <w:t>Dress for Less / Bob's Discount Furniture</w:t>
            </w:r>
          </w:p>
        </w:tc>
        <w:tc>
          <w:tcPr>
            <w:tcW w:w="0" w:type="dxa"/>
            <w:vAlign w:val="bottom"/>
          </w:tcPr>
          <w:p>
            <w:pPr>
              <w:spacing w:after="0"/>
              <w:rPr>
                <w:sz w:val="1"/>
                <w:szCs w:val="1"/>
                <w:color w:val="auto"/>
              </w:rPr>
            </w:pPr>
          </w:p>
        </w:tc>
      </w:tr>
      <w:tr>
        <w:trPr>
          <w:trHeight w:val="122"/>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Fourth Street</w:t>
            </w:r>
          </w:p>
        </w:tc>
        <w:tc>
          <w:tcPr>
            <w:tcW w:w="3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(4)</w:t>
            </w:r>
          </w:p>
        </w:tc>
        <w:tc>
          <w:tcPr>
            <w:tcW w:w="150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3"/>
                <w:szCs w:val="13"/>
                <w:color w:val="auto"/>
              </w:rPr>
              <w:t>San Francisco-Oakland-</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27,882</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71,000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81 %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81 %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$33.57</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4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CB2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Hayward, CA</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Freedom Plaza</w:t>
            </w:r>
          </w:p>
        </w:tc>
        <w:tc>
          <w:tcPr>
            <w:tcW w:w="38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8"/>
              </w:rPr>
              <w:t>(4)(5)</w:t>
            </w:r>
          </w:p>
        </w:tc>
        <w:tc>
          <w:tcPr>
            <w:tcW w:w="1500" w:type="dxa"/>
            <w:vAlign w:val="bottom"/>
            <w:gridSpan w:val="3"/>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Los Angeles-Long Beach-</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44,205</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114,000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$31.21</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31,000</w:t>
            </w:r>
          </w:p>
        </w:tc>
        <w:tc>
          <w:tcPr>
            <w:tcW w:w="10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Smart &amp; Final</w:t>
            </w:r>
          </w:p>
        </w:tc>
        <w:tc>
          <w:tcPr>
            <w:tcW w:w="22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Nike / Blink Fitness / Ross Dress for</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Anaheim, CA</w:t>
            </w:r>
          </w:p>
        </w:tc>
        <w:tc>
          <w:tcPr>
            <w:tcW w:w="5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Less</w:t>
            </w:r>
          </w:p>
        </w:tc>
        <w:tc>
          <w:tcPr>
            <w:tcW w:w="0" w:type="dxa"/>
            <w:vAlign w:val="bottom"/>
          </w:tcPr>
          <w:p>
            <w:pPr>
              <w:spacing w:after="0"/>
              <w:rPr>
                <w:sz w:val="1"/>
                <w:szCs w:val="1"/>
                <w:color w:val="auto"/>
              </w:rPr>
            </w:pPr>
          </w:p>
        </w:tc>
      </w:tr>
      <w:tr>
        <w:trPr>
          <w:trHeight w:val="164"/>
        </w:trPr>
        <w:tc>
          <w:tcPr>
            <w:tcW w:w="10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Grossmont Center</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San Diego-Carlsbad, CA</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176,939</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877,000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$14.75</w:t>
            </w:r>
          </w:p>
        </w:tc>
        <w:tc>
          <w:tcPr>
            <w:tcW w:w="6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294,000</w:t>
            </w:r>
          </w:p>
        </w:tc>
        <w:tc>
          <w:tcPr>
            <w:tcW w:w="1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Target / Walmart</w:t>
            </w:r>
          </w:p>
        </w:tc>
        <w:tc>
          <w:tcPr>
            <w:tcW w:w="22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Barnes &amp; Noble / Macy's / CVS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Hastings Ranch</w:t>
            </w:r>
          </w:p>
        </w:tc>
        <w:tc>
          <w:tcPr>
            <w:tcW w:w="38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(5)</w:t>
            </w:r>
          </w:p>
        </w:tc>
        <w:tc>
          <w:tcPr>
            <w:tcW w:w="1500" w:type="dxa"/>
            <w:vAlign w:val="bottom"/>
            <w:gridSpan w:val="3"/>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Los Angeles-Long Beach-</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25,721</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273,000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$9.15</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Marshalls / HomeGoods / CVS</w:t>
            </w:r>
          </w:p>
        </w:tc>
        <w:tc>
          <w:tcPr>
            <w:tcW w:w="0" w:type="dxa"/>
            <w:vAlign w:val="bottom"/>
          </w:tcPr>
          <w:p>
            <w:pPr>
              <w:spacing w:after="0"/>
              <w:rPr>
                <w:sz w:val="1"/>
                <w:szCs w:val="1"/>
                <w:color w:val="auto"/>
              </w:rPr>
            </w:pPr>
          </w:p>
        </w:tc>
      </w:tr>
      <w:tr>
        <w:trPr>
          <w:trHeight w:val="169"/>
        </w:trPr>
        <w:tc>
          <w:tcPr>
            <w:tcW w:w="1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Plaza</w:t>
            </w:r>
          </w:p>
        </w:tc>
        <w:tc>
          <w:tcPr>
            <w:tcW w:w="38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Anaheim, CA</w:t>
            </w:r>
          </w:p>
        </w:tc>
        <w:tc>
          <w:tcPr>
            <w:tcW w:w="5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Hollywood Blvd</w:t>
            </w:r>
          </w:p>
        </w:tc>
        <w:tc>
          <w:tcPr>
            <w:tcW w:w="380" w:type="dxa"/>
            <w:vAlign w:val="bottom"/>
          </w:tcPr>
          <w:p>
            <w:pPr>
              <w:spacing w:after="0"/>
              <w:rPr>
                <w:sz w:val="10"/>
                <w:szCs w:val="10"/>
                <w:color w:val="auto"/>
              </w:rPr>
            </w:pPr>
          </w:p>
        </w:tc>
        <w:tc>
          <w:tcPr>
            <w:tcW w:w="150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3"/>
                <w:szCs w:val="13"/>
                <w:color w:val="auto"/>
              </w:rPr>
              <w:t>Los Angeles-Long Beach-</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62,045</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181,000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86 %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86 %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$36.58</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39,000</w:t>
            </w:r>
          </w:p>
        </w:tc>
        <w:tc>
          <w:tcPr>
            <w:tcW w:w="10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Target</w:t>
            </w:r>
          </w:p>
        </w:tc>
        <w:tc>
          <w:tcPr>
            <w:tcW w:w="224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Marshalls / L.A. Fitness / CVS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Anaheim, CA</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Kings Court</w:t>
            </w:r>
          </w:p>
        </w:tc>
        <w:tc>
          <w:tcPr>
            <w:tcW w:w="38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8"/>
              </w:rPr>
              <w:t>(5)(6)</w:t>
            </w:r>
          </w:p>
        </w:tc>
        <w:tc>
          <w:tcPr>
            <w:tcW w:w="1500" w:type="dxa"/>
            <w:vAlign w:val="bottom"/>
            <w:gridSpan w:val="3"/>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San Jose-Sunnyvale-Santa</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11,615</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81,000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$44.45</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31,000</w:t>
            </w:r>
          </w:p>
        </w:tc>
        <w:tc>
          <w:tcPr>
            <w:tcW w:w="10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Lunardi's</w:t>
            </w:r>
          </w:p>
        </w:tc>
        <w:tc>
          <w:tcPr>
            <w:tcW w:w="22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CVS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Clara, CA</w:t>
            </w:r>
          </w:p>
        </w:tc>
        <w:tc>
          <w:tcPr>
            <w:tcW w:w="5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Old Town Center</w:t>
            </w:r>
          </w:p>
        </w:tc>
        <w:tc>
          <w:tcPr>
            <w:tcW w:w="380" w:type="dxa"/>
            <w:vAlign w:val="bottom"/>
          </w:tcPr>
          <w:p>
            <w:pPr>
              <w:spacing w:after="0"/>
              <w:rPr>
                <w:sz w:val="10"/>
                <w:szCs w:val="10"/>
                <w:color w:val="auto"/>
              </w:rPr>
            </w:pPr>
          </w:p>
        </w:tc>
        <w:tc>
          <w:tcPr>
            <w:tcW w:w="150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3"/>
                <w:szCs w:val="13"/>
                <w:color w:val="auto"/>
              </w:rPr>
              <w:t>San Jose-Sunnyvale-Santa</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43,249</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98,000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85 %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85 %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$45.15</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4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Anthropologie / Sephora / Arhaus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Clara, CA</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Furniture / Teleferic Barcelona</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Olivo at Mission</w:t>
            </w:r>
          </w:p>
        </w:tc>
        <w:tc>
          <w:tcPr>
            <w:tcW w:w="38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(4)</w:t>
            </w:r>
          </w:p>
        </w:tc>
        <w:tc>
          <w:tcPr>
            <w:tcW w:w="1500" w:type="dxa"/>
            <w:vAlign w:val="bottom"/>
            <w:gridSpan w:val="3"/>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Los Angeles-Long Beach-</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82,910</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156,000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$34.13</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32,000</w:t>
            </w:r>
          </w:p>
        </w:tc>
        <w:tc>
          <w:tcPr>
            <w:tcW w:w="10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Target</w:t>
            </w:r>
          </w:p>
        </w:tc>
        <w:tc>
          <w:tcPr>
            <w:tcW w:w="22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24 Hour Fitness / Ross Dress for Less /</w:t>
            </w:r>
          </w:p>
        </w:tc>
        <w:tc>
          <w:tcPr>
            <w:tcW w:w="0" w:type="dxa"/>
            <w:vAlign w:val="bottom"/>
          </w:tcPr>
          <w:p>
            <w:pPr>
              <w:spacing w:after="0"/>
              <w:rPr>
                <w:sz w:val="1"/>
                <w:szCs w:val="1"/>
                <w:color w:val="auto"/>
              </w:rPr>
            </w:pPr>
          </w:p>
        </w:tc>
      </w:tr>
      <w:tr>
        <w:trPr>
          <w:trHeight w:val="169"/>
        </w:trPr>
        <w:tc>
          <w:tcPr>
            <w:tcW w:w="1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Hills</w:t>
            </w:r>
          </w:p>
        </w:tc>
        <w:tc>
          <w:tcPr>
            <w:tcW w:w="38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Anaheim, CA</w:t>
            </w:r>
          </w:p>
        </w:tc>
        <w:tc>
          <w:tcPr>
            <w:tcW w:w="5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Ulta</w:t>
            </w:r>
          </w:p>
        </w:tc>
        <w:tc>
          <w:tcPr>
            <w:tcW w:w="0" w:type="dxa"/>
            <w:vAlign w:val="bottom"/>
          </w:tcPr>
          <w:p>
            <w:pPr>
              <w:spacing w:after="0"/>
              <w:rPr>
                <w:sz w:val="1"/>
                <w:szCs w:val="1"/>
                <w:color w:val="auto"/>
              </w:rPr>
            </w:pPr>
          </w:p>
        </w:tc>
      </w:tr>
      <w:tr>
        <w:trPr>
          <w:trHeight w:val="122"/>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Plaza Del Sol</w:t>
            </w:r>
          </w:p>
        </w:tc>
        <w:tc>
          <w:tcPr>
            <w:tcW w:w="3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(4)</w:t>
            </w:r>
          </w:p>
        </w:tc>
        <w:tc>
          <w:tcPr>
            <w:tcW w:w="150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3"/>
                <w:szCs w:val="13"/>
                <w:color w:val="auto"/>
              </w:rPr>
              <w:t>Los Angeles-Long Beach-</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17,917</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48,000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$24.07</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Superior Grocers</w:t>
            </w:r>
          </w:p>
        </w:tc>
        <w:tc>
          <w:tcPr>
            <w:tcW w:w="224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Marshalls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Anaheim, CA</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w:t>
            </w: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Plaza El Segundo /</w:t>
            </w:r>
          </w:p>
        </w:tc>
        <w:tc>
          <w:tcPr>
            <w:tcW w:w="380" w:type="dxa"/>
            <w:vAlign w:val="bottom"/>
            <w:shd w:val="clear" w:color="auto" w:fill="CCEEFF"/>
          </w:tcPr>
          <w:p>
            <w:pPr>
              <w:spacing w:after="0"/>
              <w:rPr>
                <w:sz w:val="10"/>
                <w:szCs w:val="10"/>
                <w:color w:val="auto"/>
              </w:rPr>
            </w:pPr>
          </w:p>
        </w:tc>
        <w:tc>
          <w:tcPr>
            <w:tcW w:w="1500" w:type="dxa"/>
            <w:vAlign w:val="bottom"/>
            <w:gridSpan w:val="3"/>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Los Angeles-Long Beach-</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309,449</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502,000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84 %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$48.97</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66,000</w:t>
            </w:r>
          </w:p>
        </w:tc>
        <w:tc>
          <w:tcPr>
            <w:tcW w:w="10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Whole Foods</w:t>
            </w:r>
          </w:p>
        </w:tc>
        <w:tc>
          <w:tcPr>
            <w:tcW w:w="22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Nordstrom Rack / HomeGoods / Dick's</w:t>
            </w:r>
          </w:p>
        </w:tc>
        <w:tc>
          <w:tcPr>
            <w:tcW w:w="0" w:type="dxa"/>
            <w:vAlign w:val="bottom"/>
          </w:tcPr>
          <w:p>
            <w:pPr>
              <w:spacing w:after="0"/>
              <w:rPr>
                <w:sz w:val="1"/>
                <w:szCs w:val="1"/>
                <w:color w:val="auto"/>
              </w:rPr>
            </w:pPr>
          </w:p>
        </w:tc>
      </w:tr>
      <w:tr>
        <w:trPr>
          <w:trHeight w:val="169"/>
        </w:trPr>
        <w:tc>
          <w:tcPr>
            <w:tcW w:w="1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The Point</w:t>
            </w:r>
          </w:p>
        </w:tc>
        <w:tc>
          <w:tcPr>
            <w:tcW w:w="38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Anaheim, CA</w:t>
            </w:r>
          </w:p>
        </w:tc>
        <w:tc>
          <w:tcPr>
            <w:tcW w:w="5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Sporting Goods / Multiple Restaurants</w:t>
            </w:r>
          </w:p>
        </w:tc>
        <w:tc>
          <w:tcPr>
            <w:tcW w:w="0" w:type="dxa"/>
            <w:vAlign w:val="bottom"/>
          </w:tcPr>
          <w:p>
            <w:pPr>
              <w:spacing w:after="0"/>
              <w:rPr>
                <w:sz w:val="1"/>
                <w:szCs w:val="1"/>
                <w:color w:val="auto"/>
              </w:rPr>
            </w:pPr>
          </w:p>
        </w:tc>
      </w:tr>
      <w:tr>
        <w:trPr>
          <w:trHeight w:val="121"/>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San Antonio</w:t>
            </w:r>
          </w:p>
        </w:tc>
        <w:tc>
          <w:tcPr>
            <w:tcW w:w="3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8"/>
              </w:rPr>
              <w:t>(5)(6)</w:t>
            </w:r>
          </w:p>
        </w:tc>
        <w:tc>
          <w:tcPr>
            <w:tcW w:w="150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3"/>
                <w:szCs w:val="13"/>
                <w:color w:val="auto"/>
              </w:rPr>
              <w:t>San Jose-Sunnyvale-Santa</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52,094</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213,000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$17.46</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141,000</w:t>
            </w:r>
          </w:p>
        </w:tc>
        <w:tc>
          <w:tcPr>
            <w:tcW w:w="10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 /</w:t>
            </w:r>
          </w:p>
        </w:tc>
        <w:tc>
          <w:tcPr>
            <w:tcW w:w="224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24 Hour Fitness</w:t>
            </w:r>
          </w:p>
        </w:tc>
        <w:tc>
          <w:tcPr>
            <w:tcW w:w="0" w:type="dxa"/>
            <w:vAlign w:val="bottom"/>
          </w:tcPr>
          <w:p>
            <w:pPr>
              <w:spacing w:after="0"/>
              <w:rPr>
                <w:sz w:val="1"/>
                <w:szCs w:val="1"/>
                <w:color w:val="auto"/>
              </w:rPr>
            </w:pPr>
          </w:p>
        </w:tc>
      </w:tr>
      <w:tr>
        <w:trPr>
          <w:trHeight w:val="164"/>
        </w:trPr>
        <w:tc>
          <w:tcPr>
            <w:tcW w:w="10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Center</w:t>
            </w:r>
          </w:p>
        </w:tc>
        <w:tc>
          <w:tcPr>
            <w:tcW w:w="38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Clara, CA</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Walmart</w:t>
            </w: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Santana Row</w:t>
            </w:r>
          </w:p>
        </w:tc>
        <w:tc>
          <w:tcPr>
            <w:tcW w:w="38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(5)</w:t>
            </w:r>
          </w:p>
        </w:tc>
        <w:tc>
          <w:tcPr>
            <w:tcW w:w="1500" w:type="dxa"/>
            <w:vAlign w:val="bottom"/>
            <w:gridSpan w:val="3"/>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San Jose-Sunnyvale-Santa</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w w:val="96"/>
              </w:rPr>
              <w:t>1,315,616</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w w:val="99"/>
              </w:rPr>
              <w:t>1,206,000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$57.98</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662</w:t>
            </w:r>
          </w:p>
        </w:tc>
        <w:tc>
          <w:tcPr>
            <w:tcW w:w="5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w w:val="97"/>
              </w:rPr>
              <w:t>Crate &amp; Barrel / Container Store / H&amp;M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Clara, CA</w:t>
            </w:r>
          </w:p>
        </w:tc>
        <w:tc>
          <w:tcPr>
            <w:tcW w:w="5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Best Buy / Multiple Restaurants</w:t>
            </w:r>
          </w:p>
        </w:tc>
        <w:tc>
          <w:tcPr>
            <w:tcW w:w="0" w:type="dxa"/>
            <w:vAlign w:val="bottom"/>
          </w:tcPr>
          <w:p>
            <w:pPr>
              <w:spacing w:after="0"/>
              <w:rPr>
                <w:sz w:val="1"/>
                <w:szCs w:val="1"/>
                <w:color w:val="auto"/>
              </w:rPr>
            </w:pPr>
          </w:p>
        </w:tc>
      </w:tr>
      <w:tr>
        <w:trPr>
          <w:trHeight w:val="121"/>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Sylmar Towne</w:t>
            </w:r>
          </w:p>
        </w:tc>
        <w:tc>
          <w:tcPr>
            <w:tcW w:w="3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(4)</w:t>
            </w:r>
          </w:p>
        </w:tc>
        <w:tc>
          <w:tcPr>
            <w:tcW w:w="150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3"/>
                <w:szCs w:val="13"/>
                <w:color w:val="auto"/>
              </w:rPr>
              <w:t>Los Angeles-Long Beach-</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46,579</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148,000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90 %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$17.89</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43,000</w:t>
            </w:r>
          </w:p>
        </w:tc>
        <w:tc>
          <w:tcPr>
            <w:tcW w:w="10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Food 4 Less</w:t>
            </w:r>
          </w:p>
        </w:tc>
        <w:tc>
          <w:tcPr>
            <w:tcW w:w="224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CVS</w:t>
            </w:r>
          </w:p>
        </w:tc>
        <w:tc>
          <w:tcPr>
            <w:tcW w:w="0" w:type="dxa"/>
            <w:vAlign w:val="bottom"/>
          </w:tcPr>
          <w:p>
            <w:pPr>
              <w:spacing w:after="0"/>
              <w:rPr>
                <w:sz w:val="1"/>
                <w:szCs w:val="1"/>
                <w:color w:val="auto"/>
              </w:rPr>
            </w:pPr>
          </w:p>
        </w:tc>
      </w:tr>
      <w:tr>
        <w:trPr>
          <w:trHeight w:val="164"/>
        </w:trPr>
        <w:tc>
          <w:tcPr>
            <w:tcW w:w="10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Center</w:t>
            </w:r>
          </w:p>
        </w:tc>
        <w:tc>
          <w:tcPr>
            <w:tcW w:w="38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Anaheim, CA</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Third Street</w:t>
            </w:r>
          </w:p>
        </w:tc>
        <w:tc>
          <w:tcPr>
            <w:tcW w:w="380" w:type="dxa"/>
            <w:vAlign w:val="bottom"/>
            <w:shd w:val="clear" w:color="auto" w:fill="CCEEFF"/>
          </w:tcPr>
          <w:p>
            <w:pPr>
              <w:spacing w:after="0"/>
              <w:rPr>
                <w:sz w:val="10"/>
                <w:szCs w:val="10"/>
                <w:color w:val="auto"/>
              </w:rPr>
            </w:pPr>
          </w:p>
        </w:tc>
        <w:tc>
          <w:tcPr>
            <w:tcW w:w="1500" w:type="dxa"/>
            <w:vAlign w:val="bottom"/>
            <w:gridSpan w:val="3"/>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Los Angeles-Long Beach-</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80,381</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185,000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69 %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69 %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$81.93</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adidas / John Reed Fitness / Multiple</w:t>
            </w:r>
          </w:p>
        </w:tc>
        <w:tc>
          <w:tcPr>
            <w:tcW w:w="0" w:type="dxa"/>
            <w:vAlign w:val="bottom"/>
          </w:tcPr>
          <w:p>
            <w:pPr>
              <w:spacing w:after="0"/>
              <w:rPr>
                <w:sz w:val="1"/>
                <w:szCs w:val="1"/>
                <w:color w:val="auto"/>
              </w:rPr>
            </w:pPr>
          </w:p>
        </w:tc>
      </w:tr>
      <w:tr>
        <w:trPr>
          <w:trHeight w:val="169"/>
        </w:trPr>
        <w:tc>
          <w:tcPr>
            <w:tcW w:w="1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Promenade</w:t>
            </w:r>
          </w:p>
        </w:tc>
        <w:tc>
          <w:tcPr>
            <w:tcW w:w="38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Anaheim, CA</w:t>
            </w:r>
          </w:p>
        </w:tc>
        <w:tc>
          <w:tcPr>
            <w:tcW w:w="5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Restaurants</w:t>
            </w:r>
          </w:p>
        </w:tc>
        <w:tc>
          <w:tcPr>
            <w:tcW w:w="0" w:type="dxa"/>
            <w:vAlign w:val="bottom"/>
          </w:tcPr>
          <w:p>
            <w:pPr>
              <w:spacing w:after="0"/>
              <w:rPr>
                <w:sz w:val="1"/>
                <w:szCs w:val="1"/>
                <w:color w:val="auto"/>
              </w:rPr>
            </w:pPr>
          </w:p>
        </w:tc>
      </w:tr>
      <w:tr>
        <w:trPr>
          <w:trHeight w:val="122"/>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Westgate Center</w:t>
            </w:r>
          </w:p>
        </w:tc>
        <w:tc>
          <w:tcPr>
            <w:tcW w:w="380" w:type="dxa"/>
            <w:vAlign w:val="bottom"/>
          </w:tcPr>
          <w:p>
            <w:pPr>
              <w:spacing w:after="0"/>
              <w:rPr>
                <w:sz w:val="10"/>
                <w:szCs w:val="10"/>
                <w:color w:val="auto"/>
              </w:rPr>
            </w:pPr>
          </w:p>
        </w:tc>
        <w:tc>
          <w:tcPr>
            <w:tcW w:w="150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3"/>
                <w:szCs w:val="13"/>
                <w:color w:val="auto"/>
              </w:rPr>
              <w:t>San Jose-Sunnyvale-Santa</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157,479</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648,000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$20.26</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167,000</w:t>
            </w:r>
          </w:p>
        </w:tc>
        <w:tc>
          <w:tcPr>
            <w:tcW w:w="10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Target</w:t>
            </w:r>
          </w:p>
        </w:tc>
        <w:tc>
          <w:tcPr>
            <w:tcW w:w="224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Nordstrom Rack / Nike Factory / TJ</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Clara, CA</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Maxx / Ross Dress for Less</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ind w:left="180"/>
              <w:spacing w:after="0" w:line="146" w:lineRule="exact"/>
              <w:rPr>
                <w:sz w:val="20"/>
                <w:szCs w:val="20"/>
                <w:color w:val="auto"/>
              </w:rPr>
            </w:pPr>
            <w:r>
              <w:rPr>
                <w:rFonts w:ascii="Times New Roman" w:cs="Times New Roman" w:eastAsia="Times New Roman" w:hAnsi="Times New Roman"/>
                <w:sz w:val="13"/>
                <w:szCs w:val="13"/>
                <w:b w:val="1"/>
                <w:bCs w:val="1"/>
                <w:color w:val="auto"/>
                <w:w w:val="95"/>
              </w:rPr>
              <w:t>Total California</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3,104,189</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9"/>
              </w:rPr>
              <w:t>6,376,000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$33.18</w:t>
            </w:r>
          </w:p>
        </w:tc>
        <w:tc>
          <w:tcPr>
            <w:tcW w:w="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gridSpan w:val="3"/>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auto"/>
            </w:tcBorders>
            <w:gridSpan w:val="4"/>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Washington Metropolitan Area</w:t>
            </w:r>
          </w:p>
        </w:tc>
        <w:tc>
          <w:tcPr>
            <w:tcW w:w="1140" w:type="dxa"/>
            <w:vAlign w:val="bottom"/>
            <w:tcBorders>
              <w:bottom w:val="single" w:sz="8" w:color="CCEEFF"/>
            </w:tcBorders>
            <w:gridSpan w:val="2"/>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22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Barcroft Plaza</w:t>
            </w:r>
          </w:p>
        </w:tc>
        <w:tc>
          <w:tcPr>
            <w:tcW w:w="380" w:type="dxa"/>
            <w:vAlign w:val="bottom"/>
          </w:tcPr>
          <w:p>
            <w:pPr>
              <w:spacing w:after="0"/>
              <w:rPr>
                <w:sz w:val="10"/>
                <w:szCs w:val="10"/>
                <w:color w:val="auto"/>
              </w:rPr>
            </w:pPr>
          </w:p>
        </w:tc>
        <w:tc>
          <w:tcPr>
            <w:tcW w:w="150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51,519</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113,000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$29.25</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46,000</w:t>
            </w:r>
          </w:p>
        </w:tc>
        <w:tc>
          <w:tcPr>
            <w:tcW w:w="10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Harris Teeter</w:t>
            </w: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0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3"/>
                <w:szCs w:val="13"/>
                <w:color w:val="auto"/>
              </w:rPr>
              <w:t>Alexandria, DC-VA-MD-</w:t>
            </w: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WV</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Bethesda Row</w:t>
            </w:r>
          </w:p>
        </w:tc>
        <w:tc>
          <w:tcPr>
            <w:tcW w:w="38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(5)</w:t>
            </w:r>
          </w:p>
        </w:tc>
        <w:tc>
          <w:tcPr>
            <w:tcW w:w="1500" w:type="dxa"/>
            <w:vAlign w:val="bottom"/>
            <w:gridSpan w:val="3"/>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265,817</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529,000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$58.78</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180</w:t>
            </w: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40,000</w:t>
            </w:r>
          </w:p>
        </w:tc>
        <w:tc>
          <w:tcPr>
            <w:tcW w:w="10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2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Apple / Equinox / Anthropologie / Nike</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500" w:type="dxa"/>
            <w:vAlign w:val="bottom"/>
            <w:gridSpan w:val="3"/>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Alexandria, DC-VA-MD-</w:t>
            </w:r>
          </w:p>
        </w:tc>
        <w:tc>
          <w:tcPr>
            <w:tcW w:w="5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Live / Multiple Restaurants</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WV</w:t>
            </w: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40" w:top="1028" w:right="33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Real Estate</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vMerge w:val="restart"/>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Grocery</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Grocery Anchor</w:t>
            </w: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880" w:type="dxa"/>
            <w:vAlign w:val="bottom"/>
            <w:vMerge w:val="continue"/>
          </w:tcPr>
          <w:p>
            <w:pPr>
              <w:spacing w:after="0"/>
              <w:rPr>
                <w:sz w:val="10"/>
                <w:szCs w:val="10"/>
                <w:color w:val="auto"/>
              </w:rPr>
            </w:pPr>
          </w:p>
        </w:tc>
        <w:tc>
          <w:tcPr>
            <w:tcW w:w="54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b w:val="1"/>
                <w:bCs w:val="1"/>
                <w:color w:val="auto"/>
              </w:rPr>
              <w:t>Rent</w:t>
            </w:r>
          </w:p>
        </w:tc>
        <w:tc>
          <w:tcPr>
            <w:tcW w:w="66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110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17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w:t>
            </w:r>
          </w:p>
        </w:tc>
        <w:tc>
          <w:tcPr>
            <w:tcW w:w="5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2"/>
              </w:rPr>
              <w:t>Acreage</w:t>
            </w:r>
          </w:p>
        </w:tc>
        <w:tc>
          <w:tcPr>
            <w:tcW w:w="6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GLA (1)</w:t>
            </w: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Occupied(1)</w:t>
            </w:r>
          </w:p>
        </w:tc>
        <w:tc>
          <w:tcPr>
            <w:tcW w:w="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PSF (2)</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(3)</w:t>
            </w:r>
          </w:p>
        </w:tc>
        <w:tc>
          <w:tcPr>
            <w:tcW w:w="2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6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(in</w:t>
            </w: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thousands)</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Birch &amp; Broad</w:t>
            </w:r>
          </w:p>
        </w:tc>
        <w:tc>
          <w:tcPr>
            <w:tcW w:w="1740" w:type="dxa"/>
            <w:vAlign w:val="bottom"/>
          </w:tcPr>
          <w:p>
            <w:pPr>
              <w:ind w:left="400"/>
              <w:spacing w:after="0" w:line="144" w:lineRule="exact"/>
              <w:rPr>
                <w:sz w:val="20"/>
                <w:szCs w:val="20"/>
                <w:color w:val="auto"/>
              </w:rPr>
            </w:pPr>
            <w:r>
              <w:rPr>
                <w:rFonts w:ascii="Times New Roman" w:cs="Times New Roman" w:eastAsia="Times New Roman" w:hAnsi="Times New Roman"/>
                <w:sz w:val="13"/>
                <w:szCs w:val="13"/>
                <w:color w:val="auto"/>
              </w:rPr>
              <w:t>Washington-Arlington-</w:t>
            </w: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26,089</w:t>
            </w:r>
          </w:p>
        </w:tc>
        <w:tc>
          <w:tcPr>
            <w:tcW w:w="52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144,000</w:t>
            </w:r>
          </w:p>
        </w:tc>
        <w:tc>
          <w:tcPr>
            <w:tcW w:w="64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100 %</w:t>
            </w:r>
          </w:p>
        </w:tc>
        <w:tc>
          <w:tcPr>
            <w:tcW w:w="8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100 %</w:t>
            </w:r>
          </w:p>
        </w:tc>
        <w:tc>
          <w:tcPr>
            <w:tcW w:w="54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auto"/>
              </w:rPr>
              <w:t>$38.63</w:t>
            </w:r>
          </w:p>
        </w:tc>
        <w:tc>
          <w:tcPr>
            <w:tcW w:w="660" w:type="dxa"/>
            <w:vAlign w:val="bottom"/>
          </w:tcPr>
          <w:p>
            <w:pPr>
              <w:spacing w:after="0"/>
              <w:rPr>
                <w:sz w:val="12"/>
                <w:szCs w:val="12"/>
                <w:color w:val="auto"/>
              </w:rPr>
            </w:pPr>
          </w:p>
        </w:tc>
        <w:tc>
          <w:tcPr>
            <w:tcW w:w="54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51,000</w:t>
            </w:r>
          </w:p>
        </w:tc>
        <w:tc>
          <w:tcPr>
            <w:tcW w:w="11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Giant Food</w:t>
            </w:r>
          </w:p>
        </w:tc>
        <w:tc>
          <w:tcPr>
            <w:tcW w:w="21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CVS / Staples</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174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7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WV</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Chesterbrook</w:t>
            </w:r>
          </w:p>
        </w:tc>
        <w:tc>
          <w:tcPr>
            <w:tcW w:w="17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(4)   Washington-Arlington-</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46,333</w:t>
            </w:r>
          </w:p>
        </w:tc>
        <w:tc>
          <w:tcPr>
            <w:tcW w:w="52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9</w:t>
            </w:r>
          </w:p>
        </w:tc>
        <w:tc>
          <w:tcPr>
            <w:tcW w:w="660" w:type="dxa"/>
            <w:vAlign w:val="bottom"/>
            <w:shd w:val="clear" w:color="auto" w:fill="CCEEFF"/>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89,000</w:t>
            </w:r>
          </w:p>
        </w:tc>
        <w:tc>
          <w:tcPr>
            <w:tcW w:w="6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81 %</w:t>
            </w:r>
          </w:p>
        </w:tc>
        <w:tc>
          <w:tcPr>
            <w:tcW w:w="8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72 %</w:t>
            </w:r>
          </w:p>
        </w:tc>
        <w:tc>
          <w:tcPr>
            <w:tcW w:w="5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rPr>
              <w:t>$27.01</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35,000</w:t>
            </w:r>
          </w:p>
        </w:tc>
        <w:tc>
          <w:tcPr>
            <w:tcW w:w="11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2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Starbucks</w:t>
            </w:r>
          </w:p>
        </w:tc>
        <w:tc>
          <w:tcPr>
            <w:tcW w:w="0" w:type="dxa"/>
            <w:vAlign w:val="bottom"/>
          </w:tcPr>
          <w:p>
            <w:pPr>
              <w:spacing w:after="0"/>
              <w:rPr>
                <w:sz w:val="1"/>
                <w:szCs w:val="1"/>
                <w:color w:val="auto"/>
              </w:rPr>
            </w:pPr>
          </w:p>
        </w:tc>
      </w:tr>
      <w:tr>
        <w:trPr>
          <w:trHeight w:val="122"/>
        </w:trPr>
        <w:tc>
          <w:tcPr>
            <w:tcW w:w="1080" w:type="dxa"/>
            <w:vAlign w:val="bottom"/>
            <w:shd w:val="clear" w:color="auto" w:fill="CCEEFF"/>
          </w:tcPr>
          <w:p>
            <w:pPr>
              <w:spacing w:after="0"/>
              <w:rPr>
                <w:sz w:val="10"/>
                <w:szCs w:val="10"/>
                <w:color w:val="auto"/>
              </w:rPr>
            </w:pPr>
          </w:p>
        </w:tc>
        <w:tc>
          <w:tcPr>
            <w:tcW w:w="1740" w:type="dxa"/>
            <w:vAlign w:val="bottom"/>
            <w:shd w:val="clear" w:color="auto" w:fill="CCEEFF"/>
          </w:tcPr>
          <w:p>
            <w:pPr>
              <w:ind w:left="40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6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8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WV</w:t>
            </w:r>
          </w:p>
        </w:tc>
        <w:tc>
          <w:tcPr>
            <w:tcW w:w="6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2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Congressional</w:t>
            </w:r>
          </w:p>
        </w:tc>
        <w:tc>
          <w:tcPr>
            <w:tcW w:w="174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(4)   Washington-Arlington-</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109,969</w:t>
            </w:r>
          </w:p>
        </w:tc>
        <w:tc>
          <w:tcPr>
            <w:tcW w:w="52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66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325,000</w:t>
            </w:r>
          </w:p>
        </w:tc>
        <w:tc>
          <w:tcPr>
            <w:tcW w:w="6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89 %</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89 %</w:t>
            </w:r>
          </w:p>
        </w:tc>
        <w:tc>
          <w:tcPr>
            <w:tcW w:w="54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rPr>
              <w:t>$42.82</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194</w:t>
            </w:r>
          </w:p>
        </w:tc>
        <w:tc>
          <w:tcPr>
            <w:tcW w:w="54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25,000</w:t>
            </w:r>
          </w:p>
        </w:tc>
        <w:tc>
          <w:tcPr>
            <w:tcW w:w="11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The Fresh Market</w:t>
            </w:r>
          </w:p>
        </w:tc>
        <w:tc>
          <w:tcPr>
            <w:tcW w:w="21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w w:val="97"/>
              </w:rPr>
              <w:t>Ulta / Barnes &amp; Noble / Container Store /</w:t>
            </w:r>
          </w:p>
        </w:tc>
        <w:tc>
          <w:tcPr>
            <w:tcW w:w="0" w:type="dxa"/>
            <w:vAlign w:val="bottom"/>
          </w:tcPr>
          <w:p>
            <w:pPr>
              <w:spacing w:after="0"/>
              <w:rPr>
                <w:sz w:val="1"/>
                <w:szCs w:val="1"/>
                <w:color w:val="auto"/>
              </w:rPr>
            </w:pPr>
          </w:p>
        </w:tc>
      </w:tr>
      <w:tr>
        <w:trPr>
          <w:trHeight w:val="122"/>
        </w:trPr>
        <w:tc>
          <w:tcPr>
            <w:tcW w:w="10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Plaza</w:t>
            </w:r>
          </w:p>
        </w:tc>
        <w:tc>
          <w:tcPr>
            <w:tcW w:w="174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1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Buy Buy Baby</w:t>
            </w: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7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WV</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Courthouse Center</w:t>
            </w:r>
          </w:p>
        </w:tc>
        <w:tc>
          <w:tcPr>
            <w:tcW w:w="1740" w:type="dxa"/>
            <w:vAlign w:val="bottom"/>
            <w:shd w:val="clear" w:color="auto" w:fill="CCEEFF"/>
          </w:tcPr>
          <w:p>
            <w:pPr>
              <w:ind w:left="40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7,336</w:t>
            </w:r>
          </w:p>
        </w:tc>
        <w:tc>
          <w:tcPr>
            <w:tcW w:w="52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2</w:t>
            </w:r>
          </w:p>
        </w:tc>
        <w:tc>
          <w:tcPr>
            <w:tcW w:w="660" w:type="dxa"/>
            <w:vAlign w:val="bottom"/>
            <w:shd w:val="clear" w:color="auto" w:fill="CCEEFF"/>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37,000</w:t>
            </w:r>
          </w:p>
        </w:tc>
        <w:tc>
          <w:tcPr>
            <w:tcW w:w="6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73 %</w:t>
            </w:r>
          </w:p>
        </w:tc>
        <w:tc>
          <w:tcPr>
            <w:tcW w:w="8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73 %</w:t>
            </w:r>
          </w:p>
        </w:tc>
        <w:tc>
          <w:tcPr>
            <w:tcW w:w="5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rPr>
              <w:t>$26.15</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80" w:type="dxa"/>
            <w:vAlign w:val="bottom"/>
            <w:shd w:val="clear" w:color="auto" w:fill="CCEEFF"/>
          </w:tcPr>
          <w:p>
            <w:pPr>
              <w:spacing w:after="0"/>
              <w:rPr>
                <w:sz w:val="10"/>
                <w:szCs w:val="10"/>
                <w:color w:val="auto"/>
              </w:rPr>
            </w:pPr>
          </w:p>
        </w:tc>
        <w:tc>
          <w:tcPr>
            <w:tcW w:w="1740" w:type="dxa"/>
            <w:vAlign w:val="bottom"/>
            <w:shd w:val="clear" w:color="auto" w:fill="CCEEFF"/>
          </w:tcPr>
          <w:p>
            <w:pPr>
              <w:ind w:left="40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6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8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WV</w:t>
            </w:r>
          </w:p>
        </w:tc>
        <w:tc>
          <w:tcPr>
            <w:tcW w:w="6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2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Fairfax Junction</w:t>
            </w:r>
          </w:p>
        </w:tc>
        <w:tc>
          <w:tcPr>
            <w:tcW w:w="174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(6)   Washington-Arlington-</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46,241</w:t>
            </w:r>
          </w:p>
        </w:tc>
        <w:tc>
          <w:tcPr>
            <w:tcW w:w="52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11</w:t>
            </w:r>
          </w:p>
        </w:tc>
        <w:tc>
          <w:tcPr>
            <w:tcW w:w="66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124,000</w:t>
            </w:r>
          </w:p>
        </w:tc>
        <w:tc>
          <w:tcPr>
            <w:tcW w:w="6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54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rPr>
              <w:t>$25.80</w:t>
            </w:r>
          </w:p>
        </w:tc>
        <w:tc>
          <w:tcPr>
            <w:tcW w:w="660" w:type="dxa"/>
            <w:vAlign w:val="bottom"/>
          </w:tcPr>
          <w:p>
            <w:pPr>
              <w:spacing w:after="0"/>
              <w:rPr>
                <w:sz w:val="10"/>
                <w:szCs w:val="10"/>
                <w:color w:val="auto"/>
              </w:rPr>
            </w:pPr>
          </w:p>
        </w:tc>
        <w:tc>
          <w:tcPr>
            <w:tcW w:w="54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23,000</w:t>
            </w:r>
          </w:p>
        </w:tc>
        <w:tc>
          <w:tcPr>
            <w:tcW w:w="11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21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CVS / Planet Fitness</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174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7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WV</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Federal Plaza</w:t>
            </w:r>
          </w:p>
        </w:tc>
        <w:tc>
          <w:tcPr>
            <w:tcW w:w="1740" w:type="dxa"/>
            <w:vAlign w:val="bottom"/>
            <w:shd w:val="clear" w:color="auto" w:fill="CCEEFF"/>
          </w:tcPr>
          <w:p>
            <w:pPr>
              <w:ind w:left="40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73,528</w:t>
            </w:r>
          </w:p>
        </w:tc>
        <w:tc>
          <w:tcPr>
            <w:tcW w:w="52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18</w:t>
            </w:r>
          </w:p>
        </w:tc>
        <w:tc>
          <w:tcPr>
            <w:tcW w:w="660" w:type="dxa"/>
            <w:vAlign w:val="bottom"/>
            <w:shd w:val="clear" w:color="auto" w:fill="CCEEFF"/>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249,000</w:t>
            </w:r>
          </w:p>
        </w:tc>
        <w:tc>
          <w:tcPr>
            <w:tcW w:w="6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8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90 %</w:t>
            </w:r>
          </w:p>
        </w:tc>
        <w:tc>
          <w:tcPr>
            <w:tcW w:w="5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rPr>
              <w:t>$37.26</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14,000</w:t>
            </w:r>
          </w:p>
        </w:tc>
        <w:tc>
          <w:tcPr>
            <w:tcW w:w="11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8"/>
              </w:rPr>
              <w:t>TJ Maxx / Micro Center / Ross Dress for</w:t>
            </w: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1740" w:type="dxa"/>
            <w:vAlign w:val="bottom"/>
            <w:shd w:val="clear" w:color="auto" w:fill="CCEEFF"/>
          </w:tcPr>
          <w:p>
            <w:pPr>
              <w:ind w:left="40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6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Less</w:t>
            </w:r>
          </w:p>
        </w:tc>
        <w:tc>
          <w:tcPr>
            <w:tcW w:w="0" w:type="dxa"/>
            <w:vAlign w:val="bottom"/>
          </w:tcPr>
          <w:p>
            <w:pPr>
              <w:spacing w:after="0"/>
              <w:rPr>
                <w:sz w:val="1"/>
                <w:szCs w:val="1"/>
                <w:color w:val="auto"/>
              </w:rPr>
            </w:pPr>
          </w:p>
        </w:tc>
      </w:tr>
      <w:tr>
        <w:trPr>
          <w:trHeight w:val="169"/>
        </w:trPr>
        <w:tc>
          <w:tcPr>
            <w:tcW w:w="108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WV</w:t>
            </w:r>
          </w:p>
        </w:tc>
        <w:tc>
          <w:tcPr>
            <w:tcW w:w="6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2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Friendship Center</w:t>
            </w:r>
          </w:p>
        </w:tc>
        <w:tc>
          <w:tcPr>
            <w:tcW w:w="174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37,256</w:t>
            </w:r>
          </w:p>
        </w:tc>
        <w:tc>
          <w:tcPr>
            <w:tcW w:w="52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w:t>
            </w:r>
          </w:p>
        </w:tc>
        <w:tc>
          <w:tcPr>
            <w:tcW w:w="66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54,000</w:t>
            </w:r>
          </w:p>
        </w:tc>
        <w:tc>
          <w:tcPr>
            <w:tcW w:w="6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54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rPr>
              <w:t>$28.43</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1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Marshalls / Maggiano's</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174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7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WV</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Gaithersburg</w:t>
            </w:r>
          </w:p>
        </w:tc>
        <w:tc>
          <w:tcPr>
            <w:tcW w:w="1740" w:type="dxa"/>
            <w:vAlign w:val="bottom"/>
            <w:shd w:val="clear" w:color="auto" w:fill="CCEEFF"/>
          </w:tcPr>
          <w:p>
            <w:pPr>
              <w:ind w:left="40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39,692</w:t>
            </w:r>
          </w:p>
        </w:tc>
        <w:tc>
          <w:tcPr>
            <w:tcW w:w="52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660" w:type="dxa"/>
            <w:vAlign w:val="bottom"/>
            <w:shd w:val="clear" w:color="auto" w:fill="CCEEFF"/>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207,000</w:t>
            </w:r>
          </w:p>
        </w:tc>
        <w:tc>
          <w:tcPr>
            <w:tcW w:w="6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5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rPr>
              <w:t>$31.06</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9"/>
              </w:rPr>
              <w:t>Marshalls / Ross Dress for Less / Ashley</w:t>
            </w:r>
          </w:p>
        </w:tc>
        <w:tc>
          <w:tcPr>
            <w:tcW w:w="0" w:type="dxa"/>
            <w:vAlign w:val="bottom"/>
          </w:tcPr>
          <w:p>
            <w:pPr>
              <w:spacing w:after="0"/>
              <w:rPr>
                <w:sz w:val="1"/>
                <w:szCs w:val="1"/>
                <w:color w:val="auto"/>
              </w:rPr>
            </w:pPr>
          </w:p>
        </w:tc>
      </w:tr>
      <w:tr>
        <w:trPr>
          <w:trHeight w:val="122"/>
        </w:trPr>
        <w:tc>
          <w:tcPr>
            <w:tcW w:w="10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Square</w:t>
            </w:r>
          </w:p>
        </w:tc>
        <w:tc>
          <w:tcPr>
            <w:tcW w:w="1740" w:type="dxa"/>
            <w:vAlign w:val="bottom"/>
            <w:shd w:val="clear" w:color="auto" w:fill="CCEEFF"/>
          </w:tcPr>
          <w:p>
            <w:pPr>
              <w:ind w:left="40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6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Furniture HomeStore / CVS</w:t>
            </w:r>
          </w:p>
        </w:tc>
        <w:tc>
          <w:tcPr>
            <w:tcW w:w="0" w:type="dxa"/>
            <w:vAlign w:val="bottom"/>
          </w:tcPr>
          <w:p>
            <w:pPr>
              <w:spacing w:after="0"/>
              <w:rPr>
                <w:sz w:val="1"/>
                <w:szCs w:val="1"/>
                <w:color w:val="auto"/>
              </w:rPr>
            </w:pPr>
          </w:p>
        </w:tc>
      </w:tr>
      <w:tr>
        <w:trPr>
          <w:trHeight w:val="169"/>
        </w:trPr>
        <w:tc>
          <w:tcPr>
            <w:tcW w:w="108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WV</w:t>
            </w:r>
          </w:p>
        </w:tc>
        <w:tc>
          <w:tcPr>
            <w:tcW w:w="6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2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Graham Park Plaza</w:t>
            </w:r>
          </w:p>
        </w:tc>
        <w:tc>
          <w:tcPr>
            <w:tcW w:w="174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27,385</w:t>
            </w:r>
          </w:p>
        </w:tc>
        <w:tc>
          <w:tcPr>
            <w:tcW w:w="52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66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133,000</w:t>
            </w:r>
          </w:p>
        </w:tc>
        <w:tc>
          <w:tcPr>
            <w:tcW w:w="6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90 %</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90 %</w:t>
            </w:r>
          </w:p>
        </w:tc>
        <w:tc>
          <w:tcPr>
            <w:tcW w:w="54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rPr>
              <w:t>$38.92</w:t>
            </w:r>
          </w:p>
        </w:tc>
        <w:tc>
          <w:tcPr>
            <w:tcW w:w="660" w:type="dxa"/>
            <w:vAlign w:val="bottom"/>
          </w:tcPr>
          <w:p>
            <w:pPr>
              <w:spacing w:after="0"/>
              <w:rPr>
                <w:sz w:val="10"/>
                <w:szCs w:val="10"/>
                <w:color w:val="auto"/>
              </w:rPr>
            </w:pPr>
          </w:p>
        </w:tc>
        <w:tc>
          <w:tcPr>
            <w:tcW w:w="54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58,000</w:t>
            </w:r>
          </w:p>
        </w:tc>
        <w:tc>
          <w:tcPr>
            <w:tcW w:w="11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spacing w:after="0"/>
              <w:rPr>
                <w:sz w:val="10"/>
                <w:szCs w:val="10"/>
                <w:color w:val="auto"/>
              </w:rPr>
            </w:pPr>
          </w:p>
        </w:tc>
        <w:tc>
          <w:tcPr>
            <w:tcW w:w="174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7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WV</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Idylwood Plaza</w:t>
            </w:r>
          </w:p>
        </w:tc>
        <w:tc>
          <w:tcPr>
            <w:tcW w:w="1740" w:type="dxa"/>
            <w:vAlign w:val="bottom"/>
            <w:shd w:val="clear" w:color="auto" w:fill="CCEEFF"/>
          </w:tcPr>
          <w:p>
            <w:pPr>
              <w:ind w:left="40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18,095</w:t>
            </w:r>
          </w:p>
        </w:tc>
        <w:tc>
          <w:tcPr>
            <w:tcW w:w="52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7</w:t>
            </w:r>
          </w:p>
        </w:tc>
        <w:tc>
          <w:tcPr>
            <w:tcW w:w="660" w:type="dxa"/>
            <w:vAlign w:val="bottom"/>
            <w:shd w:val="clear" w:color="auto" w:fill="CCEEFF"/>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73,000</w:t>
            </w:r>
          </w:p>
        </w:tc>
        <w:tc>
          <w:tcPr>
            <w:tcW w:w="6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83 %</w:t>
            </w:r>
          </w:p>
        </w:tc>
        <w:tc>
          <w:tcPr>
            <w:tcW w:w="5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rPr>
              <w:t>$48.18</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30,000</w:t>
            </w:r>
          </w:p>
        </w:tc>
        <w:tc>
          <w:tcPr>
            <w:tcW w:w="11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Whole Foods</w:t>
            </w:r>
          </w:p>
        </w:tc>
        <w:tc>
          <w:tcPr>
            <w:tcW w:w="2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80" w:type="dxa"/>
            <w:vAlign w:val="bottom"/>
            <w:shd w:val="clear" w:color="auto" w:fill="CCEEFF"/>
          </w:tcPr>
          <w:p>
            <w:pPr>
              <w:spacing w:after="0"/>
              <w:rPr>
                <w:sz w:val="10"/>
                <w:szCs w:val="10"/>
                <w:color w:val="auto"/>
              </w:rPr>
            </w:pPr>
          </w:p>
        </w:tc>
        <w:tc>
          <w:tcPr>
            <w:tcW w:w="1740" w:type="dxa"/>
            <w:vAlign w:val="bottom"/>
            <w:shd w:val="clear" w:color="auto" w:fill="CCEEFF"/>
          </w:tcPr>
          <w:p>
            <w:pPr>
              <w:ind w:left="40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6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8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WV</w:t>
            </w:r>
          </w:p>
        </w:tc>
        <w:tc>
          <w:tcPr>
            <w:tcW w:w="6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2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Kingstowne Towne</w:t>
            </w:r>
          </w:p>
        </w:tc>
        <w:tc>
          <w:tcPr>
            <w:tcW w:w="174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211,223</w:t>
            </w:r>
          </w:p>
        </w:tc>
        <w:tc>
          <w:tcPr>
            <w:tcW w:w="52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45</w:t>
            </w:r>
          </w:p>
        </w:tc>
        <w:tc>
          <w:tcPr>
            <w:tcW w:w="66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410,000</w:t>
            </w:r>
          </w:p>
        </w:tc>
        <w:tc>
          <w:tcPr>
            <w:tcW w:w="6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54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rPr>
              <w:t>$27.67</w:t>
            </w:r>
          </w:p>
        </w:tc>
        <w:tc>
          <w:tcPr>
            <w:tcW w:w="660" w:type="dxa"/>
            <w:vAlign w:val="bottom"/>
          </w:tcPr>
          <w:p>
            <w:pPr>
              <w:spacing w:after="0"/>
              <w:rPr>
                <w:sz w:val="10"/>
                <w:szCs w:val="10"/>
                <w:color w:val="auto"/>
              </w:rPr>
            </w:pPr>
          </w:p>
        </w:tc>
        <w:tc>
          <w:tcPr>
            <w:tcW w:w="54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w w:val="99"/>
              </w:rPr>
              <w:t>135,000</w:t>
            </w:r>
          </w:p>
        </w:tc>
        <w:tc>
          <w:tcPr>
            <w:tcW w:w="11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 /</w:t>
            </w:r>
          </w:p>
        </w:tc>
        <w:tc>
          <w:tcPr>
            <w:tcW w:w="21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TJ Maxx / HomeGoods / Five Below /</w:t>
            </w:r>
          </w:p>
        </w:tc>
        <w:tc>
          <w:tcPr>
            <w:tcW w:w="0" w:type="dxa"/>
            <w:vAlign w:val="bottom"/>
          </w:tcPr>
          <w:p>
            <w:pPr>
              <w:spacing w:after="0"/>
              <w:rPr>
                <w:sz w:val="1"/>
                <w:szCs w:val="1"/>
                <w:color w:val="auto"/>
              </w:rPr>
            </w:pPr>
          </w:p>
        </w:tc>
      </w:tr>
      <w:tr>
        <w:trPr>
          <w:trHeight w:val="121"/>
        </w:trPr>
        <w:tc>
          <w:tcPr>
            <w:tcW w:w="10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Center</w:t>
            </w:r>
          </w:p>
        </w:tc>
        <w:tc>
          <w:tcPr>
            <w:tcW w:w="174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21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Ross Dress for Less</w:t>
            </w: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7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WV</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Laurel</w:t>
            </w:r>
          </w:p>
        </w:tc>
        <w:tc>
          <w:tcPr>
            <w:tcW w:w="1740" w:type="dxa"/>
            <w:vAlign w:val="bottom"/>
            <w:shd w:val="clear" w:color="auto" w:fill="CCEEFF"/>
          </w:tcPr>
          <w:p>
            <w:pPr>
              <w:ind w:left="40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61,611</w:t>
            </w:r>
          </w:p>
        </w:tc>
        <w:tc>
          <w:tcPr>
            <w:tcW w:w="52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26</w:t>
            </w:r>
          </w:p>
        </w:tc>
        <w:tc>
          <w:tcPr>
            <w:tcW w:w="660" w:type="dxa"/>
            <w:vAlign w:val="bottom"/>
            <w:shd w:val="clear" w:color="auto" w:fill="CCEEFF"/>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364,000</w:t>
            </w:r>
          </w:p>
        </w:tc>
        <w:tc>
          <w:tcPr>
            <w:tcW w:w="6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8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5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rPr>
              <w:t>$24.36</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61,000</w:t>
            </w:r>
          </w:p>
        </w:tc>
        <w:tc>
          <w:tcPr>
            <w:tcW w:w="11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Marshalls / L.A. Fitness / HomeGoods</w:t>
            </w:r>
          </w:p>
        </w:tc>
        <w:tc>
          <w:tcPr>
            <w:tcW w:w="0" w:type="dxa"/>
            <w:vAlign w:val="bottom"/>
          </w:tcPr>
          <w:p>
            <w:pPr>
              <w:spacing w:after="0"/>
              <w:rPr>
                <w:sz w:val="1"/>
                <w:szCs w:val="1"/>
                <w:color w:val="auto"/>
              </w:rPr>
            </w:pPr>
          </w:p>
        </w:tc>
      </w:tr>
      <w:tr>
        <w:trPr>
          <w:trHeight w:val="122"/>
        </w:trPr>
        <w:tc>
          <w:tcPr>
            <w:tcW w:w="1080" w:type="dxa"/>
            <w:vAlign w:val="bottom"/>
            <w:shd w:val="clear" w:color="auto" w:fill="CCEEFF"/>
          </w:tcPr>
          <w:p>
            <w:pPr>
              <w:spacing w:after="0"/>
              <w:rPr>
                <w:sz w:val="10"/>
                <w:szCs w:val="10"/>
                <w:color w:val="auto"/>
              </w:rPr>
            </w:pPr>
          </w:p>
        </w:tc>
        <w:tc>
          <w:tcPr>
            <w:tcW w:w="1740" w:type="dxa"/>
            <w:vAlign w:val="bottom"/>
            <w:shd w:val="clear" w:color="auto" w:fill="CCEEFF"/>
          </w:tcPr>
          <w:p>
            <w:pPr>
              <w:ind w:left="40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6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8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WV</w:t>
            </w:r>
          </w:p>
        </w:tc>
        <w:tc>
          <w:tcPr>
            <w:tcW w:w="6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2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Montrose Crossing</w:t>
            </w:r>
          </w:p>
        </w:tc>
        <w:tc>
          <w:tcPr>
            <w:tcW w:w="174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172,499</w:t>
            </w:r>
          </w:p>
        </w:tc>
        <w:tc>
          <w:tcPr>
            <w:tcW w:w="52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36</w:t>
            </w:r>
          </w:p>
        </w:tc>
        <w:tc>
          <w:tcPr>
            <w:tcW w:w="66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369,000</w:t>
            </w:r>
          </w:p>
        </w:tc>
        <w:tc>
          <w:tcPr>
            <w:tcW w:w="6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54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rPr>
              <w:t>$34.33</w:t>
            </w:r>
          </w:p>
        </w:tc>
        <w:tc>
          <w:tcPr>
            <w:tcW w:w="660" w:type="dxa"/>
            <w:vAlign w:val="bottom"/>
          </w:tcPr>
          <w:p>
            <w:pPr>
              <w:spacing w:after="0"/>
              <w:rPr>
                <w:sz w:val="10"/>
                <w:szCs w:val="10"/>
                <w:color w:val="auto"/>
              </w:rPr>
            </w:pPr>
          </w:p>
        </w:tc>
        <w:tc>
          <w:tcPr>
            <w:tcW w:w="54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73,000</w:t>
            </w:r>
          </w:p>
        </w:tc>
        <w:tc>
          <w:tcPr>
            <w:tcW w:w="11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w w:val="99"/>
              </w:rPr>
              <w:t>Giant Food / Target</w:t>
            </w:r>
          </w:p>
        </w:tc>
        <w:tc>
          <w:tcPr>
            <w:tcW w:w="21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w w:val="98"/>
              </w:rPr>
              <w:t>Marshalls / Home Depot Design Center /</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174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w:t>
            </w:r>
          </w:p>
        </w:tc>
        <w:tc>
          <w:tcPr>
            <w:tcW w:w="21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Old Navy / Burlington</w:t>
            </w: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7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WV</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Mount</w:t>
            </w:r>
          </w:p>
        </w:tc>
        <w:tc>
          <w:tcPr>
            <w:tcW w:w="17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(6)   Washington-Arlington-</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95,403</w:t>
            </w:r>
          </w:p>
        </w:tc>
        <w:tc>
          <w:tcPr>
            <w:tcW w:w="52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29</w:t>
            </w:r>
          </w:p>
        </w:tc>
        <w:tc>
          <w:tcPr>
            <w:tcW w:w="660" w:type="dxa"/>
            <w:vAlign w:val="bottom"/>
            <w:shd w:val="clear" w:color="auto" w:fill="CCEEFF"/>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565,000</w:t>
            </w:r>
          </w:p>
        </w:tc>
        <w:tc>
          <w:tcPr>
            <w:tcW w:w="6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5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rPr>
              <w:t>$20.79</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62,000</w:t>
            </w:r>
          </w:p>
        </w:tc>
        <w:tc>
          <w:tcPr>
            <w:tcW w:w="11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Shoppers Food</w:t>
            </w:r>
          </w:p>
        </w:tc>
        <w:tc>
          <w:tcPr>
            <w:tcW w:w="2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TJ Maxx / Home Depot / Old Navy /</w:t>
            </w: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Vernon/South</w:t>
            </w:r>
          </w:p>
        </w:tc>
        <w:tc>
          <w:tcPr>
            <w:tcW w:w="1740" w:type="dxa"/>
            <w:vAlign w:val="bottom"/>
            <w:shd w:val="clear" w:color="auto" w:fill="CCEEFF"/>
          </w:tcPr>
          <w:p>
            <w:pPr>
              <w:ind w:left="40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6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Warehouse</w:t>
            </w:r>
          </w:p>
        </w:tc>
        <w:tc>
          <w:tcPr>
            <w:tcW w:w="2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Petsmart</w:t>
            </w:r>
          </w:p>
        </w:tc>
        <w:tc>
          <w:tcPr>
            <w:tcW w:w="0" w:type="dxa"/>
            <w:vAlign w:val="bottom"/>
          </w:tcPr>
          <w:p>
            <w:pPr>
              <w:spacing w:after="0"/>
              <w:rPr>
                <w:sz w:val="1"/>
                <w:szCs w:val="1"/>
                <w:color w:val="auto"/>
              </w:rPr>
            </w:pPr>
          </w:p>
        </w:tc>
      </w:tr>
      <w:tr>
        <w:trPr>
          <w:trHeight w:val="130"/>
        </w:trPr>
        <w:tc>
          <w:tcPr>
            <w:tcW w:w="108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Valley/7770</w:t>
            </w:r>
          </w:p>
        </w:tc>
        <w:tc>
          <w:tcPr>
            <w:tcW w:w="1740" w:type="dxa"/>
            <w:vAlign w:val="bottom"/>
            <w:shd w:val="clear" w:color="auto" w:fill="CCEEFF"/>
          </w:tcPr>
          <w:p>
            <w:pPr>
              <w:ind w:left="400"/>
              <w:spacing w:after="0" w:line="131" w:lineRule="exact"/>
              <w:rPr>
                <w:sz w:val="20"/>
                <w:szCs w:val="20"/>
                <w:color w:val="auto"/>
              </w:rPr>
            </w:pPr>
            <w:r>
              <w:rPr>
                <w:rFonts w:ascii="Times New Roman" w:cs="Times New Roman" w:eastAsia="Times New Roman" w:hAnsi="Times New Roman"/>
                <w:sz w:val="13"/>
                <w:szCs w:val="13"/>
                <w:color w:val="auto"/>
              </w:rPr>
              <w:t>WV</w:t>
            </w: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Richmond Hwy</w:t>
            </w:r>
          </w:p>
        </w:tc>
        <w:tc>
          <w:tcPr>
            <w:tcW w:w="17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Old Keene Mill</w:t>
            </w:r>
          </w:p>
        </w:tc>
        <w:tc>
          <w:tcPr>
            <w:tcW w:w="174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14,683</w:t>
            </w:r>
          </w:p>
        </w:tc>
        <w:tc>
          <w:tcPr>
            <w:tcW w:w="52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66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90,000</w:t>
            </w:r>
          </w:p>
        </w:tc>
        <w:tc>
          <w:tcPr>
            <w:tcW w:w="6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67 %</w:t>
            </w:r>
          </w:p>
        </w:tc>
        <w:tc>
          <w:tcPr>
            <w:tcW w:w="54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rPr>
              <w:t>$45.90</w:t>
            </w:r>
          </w:p>
        </w:tc>
        <w:tc>
          <w:tcPr>
            <w:tcW w:w="660" w:type="dxa"/>
            <w:vAlign w:val="bottom"/>
          </w:tcPr>
          <w:p>
            <w:pPr>
              <w:spacing w:after="0"/>
              <w:rPr>
                <w:sz w:val="10"/>
                <w:szCs w:val="10"/>
                <w:color w:val="auto"/>
              </w:rPr>
            </w:pPr>
          </w:p>
        </w:tc>
        <w:tc>
          <w:tcPr>
            <w:tcW w:w="54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14,000</w:t>
            </w:r>
          </w:p>
        </w:tc>
        <w:tc>
          <w:tcPr>
            <w:tcW w:w="11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TBA</w:t>
            </w:r>
          </w:p>
        </w:tc>
        <w:tc>
          <w:tcPr>
            <w:tcW w:w="21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Walgreens / Planet Fitness</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174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7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WV</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Pan Am</w:t>
            </w:r>
          </w:p>
        </w:tc>
        <w:tc>
          <w:tcPr>
            <w:tcW w:w="1740" w:type="dxa"/>
            <w:vAlign w:val="bottom"/>
            <w:shd w:val="clear" w:color="auto" w:fill="CCEEFF"/>
          </w:tcPr>
          <w:p>
            <w:pPr>
              <w:ind w:left="40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32,330</w:t>
            </w:r>
          </w:p>
        </w:tc>
        <w:tc>
          <w:tcPr>
            <w:tcW w:w="52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25</w:t>
            </w:r>
          </w:p>
        </w:tc>
        <w:tc>
          <w:tcPr>
            <w:tcW w:w="660" w:type="dxa"/>
            <w:vAlign w:val="bottom"/>
            <w:shd w:val="clear" w:color="auto" w:fill="CCEEFF"/>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228,000</w:t>
            </w:r>
          </w:p>
        </w:tc>
        <w:tc>
          <w:tcPr>
            <w:tcW w:w="6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8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5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rPr>
              <w:t>$24.49</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65,000</w:t>
            </w:r>
          </w:p>
        </w:tc>
        <w:tc>
          <w:tcPr>
            <w:tcW w:w="11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2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Micro Center / CVS / Michaels</w:t>
            </w: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1740" w:type="dxa"/>
            <w:vAlign w:val="bottom"/>
            <w:shd w:val="clear" w:color="auto" w:fill="CCEEFF"/>
          </w:tcPr>
          <w:p>
            <w:pPr>
              <w:ind w:left="40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6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8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WV</w:t>
            </w:r>
          </w:p>
        </w:tc>
        <w:tc>
          <w:tcPr>
            <w:tcW w:w="6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2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Pike &amp; Rose</w:t>
            </w:r>
          </w:p>
        </w:tc>
        <w:tc>
          <w:tcPr>
            <w:tcW w:w="174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862,389</w:t>
            </w:r>
          </w:p>
        </w:tc>
        <w:tc>
          <w:tcPr>
            <w:tcW w:w="52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24</w:t>
            </w:r>
          </w:p>
        </w:tc>
        <w:tc>
          <w:tcPr>
            <w:tcW w:w="66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792,000</w:t>
            </w:r>
          </w:p>
        </w:tc>
        <w:tc>
          <w:tcPr>
            <w:tcW w:w="6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54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rPr>
              <w:t>$45.07</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765</w:t>
            </w: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1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Porsche / Uniqlo / REI / H&amp;M / L.L</w:t>
            </w:r>
          </w:p>
        </w:tc>
        <w:tc>
          <w:tcPr>
            <w:tcW w:w="0" w:type="dxa"/>
            <w:vAlign w:val="bottom"/>
          </w:tcPr>
          <w:p>
            <w:pPr>
              <w:spacing w:after="0"/>
              <w:rPr>
                <w:sz w:val="1"/>
                <w:szCs w:val="1"/>
                <w:color w:val="auto"/>
              </w:rPr>
            </w:pPr>
          </w:p>
        </w:tc>
      </w:tr>
      <w:tr>
        <w:trPr>
          <w:trHeight w:val="121"/>
        </w:trPr>
        <w:tc>
          <w:tcPr>
            <w:tcW w:w="1080" w:type="dxa"/>
            <w:vAlign w:val="bottom"/>
          </w:tcPr>
          <w:p>
            <w:pPr>
              <w:spacing w:after="0"/>
              <w:rPr>
                <w:sz w:val="10"/>
                <w:szCs w:val="10"/>
                <w:color w:val="auto"/>
              </w:rPr>
            </w:pPr>
          </w:p>
        </w:tc>
        <w:tc>
          <w:tcPr>
            <w:tcW w:w="174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1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Bean / Multiple Restaurants</w:t>
            </w: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7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WV</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Pike 7 Plaza</w:t>
            </w:r>
          </w:p>
        </w:tc>
        <w:tc>
          <w:tcPr>
            <w:tcW w:w="1740" w:type="dxa"/>
            <w:vAlign w:val="bottom"/>
            <w:shd w:val="clear" w:color="auto" w:fill="CCEEFF"/>
          </w:tcPr>
          <w:p>
            <w:pPr>
              <w:ind w:left="40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55,874</w:t>
            </w:r>
          </w:p>
        </w:tc>
        <w:tc>
          <w:tcPr>
            <w:tcW w:w="52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13</w:t>
            </w:r>
          </w:p>
        </w:tc>
        <w:tc>
          <w:tcPr>
            <w:tcW w:w="660" w:type="dxa"/>
            <w:vAlign w:val="bottom"/>
            <w:shd w:val="clear" w:color="auto" w:fill="CCEEFF"/>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172,000</w:t>
            </w:r>
          </w:p>
        </w:tc>
        <w:tc>
          <w:tcPr>
            <w:tcW w:w="6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5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rPr>
              <w:t>$48.28</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24,000</w:t>
            </w:r>
          </w:p>
        </w:tc>
        <w:tc>
          <w:tcPr>
            <w:tcW w:w="11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Lidl</w:t>
            </w:r>
          </w:p>
        </w:tc>
        <w:tc>
          <w:tcPr>
            <w:tcW w:w="2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TJ Maxx / DSW / Ulta</w:t>
            </w:r>
          </w:p>
        </w:tc>
        <w:tc>
          <w:tcPr>
            <w:tcW w:w="0" w:type="dxa"/>
            <w:vAlign w:val="bottom"/>
          </w:tcPr>
          <w:p>
            <w:pPr>
              <w:spacing w:after="0"/>
              <w:rPr>
                <w:sz w:val="1"/>
                <w:szCs w:val="1"/>
                <w:color w:val="auto"/>
              </w:rPr>
            </w:pPr>
          </w:p>
        </w:tc>
      </w:tr>
      <w:tr>
        <w:trPr>
          <w:trHeight w:val="122"/>
        </w:trPr>
        <w:tc>
          <w:tcPr>
            <w:tcW w:w="1080" w:type="dxa"/>
            <w:vAlign w:val="bottom"/>
            <w:shd w:val="clear" w:color="auto" w:fill="CCEEFF"/>
          </w:tcPr>
          <w:p>
            <w:pPr>
              <w:spacing w:after="0"/>
              <w:rPr>
                <w:sz w:val="10"/>
                <w:szCs w:val="10"/>
                <w:color w:val="auto"/>
              </w:rPr>
            </w:pPr>
          </w:p>
        </w:tc>
        <w:tc>
          <w:tcPr>
            <w:tcW w:w="1740" w:type="dxa"/>
            <w:vAlign w:val="bottom"/>
            <w:shd w:val="clear" w:color="auto" w:fill="CCEEFF"/>
          </w:tcPr>
          <w:p>
            <w:pPr>
              <w:ind w:left="40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6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8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WV</w:t>
            </w:r>
          </w:p>
        </w:tc>
        <w:tc>
          <w:tcPr>
            <w:tcW w:w="6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2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Plaza del Mercado</w:t>
            </w:r>
          </w:p>
        </w:tc>
        <w:tc>
          <w:tcPr>
            <w:tcW w:w="174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46,771</w:t>
            </w:r>
          </w:p>
        </w:tc>
        <w:tc>
          <w:tcPr>
            <w:tcW w:w="52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66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116,000</w:t>
            </w:r>
          </w:p>
        </w:tc>
        <w:tc>
          <w:tcPr>
            <w:tcW w:w="6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54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rPr>
              <w:t>$33.97</w:t>
            </w:r>
          </w:p>
        </w:tc>
        <w:tc>
          <w:tcPr>
            <w:tcW w:w="660" w:type="dxa"/>
            <w:vAlign w:val="bottom"/>
          </w:tcPr>
          <w:p>
            <w:pPr>
              <w:spacing w:after="0"/>
              <w:rPr>
                <w:sz w:val="10"/>
                <w:szCs w:val="10"/>
                <w:color w:val="auto"/>
              </w:rPr>
            </w:pPr>
          </w:p>
        </w:tc>
        <w:tc>
          <w:tcPr>
            <w:tcW w:w="54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18,000</w:t>
            </w:r>
          </w:p>
        </w:tc>
        <w:tc>
          <w:tcPr>
            <w:tcW w:w="11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21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CVS / L.A. Fitness</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174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7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WV</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Quince Orchard</w:t>
            </w:r>
          </w:p>
        </w:tc>
        <w:tc>
          <w:tcPr>
            <w:tcW w:w="17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(5)   Washington-Arlington-</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41,118</w:t>
            </w:r>
          </w:p>
        </w:tc>
        <w:tc>
          <w:tcPr>
            <w:tcW w:w="52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660" w:type="dxa"/>
            <w:vAlign w:val="bottom"/>
            <w:shd w:val="clear" w:color="auto" w:fill="CCEEFF"/>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271,000</w:t>
            </w:r>
          </w:p>
        </w:tc>
        <w:tc>
          <w:tcPr>
            <w:tcW w:w="6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81 %</w:t>
            </w:r>
          </w:p>
        </w:tc>
        <w:tc>
          <w:tcPr>
            <w:tcW w:w="8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81 %</w:t>
            </w:r>
          </w:p>
        </w:tc>
        <w:tc>
          <w:tcPr>
            <w:tcW w:w="5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rPr>
              <w:t>$26.22</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19,000</w:t>
            </w:r>
          </w:p>
        </w:tc>
        <w:tc>
          <w:tcPr>
            <w:tcW w:w="11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2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HomeGoods / L.A. Fitness / Staples</w:t>
            </w: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rPr>
                <w:sz w:val="10"/>
                <w:szCs w:val="10"/>
                <w:color w:val="auto"/>
              </w:rPr>
            </w:pPr>
          </w:p>
        </w:tc>
        <w:tc>
          <w:tcPr>
            <w:tcW w:w="1740" w:type="dxa"/>
            <w:vAlign w:val="bottom"/>
            <w:shd w:val="clear" w:color="auto" w:fill="CCEEFF"/>
          </w:tcPr>
          <w:p>
            <w:pPr>
              <w:ind w:left="40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6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8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WV</w:t>
            </w:r>
          </w:p>
        </w:tc>
        <w:tc>
          <w:tcPr>
            <w:tcW w:w="6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2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Tower Shopping</w:t>
            </w:r>
          </w:p>
        </w:tc>
        <w:tc>
          <w:tcPr>
            <w:tcW w:w="174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26,253</w:t>
            </w:r>
          </w:p>
        </w:tc>
        <w:tc>
          <w:tcPr>
            <w:tcW w:w="52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66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112,000</w:t>
            </w:r>
          </w:p>
        </w:tc>
        <w:tc>
          <w:tcPr>
            <w:tcW w:w="6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54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rPr>
              <w:t>$28.45</w:t>
            </w:r>
          </w:p>
        </w:tc>
        <w:tc>
          <w:tcPr>
            <w:tcW w:w="660" w:type="dxa"/>
            <w:vAlign w:val="bottom"/>
          </w:tcPr>
          <w:p>
            <w:pPr>
              <w:spacing w:after="0"/>
              <w:rPr>
                <w:sz w:val="10"/>
                <w:szCs w:val="10"/>
                <w:color w:val="auto"/>
              </w:rPr>
            </w:pPr>
          </w:p>
        </w:tc>
        <w:tc>
          <w:tcPr>
            <w:tcW w:w="54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26,000</w:t>
            </w:r>
          </w:p>
        </w:tc>
        <w:tc>
          <w:tcPr>
            <w:tcW w:w="11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L.A. Mart</w:t>
            </w:r>
          </w:p>
        </w:tc>
        <w:tc>
          <w:tcPr>
            <w:tcW w:w="21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Total Wine &amp; More / Talbots</w:t>
            </w:r>
          </w:p>
        </w:tc>
        <w:tc>
          <w:tcPr>
            <w:tcW w:w="0" w:type="dxa"/>
            <w:vAlign w:val="bottom"/>
          </w:tcPr>
          <w:p>
            <w:pPr>
              <w:spacing w:after="0"/>
              <w:rPr>
                <w:sz w:val="1"/>
                <w:szCs w:val="1"/>
                <w:color w:val="auto"/>
              </w:rPr>
            </w:pPr>
          </w:p>
        </w:tc>
      </w:tr>
      <w:tr>
        <w:trPr>
          <w:trHeight w:val="122"/>
        </w:trPr>
        <w:tc>
          <w:tcPr>
            <w:tcW w:w="10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Center</w:t>
            </w:r>
          </w:p>
        </w:tc>
        <w:tc>
          <w:tcPr>
            <w:tcW w:w="174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7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WV</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Twinbrooke</w:t>
            </w:r>
          </w:p>
        </w:tc>
        <w:tc>
          <w:tcPr>
            <w:tcW w:w="1740" w:type="dxa"/>
            <w:vAlign w:val="bottom"/>
            <w:shd w:val="clear" w:color="auto" w:fill="CCEEFF"/>
          </w:tcPr>
          <w:p>
            <w:pPr>
              <w:ind w:left="40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36,137</w:t>
            </w:r>
          </w:p>
        </w:tc>
        <w:tc>
          <w:tcPr>
            <w:tcW w:w="52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660" w:type="dxa"/>
            <w:vAlign w:val="bottom"/>
            <w:shd w:val="clear" w:color="auto" w:fill="CCEEFF"/>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101,000</w:t>
            </w:r>
          </w:p>
        </w:tc>
        <w:tc>
          <w:tcPr>
            <w:tcW w:w="6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8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5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rPr>
              <w:t>$27.40</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35,000</w:t>
            </w:r>
          </w:p>
        </w:tc>
        <w:tc>
          <w:tcPr>
            <w:tcW w:w="11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2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Walgreens</w:t>
            </w:r>
          </w:p>
        </w:tc>
        <w:tc>
          <w:tcPr>
            <w:tcW w:w="0" w:type="dxa"/>
            <w:vAlign w:val="bottom"/>
          </w:tcPr>
          <w:p>
            <w:pPr>
              <w:spacing w:after="0"/>
              <w:rPr>
                <w:sz w:val="1"/>
                <w:szCs w:val="1"/>
                <w:color w:val="auto"/>
              </w:rPr>
            </w:pPr>
          </w:p>
        </w:tc>
      </w:tr>
      <w:tr>
        <w:trPr>
          <w:trHeight w:val="122"/>
        </w:trPr>
        <w:tc>
          <w:tcPr>
            <w:tcW w:w="10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Shopping Centre</w:t>
            </w:r>
          </w:p>
        </w:tc>
        <w:tc>
          <w:tcPr>
            <w:tcW w:w="1740" w:type="dxa"/>
            <w:vAlign w:val="bottom"/>
            <w:shd w:val="clear" w:color="auto" w:fill="CCEEFF"/>
          </w:tcPr>
          <w:p>
            <w:pPr>
              <w:ind w:left="40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6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8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WV</w:t>
            </w:r>
          </w:p>
        </w:tc>
        <w:tc>
          <w:tcPr>
            <w:tcW w:w="6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2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Tyson's Station</w:t>
            </w:r>
          </w:p>
        </w:tc>
        <w:tc>
          <w:tcPr>
            <w:tcW w:w="174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7,164</w:t>
            </w:r>
          </w:p>
        </w:tc>
        <w:tc>
          <w:tcPr>
            <w:tcW w:w="52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5</w:t>
            </w:r>
          </w:p>
        </w:tc>
        <w:tc>
          <w:tcPr>
            <w:tcW w:w="66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48,000</w:t>
            </w:r>
          </w:p>
        </w:tc>
        <w:tc>
          <w:tcPr>
            <w:tcW w:w="6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88 %</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88 %</w:t>
            </w:r>
          </w:p>
        </w:tc>
        <w:tc>
          <w:tcPr>
            <w:tcW w:w="54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rPr>
              <w:t>$51.36</w:t>
            </w:r>
          </w:p>
        </w:tc>
        <w:tc>
          <w:tcPr>
            <w:tcW w:w="660" w:type="dxa"/>
            <w:vAlign w:val="bottom"/>
          </w:tcPr>
          <w:p>
            <w:pPr>
              <w:spacing w:after="0"/>
              <w:rPr>
                <w:sz w:val="10"/>
                <w:szCs w:val="10"/>
                <w:color w:val="auto"/>
              </w:rPr>
            </w:pPr>
          </w:p>
        </w:tc>
        <w:tc>
          <w:tcPr>
            <w:tcW w:w="54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15,000</w:t>
            </w:r>
          </w:p>
        </w:tc>
        <w:tc>
          <w:tcPr>
            <w:tcW w:w="11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spacing w:after="0"/>
              <w:rPr>
                <w:sz w:val="10"/>
                <w:szCs w:val="10"/>
                <w:color w:val="auto"/>
              </w:rPr>
            </w:pPr>
          </w:p>
        </w:tc>
        <w:tc>
          <w:tcPr>
            <w:tcW w:w="1740" w:type="dxa"/>
            <w:vAlign w:val="bottom"/>
          </w:tcPr>
          <w:p>
            <w:pPr>
              <w:ind w:left="40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7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WV</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Village at</w:t>
            </w:r>
          </w:p>
        </w:tc>
        <w:tc>
          <w:tcPr>
            <w:tcW w:w="17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(5)   Washington-Arlington-</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73,474</w:t>
            </w:r>
          </w:p>
        </w:tc>
        <w:tc>
          <w:tcPr>
            <w:tcW w:w="520" w:type="dxa"/>
            <w:vAlign w:val="bottom"/>
            <w:shd w:val="clear" w:color="auto" w:fill="CCEEFF"/>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660" w:type="dxa"/>
            <w:vAlign w:val="bottom"/>
            <w:shd w:val="clear" w:color="auto" w:fill="CCEEFF"/>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267,000</w:t>
            </w:r>
          </w:p>
        </w:tc>
        <w:tc>
          <w:tcPr>
            <w:tcW w:w="6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88 %</w:t>
            </w:r>
          </w:p>
        </w:tc>
        <w:tc>
          <w:tcPr>
            <w:tcW w:w="8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87 %</w:t>
            </w:r>
          </w:p>
        </w:tc>
        <w:tc>
          <w:tcPr>
            <w:tcW w:w="5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rPr>
              <w:t>$40.95</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28,000</w:t>
            </w:r>
          </w:p>
        </w:tc>
        <w:tc>
          <w:tcPr>
            <w:tcW w:w="11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Harris Teeter</w:t>
            </w:r>
          </w:p>
        </w:tc>
        <w:tc>
          <w:tcPr>
            <w:tcW w:w="2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CVS / AMC / Multiple Restaurants</w:t>
            </w: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Shirlington</w:t>
            </w:r>
          </w:p>
        </w:tc>
        <w:tc>
          <w:tcPr>
            <w:tcW w:w="1740" w:type="dxa"/>
            <w:vAlign w:val="bottom"/>
            <w:shd w:val="clear" w:color="auto" w:fill="CCEEFF"/>
          </w:tcPr>
          <w:p>
            <w:pPr>
              <w:ind w:left="400"/>
              <w:spacing w:after="0" w:line="122" w:lineRule="exact"/>
              <w:rPr>
                <w:sz w:val="20"/>
                <w:szCs w:val="20"/>
                <w:color w:val="auto"/>
              </w:rPr>
            </w:pPr>
            <w:r>
              <w:rPr>
                <w:rFonts w:ascii="Times New Roman" w:cs="Times New Roman" w:eastAsia="Times New Roman" w:hAnsi="Times New Roman"/>
                <w:sz w:val="13"/>
                <w:szCs w:val="13"/>
                <w:color w:val="auto"/>
                <w:w w:val="97"/>
              </w:rPr>
              <w:t>Alexandria, DC-VA-MD-</w:t>
            </w:r>
          </w:p>
        </w:tc>
        <w:tc>
          <w:tcPr>
            <w:tcW w:w="6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080" w:type="dxa"/>
            <w:vAlign w:val="bottom"/>
            <w:shd w:val="clear" w:color="auto" w:fill="CCEEFF"/>
          </w:tcPr>
          <w:p>
            <w:pPr>
              <w:spacing w:after="0"/>
              <w:rPr>
                <w:sz w:val="14"/>
                <w:szCs w:val="14"/>
                <w:color w:val="auto"/>
              </w:rPr>
            </w:pPr>
          </w:p>
        </w:tc>
        <w:tc>
          <w:tcPr>
            <w:tcW w:w="1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WV</w:t>
            </w:r>
          </w:p>
        </w:tc>
        <w:tc>
          <w:tcPr>
            <w:tcW w:w="6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028" w:right="3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40" w:top="1028" w:right="339" w:bottom="1440" w:gutter="0" w:footer="0" w:header="0"/>
          <w:type w:val="continuous"/>
        </w:sectPr>
      </w:pPr>
    </w:p>
    <w:bookmarkStart w:id="23" w:name="page24"/>
    <w:bookmarkEnd w:id="23"/>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Real Estate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820" w:type="dxa"/>
            <w:vAlign w:val="bottom"/>
            <w:vMerge w:val="restart"/>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Grocery</w:t>
            </w: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Grocery Anchor</w:t>
            </w: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Rent</w:t>
            </w:r>
          </w:p>
        </w:tc>
        <w:tc>
          <w:tcPr>
            <w:tcW w:w="66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1060" w:type="dxa"/>
            <w:vAlign w:val="bottom"/>
            <w:vMerge w:val="continue"/>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w:t>
            </w: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GLA (1)</w:t>
            </w:r>
          </w:p>
        </w:tc>
        <w:tc>
          <w:tcPr>
            <w:tcW w:w="5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w:t>
            </w: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Occupied(1)</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PSF (2)</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(3)</w:t>
            </w:r>
          </w:p>
        </w:tc>
        <w:tc>
          <w:tcPr>
            <w:tcW w:w="2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(in</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thousands)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3"/>
                <w:szCs w:val="13"/>
                <w:color w:val="auto"/>
              </w:rPr>
              <w:t>Westpost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Washington-Arlington-</w:t>
            </w:r>
          </w:p>
        </w:tc>
        <w:tc>
          <w:tcPr>
            <w:tcW w:w="6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112,901</w:t>
            </w: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2"/>
                <w:szCs w:val="12"/>
                <w:color w:val="auto"/>
              </w:rPr>
            </w:pPr>
          </w:p>
        </w:tc>
        <w:tc>
          <w:tcPr>
            <w:tcW w:w="62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298,000</w:t>
            </w:r>
          </w:p>
        </w:tc>
        <w:tc>
          <w:tcPr>
            <w:tcW w:w="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88 %</w:t>
            </w:r>
          </w:p>
        </w:tc>
        <w:tc>
          <w:tcPr>
            <w:tcW w:w="8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$32.74</w:t>
            </w:r>
          </w:p>
        </w:tc>
        <w:tc>
          <w:tcPr>
            <w:tcW w:w="660" w:type="dxa"/>
            <w:vAlign w:val="bottom"/>
          </w:tcPr>
          <w:p>
            <w:pPr>
              <w:spacing w:after="0"/>
              <w:rPr>
                <w:sz w:val="12"/>
                <w:szCs w:val="12"/>
                <w:color w:val="auto"/>
              </w:rPr>
            </w:pPr>
          </w:p>
        </w:tc>
        <w:tc>
          <w:tcPr>
            <w:tcW w:w="5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79,000</w:t>
            </w:r>
          </w:p>
        </w:tc>
        <w:tc>
          <w:tcPr>
            <w:tcW w:w="106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Harris Teeter /</w:t>
            </w:r>
          </w:p>
        </w:tc>
        <w:tc>
          <w:tcPr>
            <w:tcW w:w="22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TJ Maxx / Ulta / Walgreens / DSW</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Alexandria, DC-VA-MD-</w:t>
            </w: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Target</w:t>
            </w: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WV</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Wildwood</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28,542</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88,000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$106.73</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20,000</w:t>
            </w:r>
          </w:p>
        </w:tc>
        <w:tc>
          <w:tcPr>
            <w:tcW w:w="10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Balducci's</w:t>
            </w:r>
          </w:p>
        </w:tc>
        <w:tc>
          <w:tcPr>
            <w:tcW w:w="22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CVS / Multiple Restaurants</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Alexandria, DC-VA-MD-</w:t>
            </w:r>
          </w:p>
        </w:tc>
        <w:tc>
          <w:tcPr>
            <w:tcW w:w="6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WV</w:t>
            </w:r>
          </w:p>
        </w:tc>
        <w:tc>
          <w:tcPr>
            <w:tcW w:w="6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2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00" w:type="dxa"/>
            <w:vAlign w:val="bottom"/>
            <w:gridSpan w:val="4"/>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9"/>
              </w:rPr>
              <w:t>Total Washington Metropolitan Area</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2,627,632</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100" w:type="dxa"/>
            <w:vAlign w:val="bottom"/>
          </w:tcPr>
          <w:p>
            <w:pPr>
              <w:spacing w:after="0"/>
              <w:rPr>
                <w:sz w:val="14"/>
                <w:szCs w:val="14"/>
                <w:color w:val="auto"/>
              </w:rPr>
            </w:pPr>
          </w:p>
        </w:tc>
        <w:tc>
          <w:tcPr>
            <w:tcW w:w="62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9"/>
              </w:rPr>
              <w:t>6,368,000</w:t>
            </w:r>
          </w:p>
        </w:tc>
        <w:tc>
          <w:tcPr>
            <w:tcW w:w="8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8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93 %</w:t>
            </w:r>
          </w:p>
        </w:tc>
        <w:tc>
          <w:tcPr>
            <w:tcW w:w="8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$36.88</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NY Metro/New Jersey</w:t>
            </w:r>
          </w:p>
        </w:tc>
        <w:tc>
          <w:tcPr>
            <w:tcW w:w="1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Brick Plaza</w:t>
            </w:r>
          </w:p>
        </w:tc>
        <w:tc>
          <w:tcPr>
            <w:tcW w:w="400" w:type="dxa"/>
            <w:vAlign w:val="bottom"/>
            <w:gridSpan w:val="2"/>
            <w:shd w:val="clear" w:color="auto" w:fill="CCEEFF"/>
          </w:tcPr>
          <w:p>
            <w:pPr>
              <w:jc w:val="center"/>
              <w:ind w:right="20"/>
              <w:spacing w:after="0" w:line="122" w:lineRule="exact"/>
              <w:rPr>
                <w:sz w:val="20"/>
                <w:szCs w:val="20"/>
                <w:color w:val="auto"/>
              </w:rPr>
            </w:pPr>
            <w:r>
              <w:rPr>
                <w:rFonts w:ascii="Times New Roman" w:cs="Times New Roman" w:eastAsia="Times New Roman" w:hAnsi="Times New Roman"/>
                <w:sz w:val="13"/>
                <w:szCs w:val="13"/>
                <w:color w:val="auto"/>
                <w:w w:val="92"/>
              </w:rPr>
              <w:t>(5)</w:t>
            </w:r>
          </w:p>
        </w:tc>
        <w:tc>
          <w:tcPr>
            <w:tcW w:w="14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New York-Newark-Jersey</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107,301</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407,000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$22.39</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14,000</w:t>
            </w:r>
          </w:p>
        </w:tc>
        <w:tc>
          <w:tcPr>
            <w:tcW w:w="10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2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AMC / HomeGoods / Ulta / Burlington</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City, NY-NJ-PA</w:t>
            </w:r>
          </w:p>
        </w:tc>
        <w:tc>
          <w:tcPr>
            <w:tcW w:w="6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22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Brook 35</w:t>
            </w:r>
          </w:p>
        </w:tc>
        <w:tc>
          <w:tcPr>
            <w:tcW w:w="4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color w:val="auto"/>
                <w:w w:val="95"/>
              </w:rPr>
              <w:t>(4) (6)</w:t>
            </w:r>
          </w:p>
        </w:tc>
        <w:tc>
          <w:tcPr>
            <w:tcW w:w="14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New York-Newark-Jersey</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51,476</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98,000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89 %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89 %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$39.97</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2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Banana Republic / Gap / Williams-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City, NY-NJ-PA</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Sonoma</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Darien Commons</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Bridgeport-Stamford-</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148,937</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99,000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$46.87</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124</w:t>
            </w:r>
          </w:p>
        </w:tc>
        <w:tc>
          <w:tcPr>
            <w:tcW w:w="5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2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Equinox / Walgreens / Multiple</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Norwalk, CT</w:t>
            </w:r>
          </w:p>
        </w:tc>
        <w:tc>
          <w:tcPr>
            <w:tcW w:w="6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2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Restaurants</w:t>
            </w:r>
          </w:p>
        </w:tc>
        <w:tc>
          <w:tcPr>
            <w:tcW w:w="0" w:type="dxa"/>
            <w:vAlign w:val="bottom"/>
          </w:tcPr>
          <w:p>
            <w:pPr>
              <w:spacing w:after="0"/>
              <w:rPr>
                <w:sz w:val="1"/>
                <w:szCs w:val="1"/>
                <w:color w:val="auto"/>
              </w:rPr>
            </w:pPr>
          </w:p>
        </w:tc>
      </w:tr>
      <w:tr>
        <w:trPr>
          <w:trHeight w:val="122"/>
        </w:trPr>
        <w:tc>
          <w:tcPr>
            <w:tcW w:w="10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Fresh Meadows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New York-Newark-Jersey</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96,597</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408,000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$39.96</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32,000</w:t>
            </w:r>
          </w:p>
        </w:tc>
        <w:tc>
          <w:tcPr>
            <w:tcW w:w="10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Island of Gold /</w:t>
            </w:r>
          </w:p>
        </w:tc>
        <w:tc>
          <w:tcPr>
            <w:tcW w:w="222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AMC / Kohl's / Planet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City, NY-NJ-PA</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TBA</w:t>
            </w: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Georgetowne</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New York-Newark-Jersey</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86,554</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147,000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$42.72</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43,000</w:t>
            </w:r>
          </w:p>
        </w:tc>
        <w:tc>
          <w:tcPr>
            <w:tcW w:w="10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Foodway</w:t>
            </w:r>
          </w:p>
        </w:tc>
        <w:tc>
          <w:tcPr>
            <w:tcW w:w="22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Five Below / IHOP</w:t>
            </w:r>
          </w:p>
        </w:tc>
        <w:tc>
          <w:tcPr>
            <w:tcW w:w="0" w:type="dxa"/>
            <w:vAlign w:val="bottom"/>
          </w:tcPr>
          <w:p>
            <w:pPr>
              <w:spacing w:after="0"/>
              <w:rPr>
                <w:sz w:val="1"/>
                <w:szCs w:val="1"/>
                <w:color w:val="auto"/>
              </w:rPr>
            </w:pPr>
          </w:p>
        </w:tc>
      </w:tr>
      <w:tr>
        <w:trPr>
          <w:trHeight w:val="169"/>
        </w:trPr>
        <w:tc>
          <w:tcPr>
            <w:tcW w:w="10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Shopping Center</w:t>
            </w: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City, NY-NJ-PA</w:t>
            </w:r>
          </w:p>
        </w:tc>
        <w:tc>
          <w:tcPr>
            <w:tcW w:w="6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22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Greenlawn Plaza</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New York-Newark-Jersey</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33,835</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103,000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79 %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76 %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$19.14</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46,000</w:t>
            </w:r>
          </w:p>
        </w:tc>
        <w:tc>
          <w:tcPr>
            <w:tcW w:w="10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Greenlawn Farms</w:t>
            </w:r>
          </w:p>
        </w:tc>
        <w:tc>
          <w:tcPr>
            <w:tcW w:w="222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Planet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City, NY-NJ-PA</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Greenwich Avenue</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Bridgeport-Stamford-</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23,748</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35,000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$96.19</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2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Saks Fifth Avenue</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Norwalk, CT</w:t>
            </w:r>
          </w:p>
        </w:tc>
        <w:tc>
          <w:tcPr>
            <w:tcW w:w="6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22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Hauppauge</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New York-Newark-Jersey</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39,331</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134,000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$26.83</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61,000</w:t>
            </w:r>
          </w:p>
        </w:tc>
        <w:tc>
          <w:tcPr>
            <w:tcW w:w="10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Shop Rite</w:t>
            </w:r>
          </w:p>
        </w:tc>
        <w:tc>
          <w:tcPr>
            <w:tcW w:w="222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TJ Maxx / Five Below</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City, NY-NJ-PA</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Hoboken</w:t>
            </w:r>
          </w:p>
        </w:tc>
        <w:tc>
          <w:tcPr>
            <w:tcW w:w="400" w:type="dxa"/>
            <w:vAlign w:val="bottom"/>
            <w:gridSpan w:val="2"/>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5"/>
              </w:rPr>
              <w:t>(4) (7)</w:t>
            </w:r>
          </w:p>
        </w:tc>
        <w:tc>
          <w:tcPr>
            <w:tcW w:w="14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New York-Newark-Jersey</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228,281</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171,000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$58.81</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129</w:t>
            </w:r>
          </w:p>
        </w:tc>
        <w:tc>
          <w:tcPr>
            <w:tcW w:w="5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2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w w:val="96"/>
              </w:rPr>
              <w:t>Nike Live / CVS / New York Sports Club</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City, NY-NJ-PA</w:t>
            </w:r>
          </w:p>
        </w:tc>
        <w:tc>
          <w:tcPr>
            <w:tcW w:w="6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2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Sephora / Multiple Restaurants</w:t>
            </w:r>
          </w:p>
        </w:tc>
        <w:tc>
          <w:tcPr>
            <w:tcW w:w="0" w:type="dxa"/>
            <w:vAlign w:val="bottom"/>
          </w:tcPr>
          <w:p>
            <w:pPr>
              <w:spacing w:after="0"/>
              <w:rPr>
                <w:sz w:val="1"/>
                <w:szCs w:val="1"/>
                <w:color w:val="auto"/>
              </w:rPr>
            </w:pPr>
          </w:p>
        </w:tc>
      </w:tr>
      <w:tr>
        <w:trPr>
          <w:trHeight w:val="122"/>
        </w:trPr>
        <w:tc>
          <w:tcPr>
            <w:tcW w:w="10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Huntington</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New York-Newark-Jersey</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105,811</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138,000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$34.47</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TBA</w:t>
            </w:r>
          </w:p>
        </w:tc>
        <w:tc>
          <w:tcPr>
            <w:tcW w:w="222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Petsmart / Michaels / REI / Ulta</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City, NY-NJ-PA</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Huntington Square</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New York-Newark-Jersey</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50,677</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243,000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$22.82</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Stop &amp; Shop (S)</w:t>
            </w:r>
          </w:p>
        </w:tc>
        <w:tc>
          <w:tcPr>
            <w:tcW w:w="22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Barnes &amp; Noble / At Home / AMC</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City, NY-NJ-PA</w:t>
            </w:r>
          </w:p>
        </w:tc>
        <w:tc>
          <w:tcPr>
            <w:tcW w:w="6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22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Melville Mall</w:t>
            </w:r>
          </w:p>
        </w:tc>
        <w:tc>
          <w:tcPr>
            <w:tcW w:w="400" w:type="dxa"/>
            <w:vAlign w:val="bottom"/>
            <w:gridSpan w:val="2"/>
          </w:tcPr>
          <w:p>
            <w:pPr>
              <w:jc w:val="center"/>
              <w:ind w:right="20"/>
              <w:spacing w:after="0" w:line="122" w:lineRule="exact"/>
              <w:rPr>
                <w:sz w:val="20"/>
                <w:szCs w:val="20"/>
                <w:color w:val="auto"/>
              </w:rPr>
            </w:pPr>
            <w:r>
              <w:rPr>
                <w:rFonts w:ascii="Times New Roman" w:cs="Times New Roman" w:eastAsia="Times New Roman" w:hAnsi="Times New Roman"/>
                <w:sz w:val="13"/>
                <w:szCs w:val="13"/>
                <w:color w:val="auto"/>
                <w:w w:val="92"/>
              </w:rPr>
              <w:t>(5)</w:t>
            </w:r>
          </w:p>
        </w:tc>
        <w:tc>
          <w:tcPr>
            <w:tcW w:w="14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New York-Newark-Jersey</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105,142</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253,000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$29.83</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53,000</w:t>
            </w:r>
          </w:p>
        </w:tc>
        <w:tc>
          <w:tcPr>
            <w:tcW w:w="10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Uncle Giuseppe's</w:t>
            </w:r>
          </w:p>
        </w:tc>
        <w:tc>
          <w:tcPr>
            <w:tcW w:w="222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Marshalls / Dick's Sporting Goods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City, NY-NJ-PA</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Marketplace</w:t>
            </w:r>
          </w:p>
        </w:tc>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Macy's Backstage / Public Lands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Mercer on One</w:t>
            </w:r>
          </w:p>
        </w:tc>
        <w:tc>
          <w:tcPr>
            <w:tcW w:w="400" w:type="dxa"/>
            <w:vAlign w:val="bottom"/>
            <w:gridSpan w:val="2"/>
            <w:shd w:val="clear" w:color="auto" w:fill="CCEEFF"/>
          </w:tcPr>
          <w:p>
            <w:pPr>
              <w:jc w:val="center"/>
              <w:ind w:right="20"/>
              <w:spacing w:after="0" w:line="122" w:lineRule="exact"/>
              <w:rPr>
                <w:sz w:val="20"/>
                <w:szCs w:val="20"/>
                <w:color w:val="auto"/>
              </w:rPr>
            </w:pPr>
            <w:r>
              <w:rPr>
                <w:rFonts w:ascii="Times New Roman" w:cs="Times New Roman" w:eastAsia="Times New Roman" w:hAnsi="Times New Roman"/>
                <w:sz w:val="13"/>
                <w:szCs w:val="13"/>
                <w:color w:val="auto"/>
                <w:w w:val="92"/>
              </w:rPr>
              <w:t>(5)</w:t>
            </w:r>
          </w:p>
        </w:tc>
        <w:tc>
          <w:tcPr>
            <w:tcW w:w="14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Trenton, NJ</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116,427</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551,000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88 %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$27.13</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75,000</w:t>
            </w:r>
          </w:p>
        </w:tc>
        <w:tc>
          <w:tcPr>
            <w:tcW w:w="10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Shop Rite</w:t>
            </w:r>
          </w:p>
        </w:tc>
        <w:tc>
          <w:tcPr>
            <w:tcW w:w="22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Nike / Ross Dress for Less / Nordstrom</w:t>
            </w:r>
          </w:p>
        </w:tc>
        <w:tc>
          <w:tcPr>
            <w:tcW w:w="0" w:type="dxa"/>
            <w:vAlign w:val="bottom"/>
          </w:tcPr>
          <w:p>
            <w:pPr>
              <w:spacing w:after="0"/>
              <w:rPr>
                <w:sz w:val="1"/>
                <w:szCs w:val="1"/>
                <w:color w:val="auto"/>
              </w:rPr>
            </w:pPr>
          </w:p>
        </w:tc>
      </w:tr>
      <w:tr>
        <w:trPr>
          <w:trHeight w:val="121"/>
        </w:trPr>
        <w:tc>
          <w:tcPr>
            <w:tcW w:w="10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(formerly Mercer</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2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Rack / REI / Tesla</w:t>
            </w:r>
          </w:p>
        </w:tc>
        <w:tc>
          <w:tcPr>
            <w:tcW w:w="0" w:type="dxa"/>
            <w:vAlign w:val="bottom"/>
          </w:tcPr>
          <w:p>
            <w:pPr>
              <w:spacing w:after="0"/>
              <w:rPr>
                <w:sz w:val="1"/>
                <w:szCs w:val="1"/>
                <w:color w:val="auto"/>
              </w:rPr>
            </w:pPr>
          </w:p>
        </w:tc>
      </w:tr>
      <w:tr>
        <w:trPr>
          <w:trHeight w:val="169"/>
        </w:trPr>
        <w:tc>
          <w:tcPr>
            <w:tcW w:w="10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Mall)</w:t>
            </w: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22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The Grove at</w:t>
            </w:r>
          </w:p>
        </w:tc>
        <w:tc>
          <w:tcPr>
            <w:tcW w:w="4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color w:val="auto"/>
                <w:w w:val="95"/>
              </w:rPr>
              <w:t>(4) (6)</w:t>
            </w:r>
          </w:p>
        </w:tc>
        <w:tc>
          <w:tcPr>
            <w:tcW w:w="14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New York-Newark-Jersey</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131,712</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193,000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$50.98</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2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Lululemon / Anthropologie / Pottery</w:t>
            </w:r>
          </w:p>
        </w:tc>
        <w:tc>
          <w:tcPr>
            <w:tcW w:w="0" w:type="dxa"/>
            <w:vAlign w:val="bottom"/>
          </w:tcPr>
          <w:p>
            <w:pPr>
              <w:spacing w:after="0"/>
              <w:rPr>
                <w:sz w:val="1"/>
                <w:szCs w:val="1"/>
                <w:color w:val="auto"/>
              </w:rPr>
            </w:pPr>
          </w:p>
        </w:tc>
      </w:tr>
      <w:tr>
        <w:trPr>
          <w:trHeight w:val="164"/>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Shrewsbury</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City, NY-NJ-PA</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Barn / Williams-Sonoma</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Troy Hills</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New York-Newark-Jersey</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41,369</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210,000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$23.07</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65,000</w:t>
            </w:r>
          </w:p>
        </w:tc>
        <w:tc>
          <w:tcPr>
            <w:tcW w:w="10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Target</w:t>
            </w:r>
          </w:p>
        </w:tc>
        <w:tc>
          <w:tcPr>
            <w:tcW w:w="22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L.A. Fitness / Michaels</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City, NY-NJ-PA</w:t>
            </w:r>
          </w:p>
        </w:tc>
        <w:tc>
          <w:tcPr>
            <w:tcW w:w="6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2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83"/>
              </w:rPr>
              <w:t>Total NY Metro/New</w:t>
            </w:r>
            <w:r>
              <w:rPr>
                <w:rFonts w:ascii="Times New Roman" w:cs="Times New Roman" w:eastAsia="Times New Roman" w:hAnsi="Times New Roman"/>
                <w:sz w:val="25"/>
                <w:szCs w:val="25"/>
                <w:b w:val="1"/>
                <w:bCs w:val="1"/>
                <w:color w:val="auto"/>
                <w:w w:val="83"/>
                <w:vertAlign w:val="subscript"/>
              </w:rPr>
              <w:t>Jersey</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1,367,198</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00" w:type="dxa"/>
            <w:vAlign w:val="bottom"/>
          </w:tcPr>
          <w:p>
            <w:pPr>
              <w:spacing w:after="0"/>
              <w:rPr>
                <w:sz w:val="24"/>
                <w:szCs w:val="24"/>
                <w:color w:val="auto"/>
              </w:rPr>
            </w:pPr>
          </w:p>
        </w:tc>
        <w:tc>
          <w:tcPr>
            <w:tcW w:w="62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9"/>
              </w:rPr>
              <w:t>3,190,000</w:t>
            </w:r>
          </w:p>
        </w:tc>
        <w:tc>
          <w:tcPr>
            <w:tcW w:w="80" w:type="dxa"/>
            <w:vAlign w:val="bottom"/>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80" w:type="dxa"/>
            <w:vAlign w:val="bottom"/>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93 %</w:t>
            </w:r>
          </w:p>
        </w:tc>
        <w:tc>
          <w:tcPr>
            <w:tcW w:w="80" w:type="dxa"/>
            <w:vAlign w:val="bottom"/>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$33.62</w:t>
            </w: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New England</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Assembly Row /</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Boston-Cambridge-</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1,128,962</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w w:val="99"/>
              </w:rPr>
              <w:t>1,212,000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$39.63</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947</w:t>
            </w: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18,000</w:t>
            </w:r>
          </w:p>
        </w:tc>
        <w:tc>
          <w:tcPr>
            <w:tcW w:w="106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2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TJ Maxx / AMC / Nike / Multiple</w:t>
            </w:r>
          </w:p>
        </w:tc>
        <w:tc>
          <w:tcPr>
            <w:tcW w:w="0" w:type="dxa"/>
            <w:vAlign w:val="bottom"/>
          </w:tcPr>
          <w:p>
            <w:pPr>
              <w:spacing w:after="0"/>
              <w:rPr>
                <w:sz w:val="1"/>
                <w:szCs w:val="1"/>
                <w:color w:val="auto"/>
              </w:rPr>
            </w:pPr>
          </w:p>
        </w:tc>
      </w:tr>
      <w:tr>
        <w:trPr>
          <w:trHeight w:val="121"/>
        </w:trPr>
        <w:tc>
          <w:tcPr>
            <w:tcW w:w="10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Assembly Square</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Newton, MA-NH</w:t>
            </w:r>
          </w:p>
        </w:tc>
        <w:tc>
          <w:tcPr>
            <w:tcW w:w="6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2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Restaurants</w:t>
            </w:r>
          </w:p>
        </w:tc>
        <w:tc>
          <w:tcPr>
            <w:tcW w:w="0" w:type="dxa"/>
            <w:vAlign w:val="bottom"/>
          </w:tcPr>
          <w:p>
            <w:pPr>
              <w:spacing w:after="0"/>
              <w:rPr>
                <w:sz w:val="1"/>
                <w:szCs w:val="1"/>
                <w:color w:val="auto"/>
              </w:rPr>
            </w:pPr>
          </w:p>
        </w:tc>
      </w:tr>
      <w:tr>
        <w:trPr>
          <w:trHeight w:val="169"/>
        </w:trPr>
        <w:tc>
          <w:tcPr>
            <w:tcW w:w="10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Marketplace</w:t>
            </w: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22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Campus Plaza</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Boston-Cambridge-</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31,132</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114,000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$17.94</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46,000</w:t>
            </w:r>
          </w:p>
        </w:tc>
        <w:tc>
          <w:tcPr>
            <w:tcW w:w="10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Roche Bros.</w:t>
            </w:r>
          </w:p>
        </w:tc>
        <w:tc>
          <w:tcPr>
            <w:tcW w:w="222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Burlington / Five Below</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Newton, MA-NH</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Chelsea Commons</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Boston-Cambridge-</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38,106</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230,000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$14.79</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2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Home Depot / Planet Fitness / CVS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Newton, MA-NH</w:t>
            </w:r>
          </w:p>
        </w:tc>
        <w:tc>
          <w:tcPr>
            <w:tcW w:w="6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2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Burlington</w:t>
            </w:r>
          </w:p>
        </w:tc>
        <w:tc>
          <w:tcPr>
            <w:tcW w:w="0" w:type="dxa"/>
            <w:vAlign w:val="bottom"/>
          </w:tcPr>
          <w:p>
            <w:pPr>
              <w:spacing w:after="0"/>
              <w:rPr>
                <w:sz w:val="1"/>
                <w:szCs w:val="1"/>
                <w:color w:val="auto"/>
              </w:rPr>
            </w:pPr>
          </w:p>
        </w:tc>
      </w:tr>
      <w:tr>
        <w:trPr>
          <w:trHeight w:val="122"/>
        </w:trPr>
        <w:tc>
          <w:tcPr>
            <w:tcW w:w="10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Dedham Plaza</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Boston-Cambridge-</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52,156</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253,000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$22.39</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80,000</w:t>
            </w:r>
          </w:p>
        </w:tc>
        <w:tc>
          <w:tcPr>
            <w:tcW w:w="10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Star Market</w:t>
            </w:r>
          </w:p>
        </w:tc>
        <w:tc>
          <w:tcPr>
            <w:tcW w:w="222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Planet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Newton, MA-NH</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40" w:top="1028" w:right="33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Real Estate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820" w:type="dxa"/>
            <w:vAlign w:val="bottom"/>
            <w:vMerge w:val="restart"/>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Grocery</w:t>
            </w: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Grocery Anchor</w:t>
            </w: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b w:val="1"/>
                <w:bCs w:val="1"/>
                <w:color w:val="auto"/>
              </w:rPr>
              <w:t>Rent</w:t>
            </w:r>
          </w:p>
        </w:tc>
        <w:tc>
          <w:tcPr>
            <w:tcW w:w="66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1120" w:type="dxa"/>
            <w:vAlign w:val="bottom"/>
            <w:vMerge w:val="continue"/>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3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w:t>
            </w: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GLA (1)</w:t>
            </w:r>
          </w:p>
        </w:tc>
        <w:tc>
          <w:tcPr>
            <w:tcW w:w="5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w:t>
            </w: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Occupied(1)</w:t>
            </w: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PSF (2)</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1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(3)</w:t>
            </w:r>
          </w:p>
        </w:tc>
        <w:tc>
          <w:tcPr>
            <w:tcW w:w="2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(in</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thousands)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Linden Square</w:t>
            </w:r>
          </w:p>
        </w:tc>
        <w:tc>
          <w:tcPr>
            <w:tcW w:w="3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Boston-Cambridge-</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158,316</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224,000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$50.81</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7</w:t>
            </w: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50,000</w:t>
            </w:r>
          </w:p>
        </w:tc>
        <w:tc>
          <w:tcPr>
            <w:tcW w:w="11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Roche Bros.</w:t>
            </w:r>
          </w:p>
        </w:tc>
        <w:tc>
          <w:tcPr>
            <w:tcW w:w="21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Multiple Restaurants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Newton, MA-NH</w:t>
            </w:r>
          </w:p>
        </w:tc>
        <w:tc>
          <w:tcPr>
            <w:tcW w:w="6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4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North Dartmouth</w:t>
            </w:r>
          </w:p>
        </w:tc>
        <w:tc>
          <w:tcPr>
            <w:tcW w:w="380" w:type="dxa"/>
            <w:vAlign w:val="bottom"/>
          </w:tcPr>
          <w:p>
            <w:pPr>
              <w:spacing w:after="0"/>
              <w:rPr>
                <w:sz w:val="10"/>
                <w:szCs w:val="10"/>
                <w:color w:val="auto"/>
              </w:rPr>
            </w:pPr>
          </w:p>
        </w:tc>
        <w:tc>
          <w:tcPr>
            <w:tcW w:w="142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Providence-Warwick, RI-</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9,369</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48,000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$17.22</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48,000</w:t>
            </w:r>
          </w:p>
        </w:tc>
        <w:tc>
          <w:tcPr>
            <w:tcW w:w="11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Stop &amp; Shop</w:t>
            </w: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MA</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Queen Anne Plaza</w:t>
            </w:r>
          </w:p>
        </w:tc>
        <w:tc>
          <w:tcPr>
            <w:tcW w:w="3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Boston-Cambridge-</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19,662</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149,000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$20.55</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50,000</w:t>
            </w:r>
          </w:p>
        </w:tc>
        <w:tc>
          <w:tcPr>
            <w:tcW w:w="11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Big Y Foods</w:t>
            </w:r>
          </w:p>
        </w:tc>
        <w:tc>
          <w:tcPr>
            <w:tcW w:w="21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HomeGoods</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Newton, MA-NH</w:t>
            </w:r>
          </w:p>
        </w:tc>
        <w:tc>
          <w:tcPr>
            <w:tcW w:w="6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3"/>
                <w:szCs w:val="13"/>
                <w:b w:val="1"/>
                <w:bCs w:val="1"/>
                <w:color w:val="auto"/>
              </w:rPr>
              <w:t>Total New England</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1,437,703</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tcPr>
          <w:p>
            <w:pPr>
              <w:spacing w:after="0"/>
              <w:rPr>
                <w:sz w:val="14"/>
                <w:szCs w:val="14"/>
                <w:color w:val="auto"/>
              </w:rPr>
            </w:pPr>
          </w:p>
        </w:tc>
        <w:tc>
          <w:tcPr>
            <w:tcW w:w="62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9"/>
              </w:rPr>
              <w:t>2,230,000</w:t>
            </w:r>
          </w:p>
        </w:tc>
        <w:tc>
          <w:tcPr>
            <w:tcW w:w="8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8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80" w:type="dxa"/>
            <w:vAlign w:val="bottom"/>
          </w:tcPr>
          <w:p>
            <w:pPr>
              <w:spacing w:after="0"/>
              <w:rPr>
                <w:sz w:val="14"/>
                <w:szCs w:val="14"/>
                <w:color w:val="auto"/>
              </w:rPr>
            </w:pPr>
          </w:p>
        </w:tc>
        <w:tc>
          <w:tcPr>
            <w:tcW w:w="5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$33.17</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gridSpan w:val="3"/>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gridSpan w:val="6"/>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Philadelphia Metropolitan Area</w:t>
            </w: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Andorra</w:t>
            </w:r>
          </w:p>
        </w:tc>
        <w:tc>
          <w:tcPr>
            <w:tcW w:w="3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33,981</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270,000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87 %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86 %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$14.99</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24,000</w:t>
            </w:r>
          </w:p>
        </w:tc>
        <w:tc>
          <w:tcPr>
            <w:tcW w:w="11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Acme Markets</w:t>
            </w:r>
          </w:p>
        </w:tc>
        <w:tc>
          <w:tcPr>
            <w:tcW w:w="21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Kohl's / L.A. Fitness / Five</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Wilmington, PA-NJ-DE-</w:t>
            </w:r>
          </w:p>
        </w:tc>
        <w:tc>
          <w:tcPr>
            <w:tcW w:w="6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1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Below</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t>
            </w:r>
          </w:p>
        </w:tc>
        <w:tc>
          <w:tcPr>
            <w:tcW w:w="6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4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Bala Cynwyd</w:t>
            </w:r>
          </w:p>
        </w:tc>
        <w:tc>
          <w:tcPr>
            <w:tcW w:w="380" w:type="dxa"/>
            <w:vAlign w:val="bottom"/>
          </w:tcPr>
          <w:p>
            <w:pPr>
              <w:spacing w:after="0"/>
              <w:rPr>
                <w:sz w:val="10"/>
                <w:szCs w:val="10"/>
                <w:color w:val="auto"/>
              </w:rPr>
            </w:pPr>
          </w:p>
        </w:tc>
        <w:tc>
          <w:tcPr>
            <w:tcW w:w="142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76,829</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174,000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$37.04</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87</w:t>
            </w: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45,000</w:t>
            </w:r>
          </w:p>
        </w:tc>
        <w:tc>
          <w:tcPr>
            <w:tcW w:w="11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Acme Markets</w:t>
            </w:r>
          </w:p>
        </w:tc>
        <w:tc>
          <w:tcPr>
            <w:tcW w:w="21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Michaels / L.A. Fitness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2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Wilmington, PA-NJ-DE-</w:t>
            </w: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MD</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Ellisburg</w:t>
            </w:r>
          </w:p>
        </w:tc>
        <w:tc>
          <w:tcPr>
            <w:tcW w:w="3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38,664</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260,000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$17.83</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47,000</w:t>
            </w:r>
          </w:p>
        </w:tc>
        <w:tc>
          <w:tcPr>
            <w:tcW w:w="11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Whole Foods</w:t>
            </w:r>
          </w:p>
        </w:tc>
        <w:tc>
          <w:tcPr>
            <w:tcW w:w="21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9"/>
              </w:rPr>
              <w:t>Five Below / RH Outlet / Buy Buy Baby</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Wilmington, PA-NJ-DE-</w:t>
            </w:r>
          </w:p>
        </w:tc>
        <w:tc>
          <w:tcPr>
            <w:tcW w:w="6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t>
            </w:r>
          </w:p>
        </w:tc>
        <w:tc>
          <w:tcPr>
            <w:tcW w:w="6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Flourtown</w:t>
            </w:r>
          </w:p>
        </w:tc>
        <w:tc>
          <w:tcPr>
            <w:tcW w:w="380" w:type="dxa"/>
            <w:vAlign w:val="bottom"/>
          </w:tcPr>
          <w:p>
            <w:pPr>
              <w:spacing w:after="0"/>
              <w:rPr>
                <w:sz w:val="10"/>
                <w:szCs w:val="10"/>
                <w:color w:val="auto"/>
              </w:rPr>
            </w:pPr>
          </w:p>
        </w:tc>
        <w:tc>
          <w:tcPr>
            <w:tcW w:w="142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19,653</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158,000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$22.42</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75,000</w:t>
            </w:r>
          </w:p>
        </w:tc>
        <w:tc>
          <w:tcPr>
            <w:tcW w:w="11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1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Movie Tavern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2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Wilmington, PA-NJ-DE-</w:t>
            </w: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MD</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Langhorne Square</w:t>
            </w:r>
          </w:p>
        </w:tc>
        <w:tc>
          <w:tcPr>
            <w:tcW w:w="3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24,958</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223,000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$18.89</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55,000</w:t>
            </w:r>
          </w:p>
        </w:tc>
        <w:tc>
          <w:tcPr>
            <w:tcW w:w="11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7"/>
              </w:rPr>
              <w:t>Redner's Warehouse</w:t>
            </w:r>
          </w:p>
        </w:tc>
        <w:tc>
          <w:tcPr>
            <w:tcW w:w="21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Planet Fitness</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Wilmington, PA-NJ-DE-</w:t>
            </w:r>
          </w:p>
        </w:tc>
        <w:tc>
          <w:tcPr>
            <w:tcW w:w="6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Markets</w:t>
            </w:r>
          </w:p>
        </w:tc>
        <w:tc>
          <w:tcPr>
            <w:tcW w:w="2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t>
            </w:r>
          </w:p>
        </w:tc>
        <w:tc>
          <w:tcPr>
            <w:tcW w:w="6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Lawrence Park</w:t>
            </w:r>
          </w:p>
        </w:tc>
        <w:tc>
          <w:tcPr>
            <w:tcW w:w="380" w:type="dxa"/>
            <w:vAlign w:val="bottom"/>
          </w:tcPr>
          <w:p>
            <w:pPr>
              <w:spacing w:after="0"/>
              <w:rPr>
                <w:sz w:val="10"/>
                <w:szCs w:val="10"/>
                <w:color w:val="auto"/>
              </w:rPr>
            </w:pPr>
          </w:p>
        </w:tc>
        <w:tc>
          <w:tcPr>
            <w:tcW w:w="142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64,945</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357,000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$24.39</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53,000</w:t>
            </w:r>
          </w:p>
        </w:tc>
        <w:tc>
          <w:tcPr>
            <w:tcW w:w="11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Acme Markets</w:t>
            </w:r>
          </w:p>
        </w:tc>
        <w:tc>
          <w:tcPr>
            <w:tcW w:w="21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HomeGoods / Barnes &amp;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2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Wilmington, PA-NJ-DE-</w:t>
            </w: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1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Noble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MD</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Northeast</w:t>
            </w:r>
          </w:p>
        </w:tc>
        <w:tc>
          <w:tcPr>
            <w:tcW w:w="3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35,658</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214,000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81 %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81 %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$22.61</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Lidl (S)</w:t>
            </w:r>
          </w:p>
        </w:tc>
        <w:tc>
          <w:tcPr>
            <w:tcW w:w="21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Ulta / Skechers / Crunch</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Wilmington, PA-NJ-DE-</w:t>
            </w:r>
          </w:p>
        </w:tc>
        <w:tc>
          <w:tcPr>
            <w:tcW w:w="6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1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Fitness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t>
            </w:r>
          </w:p>
        </w:tc>
        <w:tc>
          <w:tcPr>
            <w:tcW w:w="6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4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Willow Grove</w:t>
            </w:r>
          </w:p>
        </w:tc>
        <w:tc>
          <w:tcPr>
            <w:tcW w:w="380" w:type="dxa"/>
            <w:vAlign w:val="bottom"/>
          </w:tcPr>
          <w:p>
            <w:pPr>
              <w:spacing w:after="0"/>
              <w:rPr>
                <w:sz w:val="10"/>
                <w:szCs w:val="10"/>
                <w:color w:val="auto"/>
              </w:rPr>
            </w:pPr>
          </w:p>
        </w:tc>
        <w:tc>
          <w:tcPr>
            <w:tcW w:w="142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49,980</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85,000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$24.20</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31,000</w:t>
            </w:r>
          </w:p>
        </w:tc>
        <w:tc>
          <w:tcPr>
            <w:tcW w:w="11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TBA</w:t>
            </w:r>
          </w:p>
        </w:tc>
        <w:tc>
          <w:tcPr>
            <w:tcW w:w="21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Five Below</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2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Wilmington, PA-NJ-DE-</w:t>
            </w: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MD</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Wynnewood</w:t>
            </w:r>
          </w:p>
        </w:tc>
        <w:tc>
          <w:tcPr>
            <w:tcW w:w="3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44,383</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246,000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76 %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73 %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$32.09</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9</w:t>
            </w: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98,000</w:t>
            </w:r>
          </w:p>
        </w:tc>
        <w:tc>
          <w:tcPr>
            <w:tcW w:w="11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1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Old Navy / DSW</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Wilmington, PA-NJ-DE-</w:t>
            </w:r>
          </w:p>
        </w:tc>
        <w:tc>
          <w:tcPr>
            <w:tcW w:w="6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t>
            </w:r>
          </w:p>
        </w:tc>
        <w:tc>
          <w:tcPr>
            <w:tcW w:w="6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20" w:type="dxa"/>
            <w:vAlign w:val="bottom"/>
            <w:gridSpan w:val="5"/>
          </w:tcPr>
          <w:p>
            <w:pPr>
              <w:jc w:val="right"/>
              <w:ind w:right="20"/>
              <w:spacing w:after="0" w:line="146" w:lineRule="exact"/>
              <w:rPr>
                <w:sz w:val="20"/>
                <w:szCs w:val="20"/>
                <w:color w:val="auto"/>
              </w:rPr>
            </w:pPr>
            <w:r>
              <w:rPr>
                <w:rFonts w:ascii="Times New Roman" w:cs="Times New Roman" w:eastAsia="Times New Roman" w:hAnsi="Times New Roman"/>
                <w:sz w:val="13"/>
                <w:szCs w:val="13"/>
                <w:b w:val="1"/>
                <w:bCs w:val="1"/>
                <w:color w:val="auto"/>
              </w:rPr>
              <w:t>Total Philadelphia Metropolitan Area</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389,051</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00" w:type="dxa"/>
            <w:vAlign w:val="bottom"/>
          </w:tcPr>
          <w:p>
            <w:pPr>
              <w:spacing w:after="0"/>
              <w:rPr>
                <w:sz w:val="14"/>
                <w:szCs w:val="14"/>
                <w:color w:val="auto"/>
              </w:rPr>
            </w:pPr>
          </w:p>
        </w:tc>
        <w:tc>
          <w:tcPr>
            <w:tcW w:w="62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9"/>
              </w:rPr>
              <w:t>1,987,000</w:t>
            </w:r>
          </w:p>
        </w:tc>
        <w:tc>
          <w:tcPr>
            <w:tcW w:w="8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92 %</w:t>
            </w:r>
          </w:p>
        </w:tc>
        <w:tc>
          <w:tcPr>
            <w:tcW w:w="8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80" w:type="dxa"/>
            <w:vAlign w:val="bottom"/>
          </w:tcPr>
          <w:p>
            <w:pPr>
              <w:spacing w:after="0"/>
              <w:rPr>
                <w:sz w:val="14"/>
                <w:szCs w:val="14"/>
                <w:color w:val="auto"/>
              </w:rPr>
            </w:pPr>
          </w:p>
        </w:tc>
        <w:tc>
          <w:tcPr>
            <w:tcW w:w="5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$23.21</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South Florida</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CocoWalk</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 (8)</w:t>
            </w:r>
          </w:p>
        </w:tc>
        <w:tc>
          <w:tcPr>
            <w:tcW w:w="142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Miami-Fort Lauderdale-</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204,104</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277,000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$46.70</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1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Cinepolis Theaters / Youfit Health Club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West Palm Beach, FL</w:t>
            </w:r>
          </w:p>
        </w:tc>
        <w:tc>
          <w:tcPr>
            <w:tcW w:w="6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Multiple Restaurants</w:t>
            </w:r>
          </w:p>
        </w:tc>
        <w:tc>
          <w:tcPr>
            <w:tcW w:w="0" w:type="dxa"/>
            <w:vAlign w:val="bottom"/>
          </w:tcPr>
          <w:p>
            <w:pPr>
              <w:spacing w:after="0"/>
              <w:rPr>
                <w:sz w:val="1"/>
                <w:szCs w:val="1"/>
                <w:color w:val="auto"/>
              </w:rPr>
            </w:pPr>
          </w:p>
        </w:tc>
      </w:tr>
      <w:tr>
        <w:trPr>
          <w:trHeight w:val="122"/>
        </w:trPr>
        <w:tc>
          <w:tcPr>
            <w:tcW w:w="104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Del Mar Village</w:t>
            </w:r>
          </w:p>
        </w:tc>
        <w:tc>
          <w:tcPr>
            <w:tcW w:w="380" w:type="dxa"/>
            <w:vAlign w:val="bottom"/>
          </w:tcPr>
          <w:p>
            <w:pPr>
              <w:spacing w:after="0"/>
              <w:rPr>
                <w:sz w:val="10"/>
                <w:szCs w:val="10"/>
                <w:color w:val="auto"/>
              </w:rPr>
            </w:pPr>
          </w:p>
        </w:tc>
        <w:tc>
          <w:tcPr>
            <w:tcW w:w="142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Miami-Fort Lauderdale-</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75,782</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187,000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$24.35</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44,000</w:t>
            </w:r>
          </w:p>
        </w:tc>
        <w:tc>
          <w:tcPr>
            <w:tcW w:w="11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Winn Dixie</w:t>
            </w:r>
          </w:p>
        </w:tc>
        <w:tc>
          <w:tcPr>
            <w:tcW w:w="21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L.A.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West Palm Beach, FL</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Shops at Pembroke</w:t>
            </w:r>
          </w:p>
        </w:tc>
        <w:tc>
          <w:tcPr>
            <w:tcW w:w="3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Miami-Fort Lauderdale-</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181,512</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392,000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90 %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$32.43</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1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Nike Factory / Old Navy / DSW / Barnes</w:t>
            </w:r>
          </w:p>
        </w:tc>
        <w:tc>
          <w:tcPr>
            <w:tcW w:w="0" w:type="dxa"/>
            <w:vAlign w:val="bottom"/>
          </w:tcPr>
          <w:p>
            <w:pPr>
              <w:spacing w:after="0"/>
              <w:rPr>
                <w:sz w:val="1"/>
                <w:szCs w:val="1"/>
                <w:color w:val="auto"/>
              </w:rPr>
            </w:pPr>
          </w:p>
        </w:tc>
      </w:tr>
      <w:tr>
        <w:trPr>
          <w:trHeight w:val="169"/>
        </w:trPr>
        <w:tc>
          <w:tcPr>
            <w:tcW w:w="10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Gardens</w:t>
            </w:r>
          </w:p>
        </w:tc>
        <w:tc>
          <w:tcPr>
            <w:tcW w:w="38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West Palm Beach, FL</w:t>
            </w:r>
          </w:p>
        </w:tc>
        <w:tc>
          <w:tcPr>
            <w:tcW w:w="6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&amp; Noble</w:t>
            </w:r>
          </w:p>
        </w:tc>
        <w:tc>
          <w:tcPr>
            <w:tcW w:w="0" w:type="dxa"/>
            <w:vAlign w:val="bottom"/>
          </w:tcPr>
          <w:p>
            <w:pPr>
              <w:spacing w:after="0"/>
              <w:rPr>
                <w:sz w:val="1"/>
                <w:szCs w:val="1"/>
                <w:color w:val="auto"/>
              </w:rPr>
            </w:pPr>
          </w:p>
        </w:tc>
      </w:tr>
      <w:tr>
        <w:trPr>
          <w:trHeight w:val="121"/>
        </w:trPr>
        <w:tc>
          <w:tcPr>
            <w:tcW w:w="104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Tower Shops</w:t>
            </w:r>
          </w:p>
        </w:tc>
        <w:tc>
          <w:tcPr>
            <w:tcW w:w="380" w:type="dxa"/>
            <w:vAlign w:val="bottom"/>
          </w:tcPr>
          <w:p>
            <w:pPr>
              <w:spacing w:after="0"/>
              <w:rPr>
                <w:sz w:val="10"/>
                <w:szCs w:val="10"/>
                <w:color w:val="auto"/>
              </w:rPr>
            </w:pPr>
          </w:p>
        </w:tc>
        <w:tc>
          <w:tcPr>
            <w:tcW w:w="142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Miami-Fort Lauderdale-</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105,292</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431,000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$28.08</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12,000</w:t>
            </w:r>
          </w:p>
        </w:tc>
        <w:tc>
          <w:tcPr>
            <w:tcW w:w="11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1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Ross Dress For Less / Best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West Palm Beach, FL</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Buy / Ulta</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0"/>
              <w:spacing w:after="0" w:line="146" w:lineRule="exact"/>
              <w:rPr>
                <w:sz w:val="20"/>
                <w:szCs w:val="20"/>
                <w:color w:val="auto"/>
              </w:rPr>
            </w:pPr>
            <w:r>
              <w:rPr>
                <w:rFonts w:ascii="Times New Roman" w:cs="Times New Roman" w:eastAsia="Times New Roman" w:hAnsi="Times New Roman"/>
                <w:sz w:val="13"/>
                <w:szCs w:val="13"/>
                <w:b w:val="1"/>
                <w:bCs w:val="1"/>
                <w:color w:val="auto"/>
              </w:rPr>
              <w:t>Total South Florida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566,690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9"/>
              </w:rPr>
              <w:t>1,287,000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$32.92</w:t>
            </w:r>
          </w:p>
        </w:tc>
        <w:tc>
          <w:tcPr>
            <w:tcW w:w="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Baltimore</w:t>
            </w:r>
          </w:p>
        </w:tc>
        <w:tc>
          <w:tcPr>
            <w:tcW w:w="420" w:type="dxa"/>
            <w:vAlign w:val="bottom"/>
            <w:tcBorders>
              <w:bottom w:val="single" w:sz="8" w:color="CCEEFF"/>
            </w:tcBorders>
            <w:gridSpan w:val="2"/>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4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Governor Plaza</w:t>
            </w:r>
          </w:p>
        </w:tc>
        <w:tc>
          <w:tcPr>
            <w:tcW w:w="380" w:type="dxa"/>
            <w:vAlign w:val="bottom"/>
          </w:tcPr>
          <w:p>
            <w:pPr>
              <w:spacing w:after="0"/>
              <w:rPr>
                <w:sz w:val="10"/>
                <w:szCs w:val="10"/>
                <w:color w:val="auto"/>
              </w:rPr>
            </w:pPr>
          </w:p>
        </w:tc>
        <w:tc>
          <w:tcPr>
            <w:tcW w:w="142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Baltimore-Columbia-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34,997</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243,000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$20.42</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16,500</w:t>
            </w:r>
          </w:p>
        </w:tc>
        <w:tc>
          <w:tcPr>
            <w:tcW w:w="11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21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Dick's Sporting Goods / Ross Dress for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Towson, MD</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Less / Petco / Bob's Discount Furniture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Perring Plaza</w:t>
            </w:r>
          </w:p>
        </w:tc>
        <w:tc>
          <w:tcPr>
            <w:tcW w:w="3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Baltimore-Columbia-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37,693</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397,000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88 %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74 %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$17.29</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57,000</w:t>
            </w:r>
          </w:p>
        </w:tc>
        <w:tc>
          <w:tcPr>
            <w:tcW w:w="11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TBA</w:t>
            </w:r>
          </w:p>
        </w:tc>
        <w:tc>
          <w:tcPr>
            <w:tcW w:w="21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Home Depot / Dick's Sporting Goods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Towson, MD</w:t>
            </w:r>
          </w:p>
        </w:tc>
        <w:tc>
          <w:tcPr>
            <w:tcW w:w="6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Micro Center</w:t>
            </w:r>
          </w:p>
        </w:tc>
        <w:tc>
          <w:tcPr>
            <w:tcW w:w="0" w:type="dxa"/>
            <w:vAlign w:val="bottom"/>
          </w:tcPr>
          <w:p>
            <w:pPr>
              <w:spacing w:after="0"/>
              <w:rPr>
                <w:sz w:val="1"/>
                <w:szCs w:val="1"/>
                <w:color w:val="auto"/>
              </w:rPr>
            </w:pPr>
          </w:p>
        </w:tc>
      </w:tr>
      <w:tr>
        <w:trPr>
          <w:trHeight w:val="122"/>
        </w:trPr>
        <w:tc>
          <w:tcPr>
            <w:tcW w:w="104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THE AVENUE at</w:t>
            </w:r>
          </w:p>
        </w:tc>
        <w:tc>
          <w:tcPr>
            <w:tcW w:w="38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(6)</w:t>
            </w:r>
          </w:p>
        </w:tc>
        <w:tc>
          <w:tcPr>
            <w:tcW w:w="142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Baltimore-Columbia-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133,524</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315,000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90 %</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$29.08</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1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AMC / Ulta / Old Navy / Nike</w:t>
            </w:r>
          </w:p>
        </w:tc>
        <w:tc>
          <w:tcPr>
            <w:tcW w:w="0" w:type="dxa"/>
            <w:vAlign w:val="bottom"/>
          </w:tcPr>
          <w:p>
            <w:pPr>
              <w:spacing w:after="0"/>
              <w:rPr>
                <w:sz w:val="1"/>
                <w:szCs w:val="1"/>
                <w:color w:val="auto"/>
              </w:rPr>
            </w:pPr>
          </w:p>
        </w:tc>
      </w:tr>
      <w:tr>
        <w:trPr>
          <w:trHeight w:val="164"/>
        </w:trPr>
        <w:tc>
          <w:tcPr>
            <w:tcW w:w="10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White Marsh</w:t>
            </w:r>
          </w:p>
        </w:tc>
        <w:tc>
          <w:tcPr>
            <w:tcW w:w="38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Towson, MD</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The Shoppes at</w:t>
            </w:r>
          </w:p>
        </w:tc>
        <w:tc>
          <w:tcPr>
            <w:tcW w:w="3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Baltimore-Columbia-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19,517</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33,000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$54.10</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Nottingham Square</w:t>
            </w:r>
          </w:p>
        </w:tc>
        <w:tc>
          <w:tcPr>
            <w:tcW w:w="38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Towson, MD</w:t>
            </w:r>
          </w:p>
        </w:tc>
        <w:tc>
          <w:tcPr>
            <w:tcW w:w="6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White Marsh Plaza</w:t>
            </w:r>
          </w:p>
        </w:tc>
        <w:tc>
          <w:tcPr>
            <w:tcW w:w="380" w:type="dxa"/>
            <w:vAlign w:val="bottom"/>
          </w:tcPr>
          <w:p>
            <w:pPr>
              <w:spacing w:after="0"/>
              <w:rPr>
                <w:sz w:val="10"/>
                <w:szCs w:val="10"/>
                <w:color w:val="auto"/>
              </w:rPr>
            </w:pPr>
          </w:p>
        </w:tc>
        <w:tc>
          <w:tcPr>
            <w:tcW w:w="142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Baltimore-Columbia-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27,061</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80,000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$24.09</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54,000</w:t>
            </w:r>
          </w:p>
        </w:tc>
        <w:tc>
          <w:tcPr>
            <w:tcW w:w="11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Towson, MD</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40" w:top="1028" w:right="33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 Estate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Residential</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Grocery</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Grocery Anchor</w:t>
            </w: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tcPr>
          <w:p>
            <w:pPr>
              <w:ind w:left="80"/>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6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b w:val="1"/>
                <w:bCs w:val="1"/>
                <w:color w:val="auto"/>
              </w:rPr>
              <w:t>Rent</w:t>
            </w:r>
          </w:p>
        </w:tc>
        <w:tc>
          <w:tcPr>
            <w:tcW w:w="66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1080" w:type="dxa"/>
            <w:vAlign w:val="bottom"/>
            <w:vMerge w:val="continue"/>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at Cost</w:t>
            </w: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GLA (1)</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Occupied(1)</w:t>
            </w: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PSF (2)</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(3)</w:t>
            </w:r>
          </w:p>
        </w:tc>
        <w:tc>
          <w:tcPr>
            <w:tcW w:w="2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(in thousands)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9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White Marsh</w:t>
            </w:r>
          </w:p>
        </w:tc>
        <w:tc>
          <w:tcPr>
            <w:tcW w:w="400" w:type="dxa"/>
            <w:vAlign w:val="bottom"/>
            <w:shd w:val="clear" w:color="auto" w:fill="CCEEFF"/>
          </w:tcPr>
          <w:p>
            <w:pPr>
              <w:spacing w:after="0"/>
              <w:rPr>
                <w:sz w:val="10"/>
                <w:szCs w:val="10"/>
                <w:color w:val="auto"/>
              </w:rPr>
            </w:pPr>
          </w:p>
        </w:tc>
        <w:tc>
          <w:tcPr>
            <w:tcW w:w="14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Baltimore-Columbia-</w:t>
            </w: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27,933</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56,000</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87</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87</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$36.87</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9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4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Towson, MD</w:t>
            </w:r>
          </w:p>
        </w:tc>
        <w:tc>
          <w:tcPr>
            <w:tcW w:w="7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Total Baltimore</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280,725</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1,124,000</w:t>
            </w:r>
          </w:p>
        </w:tc>
        <w:tc>
          <w:tcPr>
            <w:tcW w:w="80" w:type="dxa"/>
            <w:vAlign w:val="bottom"/>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5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$24.24</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Chicago</w:t>
            </w:r>
          </w:p>
        </w:tc>
        <w:tc>
          <w:tcPr>
            <w:tcW w:w="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Crossroads</w:t>
            </w:r>
          </w:p>
        </w:tc>
        <w:tc>
          <w:tcPr>
            <w:tcW w:w="400" w:type="dxa"/>
            <w:vAlign w:val="bottom"/>
            <w:shd w:val="clear" w:color="auto" w:fill="CCEEFF"/>
          </w:tcPr>
          <w:p>
            <w:pPr>
              <w:spacing w:after="0"/>
              <w:rPr>
                <w:sz w:val="10"/>
                <w:szCs w:val="10"/>
                <w:color w:val="auto"/>
              </w:rPr>
            </w:pPr>
          </w:p>
        </w:tc>
        <w:tc>
          <w:tcPr>
            <w:tcW w:w="14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Chicago-Naperville-Elgin,</w:t>
            </w: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36,710</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168,000</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96</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96</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$23.72</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1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L.A. Fitness / Ulta / Binny's /</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IL-IN-WI</w:t>
            </w:r>
          </w:p>
        </w:tc>
        <w:tc>
          <w:tcPr>
            <w:tcW w:w="7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1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Ferguson's Bath, Kitchen &amp; Lighting</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Gallery</w:t>
            </w:r>
          </w:p>
        </w:tc>
        <w:tc>
          <w:tcPr>
            <w:tcW w:w="0" w:type="dxa"/>
            <w:vAlign w:val="bottom"/>
          </w:tcPr>
          <w:p>
            <w:pPr>
              <w:spacing w:after="0"/>
              <w:rPr>
                <w:sz w:val="1"/>
                <w:szCs w:val="1"/>
                <w:color w:val="auto"/>
              </w:rPr>
            </w:pPr>
          </w:p>
        </w:tc>
      </w:tr>
      <w:tr>
        <w:trPr>
          <w:trHeight w:val="122"/>
        </w:trPr>
        <w:tc>
          <w:tcPr>
            <w:tcW w:w="9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Finley Square</w:t>
            </w:r>
          </w:p>
        </w:tc>
        <w:tc>
          <w:tcPr>
            <w:tcW w:w="400" w:type="dxa"/>
            <w:vAlign w:val="bottom"/>
          </w:tcPr>
          <w:p>
            <w:pPr>
              <w:spacing w:after="0"/>
              <w:rPr>
                <w:sz w:val="10"/>
                <w:szCs w:val="10"/>
                <w:color w:val="auto"/>
              </w:rPr>
            </w:pPr>
          </w:p>
        </w:tc>
        <w:tc>
          <w:tcPr>
            <w:tcW w:w="14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Chicago-Naperville-Elgin,</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39,714</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281,000</w:t>
            </w: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53</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53</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$20.35</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1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Michaels / Five Below / Portillo's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IL-IN-WI</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9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Garden Market</w:t>
            </w:r>
          </w:p>
        </w:tc>
        <w:tc>
          <w:tcPr>
            <w:tcW w:w="400" w:type="dxa"/>
            <w:vAlign w:val="bottom"/>
            <w:shd w:val="clear" w:color="auto" w:fill="CCEEFF"/>
          </w:tcPr>
          <w:p>
            <w:pPr>
              <w:spacing w:after="0"/>
              <w:rPr>
                <w:sz w:val="10"/>
                <w:szCs w:val="10"/>
                <w:color w:val="auto"/>
              </w:rPr>
            </w:pPr>
          </w:p>
        </w:tc>
        <w:tc>
          <w:tcPr>
            <w:tcW w:w="14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Chicago-Naperville-Elgin,</w:t>
            </w: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16,086</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139,000</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96</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96</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$14.92</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63,000</w:t>
            </w:r>
          </w:p>
        </w:tc>
        <w:tc>
          <w:tcPr>
            <w:tcW w:w="10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Mariano's Fresh</w:t>
            </w:r>
          </w:p>
        </w:tc>
        <w:tc>
          <w:tcPr>
            <w:tcW w:w="21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Walgreens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IL-IN-WI</w:t>
            </w:r>
          </w:p>
        </w:tc>
        <w:tc>
          <w:tcPr>
            <w:tcW w:w="7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Market</w:t>
            </w:r>
          </w:p>
        </w:tc>
        <w:tc>
          <w:tcPr>
            <w:tcW w:w="2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Riverpoint Center</w:t>
            </w:r>
          </w:p>
        </w:tc>
        <w:tc>
          <w:tcPr>
            <w:tcW w:w="400" w:type="dxa"/>
            <w:vAlign w:val="bottom"/>
          </w:tcPr>
          <w:p>
            <w:pPr>
              <w:spacing w:after="0"/>
              <w:rPr>
                <w:sz w:val="10"/>
                <w:szCs w:val="10"/>
                <w:color w:val="auto"/>
              </w:rPr>
            </w:pPr>
          </w:p>
        </w:tc>
        <w:tc>
          <w:tcPr>
            <w:tcW w:w="14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Chicago-Naperville-Elgin,</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122,597</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211,000</w:t>
            </w: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$22.14</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86,000</w:t>
            </w:r>
          </w:p>
        </w:tc>
        <w:tc>
          <w:tcPr>
            <w:tcW w:w="10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Jewel Osco</w:t>
            </w:r>
          </w:p>
        </w:tc>
        <w:tc>
          <w:tcPr>
            <w:tcW w:w="21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Old Navy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IL-IN-WI</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Total Chicago</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215,107</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799,000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$20.63</w:t>
            </w:r>
          </w:p>
        </w:tc>
        <w:tc>
          <w:tcPr>
            <w:tcW w:w="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90"/>
              </w:rPr>
              <w:t>Other</w:t>
            </w:r>
          </w:p>
        </w:tc>
        <w:tc>
          <w:tcPr>
            <w:tcW w:w="580" w:type="dxa"/>
            <w:vAlign w:val="bottom"/>
            <w:tcBorders>
              <w:bottom w:val="single" w:sz="8" w:color="CCEEFF"/>
            </w:tcBorders>
            <w:gridSpan w:val="2"/>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2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Barracks Road</w:t>
            </w:r>
          </w:p>
        </w:tc>
        <w:tc>
          <w:tcPr>
            <w:tcW w:w="400" w:type="dxa"/>
            <w:vAlign w:val="bottom"/>
          </w:tcPr>
          <w:p>
            <w:pPr>
              <w:spacing w:after="0"/>
              <w:rPr>
                <w:sz w:val="10"/>
                <w:szCs w:val="10"/>
                <w:color w:val="auto"/>
              </w:rPr>
            </w:pPr>
          </w:p>
        </w:tc>
        <w:tc>
          <w:tcPr>
            <w:tcW w:w="14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Charlottesville, VA</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75,656</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495,000</w:t>
            </w: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88</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88</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$28.55</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99,000</w:t>
            </w:r>
          </w:p>
        </w:tc>
        <w:tc>
          <w:tcPr>
            <w:tcW w:w="10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Harris Teeter /</w:t>
            </w:r>
          </w:p>
        </w:tc>
        <w:tc>
          <w:tcPr>
            <w:tcW w:w="21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Anthropologie / Old Navy / Ulta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Kroger</w:t>
            </w:r>
          </w:p>
        </w:tc>
        <w:tc>
          <w:tcPr>
            <w:tcW w:w="2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Michaels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Bristol Plaza</w:t>
            </w:r>
          </w:p>
        </w:tc>
        <w:tc>
          <w:tcPr>
            <w:tcW w:w="400" w:type="dxa"/>
            <w:vAlign w:val="bottom"/>
            <w:shd w:val="clear" w:color="auto" w:fill="CCEEFF"/>
          </w:tcPr>
          <w:p>
            <w:pPr>
              <w:spacing w:after="0"/>
              <w:rPr>
                <w:sz w:val="10"/>
                <w:szCs w:val="10"/>
                <w:color w:val="auto"/>
              </w:rPr>
            </w:pPr>
          </w:p>
        </w:tc>
        <w:tc>
          <w:tcPr>
            <w:tcW w:w="14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Hartford-West Hartford-</w:t>
            </w: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36,992</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264,000</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88</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88</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$15.20</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74,000</w:t>
            </w:r>
          </w:p>
        </w:tc>
        <w:tc>
          <w:tcPr>
            <w:tcW w:w="10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Stop &amp; Shop</w:t>
            </w:r>
          </w:p>
        </w:tc>
        <w:tc>
          <w:tcPr>
            <w:tcW w:w="21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Burlington</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East Hartford, CT</w:t>
            </w:r>
          </w:p>
        </w:tc>
        <w:tc>
          <w:tcPr>
            <w:tcW w:w="7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Camelback</w:t>
            </w:r>
          </w:p>
        </w:tc>
        <w:tc>
          <w:tcPr>
            <w:tcW w:w="4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(4)</w:t>
            </w:r>
          </w:p>
        </w:tc>
        <w:tc>
          <w:tcPr>
            <w:tcW w:w="14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Phoenix-Mesa-Chandler,</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180,534</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642,000</w:t>
            </w: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90</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86</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$18.47</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82,000</w:t>
            </w:r>
          </w:p>
        </w:tc>
        <w:tc>
          <w:tcPr>
            <w:tcW w:w="10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Fry's Food &amp; Drug</w:t>
            </w:r>
          </w:p>
        </w:tc>
        <w:tc>
          <w:tcPr>
            <w:tcW w:w="21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Nordstrom Last Chance /</w:t>
            </w:r>
          </w:p>
        </w:tc>
        <w:tc>
          <w:tcPr>
            <w:tcW w:w="0" w:type="dxa"/>
            <w:vAlign w:val="bottom"/>
          </w:tcPr>
          <w:p>
            <w:pPr>
              <w:spacing w:after="0"/>
              <w:rPr>
                <w:sz w:val="1"/>
                <w:szCs w:val="1"/>
                <w:color w:val="auto"/>
              </w:rPr>
            </w:pPr>
          </w:p>
        </w:tc>
      </w:tr>
      <w:tr>
        <w:trPr>
          <w:trHeight w:val="164"/>
        </w:trPr>
        <w:tc>
          <w:tcPr>
            <w:tcW w:w="9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Colonnade</w:t>
            </w:r>
          </w:p>
        </w:tc>
        <w:tc>
          <w:tcPr>
            <w:tcW w:w="4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AZ</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Best Buy / Floor &amp; Décor</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Gratiot Plaza</w:t>
            </w:r>
          </w:p>
        </w:tc>
        <w:tc>
          <w:tcPr>
            <w:tcW w:w="400" w:type="dxa"/>
            <w:vAlign w:val="bottom"/>
            <w:shd w:val="clear" w:color="auto" w:fill="CCEEFF"/>
          </w:tcPr>
          <w:p>
            <w:pPr>
              <w:spacing w:after="0"/>
              <w:rPr>
                <w:sz w:val="10"/>
                <w:szCs w:val="10"/>
                <w:color w:val="auto"/>
              </w:rPr>
            </w:pPr>
          </w:p>
        </w:tc>
        <w:tc>
          <w:tcPr>
            <w:tcW w:w="14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9"/>
              </w:rPr>
              <w:t>Detroit-Warren-Dearborn,</w:t>
            </w: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19,962</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216,000</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78</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78</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$13.43</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69,000</w:t>
            </w:r>
          </w:p>
        </w:tc>
        <w:tc>
          <w:tcPr>
            <w:tcW w:w="10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Kroger</w:t>
            </w:r>
          </w:p>
        </w:tc>
        <w:tc>
          <w:tcPr>
            <w:tcW w:w="21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Best Buy / DSW</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MI</w:t>
            </w:r>
          </w:p>
        </w:tc>
        <w:tc>
          <w:tcPr>
            <w:tcW w:w="7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Hilton Village</w:t>
            </w:r>
          </w:p>
        </w:tc>
        <w:tc>
          <w:tcPr>
            <w:tcW w:w="4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(4)(5)</w:t>
            </w:r>
          </w:p>
        </w:tc>
        <w:tc>
          <w:tcPr>
            <w:tcW w:w="14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Phoenix-Mesa-Chandler,</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86,419</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305,000</w:t>
            </w: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94</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90</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$33.92</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1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Houston's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AZ</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Lancaster</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w:t>
            </w:r>
          </w:p>
        </w:tc>
        <w:tc>
          <w:tcPr>
            <w:tcW w:w="1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Lancaster, PA</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126,000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$19.28</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75,000</w:t>
            </w:r>
          </w:p>
        </w:tc>
        <w:tc>
          <w:tcPr>
            <w:tcW w:w="1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Giant Food</w:t>
            </w:r>
          </w:p>
        </w:tc>
        <w:tc>
          <w:tcPr>
            <w:tcW w:w="2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AutoZone</w:t>
            </w:r>
          </w:p>
        </w:tc>
        <w:tc>
          <w:tcPr>
            <w:tcW w:w="0" w:type="dxa"/>
            <w:vAlign w:val="bottom"/>
          </w:tcPr>
          <w:p>
            <w:pPr>
              <w:spacing w:after="0"/>
              <w:rPr>
                <w:sz w:val="1"/>
                <w:szCs w:val="1"/>
                <w:color w:val="auto"/>
              </w:rPr>
            </w:pPr>
          </w:p>
        </w:tc>
      </w:tr>
      <w:tr>
        <w:trPr>
          <w:trHeight w:val="170"/>
        </w:trPr>
        <w:tc>
          <w:tcPr>
            <w:tcW w:w="9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29th Place</w:t>
            </w:r>
          </w:p>
        </w:tc>
        <w:tc>
          <w:tcPr>
            <w:tcW w:w="4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Charlottesville, VA</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40,869</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168,000</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$20.61</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HomeGoods / DSW / Staples</w:t>
            </w:r>
          </w:p>
        </w:tc>
        <w:tc>
          <w:tcPr>
            <w:tcW w:w="0" w:type="dxa"/>
            <w:vAlign w:val="bottom"/>
          </w:tcPr>
          <w:p>
            <w:pPr>
              <w:spacing w:after="0"/>
              <w:rPr>
                <w:sz w:val="1"/>
                <w:szCs w:val="1"/>
                <w:color w:val="auto"/>
              </w:rPr>
            </w:pPr>
          </w:p>
        </w:tc>
      </w:tr>
      <w:tr>
        <w:trPr>
          <w:trHeight w:val="127"/>
        </w:trPr>
        <w:tc>
          <w:tcPr>
            <w:tcW w:w="980" w:type="dxa"/>
            <w:vAlign w:val="bottom"/>
            <w:gridSpan w:val="4"/>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Willow Lawn</w:t>
            </w:r>
          </w:p>
        </w:tc>
        <w:tc>
          <w:tcPr>
            <w:tcW w:w="400" w:type="dxa"/>
            <w:vAlign w:val="bottom"/>
            <w:shd w:val="clear" w:color="auto" w:fill="CCEEFF"/>
          </w:tcPr>
          <w:p>
            <w:pPr>
              <w:spacing w:after="0"/>
              <w:rPr>
                <w:sz w:val="11"/>
                <w:szCs w:val="11"/>
                <w:color w:val="auto"/>
              </w:rPr>
            </w:pPr>
          </w:p>
        </w:tc>
        <w:tc>
          <w:tcPr>
            <w:tcW w:w="142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Richmond, VA</w:t>
            </w:r>
          </w:p>
        </w:tc>
        <w:tc>
          <w:tcPr>
            <w:tcW w:w="7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108,664</w:t>
            </w: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462,000</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99</w:t>
            </w:r>
          </w:p>
        </w:tc>
        <w:tc>
          <w:tcPr>
            <w:tcW w:w="1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97</w:t>
            </w:r>
          </w:p>
        </w:tc>
        <w:tc>
          <w:tcPr>
            <w:tcW w:w="1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ind w:left="120"/>
              <w:spacing w:after="0" w:line="128" w:lineRule="exact"/>
              <w:rPr>
                <w:sz w:val="20"/>
                <w:szCs w:val="20"/>
                <w:color w:val="auto"/>
              </w:rPr>
            </w:pPr>
            <w:r>
              <w:rPr>
                <w:rFonts w:ascii="Times New Roman" w:cs="Times New Roman" w:eastAsia="Times New Roman" w:hAnsi="Times New Roman"/>
                <w:sz w:val="13"/>
                <w:szCs w:val="13"/>
                <w:color w:val="auto"/>
              </w:rPr>
              <w:t>$22.46</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rPr>
              <w:t>66,000</w:t>
            </w:r>
          </w:p>
        </w:tc>
        <w:tc>
          <w:tcPr>
            <w:tcW w:w="108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Kroger</w:t>
            </w:r>
          </w:p>
        </w:tc>
        <w:tc>
          <w:tcPr>
            <w:tcW w:w="210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w w:val="97"/>
              </w:rPr>
              <w:t>Old Navy / Ross Dress for Less / Gold's</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Gym / Dick's Sporting Goods / Ulta</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Total Other</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557,892</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2,678,000</w:t>
            </w:r>
          </w:p>
        </w:tc>
        <w:tc>
          <w:tcPr>
            <w:tcW w:w="80" w:type="dxa"/>
            <w:vAlign w:val="bottom"/>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5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$22.33</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auto"/>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spacing w:after="0"/>
              <w:rPr>
                <w:sz w:val="8"/>
                <w:szCs w:val="8"/>
                <w:color w:val="auto"/>
              </w:rPr>
            </w:pPr>
          </w:p>
        </w:tc>
        <w:tc>
          <w:tcPr>
            <w:tcW w:w="142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gridSpan w:val="2"/>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gridSpan w:val="2"/>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spacing w:after="0"/>
              <w:rPr>
                <w:sz w:val="8"/>
                <w:szCs w:val="8"/>
                <w:color w:val="auto"/>
              </w:rPr>
            </w:pPr>
          </w:p>
        </w:tc>
        <w:tc>
          <w:tcPr>
            <w:tcW w:w="1080" w:type="dxa"/>
            <w:vAlign w:val="bottom"/>
            <w:tcBorders>
              <w:bottom w:val="single" w:sz="8" w:color="auto"/>
            </w:tcBorders>
            <w:shd w:val="clear" w:color="auto" w:fill="CCEEFF"/>
          </w:tcPr>
          <w:p>
            <w:pPr>
              <w:spacing w:after="0"/>
              <w:rPr>
                <w:sz w:val="8"/>
                <w:szCs w:val="8"/>
                <w:color w:val="auto"/>
              </w:rPr>
            </w:pPr>
          </w:p>
        </w:tc>
        <w:tc>
          <w:tcPr>
            <w:tcW w:w="210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9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Grand Total</w:t>
            </w:r>
          </w:p>
        </w:tc>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$ 10,546,187</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2,037</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26,039,000</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94 %</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92 %</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$31.60</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3,104</w:t>
            </w: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51" w:lineRule="exact"/>
        <w:rPr>
          <w:sz w:val="20"/>
          <w:szCs w:val="20"/>
          <w:color w:val="auto"/>
        </w:rPr>
      </w:pPr>
    </w:p>
    <w:p>
      <w:pPr>
        <w:ind w:left="580" w:right="320" w:hanging="561"/>
        <w:spacing w:after="0" w:line="239" w:lineRule="auto"/>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Represents the GLA and the percentage leased and percentage occupied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14" w:lineRule="exact"/>
        <w:rPr>
          <w:rFonts w:ascii="Times New Roman" w:cs="Times New Roman" w:eastAsia="Times New Roman" w:hAnsi="Times New Roman"/>
          <w:sz w:val="14"/>
          <w:szCs w:val="14"/>
          <w:color w:val="auto"/>
        </w:rPr>
      </w:pPr>
    </w:p>
    <w:p>
      <w:pPr>
        <w:ind w:left="580" w:right="60" w:hanging="561"/>
        <w:spacing w:after="0" w:line="239" w:lineRule="auto"/>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Calculated as the aggregate, annualized in-place contractual (defined as cash basis excluding rent abatements) minimum rents for all occupied spaces divided by the aggregate GLA of all occupied spaces.</w:t>
      </w:r>
    </w:p>
    <w:p>
      <w:pPr>
        <w:spacing w:after="0" w:line="14"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TBA indicates that a lease is signed.</w:t>
      </w:r>
    </w:p>
    <w:p>
      <w:pPr>
        <w:spacing w:after="0" w:line="41"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Trust has a controlling financial interest in this property.</w:t>
      </w:r>
    </w:p>
    <w:p>
      <w:pPr>
        <w:spacing w:after="0" w:line="41"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All or a portion of this property is owned pursuant to a ground lease.</w:t>
      </w:r>
    </w:p>
    <w:p>
      <w:pPr>
        <w:spacing w:after="0" w:line="41" w:lineRule="exact"/>
        <w:rPr>
          <w:rFonts w:ascii="Times New Roman" w:cs="Times New Roman" w:eastAsia="Times New Roman" w:hAnsi="Times New Roman"/>
          <w:sz w:val="14"/>
          <w:szCs w:val="14"/>
          <w:color w:val="auto"/>
        </w:rPr>
      </w:pPr>
    </w:p>
    <w:p>
      <w:pPr>
        <w:ind w:left="580" w:right="360" w:hanging="561"/>
        <w:spacing w:after="0" w:line="239" w:lineRule="auto"/>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All or a portion of the property is owned in a "downREIT" partnership, of which a wholly owned subsidiary of the Trust is the sole general partner, with third party partners holding operating partnership units.</w:t>
      </w:r>
    </w:p>
    <w:p>
      <w:pPr>
        <w:spacing w:after="0" w:line="14"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This property includes 40 buildings primarily along Washington Street and 14th Street in Hoboken, New Jersey.</w:t>
      </w:r>
    </w:p>
    <w:p>
      <w:pPr>
        <w:spacing w:after="0" w:line="41"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This property includes CocoWalk and interests in four buildings in Coconut Grove.</w:t>
      </w:r>
    </w:p>
    <w:p>
      <w:pPr>
        <w:spacing w:after="0" w:line="42" w:lineRule="exact"/>
        <w:rPr>
          <w:sz w:val="20"/>
          <w:szCs w:val="20"/>
          <w:color w:val="auto"/>
        </w:rPr>
      </w:pPr>
    </w:p>
    <w:p>
      <w:pPr>
        <w:ind w:left="580" w:hanging="561"/>
        <w:spacing w:after="0"/>
        <w:tabs>
          <w:tab w:leader="none" w:pos="5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Grocer is a shadow anchor located adjacent to the property, but is not part of the owned property.</w:t>
      </w: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40" w:top="102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Retail Leasing Summary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Total Lease Summary - Comparable (2)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Cash Basis %</w:t>
            </w:r>
          </w:p>
        </w:tc>
        <w:tc>
          <w:tcPr>
            <w:tcW w:w="80" w:type="dxa"/>
            <w:vAlign w:val="bottom"/>
          </w:tcPr>
          <w:p>
            <w:pPr>
              <w:spacing w:after="0"/>
              <w:rPr>
                <w:sz w:val="11"/>
                <w:szCs w:val="11"/>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Straight-lined</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1"/>
                <w:szCs w:val="11"/>
                <w:color w:val="auto"/>
              </w:rPr>
            </w:pPr>
          </w:p>
        </w:tc>
        <w:tc>
          <w:tcPr>
            <w:tcW w:w="78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 of Comparable</w:t>
            </w: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Prior Rent (4)</w:t>
            </w:r>
          </w:p>
        </w:tc>
        <w:tc>
          <w:tcPr>
            <w:tcW w:w="9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Annual Increase</w:t>
            </w: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vMerge w:val="restart"/>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7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rPr>
              <w:t>Leases</w:t>
            </w:r>
          </w:p>
        </w:tc>
        <w:tc>
          <w:tcPr>
            <w:tcW w:w="1020" w:type="dxa"/>
            <w:vAlign w:val="bottom"/>
            <w:gridSpan w:val="4"/>
            <w:vMerge w:val="continue"/>
          </w:tcPr>
          <w:p>
            <w:pPr>
              <w:spacing w:after="0"/>
              <w:rPr>
                <w:sz w:val="9"/>
                <w:szCs w:val="9"/>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80" w:type="dxa"/>
            <w:vAlign w:val="bottom"/>
          </w:tcPr>
          <w:p>
            <w:pPr>
              <w:spacing w:after="0"/>
              <w:rPr>
                <w:sz w:val="9"/>
                <w:szCs w:val="9"/>
                <w:color w:val="auto"/>
              </w:rPr>
            </w:pPr>
          </w:p>
        </w:tc>
        <w:tc>
          <w:tcPr>
            <w:tcW w:w="66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Rent (3) Per</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9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Increase Over</w:t>
            </w:r>
          </w:p>
        </w:tc>
        <w:tc>
          <w:tcPr>
            <w:tcW w:w="94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Basis % Increase</w:t>
            </w: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40" w:type="dxa"/>
            <w:vAlign w:val="bottom"/>
            <w:gridSpan w:val="3"/>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88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0" w:type="dxa"/>
            <w:vAlign w:val="bottom"/>
          </w:tcPr>
          <w:p>
            <w:pPr>
              <w:spacing w:after="0"/>
              <w:rPr>
                <w:sz w:val="1"/>
                <w:szCs w:val="1"/>
                <w:color w:val="auto"/>
              </w:rPr>
            </w:pPr>
          </w:p>
        </w:tc>
      </w:tr>
      <w:tr>
        <w:trPr>
          <w:trHeight w:val="156"/>
        </w:trPr>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Signed</w:t>
            </w:r>
          </w:p>
        </w:tc>
        <w:tc>
          <w:tcPr>
            <w:tcW w:w="102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900" w:type="dxa"/>
            <w:vAlign w:val="bottom"/>
            <w:gridSpan w:val="2"/>
            <w:vMerge w:val="continue"/>
          </w:tcPr>
          <w:p>
            <w:pPr>
              <w:spacing w:after="0"/>
              <w:rPr>
                <w:sz w:val="13"/>
                <w:szCs w:val="13"/>
                <w:color w:val="auto"/>
              </w:rPr>
            </w:pP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Sq. Ft. (PSF)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PSF</w:t>
            </w:r>
          </w:p>
        </w:tc>
        <w:tc>
          <w:tcPr>
            <w:tcW w:w="1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in Rent</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Prior Rent</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Over Prior Rent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4th Quarter 2023</w:t>
            </w:r>
          </w:p>
        </w:tc>
        <w:tc>
          <w:tcPr>
            <w:tcW w:w="720" w:type="dxa"/>
            <w:vAlign w:val="bottom"/>
            <w:tcBorders>
              <w:top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393,761</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44.57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39.97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1,811,782</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13,762,615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w:t>
            </w:r>
          </w:p>
        </w:tc>
        <w:tc>
          <w:tcPr>
            <w:tcW w:w="0" w:type="dxa"/>
            <w:vAlign w:val="bottom"/>
          </w:tcPr>
          <w:p>
            <w:pPr>
              <w:spacing w:after="0"/>
              <w:rPr>
                <w:sz w:val="1"/>
                <w:szCs w:val="1"/>
                <w:color w:val="auto"/>
              </w:rPr>
            </w:pPr>
          </w:p>
        </w:tc>
      </w:tr>
      <w:tr>
        <w:trPr>
          <w:trHeight w:val="195"/>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3rd Quarter 2023</w:t>
            </w:r>
          </w:p>
        </w:tc>
        <w:tc>
          <w:tcPr>
            <w:tcW w:w="72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552,765</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34.51</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31.17</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1,848,740</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17,240,180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31.19</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2nd Quarter 2023</w:t>
            </w:r>
          </w:p>
        </w:tc>
        <w:tc>
          <w:tcPr>
            <w:tcW w:w="7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576,345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35.34</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33.09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1,295,986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9,582,941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0" w:type="dxa"/>
            <w:vAlign w:val="bottom"/>
          </w:tcPr>
          <w:p>
            <w:pPr>
              <w:spacing w:after="0"/>
              <w:rPr>
                <w:sz w:val="1"/>
                <w:szCs w:val="1"/>
                <w:color w:val="auto"/>
              </w:rPr>
            </w:pPr>
          </w:p>
        </w:tc>
      </w:tr>
      <w:tr>
        <w:trPr>
          <w:trHeight w:val="196"/>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1st Quarter 2023</w:t>
            </w:r>
          </w:p>
        </w:tc>
        <w:tc>
          <w:tcPr>
            <w:tcW w:w="72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504,502</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34.72</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31.20</w:t>
            </w:r>
          </w:p>
        </w:tc>
        <w:tc>
          <w:tcPr>
            <w:tcW w:w="100" w:type="dxa"/>
            <w:vAlign w:val="bottom"/>
          </w:tcPr>
          <w:p>
            <w:pPr>
              <w:spacing w:after="0"/>
              <w:rPr>
                <w:sz w:val="17"/>
                <w:szCs w:val="17"/>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1,777,121</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19,911,347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39.47</w:t>
            </w:r>
          </w:p>
        </w:tc>
        <w:tc>
          <w:tcPr>
            <w:tcW w:w="0" w:type="dxa"/>
            <w:vAlign w:val="bottom"/>
          </w:tcPr>
          <w:p>
            <w:pPr>
              <w:spacing w:after="0"/>
              <w:rPr>
                <w:sz w:val="1"/>
                <w:szCs w:val="1"/>
                <w:color w:val="auto"/>
              </w:rPr>
            </w:pPr>
          </w:p>
        </w:tc>
      </w:tr>
      <w:tr>
        <w:trPr>
          <w:trHeight w:val="228"/>
        </w:trPr>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2,027,373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33.43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6,733,629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60,497,083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29.84</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9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New Lease Summary - Comparable (2)</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5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Cash Basis %</w:t>
            </w:r>
          </w:p>
        </w:tc>
        <w:tc>
          <w:tcPr>
            <w:tcW w:w="8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Straight-lined</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78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 of Comparable</w:t>
            </w: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Prior Rent (4)</w:t>
            </w:r>
          </w:p>
        </w:tc>
        <w:tc>
          <w:tcPr>
            <w:tcW w:w="9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Annual Increase</w:t>
            </w: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vMerge w:val="restart"/>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7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rPr>
              <w:t>Leases</w:t>
            </w:r>
          </w:p>
        </w:tc>
        <w:tc>
          <w:tcPr>
            <w:tcW w:w="1020" w:type="dxa"/>
            <w:vAlign w:val="bottom"/>
            <w:gridSpan w:val="4"/>
            <w:vMerge w:val="continue"/>
          </w:tcPr>
          <w:p>
            <w:pPr>
              <w:spacing w:after="0"/>
              <w:rPr>
                <w:sz w:val="9"/>
                <w:szCs w:val="9"/>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9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Increase Over</w:t>
            </w:r>
          </w:p>
        </w:tc>
        <w:tc>
          <w:tcPr>
            <w:tcW w:w="94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Basis % Increase</w:t>
            </w: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40" w:type="dxa"/>
            <w:vAlign w:val="bottom"/>
            <w:gridSpan w:val="3"/>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88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0" w:type="dxa"/>
            <w:vAlign w:val="bottom"/>
          </w:tcPr>
          <w:p>
            <w:pPr>
              <w:spacing w:after="0"/>
              <w:rPr>
                <w:sz w:val="1"/>
                <w:szCs w:val="1"/>
                <w:color w:val="auto"/>
              </w:rPr>
            </w:pPr>
          </w:p>
        </w:tc>
      </w:tr>
      <w:tr>
        <w:trPr>
          <w:trHeight w:val="156"/>
        </w:trPr>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Signed</w:t>
            </w:r>
          </w:p>
        </w:tc>
        <w:tc>
          <w:tcPr>
            <w:tcW w:w="102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900" w:type="dxa"/>
            <w:vAlign w:val="bottom"/>
            <w:gridSpan w:val="2"/>
            <w:vMerge w:val="continue"/>
          </w:tcPr>
          <w:p>
            <w:pPr>
              <w:spacing w:after="0"/>
              <w:rPr>
                <w:sz w:val="13"/>
                <w:szCs w:val="13"/>
                <w:color w:val="auto"/>
              </w:rPr>
            </w:pP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Rent (3) PSF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PSF</w:t>
            </w:r>
          </w:p>
        </w:tc>
        <w:tc>
          <w:tcPr>
            <w:tcW w:w="1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in Rent</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Prior Rent</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Over Prior Rent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4th Quarter 2023</w:t>
            </w:r>
          </w:p>
        </w:tc>
        <w:tc>
          <w:tcPr>
            <w:tcW w:w="720" w:type="dxa"/>
            <w:vAlign w:val="bottom"/>
            <w:tcBorders>
              <w:top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45 %</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234,729</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38.77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33.46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1,247,214</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12,989,353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55.34</w:t>
            </w:r>
          </w:p>
        </w:tc>
        <w:tc>
          <w:tcPr>
            <w:tcW w:w="0" w:type="dxa"/>
            <w:vAlign w:val="bottom"/>
          </w:tcPr>
          <w:p>
            <w:pPr>
              <w:spacing w:after="0"/>
              <w:rPr>
                <w:sz w:val="1"/>
                <w:szCs w:val="1"/>
                <w:color w:val="auto"/>
              </w:rPr>
            </w:pPr>
          </w:p>
        </w:tc>
      </w:tr>
      <w:tr>
        <w:trPr>
          <w:trHeight w:val="195"/>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3rd Quarter 2023</w:t>
            </w:r>
          </w:p>
        </w:tc>
        <w:tc>
          <w:tcPr>
            <w:tcW w:w="72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56 %</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410,575</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28.18</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24.91</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1,340,705</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16,926,600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41.23</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2nd Quarter 2023</w:t>
            </w:r>
          </w:p>
        </w:tc>
        <w:tc>
          <w:tcPr>
            <w:tcW w:w="7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39 %</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42.96</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651,591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8,784,091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68.17</w:t>
            </w:r>
          </w:p>
        </w:tc>
        <w:tc>
          <w:tcPr>
            <w:tcW w:w="0" w:type="dxa"/>
            <w:vAlign w:val="bottom"/>
          </w:tcPr>
          <w:p>
            <w:pPr>
              <w:spacing w:after="0"/>
              <w:rPr>
                <w:sz w:val="1"/>
                <w:szCs w:val="1"/>
                <w:color w:val="auto"/>
              </w:rPr>
            </w:pPr>
          </w:p>
        </w:tc>
      </w:tr>
      <w:tr>
        <w:trPr>
          <w:trHeight w:val="196"/>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1st Quarter 2023</w:t>
            </w:r>
          </w:p>
        </w:tc>
        <w:tc>
          <w:tcPr>
            <w:tcW w:w="72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40 %</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242,022</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35.60</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32.66</w:t>
            </w:r>
          </w:p>
        </w:tc>
        <w:tc>
          <w:tcPr>
            <w:tcW w:w="100" w:type="dxa"/>
            <w:vAlign w:val="bottom"/>
          </w:tcPr>
          <w:p>
            <w:pPr>
              <w:spacing w:after="0"/>
              <w:rPr>
                <w:sz w:val="17"/>
                <w:szCs w:val="17"/>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710,823</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19,167,487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79.20</w:t>
            </w:r>
          </w:p>
        </w:tc>
        <w:tc>
          <w:tcPr>
            <w:tcW w:w="0" w:type="dxa"/>
            <w:vAlign w:val="bottom"/>
          </w:tcPr>
          <w:p>
            <w:pPr>
              <w:spacing w:after="0"/>
              <w:rPr>
                <w:sz w:val="1"/>
                <w:szCs w:val="1"/>
                <w:color w:val="auto"/>
              </w:rPr>
            </w:pPr>
          </w:p>
        </w:tc>
      </w:tr>
      <w:tr>
        <w:trPr>
          <w:trHeight w:val="228"/>
        </w:trPr>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45 %</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1,016,187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3,950,333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57,867,531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56.95</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9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Renewal Lease Summary - Comparable (2) (7)</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5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Cash Basis %</w:t>
            </w:r>
          </w:p>
        </w:tc>
        <w:tc>
          <w:tcPr>
            <w:tcW w:w="8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Straight-lined</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78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 of Comparable</w:t>
            </w: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Prior Rent (4)</w:t>
            </w:r>
          </w:p>
        </w:tc>
        <w:tc>
          <w:tcPr>
            <w:tcW w:w="9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Annual Increase</w:t>
            </w: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vMerge w:val="restart"/>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7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rPr>
              <w:t>Leases</w:t>
            </w:r>
          </w:p>
        </w:tc>
        <w:tc>
          <w:tcPr>
            <w:tcW w:w="1020" w:type="dxa"/>
            <w:vAlign w:val="bottom"/>
            <w:gridSpan w:val="4"/>
            <w:vMerge w:val="continue"/>
          </w:tcPr>
          <w:p>
            <w:pPr>
              <w:spacing w:after="0"/>
              <w:rPr>
                <w:sz w:val="9"/>
                <w:szCs w:val="9"/>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9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Increase Over</w:t>
            </w:r>
          </w:p>
        </w:tc>
        <w:tc>
          <w:tcPr>
            <w:tcW w:w="94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Basis % Increase</w:t>
            </w: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40" w:type="dxa"/>
            <w:vAlign w:val="bottom"/>
            <w:gridSpan w:val="3"/>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88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0" w:type="dxa"/>
            <w:vAlign w:val="bottom"/>
          </w:tcPr>
          <w:p>
            <w:pPr>
              <w:spacing w:after="0"/>
              <w:rPr>
                <w:sz w:val="1"/>
                <w:szCs w:val="1"/>
                <w:color w:val="auto"/>
              </w:rPr>
            </w:pPr>
          </w:p>
        </w:tc>
      </w:tr>
      <w:tr>
        <w:trPr>
          <w:trHeight w:val="156"/>
        </w:trPr>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Signed</w:t>
            </w:r>
          </w:p>
        </w:tc>
        <w:tc>
          <w:tcPr>
            <w:tcW w:w="102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900" w:type="dxa"/>
            <w:vAlign w:val="bottom"/>
            <w:gridSpan w:val="2"/>
            <w:vMerge w:val="continue"/>
          </w:tcPr>
          <w:p>
            <w:pPr>
              <w:spacing w:after="0"/>
              <w:rPr>
                <w:sz w:val="13"/>
                <w:szCs w:val="13"/>
                <w:color w:val="auto"/>
              </w:rPr>
            </w:pP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Rent (3) PSF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PSF</w:t>
            </w:r>
          </w:p>
        </w:tc>
        <w:tc>
          <w:tcPr>
            <w:tcW w:w="1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in Rent</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Prior Rent</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Over Prior Rent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4th Quarter 2023</w:t>
            </w:r>
          </w:p>
        </w:tc>
        <w:tc>
          <w:tcPr>
            <w:tcW w:w="720" w:type="dxa"/>
            <w:vAlign w:val="bottom"/>
            <w:tcBorders>
              <w:top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55 %</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159,032</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53.12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49.57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564,568</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773,262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195"/>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3rd Quarter 2023</w:t>
            </w:r>
          </w:p>
        </w:tc>
        <w:tc>
          <w:tcPr>
            <w:tcW w:w="72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44 %</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142,190</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52.80</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49.23</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508,035</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313,580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2nd Quarter 2023</w:t>
            </w:r>
          </w:p>
        </w:tc>
        <w:tc>
          <w:tcPr>
            <w:tcW w:w="7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61 %</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447,484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33.15</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644,395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798,850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96"/>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1st Quarter 2023</w:t>
            </w:r>
          </w:p>
        </w:tc>
        <w:tc>
          <w:tcPr>
            <w:tcW w:w="72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60 %</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262,480</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33.92</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29.85</w:t>
            </w:r>
          </w:p>
        </w:tc>
        <w:tc>
          <w:tcPr>
            <w:tcW w:w="100" w:type="dxa"/>
            <w:vAlign w:val="bottom"/>
          </w:tcPr>
          <w:p>
            <w:pPr>
              <w:spacing w:after="0"/>
              <w:rPr>
                <w:sz w:val="17"/>
                <w:szCs w:val="17"/>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1,066,298</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743,860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228"/>
        </w:trPr>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55 %</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1,011,186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36.50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2,783,296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2,629,552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56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Total Lease Summary - Comparable and Non-comparable (2) (8)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78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00" w:type="dxa"/>
            <w:vAlign w:val="bottom"/>
          </w:tcPr>
          <w:p>
            <w:pPr>
              <w:spacing w:after="0"/>
              <w:rPr>
                <w:sz w:val="9"/>
                <w:szCs w:val="9"/>
                <w:color w:val="auto"/>
              </w:rPr>
            </w:pPr>
          </w:p>
        </w:tc>
        <w:tc>
          <w:tcPr>
            <w:tcW w:w="100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 of Comparable</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vMerge w:val="restart"/>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1740" w:type="dxa"/>
            <w:vAlign w:val="bottom"/>
            <w:gridSpan w:val="4"/>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40" w:type="dxa"/>
            <w:vAlign w:val="bottom"/>
            <w:gridSpan w:val="3"/>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88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0" w:type="dxa"/>
            <w:vAlign w:val="bottom"/>
          </w:tcPr>
          <w:p>
            <w:pPr>
              <w:spacing w:after="0"/>
              <w:rPr>
                <w:sz w:val="1"/>
                <w:szCs w:val="1"/>
                <w:color w:val="auto"/>
              </w:rPr>
            </w:pPr>
          </w:p>
        </w:tc>
      </w:tr>
      <w:tr>
        <w:trPr>
          <w:trHeight w:val="155"/>
        </w:trPr>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Leases</w:t>
            </w:r>
          </w:p>
        </w:tc>
        <w:tc>
          <w:tcPr>
            <w:tcW w:w="160" w:type="dxa"/>
            <w:vAlign w:val="bottom"/>
          </w:tcPr>
          <w:p>
            <w:pPr>
              <w:spacing w:after="0"/>
              <w:rPr>
                <w:sz w:val="13"/>
                <w:szCs w:val="13"/>
                <w:color w:val="auto"/>
              </w:rPr>
            </w:pPr>
          </w:p>
        </w:tc>
        <w:tc>
          <w:tcPr>
            <w:tcW w:w="174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Rent (3) PSF</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4th Quarter 2023</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98 %</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398,378</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44.64</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14,057,750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35.29</w:t>
            </w:r>
          </w:p>
        </w:tc>
        <w:tc>
          <w:tcPr>
            <w:tcW w:w="0" w:type="dxa"/>
            <w:vAlign w:val="bottom"/>
          </w:tcPr>
          <w:p>
            <w:pPr>
              <w:spacing w:after="0"/>
              <w:rPr>
                <w:sz w:val="1"/>
                <w:szCs w:val="1"/>
                <w:color w:val="auto"/>
              </w:rPr>
            </w:pPr>
          </w:p>
        </w:tc>
      </w:tr>
      <w:tr>
        <w:trPr>
          <w:trHeight w:val="195"/>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3rd Quarter 2023</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95 %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565,496</w:t>
            </w:r>
          </w:p>
        </w:tc>
        <w:tc>
          <w:tcPr>
            <w:tcW w:w="10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18,301,660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32.36</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2nd Quarter 2023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602,911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35.72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11,511,825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w:t>
            </w:r>
          </w:p>
        </w:tc>
        <w:tc>
          <w:tcPr>
            <w:tcW w:w="0" w:type="dxa"/>
            <w:vAlign w:val="bottom"/>
          </w:tcPr>
          <w:p>
            <w:pPr>
              <w:spacing w:after="0"/>
              <w:rPr>
                <w:sz w:val="1"/>
                <w:szCs w:val="1"/>
                <w:color w:val="auto"/>
              </w:rPr>
            </w:pPr>
          </w:p>
        </w:tc>
      </w:tr>
      <w:tr>
        <w:trPr>
          <w:trHeight w:val="196"/>
        </w:trPr>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1st Quarter 2023</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94 %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color w:val="auto"/>
              </w:rPr>
              <w:t>524,286</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35.05</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20,974,263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40.01</w:t>
            </w:r>
          </w:p>
        </w:tc>
        <w:tc>
          <w:tcPr>
            <w:tcW w:w="0" w:type="dxa"/>
            <w:vAlign w:val="bottom"/>
          </w:tcPr>
          <w:p>
            <w:pPr>
              <w:spacing w:after="0"/>
              <w:rPr>
                <w:sz w:val="1"/>
                <w:szCs w:val="1"/>
                <w:color w:val="auto"/>
              </w:rPr>
            </w:pPr>
          </w:p>
        </w:tc>
      </w:tr>
      <w:tr>
        <w:trPr>
          <w:trHeight w:val="228"/>
        </w:trPr>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96 %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2,091,071</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37.06</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64,845,498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31.01</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60" w:type="dxa"/>
            <w:vAlign w:val="bottom"/>
            <w:gridSpan w:val="18"/>
          </w:tcPr>
          <w:p>
            <w:pPr>
              <w:spacing w:after="0"/>
              <w:rPr>
                <w:sz w:val="20"/>
                <w:szCs w:val="20"/>
                <w:color w:val="auto"/>
              </w:rPr>
            </w:pPr>
            <w:r>
              <w:rPr>
                <w:rFonts w:ascii="Times New Roman" w:cs="Times New Roman" w:eastAsia="Times New Roman" w:hAnsi="Times New Roman"/>
                <w:sz w:val="14"/>
                <w:szCs w:val="14"/>
                <w:b w:val="1"/>
                <w:bCs w:val="1"/>
                <w:color w:val="auto"/>
              </w:rPr>
              <w:t>Total Lease Summary - Comparable, Non-comparable, and Option Exercises (2) (8) (9)</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78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vMerge w:val="restart"/>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40" w:type="dxa"/>
            <w:vAlign w:val="bottom"/>
            <w:gridSpan w:val="4"/>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6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40" w:type="dxa"/>
            <w:vAlign w:val="bottom"/>
            <w:gridSpan w:val="3"/>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88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0" w:type="dxa"/>
            <w:vAlign w:val="bottom"/>
          </w:tcPr>
          <w:p>
            <w:pPr>
              <w:spacing w:after="0"/>
              <w:rPr>
                <w:sz w:val="1"/>
                <w:szCs w:val="1"/>
                <w:color w:val="auto"/>
              </w:rPr>
            </w:pPr>
          </w:p>
        </w:tc>
      </w:tr>
      <w:tr>
        <w:trPr>
          <w:trHeight w:val="155"/>
        </w:trPr>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Rent (3) PSF</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4th Quarter 2023</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696,428</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38.73</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14,057,726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195"/>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3rd Quarter 2023</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1,047,182</w:t>
            </w:r>
          </w:p>
        </w:tc>
        <w:tc>
          <w:tcPr>
            <w:tcW w:w="10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28.19</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18,301,660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2nd Quarter 2023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938,977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31.92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11,511,825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0" w:type="dxa"/>
            <w:vAlign w:val="bottom"/>
          </w:tcPr>
          <w:p>
            <w:pPr>
              <w:spacing w:after="0"/>
              <w:rPr>
                <w:sz w:val="1"/>
                <w:szCs w:val="1"/>
                <w:color w:val="auto"/>
              </w:rPr>
            </w:pPr>
          </w:p>
        </w:tc>
      </w:tr>
      <w:tr>
        <w:trPr>
          <w:trHeight w:val="196"/>
        </w:trPr>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1st Quarter 2023</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color w:val="auto"/>
              </w:rPr>
              <w:t>781,061</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31.50</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20,974,263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0" w:type="dxa"/>
            <w:vAlign w:val="bottom"/>
          </w:tcPr>
          <w:p>
            <w:pPr>
              <w:spacing w:after="0"/>
              <w:rPr>
                <w:sz w:val="1"/>
                <w:szCs w:val="1"/>
                <w:color w:val="auto"/>
              </w:rPr>
            </w:pPr>
          </w:p>
        </w:tc>
      </w:tr>
      <w:tr>
        <w:trPr>
          <w:trHeight w:val="228"/>
        </w:trPr>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3,463,648</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32.06</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64,845,474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42" w:lineRule="exact"/>
        <w:rPr>
          <w:sz w:val="20"/>
          <w:szCs w:val="20"/>
          <w:color w:val="auto"/>
        </w:rPr>
      </w:pPr>
    </w:p>
    <w:p>
      <w:pPr>
        <w:ind w:left="580" w:right="460" w:hanging="567"/>
        <w:spacing w:after="0" w:line="251" w:lineRule="auto"/>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reflects activity in retail spaces only for consolidated properties and Escondido Promenade, which was not consolidated from Q3 2022 through Q1 2023; office and residential spaces are not included. See Glossary of Terms for further discussion of information included above.</w:t>
      </w:r>
    </w:p>
    <w:p>
      <w:pPr>
        <w:ind w:left="580" w:hanging="567"/>
        <w:spacing w:after="0"/>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Comparable leases represent those leases signed on spaces for which there was a former tenant. Contractual option exercises are not included unless they are fair market value options.</w:t>
      </w:r>
    </w:p>
    <w:p>
      <w:pPr>
        <w:spacing w:after="0" w:line="41" w:lineRule="exact"/>
        <w:rPr>
          <w:rFonts w:ascii="Times New Roman" w:cs="Times New Roman" w:eastAsia="Times New Roman" w:hAnsi="Times New Roman"/>
          <w:sz w:val="14"/>
          <w:szCs w:val="14"/>
          <w:color w:val="auto"/>
        </w:rPr>
      </w:pPr>
    </w:p>
    <w:p>
      <w:pPr>
        <w:ind w:left="580" w:hanging="567"/>
        <w:spacing w:after="0"/>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Contractual rent represents annual rent under the new lease.</w:t>
      </w:r>
    </w:p>
    <w:p>
      <w:pPr>
        <w:spacing w:after="0" w:line="41" w:lineRule="exact"/>
        <w:rPr>
          <w:rFonts w:ascii="Times New Roman" w:cs="Times New Roman" w:eastAsia="Times New Roman" w:hAnsi="Times New Roman"/>
          <w:sz w:val="14"/>
          <w:szCs w:val="14"/>
          <w:color w:val="auto"/>
        </w:rPr>
      </w:pPr>
    </w:p>
    <w:p>
      <w:pPr>
        <w:ind w:left="580" w:hanging="567"/>
        <w:spacing w:after="0"/>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rent represents contractual rent, including percentage rent, from the prior tenant in the final 12 months of the term.</w:t>
      </w:r>
    </w:p>
    <w:p>
      <w:pPr>
        <w:spacing w:after="0" w:line="41" w:lineRule="exact"/>
        <w:rPr>
          <w:rFonts w:ascii="Times New Roman" w:cs="Times New Roman" w:eastAsia="Times New Roman" w:hAnsi="Times New Roman"/>
          <w:sz w:val="14"/>
          <w:szCs w:val="14"/>
          <w:color w:val="auto"/>
        </w:rPr>
      </w:pPr>
    </w:p>
    <w:p>
      <w:pPr>
        <w:ind w:left="580" w:hanging="567"/>
        <w:spacing w:after="0"/>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is determined on the basis of contractual rent for the lease.</w:t>
      </w:r>
    </w:p>
    <w:p>
      <w:pPr>
        <w:spacing w:after="0" w:line="41" w:lineRule="exact"/>
        <w:rPr>
          <w:rFonts w:ascii="Times New Roman" w:cs="Times New Roman" w:eastAsia="Times New Roman" w:hAnsi="Times New Roman"/>
          <w:sz w:val="14"/>
          <w:szCs w:val="14"/>
          <w:color w:val="auto"/>
        </w:rPr>
      </w:pPr>
    </w:p>
    <w:p>
      <w:pPr>
        <w:ind w:left="580" w:hanging="567"/>
        <w:spacing w:after="0"/>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Glossary of Terms.</w:t>
      </w:r>
    </w:p>
    <w:p>
      <w:pPr>
        <w:spacing w:after="0" w:line="41" w:lineRule="exact"/>
        <w:rPr>
          <w:rFonts w:ascii="Times New Roman" w:cs="Times New Roman" w:eastAsia="Times New Roman" w:hAnsi="Times New Roman"/>
          <w:sz w:val="14"/>
          <w:szCs w:val="14"/>
          <w:color w:val="auto"/>
        </w:rPr>
      </w:pPr>
    </w:p>
    <w:p>
      <w:pPr>
        <w:ind w:left="580" w:hanging="567"/>
        <w:spacing w:after="0"/>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Renewal leases represent expiring leases rolling over with the same tenant in the same location. All other leases are categorized as new.</w:t>
      </w:r>
    </w:p>
    <w:p>
      <w:pPr>
        <w:spacing w:after="0" w:line="41" w:lineRule="exact"/>
        <w:rPr>
          <w:rFonts w:ascii="Times New Roman" w:cs="Times New Roman" w:eastAsia="Times New Roman" w:hAnsi="Times New Roman"/>
          <w:sz w:val="14"/>
          <w:szCs w:val="14"/>
          <w:color w:val="auto"/>
        </w:rPr>
      </w:pPr>
    </w:p>
    <w:p>
      <w:pPr>
        <w:ind w:left="580" w:right="80" w:hanging="567"/>
        <w:spacing w:after="0" w:line="241" w:lineRule="auto"/>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Leases Signed, GLA Signed, Contractual Rent Per Sq. Ft. and Weighted Average Lease Term columns include information for leases signed at Phase III of both of our Assembly Row and Pike &amp; Rose projects and Phase IV of Pike &amp; Rose. The Tenant Improvements &amp; Incentives and Tenant Improvements &amp; Incentives Per Sq. Ft. columns do not include the tenant improvements and incentives on leases signed for those projects; these amounts for leases signed are included in the projected costs for the respective projects.</w:t>
      </w:r>
    </w:p>
    <w:p>
      <w:pPr>
        <w:spacing w:after="0" w:line="1" w:lineRule="exact"/>
        <w:rPr>
          <w:rFonts w:ascii="Times New Roman" w:cs="Times New Roman" w:eastAsia="Times New Roman" w:hAnsi="Times New Roman"/>
          <w:sz w:val="14"/>
          <w:szCs w:val="14"/>
          <w:color w:val="auto"/>
        </w:rPr>
      </w:pPr>
    </w:p>
    <w:p>
      <w:pPr>
        <w:ind w:left="580" w:hanging="567"/>
        <w:spacing w:after="0"/>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exercises reflect a fixed rate contractual option under the lease agreement that was exercised during the period reflected.</w:t>
      </w:r>
    </w:p>
    <w:p>
      <w:pPr>
        <w:sectPr>
          <w:pgSz w:w="11900" w:h="16838" w:orient="portrait"/>
          <w:cols w:equalWidth="0" w:num="1">
            <w:col w:w="11180"/>
          </w:cols>
          <w:pgMar w:left="360" w:top="704" w:right="359"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80"/>
          </w:cols>
          <w:pgMar w:left="360" w:top="704" w:right="359" w:bottom="1440" w:gutter="0" w:footer="0" w:header="0"/>
          <w:type w:val="continuous"/>
        </w:sectPr>
      </w:pPr>
    </w:p>
    <w:bookmarkStart w:id="27" w:name="page28"/>
    <w:bookmarkEnd w:id="27"/>
    <w:p>
      <w:pPr>
        <w:ind w:left="1"/>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Lease Expirations</w:t>
      </w:r>
    </w:p>
    <w:p>
      <w:pPr>
        <w:spacing w:after="0" w:line="2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68287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82875" cy="154305"/>
                    </a:xfrm>
                    <a:prstGeom prst="rect">
                      <a:avLst/>
                    </a:prstGeom>
                    <a:noFill/>
                  </pic:spPr>
                </pic:pic>
              </a:graphicData>
            </a:graphic>
          </wp:anchor>
        </w:drawing>
      </w:r>
    </w:p>
    <w:p>
      <w:pPr>
        <w:spacing w:after="0" w:line="230" w:lineRule="exact"/>
        <w:rPr>
          <w:sz w:val="20"/>
          <w:szCs w:val="20"/>
          <w:color w:val="auto"/>
        </w:rPr>
      </w:pPr>
    </w:p>
    <w:p>
      <w:pPr>
        <w:ind w:left="21"/>
        <w:spacing w:after="0"/>
        <w:rPr>
          <w:sz w:val="20"/>
          <w:szCs w:val="20"/>
          <w:color w:val="auto"/>
        </w:rPr>
      </w:pPr>
      <w:r>
        <w:rPr>
          <w:rFonts w:ascii="Times New Roman" w:cs="Times New Roman" w:eastAsia="Times New Roman" w:hAnsi="Times New Roman"/>
          <w:sz w:val="16"/>
          <w:szCs w:val="16"/>
          <w:b w:val="1"/>
          <w:bCs w:val="1"/>
          <w:color w:val="auto"/>
        </w:rPr>
        <w:t>Assumes no exercise of lease options</w:t>
      </w:r>
    </w:p>
    <w:p>
      <w:pPr>
        <w:spacing w:after="0" w:line="118" w:lineRule="exact"/>
        <w:rPr>
          <w:sz w:val="20"/>
          <w:szCs w:val="20"/>
          <w:color w:val="auto"/>
        </w:rPr>
      </w:pPr>
    </w:p>
    <w:tbl>
      <w:tblPr>
        <w:tblLayout w:type="fixed"/>
        <w:tblInd w:w="11"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Anchor Tenants (1)</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Small Shop Tenants</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0" w:type="dxa"/>
            <w:vAlign w:val="bottom"/>
            <w:tcBorders>
              <w:top w:val="single" w:sz="8" w:color="auto"/>
            </w:tcBorders>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Anchor</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20" w:type="dxa"/>
            <w:vAlign w:val="bottom"/>
          </w:tcPr>
          <w:p>
            <w:pPr>
              <w:spacing w:after="0"/>
              <w:rPr>
                <w:sz w:val="11"/>
                <w:szCs w:val="11"/>
                <w:color w:val="auto"/>
              </w:rPr>
            </w:pPr>
          </w:p>
        </w:tc>
        <w:tc>
          <w:tcPr>
            <w:tcW w:w="1240" w:type="dxa"/>
            <w:vAlign w:val="bottom"/>
            <w:tcBorders>
              <w:top w:val="single" w:sz="8" w:color="auto"/>
            </w:tcBorders>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Small</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40" w:type="dxa"/>
            <w:vAlign w:val="bottom"/>
          </w:tcPr>
          <w:p>
            <w:pPr>
              <w:spacing w:after="0"/>
              <w:rPr>
                <w:sz w:val="11"/>
                <w:szCs w:val="11"/>
                <w:color w:val="auto"/>
              </w:rPr>
            </w:pPr>
          </w:p>
        </w:tc>
        <w:tc>
          <w:tcPr>
            <w:tcW w:w="1300" w:type="dxa"/>
            <w:vAlign w:val="bottom"/>
            <w:tcBorders>
              <w:top w:val="single" w:sz="8" w:color="auto"/>
            </w:tcBorders>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Expiring SF (4)</w:t>
            </w:r>
          </w:p>
        </w:tc>
        <w:tc>
          <w:tcPr>
            <w:tcW w:w="860" w:type="dxa"/>
            <w:vAlign w:val="bottom"/>
            <w:tcBorders>
              <w:top w:val="single" w:sz="8" w:color="auto"/>
            </w:tcBorders>
          </w:tcPr>
          <w:p>
            <w:pPr>
              <w:jc w:val="right"/>
              <w:ind w:right="41"/>
              <w:spacing w:after="0" w:line="12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0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0" w:type="dxa"/>
            <w:vAlign w:val="bottom"/>
          </w:tcPr>
          <w:p>
            <w:pPr>
              <w:spacing w:after="0"/>
              <w:rPr>
                <w:sz w:val="1"/>
                <w:szCs w:val="1"/>
                <w:color w:val="auto"/>
              </w:rPr>
            </w:pPr>
          </w:p>
        </w:tc>
      </w:tr>
      <w:tr>
        <w:trPr>
          <w:trHeight w:val="196"/>
        </w:trPr>
        <w:tc>
          <w:tcPr>
            <w:tcW w:w="9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240" w:type="dxa"/>
            <w:vAlign w:val="bottom"/>
            <w:vMerge w:val="continue"/>
          </w:tcPr>
          <w:p>
            <w:pPr>
              <w:spacing w:after="0"/>
              <w:rPr>
                <w:sz w:val="17"/>
                <w:szCs w:val="17"/>
                <w:color w:val="auto"/>
              </w:rPr>
            </w:pPr>
          </w:p>
        </w:tc>
        <w:tc>
          <w:tcPr>
            <w:tcW w:w="10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Shop SF</w:t>
            </w: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300" w:type="dxa"/>
            <w:vAlign w:val="bottom"/>
            <w:vMerge w:val="continue"/>
          </w:tcPr>
          <w:p>
            <w:pPr>
              <w:spacing w:after="0"/>
              <w:rPr>
                <w:sz w:val="17"/>
                <w:szCs w:val="17"/>
                <w:color w:val="auto"/>
              </w:rPr>
            </w:pPr>
          </w:p>
        </w:tc>
        <w:tc>
          <w:tcPr>
            <w:tcW w:w="8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SF</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PSF (2)</w:t>
            </w:r>
          </w:p>
        </w:tc>
        <w:tc>
          <w:tcPr>
            <w:tcW w:w="0" w:type="dxa"/>
            <w:vAlign w:val="bottom"/>
          </w:tcPr>
          <w:p>
            <w:pPr>
              <w:spacing w:after="0"/>
              <w:rPr>
                <w:sz w:val="1"/>
                <w:szCs w:val="1"/>
                <w:color w:val="auto"/>
              </w:rPr>
            </w:pPr>
          </w:p>
        </w:tc>
      </w:tr>
      <w:tr>
        <w:trPr>
          <w:trHeight w:val="216"/>
        </w:trPr>
        <w:tc>
          <w:tcPr>
            <w:tcW w:w="9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1,132,000</w:t>
            </w:r>
          </w:p>
        </w:tc>
        <w:tc>
          <w:tcPr>
            <w:tcW w:w="102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7 %</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749,000</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$43.20</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1,881,000</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8 %</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1,141,000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$41.51</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3,400,000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1,174,000</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7 %</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943,000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$49.21</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2,118,000</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$26.03</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1,017,000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$51.16</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3,003,000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$34.54</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1,666,000</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10 %</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1,024,000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$51.83</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2,689,000</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2029</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898,000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$48.13</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2,942,000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789,000</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5 %</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376,000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$51.94</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1,165,000</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$25.27</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453,000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$46.35</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1,165,000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$33.48</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1,649,000</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10 %</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580,000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$46.78</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2,228,000</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$33.85</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465,000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$46.27</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1,374,000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0" w:type="dxa"/>
            <w:vAlign w:val="bottom"/>
          </w:tcPr>
          <w:p>
            <w:pPr>
              <w:spacing w:after="0"/>
              <w:rPr>
                <w:sz w:val="1"/>
                <w:szCs w:val="1"/>
                <w:color w:val="auto"/>
              </w:rPr>
            </w:pPr>
          </w:p>
        </w:tc>
      </w:tr>
      <w:tr>
        <w:trPr>
          <w:trHeight w:val="216"/>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1,750,000</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11 %</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300,000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$48.39</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2,049,000</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w:t>
            </w:r>
          </w:p>
        </w:tc>
        <w:tc>
          <w:tcPr>
            <w:tcW w:w="0" w:type="dxa"/>
            <w:vAlign w:val="bottom"/>
          </w:tcPr>
          <w:p>
            <w:pPr>
              <w:spacing w:after="0"/>
              <w:rPr>
                <w:sz w:val="1"/>
                <w:szCs w:val="1"/>
                <w:color w:val="auto"/>
              </w:rPr>
            </w:pPr>
          </w:p>
        </w:tc>
      </w:tr>
      <w:tr>
        <w:trPr>
          <w:trHeight w:val="211"/>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16,068,000</w:t>
            </w: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$23.69</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7,946,000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$47.59</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24,014,000</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100 %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9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200" w:type="dxa"/>
            <w:vAlign w:val="bottom"/>
            <w:tcBorders>
              <w:left w:val="single" w:sz="8" w:color="auto"/>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Assumes all lease options are exercised</w:t>
            </w:r>
          </w:p>
        </w:tc>
        <w:tc>
          <w:tcPr>
            <w:tcW w:w="102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980" w:type="dxa"/>
            <w:vAlign w:val="bottom"/>
          </w:tcPr>
          <w:p>
            <w:pPr>
              <w:spacing w:after="0"/>
              <w:rPr>
                <w:sz w:val="22"/>
                <w:szCs w:val="22"/>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Anchor Tenants (1)</w:t>
            </w: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Small Shop Tenants</w:t>
            </w: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0" w:type="dxa"/>
            <w:vAlign w:val="bottom"/>
            <w:tcBorders>
              <w:top w:val="single" w:sz="8" w:color="auto"/>
            </w:tcBorders>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Anchor</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20" w:type="dxa"/>
            <w:vAlign w:val="bottom"/>
          </w:tcPr>
          <w:p>
            <w:pPr>
              <w:spacing w:after="0"/>
              <w:rPr>
                <w:sz w:val="11"/>
                <w:szCs w:val="11"/>
                <w:color w:val="auto"/>
              </w:rPr>
            </w:pPr>
          </w:p>
        </w:tc>
        <w:tc>
          <w:tcPr>
            <w:tcW w:w="1240" w:type="dxa"/>
            <w:vAlign w:val="bottom"/>
            <w:tcBorders>
              <w:top w:val="single" w:sz="8" w:color="auto"/>
            </w:tcBorders>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Small</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40" w:type="dxa"/>
            <w:vAlign w:val="bottom"/>
          </w:tcPr>
          <w:p>
            <w:pPr>
              <w:spacing w:after="0"/>
              <w:rPr>
                <w:sz w:val="11"/>
                <w:szCs w:val="11"/>
                <w:color w:val="auto"/>
              </w:rPr>
            </w:pPr>
          </w:p>
        </w:tc>
        <w:tc>
          <w:tcPr>
            <w:tcW w:w="1300" w:type="dxa"/>
            <w:vAlign w:val="bottom"/>
            <w:tcBorders>
              <w:top w:val="single" w:sz="8" w:color="auto"/>
            </w:tcBorders>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Expiring SF (4)</w:t>
            </w:r>
          </w:p>
        </w:tc>
        <w:tc>
          <w:tcPr>
            <w:tcW w:w="860" w:type="dxa"/>
            <w:vAlign w:val="bottom"/>
            <w:tcBorders>
              <w:top w:val="single" w:sz="8" w:color="auto"/>
            </w:tcBorders>
          </w:tcPr>
          <w:p>
            <w:pPr>
              <w:jc w:val="right"/>
              <w:ind w:right="41"/>
              <w:spacing w:after="0" w:line="12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0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0" w:type="dxa"/>
            <w:vAlign w:val="bottom"/>
          </w:tcPr>
          <w:p>
            <w:pPr>
              <w:spacing w:after="0"/>
              <w:rPr>
                <w:sz w:val="1"/>
                <w:szCs w:val="1"/>
                <w:color w:val="auto"/>
              </w:rPr>
            </w:pPr>
          </w:p>
        </w:tc>
      </w:tr>
      <w:tr>
        <w:trPr>
          <w:trHeight w:val="196"/>
        </w:trPr>
        <w:tc>
          <w:tcPr>
            <w:tcW w:w="9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240" w:type="dxa"/>
            <w:vAlign w:val="bottom"/>
            <w:vMerge w:val="continue"/>
          </w:tcPr>
          <w:p>
            <w:pPr>
              <w:spacing w:after="0"/>
              <w:rPr>
                <w:sz w:val="17"/>
                <w:szCs w:val="17"/>
                <w:color w:val="auto"/>
              </w:rPr>
            </w:pPr>
          </w:p>
        </w:tc>
        <w:tc>
          <w:tcPr>
            <w:tcW w:w="10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Shop SF</w:t>
            </w: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300" w:type="dxa"/>
            <w:vAlign w:val="bottom"/>
            <w:vMerge w:val="continue"/>
          </w:tcPr>
          <w:p>
            <w:pPr>
              <w:spacing w:after="0"/>
              <w:rPr>
                <w:sz w:val="17"/>
                <w:szCs w:val="17"/>
                <w:color w:val="auto"/>
              </w:rPr>
            </w:pPr>
          </w:p>
        </w:tc>
        <w:tc>
          <w:tcPr>
            <w:tcW w:w="8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SF</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PSF (2)</w:t>
            </w:r>
          </w:p>
        </w:tc>
        <w:tc>
          <w:tcPr>
            <w:tcW w:w="0" w:type="dxa"/>
            <w:vAlign w:val="bottom"/>
          </w:tcPr>
          <w:p>
            <w:pPr>
              <w:spacing w:after="0"/>
              <w:rPr>
                <w:sz w:val="1"/>
                <w:szCs w:val="1"/>
                <w:color w:val="auto"/>
              </w:rPr>
            </w:pPr>
          </w:p>
        </w:tc>
      </w:tr>
      <w:tr>
        <w:trPr>
          <w:trHeight w:val="216"/>
        </w:trPr>
        <w:tc>
          <w:tcPr>
            <w:tcW w:w="9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831,000</w:t>
            </w:r>
          </w:p>
        </w:tc>
        <w:tc>
          <w:tcPr>
            <w:tcW w:w="102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5 %</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664,000</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1,495,000</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6 %</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754,000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$39.60</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1,592,000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359,000</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3 %</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552,000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$48.95</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911,000</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$40.89</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535,000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$50.25</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1,006,000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464,000</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3 %</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549,000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$47.59</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1,014,000</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$34.86</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2029</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$24.11</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514,000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$47.78</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1,179,000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$34.44</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477,000</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3 %</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410,000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$49.28</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887,000</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$35.64</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380,000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$49.98</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736,000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$35.78</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345,000</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2 %</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464,000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$52.35</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809,000</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316,000</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$24.28</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450,000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$56.71</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766,000</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$43.34</w:t>
            </w:r>
          </w:p>
        </w:tc>
        <w:tc>
          <w:tcPr>
            <w:tcW w:w="0" w:type="dxa"/>
            <w:vAlign w:val="bottom"/>
          </w:tcPr>
          <w:p>
            <w:pPr>
              <w:spacing w:after="0"/>
              <w:rPr>
                <w:sz w:val="1"/>
                <w:szCs w:val="1"/>
                <w:color w:val="auto"/>
              </w:rPr>
            </w:pPr>
          </w:p>
        </w:tc>
      </w:tr>
      <w:tr>
        <w:trPr>
          <w:trHeight w:val="216"/>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10,946,000</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68 %</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2,674,000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$47.29</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13,619,000</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0" w:type="dxa"/>
            <w:vAlign w:val="bottom"/>
          </w:tcPr>
          <w:p>
            <w:pPr>
              <w:spacing w:after="0"/>
              <w:rPr>
                <w:sz w:val="1"/>
                <w:szCs w:val="1"/>
                <w:color w:val="auto"/>
              </w:rPr>
            </w:pPr>
          </w:p>
        </w:tc>
      </w:tr>
      <w:tr>
        <w:trPr>
          <w:trHeight w:val="211"/>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16,068,000</w:t>
            </w: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$23.69</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7,946,000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$47.59</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24,014,000</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100 %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32" w:lineRule="exact"/>
        <w:rPr>
          <w:sz w:val="20"/>
          <w:szCs w:val="20"/>
          <w:color w:val="auto"/>
        </w:rPr>
      </w:pPr>
    </w:p>
    <w:p>
      <w:pPr>
        <w:ind w:left="781" w:hanging="781"/>
        <w:spacing w:after="0"/>
        <w:tabs>
          <w:tab w:leader="none" w:pos="78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Anchor is defined as a commercial tenant leasing 10,000 square feet or more.</w:t>
      </w:r>
    </w:p>
    <w:p>
      <w:pPr>
        <w:spacing w:after="0" w:line="32" w:lineRule="exact"/>
        <w:rPr>
          <w:rFonts w:ascii="Times New Roman" w:cs="Times New Roman" w:eastAsia="Times New Roman" w:hAnsi="Times New Roman"/>
          <w:sz w:val="16"/>
          <w:szCs w:val="16"/>
          <w:color w:val="auto"/>
        </w:rPr>
      </w:pPr>
    </w:p>
    <w:p>
      <w:pPr>
        <w:ind w:left="781" w:right="180" w:hanging="781"/>
        <w:spacing w:after="0" w:line="245" w:lineRule="auto"/>
        <w:tabs>
          <w:tab w:leader="none" w:pos="78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Minimum Rent reflects in-place contractual (defined as rents on a cash-basis without taking the impacts of rent abatements into account) rent as of December 31, 2023.</w:t>
      </w:r>
    </w:p>
    <w:p>
      <w:pPr>
        <w:spacing w:after="0" w:line="2" w:lineRule="exact"/>
        <w:rPr>
          <w:rFonts w:ascii="Times New Roman" w:cs="Times New Roman" w:eastAsia="Times New Roman" w:hAnsi="Times New Roman"/>
          <w:sz w:val="16"/>
          <w:szCs w:val="16"/>
          <w:color w:val="auto"/>
        </w:rPr>
      </w:pPr>
    </w:p>
    <w:p>
      <w:pPr>
        <w:ind w:left="781" w:hanging="781"/>
        <w:spacing w:after="0"/>
        <w:tabs>
          <w:tab w:leader="none" w:pos="78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occupied square footage of the commercial portion of our portfolio as of December 31, 2023.</w:t>
      </w:r>
    </w:p>
    <w:p>
      <w:pPr>
        <w:spacing w:after="0" w:line="32" w:lineRule="exact"/>
        <w:rPr>
          <w:rFonts w:ascii="Times New Roman" w:cs="Times New Roman" w:eastAsia="Times New Roman" w:hAnsi="Times New Roman"/>
          <w:sz w:val="16"/>
          <w:szCs w:val="16"/>
          <w:color w:val="auto"/>
        </w:rPr>
      </w:pPr>
    </w:p>
    <w:p>
      <w:pPr>
        <w:ind w:left="781" w:hanging="781"/>
        <w:spacing w:after="0"/>
        <w:tabs>
          <w:tab w:leader="none" w:pos="78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81"/>
          </w:cols>
          <w:pgMar w:left="359" w:top="1022" w:right="359"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Portfolio Leased Statistics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60" w:type="dxa"/>
            <w:vAlign w:val="bottom"/>
            <w:tcBorders>
              <w:bottom w:val="single" w:sz="8" w:color="auto"/>
            </w:tcBorders>
          </w:tcPr>
          <w:p>
            <w:pPr>
              <w:spacing w:after="0"/>
              <w:rPr>
                <w:sz w:val="18"/>
                <w:szCs w:val="18"/>
                <w:color w:val="auto"/>
              </w:rPr>
            </w:pPr>
          </w:p>
        </w:tc>
      </w:tr>
      <w:tr>
        <w:trPr>
          <w:trHeight w:val="209"/>
        </w:trPr>
        <w:tc>
          <w:tcPr>
            <w:tcW w:w="5460" w:type="dxa"/>
            <w:vAlign w:val="bottom"/>
          </w:tcPr>
          <w:p>
            <w:pPr>
              <w:spacing w:after="0"/>
              <w:rPr>
                <w:sz w:val="18"/>
                <w:szCs w:val="18"/>
                <w:color w:val="auto"/>
              </w:rPr>
            </w:pPr>
          </w:p>
        </w:tc>
        <w:tc>
          <w:tcPr>
            <w:tcW w:w="19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8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410"/>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Properties</w:t>
            </w:r>
          </w:p>
        </w:tc>
        <w:tc>
          <w:tcPr>
            <w:tcW w:w="1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r>
      <w:tr>
        <w:trPr>
          <w:trHeight w:val="327"/>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Overall Portfolio (1)(2)</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Leasable Area (GLA)</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26,039,000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26,093,000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25,810,000</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94.5 %</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Occupied %</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92.8 %</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 - anchor tenants</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96.9 %</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 - small shop tenants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90.0 %</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Active commercial tenant leases</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w:t>
            </w:r>
          </w:p>
        </w:tc>
      </w:tr>
      <w:tr>
        <w:trPr>
          <w:trHeight w:val="219"/>
        </w:trPr>
        <w:tc>
          <w:tcPr>
            <w:tcW w:w="54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14"/>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Comparable Properties (1)</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GLA</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24,538,000</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24,593,000</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24,578,000</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94.4 %</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Occupied %</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92.7 %</w:t>
            </w:r>
          </w:p>
        </w:tc>
      </w:tr>
      <w:tr>
        <w:trPr>
          <w:trHeight w:val="467"/>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Properties</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27"/>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Overall Portfolio (1)(2)</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units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3,039</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95.7 %</w:t>
            </w:r>
          </w:p>
        </w:tc>
      </w:tr>
      <w:tr>
        <w:trPr>
          <w:trHeight w:val="219"/>
        </w:trPr>
        <w:tc>
          <w:tcPr>
            <w:tcW w:w="54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14"/>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Comparable Properties (1)</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units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w:t>
            </w:r>
          </w:p>
        </w:tc>
      </w:tr>
      <w:tr>
        <w:trPr>
          <w:trHeight w:val="210"/>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96.3 %</w:t>
            </w:r>
          </w:p>
        </w:tc>
      </w:tr>
    </w:tbl>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32" w:lineRule="exact"/>
        <w:rPr>
          <w:sz w:val="20"/>
          <w:szCs w:val="20"/>
          <w:color w:val="auto"/>
        </w:rPr>
      </w:pPr>
    </w:p>
    <w:p>
      <w:pPr>
        <w:ind w:left="800" w:hanging="774"/>
        <w:spacing w:after="0"/>
        <w:tabs>
          <w:tab w:leader="none" w:pos="8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32" w:lineRule="exact"/>
        <w:rPr>
          <w:rFonts w:ascii="Times New Roman" w:cs="Times New Roman" w:eastAsia="Times New Roman" w:hAnsi="Times New Roman"/>
          <w:sz w:val="16"/>
          <w:szCs w:val="16"/>
          <w:color w:val="auto"/>
        </w:rPr>
      </w:pPr>
    </w:p>
    <w:p>
      <w:pPr>
        <w:ind w:left="800" w:hanging="774"/>
        <w:spacing w:after="0"/>
        <w:tabs>
          <w:tab w:leader="none" w:pos="8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redevelopment square footage and residential units not yet placed in service.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92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Top 25 Tenants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700" w:type="dxa"/>
            <w:vAlign w:val="bottom"/>
            <w:vMerge w:val="restart"/>
          </w:tcPr>
          <w:p>
            <w:pPr>
              <w:jc w:val="center"/>
              <w:ind w:left="80"/>
              <w:spacing w:after="0"/>
              <w:rPr>
                <w:sz w:val="20"/>
                <w:szCs w:val="20"/>
                <w:color w:val="auto"/>
              </w:rPr>
            </w:pPr>
            <w:r>
              <w:rPr>
                <w:rFonts w:ascii="Times New Roman" w:cs="Times New Roman" w:eastAsia="Times New Roman" w:hAnsi="Times New Roman"/>
                <w:sz w:val="14"/>
                <w:szCs w:val="14"/>
                <w:b w:val="1"/>
                <w:bCs w:val="1"/>
                <w:color w:val="auto"/>
              </w:rPr>
              <w:t>Credit Ratings</w:t>
            </w: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Percentage of Total</w:t>
            </w:r>
          </w:p>
        </w:tc>
        <w:tc>
          <w:tcPr>
            <w:tcW w:w="960" w:type="dxa"/>
            <w:vAlign w:val="bottom"/>
          </w:tcPr>
          <w:p>
            <w:pPr>
              <w:spacing w:after="0"/>
              <w:rPr>
                <w:sz w:val="13"/>
                <w:szCs w:val="13"/>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Rank</w:t>
            </w:r>
          </w:p>
        </w:tc>
        <w:tc>
          <w:tcPr>
            <w:tcW w:w="2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Tenant Name</w:t>
            </w:r>
          </w:p>
        </w:tc>
        <w:tc>
          <w:tcPr>
            <w:tcW w:w="17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60" w:type="dxa"/>
            <w:vAlign w:val="bottom"/>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Annualized Base Rent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Tenant GLA</w:t>
            </w:r>
          </w:p>
        </w:tc>
        <w:tc>
          <w:tcPr>
            <w:tcW w:w="1320" w:type="dxa"/>
            <w:vAlign w:val="bottom"/>
            <w:vMerge w:val="continue"/>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Locations</w:t>
            </w:r>
          </w:p>
        </w:tc>
        <w:tc>
          <w:tcPr>
            <w:tcW w:w="0" w:type="dxa"/>
            <w:vAlign w:val="bottom"/>
          </w:tcPr>
          <w:p>
            <w:pPr>
              <w:spacing w:after="0"/>
              <w:rPr>
                <w:sz w:val="1"/>
                <w:szCs w:val="1"/>
                <w:color w:val="auto"/>
              </w:rPr>
            </w:pPr>
          </w:p>
        </w:tc>
      </w:tr>
      <w:tr>
        <w:trPr>
          <w:trHeight w:val="196"/>
        </w:trPr>
        <w:tc>
          <w:tcPr>
            <w:tcW w:w="560" w:type="dxa"/>
            <w:vAlign w:val="bottom"/>
            <w:tcBorders>
              <w:bottom w:val="single" w:sz="8" w:color="auto"/>
            </w:tcBorders>
            <w:vMerge w:val="continue"/>
          </w:tcPr>
          <w:p>
            <w:pPr>
              <w:spacing w:after="0"/>
              <w:rPr>
                <w:sz w:val="17"/>
                <w:szCs w:val="17"/>
                <w:color w:val="auto"/>
              </w:rPr>
            </w:pPr>
          </w:p>
        </w:tc>
        <w:tc>
          <w:tcPr>
            <w:tcW w:w="2720" w:type="dxa"/>
            <w:vAlign w:val="bottom"/>
            <w:tcBorders>
              <w:bottom w:val="single" w:sz="8" w:color="auto"/>
            </w:tcBorders>
            <w:vMerge w:val="continue"/>
          </w:tcPr>
          <w:p>
            <w:pPr>
              <w:spacing w:after="0"/>
              <w:rPr>
                <w:sz w:val="17"/>
                <w:szCs w:val="17"/>
                <w:color w:val="auto"/>
              </w:rPr>
            </w:pPr>
          </w:p>
        </w:tc>
        <w:tc>
          <w:tcPr>
            <w:tcW w:w="3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(S&amp;P/Moody's) (1)   Annualized Base Rent</w:t>
            </w:r>
          </w:p>
        </w:tc>
        <w:tc>
          <w:tcPr>
            <w:tcW w:w="16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w:t>
            </w:r>
          </w:p>
        </w:tc>
        <w:tc>
          <w:tcPr>
            <w:tcW w:w="96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 GLA (3)</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TJX Companies, The</w:t>
            </w:r>
          </w:p>
        </w:tc>
        <w:tc>
          <w:tcPr>
            <w:tcW w:w="170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rPr>
              <w:t>A / A2</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23,443,000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2.71 %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3.97 %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2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Ahold Delhaize</w:t>
            </w:r>
          </w:p>
        </w:tc>
        <w:tc>
          <w:tcPr>
            <w:tcW w:w="170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BBB+ / Baa1</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14,960,000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1.73 %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2.68 %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2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NetApp, Inc.</w:t>
            </w:r>
          </w:p>
        </w:tc>
        <w:tc>
          <w:tcPr>
            <w:tcW w:w="170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rPr>
              <w:t>BBB+ / Baa2</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14,769,000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1.71 %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1.05 %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2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Splunk, Inc.</w:t>
            </w:r>
          </w:p>
        </w:tc>
        <w:tc>
          <w:tcPr>
            <w:tcW w:w="170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w w:val="98"/>
              </w:rPr>
              <w:t>NR / NR</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12,639,000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1.46 %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0.81 %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2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CVS Corporation</w:t>
            </w:r>
          </w:p>
        </w:tc>
        <w:tc>
          <w:tcPr>
            <w:tcW w:w="170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rPr>
              <w:t>BBB / Baa2</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11,225,000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1.30 %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2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Gap, Inc., The</w:t>
            </w:r>
          </w:p>
        </w:tc>
        <w:tc>
          <w:tcPr>
            <w:tcW w:w="170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BB / Ba3</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11,038,000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1.27 %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1.11 %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2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L.A. Fitness International LLC</w:t>
            </w:r>
          </w:p>
        </w:tc>
        <w:tc>
          <w:tcPr>
            <w:tcW w:w="170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rPr>
              <w:t>B- / B3</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10,900,000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1.26 %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1.43 %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62"/>
        </w:trPr>
        <w:tc>
          <w:tcPr>
            <w:tcW w:w="560" w:type="dxa"/>
            <w:vAlign w:val="bottom"/>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8</w:t>
            </w:r>
          </w:p>
        </w:tc>
        <w:tc>
          <w:tcPr>
            <w:tcW w:w="27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Albertsons Companies Inc. (Acme,</w:t>
            </w:r>
          </w:p>
        </w:tc>
        <w:tc>
          <w:tcPr>
            <w:tcW w:w="1700" w:type="dxa"/>
            <w:vAlign w:val="bottom"/>
          </w:tcPr>
          <w:p>
            <w:pPr>
              <w:jc w:val="center"/>
              <w:ind w:left="100"/>
              <w:spacing w:after="0" w:line="162" w:lineRule="exact"/>
              <w:rPr>
                <w:sz w:val="20"/>
                <w:szCs w:val="20"/>
                <w:color w:val="auto"/>
              </w:rPr>
            </w:pPr>
            <w:r>
              <w:rPr>
                <w:rFonts w:ascii="Times New Roman" w:cs="Times New Roman" w:eastAsia="Times New Roman" w:hAnsi="Times New Roman"/>
                <w:sz w:val="16"/>
                <w:szCs w:val="16"/>
                <w:color w:val="auto"/>
                <w:w w:val="99"/>
              </w:rPr>
              <w:t>BB+ / Ba2</w:t>
            </w:r>
          </w:p>
        </w:tc>
        <w:tc>
          <w:tcPr>
            <w:tcW w:w="300" w:type="dxa"/>
            <w:vAlign w:val="bottom"/>
          </w:tcPr>
          <w:p>
            <w:pPr>
              <w:jc w:val="right"/>
              <w:ind w:right="139"/>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8,588,000</w:t>
            </w:r>
          </w:p>
        </w:tc>
        <w:tc>
          <w:tcPr>
            <w:tcW w:w="1660" w:type="dxa"/>
            <w:vAlign w:val="bottom"/>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0.99 %</w:t>
            </w: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568,000</w:t>
            </w:r>
          </w:p>
        </w:tc>
        <w:tc>
          <w:tcPr>
            <w:tcW w:w="1320" w:type="dxa"/>
            <w:vAlign w:val="bottom"/>
          </w:tcPr>
          <w:p>
            <w:pPr>
              <w:jc w:val="right"/>
              <w:ind w:right="100"/>
              <w:spacing w:after="0" w:line="162" w:lineRule="exact"/>
              <w:rPr>
                <w:sz w:val="20"/>
                <w:szCs w:val="20"/>
                <w:color w:val="auto"/>
              </w:rPr>
            </w:pPr>
            <w:r>
              <w:rPr>
                <w:rFonts w:ascii="Times New Roman" w:cs="Times New Roman" w:eastAsia="Times New Roman" w:hAnsi="Times New Roman"/>
                <w:sz w:val="16"/>
                <w:szCs w:val="16"/>
                <w:color w:val="auto"/>
              </w:rPr>
              <w:t>1.96 %</w:t>
            </w: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2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Balducci's, Safeway)</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2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Ross Stores, Inc.</w:t>
            </w:r>
          </w:p>
        </w:tc>
        <w:tc>
          <w:tcPr>
            <w:tcW w:w="170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rPr>
              <w:t>BBB+ / A2</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7,554,000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0.87 %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1.26 %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Home Depot, Inc.</w:t>
            </w:r>
          </w:p>
        </w:tc>
        <w:tc>
          <w:tcPr>
            <w:tcW w:w="170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A / A2</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7,485,000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0.86 %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1.65 %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2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Kroger Co., The</w:t>
            </w:r>
          </w:p>
        </w:tc>
        <w:tc>
          <w:tcPr>
            <w:tcW w:w="170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rPr>
              <w:t>BBB / Baa1</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7,166,000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0.83 %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2.11 %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2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AMC Entertainment Inc.</w:t>
            </w:r>
          </w:p>
        </w:tc>
        <w:tc>
          <w:tcPr>
            <w:tcW w:w="170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CCC+ / Caa2</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7,106,000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0.82 %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0.98 %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2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PUMA North America, Inc.</w:t>
            </w:r>
          </w:p>
        </w:tc>
        <w:tc>
          <w:tcPr>
            <w:tcW w:w="170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w w:val="98"/>
              </w:rPr>
              <w:t>NR / NR</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6,963,000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0.80 %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0.54 %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Dick's Sporting Goods, Inc.</w:t>
            </w:r>
          </w:p>
        </w:tc>
        <w:tc>
          <w:tcPr>
            <w:tcW w:w="170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BBB / Baa3</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6,831,000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0.79 %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1.24 %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Bank of America, N.A.</w:t>
            </w:r>
          </w:p>
        </w:tc>
        <w:tc>
          <w:tcPr>
            <w:tcW w:w="170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w w:val="98"/>
              </w:rPr>
              <w:t>A- / A1</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6,682,000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0.77 %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0.40 %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2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Target Corporation</w:t>
            </w:r>
          </w:p>
        </w:tc>
        <w:tc>
          <w:tcPr>
            <w:tcW w:w="170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A / A2</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6,310,000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0.73 %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2.17 %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2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Ulta Beauty, Inc.</w:t>
            </w:r>
          </w:p>
        </w:tc>
        <w:tc>
          <w:tcPr>
            <w:tcW w:w="170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w w:val="98"/>
              </w:rPr>
              <w:t>NR / NR</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6,292,000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0.73 %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0.63 %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2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Michaels Stores, Inc.</w:t>
            </w:r>
          </w:p>
        </w:tc>
        <w:tc>
          <w:tcPr>
            <w:tcW w:w="170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w w:val="99"/>
              </w:rPr>
              <w:t>CCC+ / B3</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5,774,000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0.67 %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1.09 %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2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Choice Hotels International, Inc.</w:t>
            </w:r>
          </w:p>
        </w:tc>
        <w:tc>
          <w:tcPr>
            <w:tcW w:w="170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rPr>
              <w:t>BBB- / Baa3</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5,588,000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0.65 %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0.38 %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2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Hudson's Bay Company (Saks)</w:t>
            </w:r>
          </w:p>
        </w:tc>
        <w:tc>
          <w:tcPr>
            <w:tcW w:w="170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w w:val="98"/>
              </w:rPr>
              <w:t>NR / NR</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5,155,000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0.60 %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0.35 %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2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Starbucks Corporation</w:t>
            </w:r>
          </w:p>
        </w:tc>
        <w:tc>
          <w:tcPr>
            <w:tcW w:w="170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rPr>
              <w:t>BBB+ / Baa1</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5,007,000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0.58 %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0.25 %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2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Wells Fargo Bank, N.A.</w:t>
            </w:r>
          </w:p>
        </w:tc>
        <w:tc>
          <w:tcPr>
            <w:tcW w:w="170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rPr>
              <w:t>BBB+ / A1</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4,948,000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0.57 %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0.22 %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2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JPMorgan Chase Bank</w:t>
            </w:r>
          </w:p>
        </w:tc>
        <w:tc>
          <w:tcPr>
            <w:tcW w:w="170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w w:val="98"/>
              </w:rPr>
              <w:t>A- / A1</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4,948,000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0.57 %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0.27 %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2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Burlington Stores, Inc.</w:t>
            </w:r>
          </w:p>
        </w:tc>
        <w:tc>
          <w:tcPr>
            <w:tcW w:w="170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w w:val="98"/>
              </w:rPr>
              <w:t>BB+ / NR</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4,939,000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0.57 %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0.97 %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2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DSW, Inc</w:t>
            </w:r>
          </w:p>
        </w:tc>
        <w:tc>
          <w:tcPr>
            <w:tcW w:w="170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w w:val="98"/>
              </w:rPr>
              <w:t>NR / NR</w:t>
            </w: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4,853,000</w:t>
            </w:r>
          </w:p>
        </w:tc>
        <w:tc>
          <w:tcPr>
            <w:tcW w:w="16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0.56 %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216,000</w:t>
            </w:r>
          </w:p>
        </w:tc>
        <w:tc>
          <w:tcPr>
            <w:tcW w:w="13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0.75 %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7"/>
        </w:trPr>
        <w:tc>
          <w:tcPr>
            <w:tcW w:w="560" w:type="dxa"/>
            <w:vAlign w:val="bottom"/>
          </w:tcPr>
          <w:p>
            <w:pPr>
              <w:spacing w:after="0"/>
              <w:rPr>
                <w:sz w:val="17"/>
                <w:szCs w:val="17"/>
                <w:color w:val="auto"/>
              </w:rPr>
            </w:pPr>
          </w:p>
        </w:tc>
        <w:tc>
          <w:tcPr>
            <w:tcW w:w="2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Totals - Top 25 Tenants</w:t>
            </w:r>
          </w:p>
        </w:tc>
        <w:tc>
          <w:tcPr>
            <w:tcW w:w="1700" w:type="dxa"/>
            <w:vAlign w:val="bottom"/>
          </w:tcPr>
          <w:p>
            <w:pPr>
              <w:spacing w:after="0"/>
              <w:rPr>
                <w:sz w:val="17"/>
                <w:szCs w:val="17"/>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211,163,000</w:t>
            </w:r>
          </w:p>
        </w:tc>
        <w:tc>
          <w:tcPr>
            <w:tcW w:w="16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24.39 %</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8,461,000</w:t>
            </w:r>
          </w:p>
        </w:tc>
        <w:tc>
          <w:tcPr>
            <w:tcW w:w="1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29.25 %</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0"/>
        </w:trPr>
        <w:tc>
          <w:tcPr>
            <w:tcW w:w="56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(5):</w:t>
            </w:r>
          </w:p>
        </w:tc>
        <w:tc>
          <w:tcPr>
            <w:tcW w:w="170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865,747,000</w:t>
            </w:r>
          </w:p>
        </w:tc>
        <w:tc>
          <w:tcPr>
            <w:tcW w:w="1660" w:type="dxa"/>
            <w:vAlign w:val="bottom"/>
          </w:tcPr>
          <w:p>
            <w:pPr>
              <w:jc w:val="right"/>
              <w:ind w:right="1380"/>
              <w:spacing w:after="0"/>
              <w:rPr>
                <w:sz w:val="20"/>
                <w:szCs w:val="20"/>
                <w:color w:val="auto"/>
              </w:rPr>
            </w:pPr>
            <w:r>
              <w:rPr>
                <w:rFonts w:ascii="Times New Roman" w:cs="Times New Roman" w:eastAsia="Times New Roman" w:hAnsi="Times New Roman"/>
                <w:sz w:val="16"/>
                <w:szCs w:val="16"/>
                <w:color w:val="auto"/>
                <w:w w:val="96"/>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28,926,000</w:t>
            </w:r>
          </w:p>
        </w:tc>
        <w:tc>
          <w:tcPr>
            <w:tcW w:w="1320" w:type="dxa"/>
            <w:vAlign w:val="bottom"/>
          </w:tcPr>
          <w:p>
            <w:pPr>
              <w:jc w:val="right"/>
              <w:ind w:right="1040"/>
              <w:spacing w:after="0"/>
              <w:rPr>
                <w:sz w:val="20"/>
                <w:szCs w:val="20"/>
                <w:color w:val="auto"/>
              </w:rPr>
            </w:pPr>
            <w:r>
              <w:rPr>
                <w:rFonts w:ascii="Times New Roman" w:cs="Times New Roman" w:eastAsia="Times New Roman" w:hAnsi="Times New Roman"/>
                <w:sz w:val="16"/>
                <w:szCs w:val="16"/>
                <w:color w:val="auto"/>
                <w:w w:val="96"/>
              </w:rPr>
              <w:t>(4)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32" w:lineRule="exact"/>
        <w:rPr>
          <w:sz w:val="20"/>
          <w:szCs w:val="20"/>
          <w:color w:val="auto"/>
        </w:rPr>
      </w:pPr>
    </w:p>
    <w:p>
      <w:pPr>
        <w:ind w:left="620" w:hanging="614"/>
        <w:spacing w:after="0"/>
        <w:tabs>
          <w:tab w:leader="none" w:pos="6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Ratings are as of December 31, 2023. Subsequent rating changes have not been reflected.</w:t>
      </w:r>
    </w:p>
    <w:p>
      <w:pPr>
        <w:spacing w:after="0" w:line="32" w:lineRule="exact"/>
        <w:rPr>
          <w:rFonts w:ascii="Times New Roman" w:cs="Times New Roman" w:eastAsia="Times New Roman" w:hAnsi="Times New Roman"/>
          <w:sz w:val="16"/>
          <w:szCs w:val="16"/>
          <w:color w:val="auto"/>
        </w:rPr>
      </w:pPr>
    </w:p>
    <w:p>
      <w:pPr>
        <w:ind w:left="620" w:hanging="614"/>
        <w:spacing w:after="0"/>
        <w:tabs>
          <w:tab w:leader="none" w:pos="6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32" w:lineRule="exact"/>
        <w:rPr>
          <w:rFonts w:ascii="Times New Roman" w:cs="Times New Roman" w:eastAsia="Times New Roman" w:hAnsi="Times New Roman"/>
          <w:sz w:val="16"/>
          <w:szCs w:val="16"/>
          <w:color w:val="auto"/>
        </w:rPr>
      </w:pPr>
    </w:p>
    <w:p>
      <w:pPr>
        <w:ind w:left="620" w:hanging="614"/>
        <w:spacing w:after="0"/>
        <w:tabs>
          <w:tab w:leader="none" w:pos="6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items may not add up to total due to rounding.</w:t>
      </w:r>
    </w:p>
    <w:p>
      <w:pPr>
        <w:spacing w:after="0" w:line="32" w:lineRule="exact"/>
        <w:rPr>
          <w:rFonts w:ascii="Times New Roman" w:cs="Times New Roman" w:eastAsia="Times New Roman" w:hAnsi="Times New Roman"/>
          <w:sz w:val="16"/>
          <w:szCs w:val="16"/>
          <w:color w:val="auto"/>
        </w:rPr>
      </w:pPr>
    </w:p>
    <w:p>
      <w:pPr>
        <w:ind w:left="620" w:hanging="614"/>
        <w:spacing w:after="0"/>
        <w:tabs>
          <w:tab w:leader="none" w:pos="6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redevelopment square footage not yet placed in service.</w:t>
      </w:r>
    </w:p>
    <w:p>
      <w:pPr>
        <w:spacing w:after="0" w:line="32" w:lineRule="exact"/>
        <w:rPr>
          <w:rFonts w:ascii="Times New Roman" w:cs="Times New Roman" w:eastAsia="Times New Roman" w:hAnsi="Times New Roman"/>
          <w:sz w:val="16"/>
          <w:szCs w:val="16"/>
          <w:color w:val="auto"/>
        </w:rPr>
      </w:pPr>
    </w:p>
    <w:p>
      <w:pPr>
        <w:ind w:left="620" w:hanging="614"/>
        <w:spacing w:after="0"/>
        <w:tabs>
          <w:tab w:leader="none" w:pos="6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Totals reflect both the commercial and residential portions of our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80"/>
          </w:cols>
          <w:pgMar w:left="360" w:top="1022" w:right="359"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FFO Guidance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range of estimated earnings per diluted share to estimated FFO per diluted share for the full year 2024.</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720" w:type="dxa"/>
            <w:vAlign w:val="bottom"/>
            <w:tcBorders>
              <w:top w:val="single" w:sz="8" w:color="auto"/>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Full Year 2024 Guidance Range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46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Low</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High</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net income available to common shareholders, per diluted share</w:t>
            </w:r>
          </w:p>
        </w:tc>
        <w:tc>
          <w:tcPr>
            <w:tcW w:w="156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Estimated depreciation and amortization</w:t>
            </w:r>
          </w:p>
        </w:tc>
        <w:tc>
          <w:tcPr>
            <w:tcW w:w="15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FFO per diluted share</w:t>
            </w:r>
          </w:p>
        </w:tc>
        <w:tc>
          <w:tcPr>
            <w:tcW w:w="1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Note:</w:t>
            </w:r>
          </w:p>
        </w:tc>
        <w:tc>
          <w:tcPr>
            <w:tcW w:w="1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720" w:type="dxa"/>
            <w:vAlign w:val="bottom"/>
            <w:gridSpan w:val="4"/>
            <w:vMerge w:val="continue"/>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See Glossary of Terms. Individual items may not add up to total due to rounding.</w:t>
            </w: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Guidance Assumptions (1):</w:t>
            </w: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4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properties growth</w:t>
            </w:r>
          </w:p>
        </w:tc>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 - 3.5%</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Comparable properties growth excluding prior period rents and lease termination fees</w:t>
            </w:r>
          </w:p>
        </w:tc>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2.5% - 4%</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period rents (2)</w:t>
            </w:r>
          </w:p>
        </w:tc>
        <w:tc>
          <w:tcPr>
            <w:tcW w:w="1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$2 - $3 million</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termination fees</w:t>
            </w:r>
          </w:p>
        </w:tc>
        <w:tc>
          <w:tcPr>
            <w:tcW w:w="1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$4 - $7 million</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Incremental redevelopment/expansion POI (3)</w:t>
            </w:r>
          </w:p>
        </w:tc>
        <w:tc>
          <w:tcPr>
            <w:tcW w:w="1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$9 - $12 million</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8"/>
              </w:rPr>
              <w:t>$48 - $52 million</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Development/redevelopment capital</w:t>
            </w:r>
          </w:p>
        </w:tc>
        <w:tc>
          <w:tcPr>
            <w:tcW w:w="308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$100 - $150 million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1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8"/>
              </w:rPr>
              <w:t>$18 - $21 million</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27" w:lineRule="exact"/>
        <w:rPr>
          <w:sz w:val="20"/>
          <w:szCs w:val="20"/>
          <w:color w:val="auto"/>
        </w:rPr>
      </w:pPr>
    </w:p>
    <w:p>
      <w:pPr>
        <w:ind w:left="480" w:hanging="472"/>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assume the impact of potential acquisitions or dispositions which have not closed as of January 31, 2024.</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amounts which were contractually deferred or payments renegotiated specifically related to the COVID-19 pandemic.</w:t>
      </w:r>
    </w:p>
    <w:p>
      <w:pPr>
        <w:spacing w:after="0" w:line="9" w:lineRule="exact"/>
        <w:rPr>
          <w:rFonts w:ascii="Times New Roman" w:cs="Times New Roman" w:eastAsia="Times New Roman" w:hAnsi="Times New Roman"/>
          <w:sz w:val="18"/>
          <w:szCs w:val="18"/>
          <w:color w:val="auto"/>
        </w:rPr>
      </w:pPr>
    </w:p>
    <w:p>
      <w:pPr>
        <w:ind w:left="500" w:right="140" w:hanging="492"/>
        <w:spacing w:after="0" w:line="260" w:lineRule="auto"/>
        <w:tabs>
          <w:tab w:leader="none" w:pos="4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expected additional POI to be recognized in 2024 compared to the amount recognized in 2023 from all of the redevelopments listed on page 16. Does not include any additional POI from "Active Property Improvement Projects."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927"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3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EBITDA for Real Estate ("EBITDAre"): </w:t>
      </w:r>
      <w:r>
        <w:rPr>
          <w:rFonts w:ascii="Times New Roman" w:cs="Times New Roman" w:eastAsia="Times New Roman" w:hAnsi="Times New Roman"/>
          <w:sz w:val="16"/>
          <w:szCs w:val="16"/>
          <w:color w:val="auto"/>
        </w:rPr>
        <w:t>EBITDAre is a non-GAAP measure that the National Association of Real Estate Investment Trusts ("NAREIT") defines as: net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income computed in accordance with GAAP plus net interest expense, income tax expense, depreciation and amortization, gain or loss on sale of real estate, impairments of real estate and change in control of interest,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months and years ended December 31, 2023 and 2022 is as follows:</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1420" w:type="dxa"/>
            <w:vAlign w:val="bottom"/>
            <w:gridSpan w:val="3"/>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6"/>
                <w:szCs w:val="16"/>
                <w:color w:val="auto"/>
              </w:rPr>
            </w:pPr>
          </w:p>
        </w:tc>
      </w:tr>
      <w:tr>
        <w:trPr>
          <w:trHeight w:val="203"/>
        </w:trPr>
        <w:tc>
          <w:tcPr>
            <w:tcW w:w="5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r>
      <w:tr>
        <w:trPr>
          <w:trHeight w:val="23"/>
        </w:trPr>
        <w:tc>
          <w:tcPr>
            <w:tcW w:w="5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5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2"/>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117,692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247,217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395,661</w:t>
            </w: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42,974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38,282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167,809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136,989</w:t>
            </w: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interest income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w:t>
            </w: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(benefit) provision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w:t>
            </w: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82,421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79,165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321,763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302,409</w:t>
            </w: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deconsolidation of VIE</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(70,374)</w:t>
            </w: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sale of real estate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(63,760)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(93,483)</w:t>
            </w:r>
          </w:p>
        </w:tc>
      </w:tr>
      <w:tr>
        <w:trPr>
          <w:trHeight w:val="216"/>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Adjustments of EBITDAre of unconsolidated affiliates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3,436</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10,306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6,534</w:t>
            </w:r>
          </w:p>
        </w:tc>
      </w:tr>
      <w:tr>
        <w:trPr>
          <w:trHeight w:val="235"/>
        </w:trPr>
        <w:tc>
          <w:tcPr>
            <w:tcW w:w="5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EBITDAre</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184,881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174,251</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732,694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677,320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7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Funds From Operations (FFO): </w:t>
      </w:r>
      <w:r>
        <w:rPr>
          <w:rFonts w:ascii="Times New Roman" w:cs="Times New Roman" w:eastAsia="Times New Roman" w:hAnsi="Times New Roman"/>
          <w:sz w:val="16"/>
          <w:szCs w:val="16"/>
          <w:color w:val="auto"/>
        </w:rPr>
        <w:t>FFO is a supplemental measure of real estate companies' operating performances. NAREIT defines FFO as follows: net income, computed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Property Operating Income: </w:t>
      </w:r>
      <w:r>
        <w:rPr>
          <w:rFonts w:ascii="Times New Roman" w:cs="Times New Roman" w:eastAsia="Times New Roman" w:hAnsi="Times New Roman"/>
          <w:sz w:val="16"/>
          <w:szCs w:val="16"/>
          <w:color w:val="auto"/>
        </w:rPr>
        <w:t>Rental income and mortgage interest income, less rental expenses and real estate taxes.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Overall Portfolio: </w:t>
      </w:r>
      <w:r>
        <w:rPr>
          <w:rFonts w:ascii="Times New Roman" w:cs="Times New Roman" w:eastAsia="Times New Roman" w:hAnsi="Times New Roman"/>
          <w:sz w:val="16"/>
          <w:szCs w:val="16"/>
          <w:color w:val="auto"/>
        </w:rPr>
        <w:t>Includes all operating properties owned in reporting period.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Comparable Properties: </w:t>
      </w:r>
      <w:r>
        <w:rPr>
          <w:rFonts w:ascii="Times New Roman" w:cs="Times New Roman" w:eastAsia="Times New Roman" w:hAnsi="Times New Roman"/>
          <w:sz w:val="16"/>
          <w:szCs w:val="16"/>
          <w:color w:val="auto"/>
        </w:rPr>
        <w:t>Represents our consolidated property portfolio other than those properties that distort comparability between periods in two primary categories:</w:t>
      </w:r>
    </w:p>
    <w:p>
      <w:pPr>
        <w:spacing w:after="0" w:line="25" w:lineRule="exact"/>
        <w:rPr>
          <w:sz w:val="20"/>
          <w:szCs w:val="20"/>
          <w:color w:val="auto"/>
        </w:rPr>
      </w:pPr>
    </w:p>
    <w:p>
      <w:pPr>
        <w:ind w:right="160" w:firstLine="8"/>
        <w:spacing w:after="0" w:line="257" w:lineRule="auto"/>
        <w:tabs>
          <w:tab w:leader="none" w:pos="22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assets that were not owned for the full quarter in both periods presented and (2) assets currently under development or being repositioned for significant redevelopment and investment. Comparable property growth statistics are calculated on a GAAP basis.</w:t>
      </w:r>
    </w:p>
    <w:p>
      <w:pPr>
        <w:spacing w:after="0" w:line="99"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Annualized Base Rent (ABR): </w:t>
      </w:r>
      <w:r>
        <w:rPr>
          <w:rFonts w:ascii="Times New Roman" w:cs="Times New Roman" w:eastAsia="Times New Roman" w:hAnsi="Times New Roman"/>
          <w:sz w:val="16"/>
          <w:szCs w:val="16"/>
          <w:color w:val="auto"/>
        </w:rPr>
        <w:t>Represents aggregate, annualized in-place contractual (defined as rents billed on a cash basis without taking the impact of rent abatements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into account) minimum rent for all occupied spaces as of the reporting period.</w:t>
      </w:r>
    </w:p>
    <w:p>
      <w:pPr>
        <w:spacing w:after="0" w:line="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Retail Leasing Summary - Lease Rollover Calculation: </w:t>
      </w:r>
      <w:r>
        <w:rPr>
          <w:rFonts w:ascii="Times New Roman" w:cs="Times New Roman" w:eastAsia="Times New Roman" w:hAnsi="Times New Roman"/>
          <w:sz w:val="16"/>
          <w:szCs w:val="16"/>
          <w:color w:val="auto"/>
        </w:rPr>
        <w:t>The rental increases associated with comparable spaces generally include all leases signed for retail space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arms-length transactions reflecting market leverage between landlords and tenants during the period, excluding leases at properties sold during the quarter or under contract to be sold. The comparison between the rent for expiring leases and new leases is determined by including contractual rent on the expiring lease, including percentage rent, and the comparable annual rent and in some instances, projections of percentage rent, to be paid on the new lease. In atypical circumstances, management may exercise judgement as to how to most effectively reflect the comparability of rents reported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spacing w:after="0" w:line="84" w:lineRule="exact"/>
        <w:rPr>
          <w:sz w:val="20"/>
          <w:szCs w:val="20"/>
          <w:color w:val="auto"/>
        </w:rPr>
      </w:pPr>
    </w:p>
    <w:p>
      <w:pPr>
        <w:ind w:right="24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Tenant Improvements and Incentives: </w:t>
      </w:r>
      <w:r>
        <w:rPr>
          <w:rFonts w:ascii="Times New Roman" w:cs="Times New Roman" w:eastAsia="Times New Roman" w:hAnsi="Times New Roman"/>
          <w:sz w:val="16"/>
          <w:szCs w:val="16"/>
          <w:color w:val="auto"/>
        </w:rPr>
        <w:t>Represents the total dollars committed for the improvement (fit-out) of a space as it relates to a specific lease. Incentives include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amounts paid to tenants as an inducement to sign a lease that do not represent building improvements.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General: </w:t>
      </w:r>
      <w:r>
        <w:rPr>
          <w:rFonts w:ascii="Times New Roman" w:cs="Times New Roman" w:eastAsia="Times New Roman" w:hAnsi="Times New Roman"/>
          <w:sz w:val="16"/>
          <w:szCs w:val="16"/>
          <w:color w:val="auto"/>
        </w:rPr>
        <w:t>Property related statistics are the for the consolidated property portfolio except where noted.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3"/>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lvl w:ilvl="1">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3"/>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upperLetter"/>
      <w:start w:val="19"/>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2024-02-12T15:19:31Z</dcterms:created>
  <dcterms:modified xsi:type="dcterms:W3CDTF">2024-02-12T15:19:31Z</dcterms:modified>
</cp:coreProperties>
</file>