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-3796030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-3384550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-2844165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-2432685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-2020570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-974725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-562610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251460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20"/>
        <w:spacing w:after="0"/>
        <w:rPr>
          <w:sz w:val="20"/>
          <w:szCs w:val="20"/>
          <w:color w:val="auto"/>
        </w:rPr>
      </w:pPr>
      <w:r>
        <w:rPr>
          <w:rFonts w:ascii="Arial" w:cs="Arial" w:eastAsia="Arial" w:hAnsi="Arial"/>
          <w:sz w:val="15"/>
          <w:szCs w:val="15"/>
          <w:color w:val="auto"/>
        </w:rPr>
        <w:t>March 24, 2011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4, 2011 at 10:00 a.m. This year’s meeting will be held at Woodmont Country Club, 1201 Rockville Pike, Rockville,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2010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to read the section titled “How may I elect to receive future shareholder materials electronically instead of by mail” included in this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148590</wp:posOffset>
            </wp:positionV>
            <wp:extent cx="104648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2011 Annual Meeting of Shareholders of Federal Realty Investment Trust (the “Trust”) will be held at Woodmont Country Club, 1201 Rockville Pike, Rockville, Maryland, on Wednesday, May 4, 2011, at 10:00 a.m. for the purpose of considering and acting upon the following:</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five Trustees to serve until our 2012 Annual Meeting of Shareholders.</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advisory vote on the frequency of holding future votes on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17, 2011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8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4, 2011</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2011 Proxy Statement and 2010 Annual Report to Shareholders, which includes our Annual Report on Form 10-K for the year ended December 31, 2010, are available at www.federalrealty.com</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13"/>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About the Annual Meeting</w:t>
              </w:r>
            </w:hyperlink>
          </w:p>
        </w:tc>
        <w:tc>
          <w:tcPr>
            <w:tcW w:w="9140" w:type="dxa"/>
            <w:vAlign w:val="bottom"/>
            <w:gridSpan w:val="32"/>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0000EE"/>
            </w:tcBorders>
            <w:gridSpan w:val="13"/>
            <w:vMerge w:val="continue"/>
          </w:tcPr>
          <w:p>
            <w:pPr>
              <w:spacing w:after="0"/>
              <w:rPr>
                <w:sz w:val="14"/>
                <w:szCs w:val="14"/>
                <w:color w:val="auto"/>
              </w:rPr>
            </w:pPr>
          </w:p>
        </w:tc>
        <w:tc>
          <w:tcPr>
            <w:tcW w:w="9140" w:type="dxa"/>
            <w:vAlign w:val="bottom"/>
            <w:gridSpan w:val="32"/>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Why am I receiving these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difference between a “registered” shareholder and holding Shares in “street name?”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43"/>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record date for the Annual Meeting?</w:t>
              </w:r>
            </w:hyperlink>
          </w:p>
        </w:tc>
        <w:tc>
          <w:tcPr>
            <w:tcW w:w="3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top w:val="single" w:sz="8" w:color="0000EE"/>
            </w:tcBorders>
            <w:gridSpan w:val="34"/>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a quorum?</w:t>
              </w:r>
            </w:hyperlink>
          </w:p>
        </w:tc>
        <w:tc>
          <w:tcPr>
            <w:tcW w:w="72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20" w:type="dxa"/>
            <w:vAlign w:val="bottom"/>
            <w:tcBorders>
              <w:top w:val="single" w:sz="8" w:color="0000EE"/>
            </w:tcBorders>
            <w:gridSpan w:val="8"/>
          </w:tcPr>
          <w:p>
            <w:pPr>
              <w:spacing w:after="0" w:line="196" w:lineRule="exact"/>
              <w:rPr>
                <w:rFonts w:ascii="Arial" w:cs="Arial" w:eastAsia="Arial" w:hAnsi="Arial"/>
                <w:sz w:val="18"/>
                <w:szCs w:val="18"/>
                <w:i w:val="1"/>
                <w:iCs w:val="1"/>
                <w:color w:val="0000EE"/>
                <w:w w:val="96"/>
              </w:rPr>
            </w:pPr>
            <w:hyperlink w:anchor="page6">
              <w:r>
                <w:rPr>
                  <w:rFonts w:ascii="Arial" w:cs="Arial" w:eastAsia="Arial" w:hAnsi="Arial"/>
                  <w:sz w:val="18"/>
                  <w:szCs w:val="18"/>
                  <w:i w:val="1"/>
                  <w:iCs w:val="1"/>
                  <w:color w:val="0000EE"/>
                  <w:w w:val="96"/>
                </w:rPr>
                <w:t>What is a proxy?</w:t>
              </w:r>
            </w:hyperlink>
          </w:p>
        </w:tc>
        <w:tc>
          <w:tcPr>
            <w:tcW w:w="926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did I receive more than one proxy card?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tcBorders>
              <w:top w:val="single" w:sz="8" w:color="0000EE"/>
            </w:tcBorders>
            <w:gridSpan w:val="33"/>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do I vote my Shares?</w:t>
              </w:r>
            </w:hyperlink>
          </w:p>
        </w:tc>
        <w:tc>
          <w:tcPr>
            <w:tcW w:w="74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if I don’t vote my Shares?</w:t>
              </w:r>
            </w:hyperlink>
          </w:p>
        </w:tc>
        <w:tc>
          <w:tcPr>
            <w:tcW w:w="84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if I abstain?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will my Shares be voted if I do not specify how they should be voted?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Borders>
              <w:top w:val="single" w:sz="8" w:color="0000EE"/>
            </w:tcBorders>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many votes do I have?</w:t>
              </w:r>
            </w:hyperlink>
          </w:p>
        </w:tc>
        <w:tc>
          <w:tcPr>
            <w:tcW w:w="54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35"/>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May I change my vote after I return my proxy card?</w:t>
              </w:r>
            </w:hyperlink>
          </w:p>
        </w:tc>
        <w:tc>
          <w:tcPr>
            <w:tcW w:w="69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may I elect to receive future shareholder materials electronically instead of by mail?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5"/>
              </w:rPr>
            </w:pPr>
            <w:hyperlink w:anchor="page9">
              <w:r>
                <w:rPr>
                  <w:rFonts w:ascii="Arial" w:cs="Arial" w:eastAsia="Arial" w:hAnsi="Arial"/>
                  <w:sz w:val="18"/>
                  <w:szCs w:val="18"/>
                  <w:i w:val="1"/>
                  <w:iCs w:val="1"/>
                  <w:color w:val="0000EE"/>
                  <w:w w:val="85"/>
                </w:rPr>
                <w:t>Who are the largest owners of Shares?</w:t>
              </w:r>
            </w:hyperlink>
          </w:p>
        </w:tc>
        <w:tc>
          <w:tcPr>
            <w:tcW w:w="78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How many Shares do our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Independence of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Board of Trustees and 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i w:val="1"/>
                <w:iCs w:val="1"/>
                <w:color w:val="0000EE"/>
                <w:w w:val="85"/>
              </w:rPr>
            </w:pPr>
            <w:hyperlink w:anchor="page12">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4"/>
          </w:tcPr>
          <w:p>
            <w:pPr>
              <w:spacing w:after="0"/>
              <w:rPr>
                <w:sz w:val="17"/>
                <w:szCs w:val="17"/>
                <w:color w:val="auto"/>
              </w:rPr>
            </w:pPr>
          </w:p>
        </w:tc>
        <w:tc>
          <w:tcPr>
            <w:tcW w:w="77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14"/>
          </w:tcPr>
          <w:p>
            <w:pPr>
              <w:spacing w:after="0" w:line="196" w:lineRule="exact"/>
              <w:rPr>
                <w:rFonts w:ascii="Arial" w:cs="Arial" w:eastAsia="Arial" w:hAnsi="Arial"/>
                <w:sz w:val="18"/>
                <w:szCs w:val="18"/>
                <w:i w:val="1"/>
                <w:iCs w:val="1"/>
                <w:color w:val="0000EE"/>
                <w:w w:val="87"/>
              </w:rPr>
            </w:pPr>
            <w:hyperlink w:anchor="page12">
              <w:r>
                <w:rPr>
                  <w:rFonts w:ascii="Arial" w:cs="Arial" w:eastAsia="Arial" w:hAnsi="Arial"/>
                  <w:sz w:val="18"/>
                  <w:szCs w:val="18"/>
                  <w:i w:val="1"/>
                  <w:iCs w:val="1"/>
                  <w:color w:val="0000EE"/>
                  <w:w w:val="87"/>
                </w:rPr>
                <w:t>Audit Committee</w:t>
              </w:r>
            </w:hyperlink>
          </w:p>
        </w:tc>
        <w:tc>
          <w:tcPr>
            <w:tcW w:w="898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6"/>
              </w:rPr>
            </w:pPr>
            <w:hyperlink w:anchor="page13">
              <w:r>
                <w:rPr>
                  <w:rFonts w:ascii="Arial" w:cs="Arial" w:eastAsia="Arial" w:hAnsi="Arial"/>
                  <w:sz w:val="18"/>
                  <w:szCs w:val="18"/>
                  <w:i w:val="1"/>
                  <w:iCs w:val="1"/>
                  <w:color w:val="0000EE"/>
                  <w:w w:val="86"/>
                </w:rPr>
                <w:t>Compensation Committee</w:t>
              </w:r>
            </w:hyperlink>
          </w:p>
        </w:tc>
        <w:tc>
          <w:tcPr>
            <w:tcW w:w="83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36"/>
          </w:tcPr>
          <w:p>
            <w:pPr>
              <w:spacing w:after="0" w:line="196" w:lineRule="exact"/>
              <w:rPr>
                <w:rFonts w:ascii="Arial" w:cs="Arial" w:eastAsia="Arial" w:hAnsi="Arial"/>
                <w:sz w:val="18"/>
                <w:szCs w:val="18"/>
                <w:i w:val="1"/>
                <w:iCs w:val="1"/>
                <w:color w:val="0000EE"/>
                <w:w w:val="88"/>
              </w:rPr>
            </w:pPr>
            <w:hyperlink w:anchor="page13">
              <w:r>
                <w:rPr>
                  <w:rFonts w:ascii="Arial" w:cs="Arial" w:eastAsia="Arial" w:hAnsi="Arial"/>
                  <w:sz w:val="18"/>
                  <w:szCs w:val="18"/>
                  <w:i w:val="1"/>
                  <w:iCs w:val="1"/>
                  <w:color w:val="0000EE"/>
                  <w:w w:val="88"/>
                </w:rPr>
                <w:t>Nominating and Corporate Governance Committee</w:t>
              </w:r>
            </w:hyperlink>
          </w:p>
        </w:tc>
        <w:tc>
          <w:tcPr>
            <w:tcW w:w="65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Identifying individuals to stand for election as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i w:val="1"/>
                <w:iCs w:val="1"/>
                <w:color w:val="0000EE"/>
                <w:w w:val="86"/>
              </w:rPr>
            </w:pPr>
            <w:hyperlink w:anchor="page14">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5"/>
          </w:tcPr>
          <w:p>
            <w:pPr>
              <w:spacing w:after="0"/>
              <w:rPr>
                <w:sz w:val="17"/>
                <w:szCs w:val="17"/>
                <w:color w:val="auto"/>
              </w:rPr>
            </w:pPr>
          </w:p>
        </w:tc>
        <w:tc>
          <w:tcPr>
            <w:tcW w:w="67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Arial" w:cs="Arial" w:eastAsia="Arial" w:hAnsi="Arial"/>
                <w:sz w:val="18"/>
                <w:szCs w:val="18"/>
                <w:i w:val="1"/>
                <w:iCs w:val="1"/>
                <w:color w:val="0000EE"/>
                <w:w w:val="84"/>
              </w:rPr>
            </w:pPr>
            <w:hyperlink w:anchor="page14">
              <w:r>
                <w:rPr>
                  <w:rFonts w:ascii="Arial" w:cs="Arial" w:eastAsia="Arial" w:hAnsi="Arial"/>
                  <w:sz w:val="18"/>
                  <w:szCs w:val="18"/>
                  <w:i w:val="1"/>
                  <w:iCs w:val="1"/>
                  <w:color w:val="0000EE"/>
                  <w:w w:val="84"/>
                </w:rPr>
                <w:t>Trustee Compensation</w:t>
              </w:r>
            </w:hyperlink>
          </w:p>
        </w:tc>
        <w:tc>
          <w:tcPr>
            <w:tcW w:w="902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5"/>
          </w:tcPr>
          <w:p>
            <w:pPr>
              <w:spacing w:after="0" w:line="196" w:lineRule="exact"/>
              <w:rPr>
                <w:rFonts w:ascii="Arial" w:cs="Arial" w:eastAsia="Arial" w:hAnsi="Arial"/>
                <w:sz w:val="18"/>
                <w:szCs w:val="18"/>
                <w:i w:val="1"/>
                <w:iCs w:val="1"/>
                <w:color w:val="0000EE"/>
                <w:w w:val="88"/>
              </w:rPr>
            </w:pPr>
            <w:hyperlink w:anchor="page16">
              <w:r>
                <w:rPr>
                  <w:rFonts w:ascii="Arial" w:cs="Arial" w:eastAsia="Arial" w:hAnsi="Arial"/>
                  <w:sz w:val="18"/>
                  <w:szCs w:val="18"/>
                  <w:i w:val="1"/>
                  <w:iCs w:val="1"/>
                  <w:color w:val="0000EE"/>
                  <w:w w:val="88"/>
                </w:rPr>
                <w:t>Communications with the Board</w:t>
              </w:r>
            </w:hyperlink>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22"/>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Other Corporate Documents</w:t>
              </w:r>
            </w:hyperlink>
          </w:p>
        </w:tc>
        <w:tc>
          <w:tcPr>
            <w:tcW w:w="85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1—Election of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Composition of the Board</w:t>
              </w:r>
            </w:hyperlink>
          </w:p>
        </w:tc>
        <w:tc>
          <w:tcPr>
            <w:tcW w:w="87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i w:val="1"/>
                <w:iCs w:val="1"/>
                <w:color w:val="0000EE"/>
                <w:w w:val="83"/>
              </w:rPr>
            </w:pPr>
            <w:hyperlink w:anchor="page17">
              <w:r>
                <w:rPr>
                  <w:rFonts w:ascii="Arial" w:cs="Arial" w:eastAsia="Arial" w:hAnsi="Arial"/>
                  <w:sz w:val="18"/>
                  <w:szCs w:val="18"/>
                  <w:i w:val="1"/>
                  <w:iCs w:val="1"/>
                  <w:color w:val="0000EE"/>
                  <w:w w:val="83"/>
                </w:rPr>
                <w:t>Vote Required</w:t>
              </w:r>
            </w:hyperlink>
          </w:p>
        </w:tc>
        <w:tc>
          <w:tcPr>
            <w:tcW w:w="960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Relationship with Independent Registered Public Accounting Firm</w:t>
              </w:r>
            </w:hyperlink>
          </w:p>
        </w:tc>
        <w:tc>
          <w:tcPr>
            <w:tcW w:w="6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2—Ratification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460" w:type="dxa"/>
            <w:vAlign w:val="bottom"/>
            <w:tcBorders>
              <w:top w:val="single" w:sz="8" w:color="0000EE"/>
            </w:tcBorders>
          </w:tcPr>
          <w:p>
            <w:pPr>
              <w:spacing w:after="0"/>
              <w:rPr>
                <w:sz w:val="22"/>
                <w:szCs w:val="22"/>
                <w:color w:val="auto"/>
              </w:rPr>
            </w:pPr>
          </w:p>
        </w:tc>
        <w:tc>
          <w:tcPr>
            <w:tcW w:w="4640" w:type="dxa"/>
            <w:vAlign w:val="bottom"/>
            <w:tcBorders>
              <w:top w:val="single" w:sz="8" w:color="0000EE"/>
            </w:tcBorders>
            <w:gridSpan w:val="40"/>
          </w:tcPr>
          <w:p>
            <w:pPr>
              <w:spacing w:after="0"/>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Vote Required</w:t>
              </w:r>
            </w:hyperlink>
          </w:p>
        </w:tc>
        <w:tc>
          <w:tcPr>
            <w:tcW w:w="594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Compensation Discussion and Analysis</w:t>
              </w:r>
            </w:hyperlink>
          </w:p>
        </w:tc>
        <w:tc>
          <w:tcPr>
            <w:tcW w:w="824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580" w:type="dxa"/>
            <w:vAlign w:val="bottom"/>
            <w:gridSpan w:val="44"/>
          </w:tcPr>
          <w:p>
            <w:pPr>
              <w:spacing w:after="0"/>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Executive Summary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20" w:type="dxa"/>
            <w:vAlign w:val="bottom"/>
            <w:tcBorders>
              <w:top w:val="single" w:sz="8" w:color="0000EE"/>
            </w:tcBorders>
            <w:gridSpan w:val="31"/>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Compensation Methodology</w:t>
              </w:r>
            </w:hyperlink>
          </w:p>
        </w:tc>
        <w:tc>
          <w:tcPr>
            <w:tcW w:w="76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3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Elements of Total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i w:val="1"/>
                <w:iCs w:val="1"/>
                <w:color w:val="0000EE"/>
                <w:w w:val="84"/>
              </w:rPr>
            </w:pPr>
            <w:hyperlink w:anchor="page26">
              <w:r>
                <w:rPr>
                  <w:rFonts w:ascii="Arial" w:cs="Arial" w:eastAsia="Arial" w:hAnsi="Arial"/>
                  <w:sz w:val="18"/>
                  <w:szCs w:val="18"/>
                  <w:i w:val="1"/>
                  <w:iCs w:val="1"/>
                  <w:color w:val="0000EE"/>
                  <w:w w:val="84"/>
                </w:rPr>
                <w:t>Base Salaries</w:t>
              </w:r>
            </w:hyperlink>
          </w:p>
        </w:tc>
        <w:tc>
          <w:tcPr>
            <w:tcW w:w="880" w:type="dxa"/>
            <w:vAlign w:val="bottom"/>
            <w:tcBorders>
              <w:top w:val="single" w:sz="8" w:color="0000EE"/>
            </w:tcBorders>
            <w:gridSpan w:val="15"/>
          </w:tcPr>
          <w:p>
            <w:pPr>
              <w:spacing w:after="0"/>
              <w:rPr>
                <w:sz w:val="17"/>
                <w:szCs w:val="17"/>
                <w:color w:val="auto"/>
              </w:rPr>
            </w:pPr>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43"/>
          </w:tcPr>
          <w:p>
            <w:pPr>
              <w:spacing w:after="0" w:line="196" w:lineRule="exact"/>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Annual Bonus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10"/>
            <w:shd w:val="clear" w:color="auto" w:fill="0000EE"/>
          </w:tcPr>
          <w:p>
            <w:pPr>
              <w:spacing w:after="0" w:line="20" w:lineRule="exact"/>
              <w:rPr>
                <w:sz w:val="1"/>
                <w:szCs w:val="1"/>
                <w:color w:val="auto"/>
              </w:rPr>
            </w:pPr>
          </w:p>
        </w:tc>
        <w:tc>
          <w:tcPr>
            <w:tcW w:w="1460" w:type="dxa"/>
            <w:vAlign w:val="bottom"/>
            <w:gridSpan w:val="1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8"/>
              </w:rPr>
            </w:pPr>
            <w:hyperlink w:anchor="page28">
              <w:r>
                <w:rPr>
                  <w:rFonts w:ascii="Arial" w:cs="Arial" w:eastAsia="Arial" w:hAnsi="Arial"/>
                  <w:sz w:val="18"/>
                  <w:szCs w:val="18"/>
                  <w:i w:val="1"/>
                  <w:iCs w:val="1"/>
                  <w:color w:val="0000EE"/>
                  <w:w w:val="88"/>
                </w:rPr>
                <w:t>Annual Long-Term Equity Incentives</w:t>
              </w:r>
            </w:hyperlink>
          </w:p>
        </w:tc>
        <w:tc>
          <w:tcPr>
            <w:tcW w:w="75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8"/>
              </w:rPr>
            </w:pPr>
            <w:hyperlink w:anchor="page30">
              <w:r>
                <w:rPr>
                  <w:rFonts w:ascii="Arial" w:cs="Arial" w:eastAsia="Arial" w:hAnsi="Arial"/>
                  <w:sz w:val="18"/>
                  <w:szCs w:val="18"/>
                  <w:i w:val="1"/>
                  <w:iCs w:val="1"/>
                  <w:color w:val="0000EE"/>
                  <w:w w:val="88"/>
                </w:rPr>
                <w:t>Retention/Non-Solicitation Awards</w:t>
              </w:r>
            </w:hyperlink>
          </w:p>
        </w:tc>
        <w:tc>
          <w:tcPr>
            <w:tcW w:w="77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600" w:type="dxa"/>
            <w:vAlign w:val="bottom"/>
            <w:gridSpan w:val="23"/>
            <w:vMerge w:val="restart"/>
          </w:tcPr>
          <w:p>
            <w:pPr>
              <w:spacing w:after="0"/>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Chief Executive Officer Compensation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600" w:type="dxa"/>
            <w:vAlign w:val="bottom"/>
            <w:gridSpan w:val="23"/>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00" w:type="dxa"/>
            <w:vAlign w:val="bottom"/>
            <w:tcBorders>
              <w:top w:val="single" w:sz="8" w:color="0000EE"/>
            </w:tcBorders>
            <w:gridSpan w:val="11"/>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Timing of Equity Grants</w:t>
              </w:r>
            </w:hyperlink>
          </w:p>
        </w:tc>
        <w:tc>
          <w:tcPr>
            <w:tcW w:w="7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3"/>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Termination and Change-in-Control Arrangements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9"/>
              </w:rPr>
            </w:pPr>
            <w:hyperlink w:anchor="page31">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23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Compensation Committee Report</w:t>
              </w:r>
            </w:hyperlink>
          </w:p>
        </w:tc>
        <w:tc>
          <w:tcPr>
            <w:tcW w:w="86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0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2010 Grants of Plan-Based Awards Table</w:t>
              </w:r>
            </w:hyperlink>
          </w:p>
        </w:tc>
        <w:tc>
          <w:tcPr>
            <w:tcW w:w="81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41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2010 Outstanding Equity Awards at Fiscal Year-End Table</w:t>
              </w:r>
            </w:hyperlink>
          </w:p>
        </w:tc>
        <w:tc>
          <w:tcPr>
            <w:tcW w:w="69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04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2010 Option Exercises and Stock Vested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2010 Non-Qualified Deferred Compensation</w:t>
              </w:r>
            </w:hyperlink>
          </w:p>
        </w:tc>
        <w:tc>
          <w:tcPr>
            <w:tcW w:w="78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040" w:type="dxa"/>
            <w:vAlign w:val="bottom"/>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Potential Payments on Termination of Employment and Change-in-Control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5280" w:type="dxa"/>
            <w:vAlign w:val="bottom"/>
            <w:tcBorders>
              <w:top w:val="single" w:sz="8" w:color="0000EE"/>
            </w:tcBorders>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Committee Interlocks and Insider Participation</w:t>
              </w:r>
            </w:hyperlink>
          </w:p>
        </w:tc>
        <w:tc>
          <w:tcPr>
            <w:tcW w:w="5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3—Advisory Vote on the Compensation of the Named Executive Officers</w:t>
              </w:r>
            </w:hyperlink>
          </w:p>
        </w:tc>
        <w:tc>
          <w:tcPr>
            <w:tcW w:w="54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040" w:type="dxa"/>
            <w:vAlign w:val="bottom"/>
            <w:gridSpan w:val="2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4—Advisory Vote on the Frequency of Future Votes on Named Executive Officer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Equity Compensation Plan Information</w:t>
              </w:r>
            </w:hyperlink>
          </w:p>
        </w:tc>
        <w:tc>
          <w:tcPr>
            <w:tcW w:w="4380" w:type="dxa"/>
            <w:vAlign w:val="bottom"/>
            <w:tcBorders>
              <w:top w:val="single" w:sz="8" w:color="0000EE"/>
            </w:tcBorders>
            <w:gridSpan w:val="14"/>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33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Certain Relationships and Related Transactions</w:t>
              </w:r>
            </w:hyperlink>
          </w:p>
        </w:tc>
        <w:tc>
          <w:tcPr>
            <w:tcW w:w="77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600" w:type="dxa"/>
            <w:vAlign w:val="bottom"/>
            <w:gridSpan w:val="23"/>
          </w:tcPr>
          <w:p>
            <w:pPr>
              <w:spacing w:after="0"/>
              <w:rPr>
                <w:rFonts w:ascii="Arial" w:cs="Arial" w:eastAsia="Arial" w:hAnsi="Arial"/>
                <w:sz w:val="18"/>
                <w:szCs w:val="18"/>
                <w:i w:val="1"/>
                <w:iCs w:val="1"/>
                <w:color w:val="0000EE"/>
              </w:rPr>
            </w:pPr>
            <w:hyperlink w:anchor="page42">
              <w:r>
                <w:rPr>
                  <w:rFonts w:ascii="Arial" w:cs="Arial" w:eastAsia="Arial" w:hAnsi="Arial"/>
                  <w:sz w:val="18"/>
                  <w:szCs w:val="18"/>
                  <w:i w:val="1"/>
                  <w:iCs w:val="1"/>
                  <w:color w:val="0000EE"/>
                </w:rPr>
                <w:t>Related Party Policies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3"/>
          </w:tcPr>
          <w:p>
            <w:pPr>
              <w:spacing w:after="0" w:line="196" w:lineRule="exact"/>
              <w:rPr>
                <w:rFonts w:ascii="Arial" w:cs="Arial" w:eastAsia="Arial" w:hAnsi="Arial"/>
                <w:sz w:val="18"/>
                <w:szCs w:val="18"/>
                <w:i w:val="1"/>
                <w:iCs w:val="1"/>
                <w:color w:val="0000EE"/>
              </w:rPr>
            </w:pPr>
            <w:hyperlink w:anchor="page42">
              <w:r>
                <w:rPr>
                  <w:rFonts w:ascii="Arial" w:cs="Arial" w:eastAsia="Arial" w:hAnsi="Arial"/>
                  <w:sz w:val="18"/>
                  <w:szCs w:val="18"/>
                  <w:i w:val="1"/>
                  <w:i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160" w:type="dxa"/>
            <w:vAlign w:val="bottom"/>
            <w:tcBorders>
              <w:top w:val="single" w:sz="8" w:color="0000EE"/>
            </w:tcBorders>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Annual Report</w:t>
              </w:r>
            </w:hyperlink>
          </w:p>
        </w:tc>
        <w:tc>
          <w:tcPr>
            <w:tcW w:w="68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04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18, 2011</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Board of Trustees (the “Board” or “Board of Trustees”) of Federal Realty Investment Trust (the “Trust”) is soliciting your proxy to vote on matters that will be presented at our 2011 Annual Meeting of Shareholders (“Annual Meeting”). The Annual Meeting will be held at 10:00 a.m., Wednesday, May 4, 2011, at Woodmont Country Club, 1201 Rockville Pike, Rockville, Maryland. This proxy statement, the accompanying proxy card and our 2010 Annual Report to Shareholders, which includes our Annual Report on Form 10-K for the year ended December 31, 2010, are being mailed on or about March 28, 2011 to our “registered” shareholders. These materials will assist you in voting your common shares of beneficial interest of the Trust (“Shares”) by providing information on matters that will be presented at the Annual Meeting. As permitted by the Securities and Exchange Commission (“SEC”), we are providing online access to this proxy statement and related proxy materials to our shareholders who hold their Shares in “street name.” A “Notice of Internet Availability of Proxy Materials” (“Notice”) is being mailed to our shareholders who hold their Shares in “street name” on or about March 24, 2011. The Notice describes how to access our proxy materials online and how to request a printed copy of our proxy materials.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are receiving these materials because you owned our Shares as a “registered” shareholder or you held Shares in “street name”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established March 17, 2011 as the record date for the Annual Meeting. Holders who owned our Shares at the close of business on that date are entitled to receive notice of and to vote at the Annual Meeting or any postponements or adjournments of the meeting. We had 62,191,980 Shares outstanding on March 17,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“withhold”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Andrew P. Blocher the authority to vote your Shares in the manner you indicate on your proxy card.</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proxy card?</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calling 1-800-PROXIES (1-800-776-9437);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accessing the Internet at www.voteproxy.com.</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 Telephone and internet services for all shareholders will be available 24 hours a day and will close at 11:59 p.m. (EDT) on May 3, 2011.</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hold your Shares in “street name” and wish to vote the Shares in person at the Annual Meeting, you must obtain a proxy form from the broker, bank, trust or nominee that is the record holder of your Shares and bring it with you to the Annual Meeting. Alternatively, you may vote your Shares held in “street name” without attending the Annual Meeting by following the voting instructions provided to you by your broker, bank, trust or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Andrew P. Blocher will vote your Shares as follows:</w:t>
      </w:r>
    </w:p>
    <w:p>
      <w:pPr>
        <w:spacing w:after="0" w:line="172"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FOR the election of each of the five Trustees to serve until our 2012 Annual Meeting</w:t>
      </w:r>
    </w:p>
    <w:p>
      <w:pPr>
        <w:spacing w:after="0" w:line="117" w:lineRule="exact"/>
        <w:rPr>
          <w:sz w:val="20"/>
          <w:szCs w:val="20"/>
          <w:color w:val="auto"/>
        </w:rPr>
      </w:pPr>
    </w:p>
    <w:p>
      <w:pPr>
        <w:ind w:left="1840" w:right="800" w:hanging="884"/>
        <w:spacing w:after="0" w:line="268" w:lineRule="auto"/>
        <w:tabs>
          <w:tab w:leader="none" w:pos="1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FOR the ratification of the appointment of Grant Thornton LLP as our independent registered public accounting firm for the fiscal year ending December 31, 2011</w:t>
      </w:r>
    </w:p>
    <w:p>
      <w:pPr>
        <w:spacing w:after="0" w:line="78"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FOR the approval of the compensation of our named executive officers</w:t>
      </w:r>
    </w:p>
    <w:p>
      <w:pPr>
        <w:spacing w:after="0" w:line="117"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FOR holding a vote annually on the compensation of our named executive officers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you own Shares in “street name,” you must give your broker, bank, trust or nominee specific instructions on how to vote your Shares with respect to Items 1, 3 and 4. If you fail to give your broker, bank, trust or nominee specific instructions on how to vote your Shares on those matters, your vote will NOT be counted for those matters. It is important for every shareholder’s vote to be counted on these matters so we encourage you to provide your broker, bank, trust or nominee with voting instructions. If you fail to give your broker, bank, trust or nominee specific instructions on how to vote your Shares on Item 2, such broker, bank, trust or nominee will generally be able to vote on Item 2 as he, she or it determines.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five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elect to receive future shareholder materials electronically instead of by mail?</w:t>
      </w:r>
    </w:p>
    <w:p>
      <w:pPr>
        <w:spacing w:after="0" w:line="9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We are permitted to deliver shareholder materials, including proxy statements and annual reports, to you by internet access or electronic delivery rather than by mail if you so choose. Electronic delivery of materials can help us achieve a substantial reduction in our printing and mailing costs and it is environmentally friendly. “Registered” shareholders who choose to receive proxy materials by accessing the Internet will receive before next year’s annual meeting a Notice of Internet Availability of Proxy Materials when the proxy materials and annual report to shareholders are available over the Internet. “Registered” shareholders who choose instead to receive proxy materials by electronic delivery will receive an email containing the proxy materials and the annual report to shareholders.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a “registered” shareholder and currently receive your proxy materials by mail and wish to receive future proxy materials electronically instead of by mail, you may register to do so on American Stock Transfer &amp; Trust Company’s website at www.amstock.com.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own Shares in “street name”, you already receive a Notice of Internet Availability of Proxy Materials when the proxy materials and annual report to shareholders are available over the Internet. If you wish to receive your proxy materials by electronic delivery, you must contact your broker, bank trust or nominee for instructions on how to receive future proxy materials by email.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Shareholders who hold Shares in different ways (i.e., joint tenancy, trusts, custodial accounts) or in multiple accounts will need to complete this process for each account. Your election to receive your proxy materials by accessing the Internet or by electronic email delivery will remain in effect for all future annual meetings until you revoke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17,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3460" w:type="dxa"/>
            <w:vAlign w:val="bottom"/>
          </w:tcPr>
          <w:p>
            <w:pPr>
              <w:jc w:val="right"/>
              <w:ind w:right="719"/>
              <w:spacing w:after="0"/>
              <w:rPr>
                <w:sz w:val="20"/>
                <w:szCs w:val="20"/>
                <w:color w:val="auto"/>
              </w:rPr>
            </w:pPr>
            <w:r>
              <w:rPr>
                <w:rFonts w:ascii="Arial" w:cs="Arial" w:eastAsia="Arial" w:hAnsi="Arial"/>
                <w:sz w:val="14"/>
                <w:szCs w:val="14"/>
                <w:b w:val="1"/>
                <w:bCs w:val="1"/>
                <w:color w:val="auto"/>
              </w:rPr>
              <w:t>Amount and Nature</w:t>
            </w:r>
          </w:p>
        </w:tc>
        <w:tc>
          <w:tcPr>
            <w:tcW w:w="2220" w:type="dxa"/>
            <w:vAlign w:val="bottom"/>
          </w:tcPr>
          <w:p>
            <w:pPr>
              <w:jc w:val="right"/>
              <w:ind w:right="259"/>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3460" w:type="dxa"/>
            <w:vAlign w:val="bottom"/>
          </w:tcPr>
          <w:p>
            <w:pPr>
              <w:jc w:val="right"/>
              <w:ind w:right="599"/>
              <w:spacing w:after="0"/>
              <w:rPr>
                <w:sz w:val="20"/>
                <w:szCs w:val="20"/>
                <w:color w:val="auto"/>
              </w:rPr>
            </w:pPr>
            <w:r>
              <w:rPr>
                <w:rFonts w:ascii="Arial" w:cs="Arial" w:eastAsia="Arial" w:hAnsi="Arial"/>
                <w:sz w:val="14"/>
                <w:szCs w:val="14"/>
                <w:b w:val="1"/>
                <w:bCs w:val="1"/>
                <w:color w:val="auto"/>
              </w:rPr>
              <w:t>of Beneficial Ownership</w:t>
            </w:r>
          </w:p>
        </w:tc>
        <w:tc>
          <w:tcPr>
            <w:tcW w:w="2220" w:type="dxa"/>
            <w:vAlign w:val="bottom"/>
          </w:tcPr>
          <w:p>
            <w:pPr>
              <w:jc w:val="right"/>
              <w:ind w:right="119"/>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BlackRock, Inc.(2)</w:t>
            </w:r>
          </w:p>
        </w:tc>
        <w:tc>
          <w:tcPr>
            <w:tcW w:w="3460" w:type="dxa"/>
            <w:vAlign w:val="bottom"/>
            <w:tcBorders>
              <w:top w:val="single" w:sz="8" w:color="auto"/>
            </w:tcBorders>
            <w:shd w:val="clear" w:color="auto" w:fill="CCEEFF"/>
          </w:tcPr>
          <w:p>
            <w:pPr>
              <w:jc w:val="right"/>
              <w:ind w:right="599"/>
              <w:spacing w:after="0" w:line="201" w:lineRule="exact"/>
              <w:rPr>
                <w:sz w:val="20"/>
                <w:szCs w:val="20"/>
                <w:color w:val="auto"/>
              </w:rPr>
            </w:pPr>
            <w:r>
              <w:rPr>
                <w:rFonts w:ascii="Arial" w:cs="Arial" w:eastAsia="Arial" w:hAnsi="Arial"/>
                <w:sz w:val="18"/>
                <w:szCs w:val="18"/>
                <w:color w:val="auto"/>
              </w:rPr>
              <w:t>6,170,040</w:t>
            </w:r>
          </w:p>
        </w:tc>
        <w:tc>
          <w:tcPr>
            <w:tcW w:w="22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3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40" w:type="dxa"/>
            <w:vAlign w:val="bottom"/>
            <w:gridSpan w:val="2"/>
          </w:tcPr>
          <w:p>
            <w:pPr>
              <w:spacing w:after="0"/>
              <w:rPr>
                <w:sz w:val="20"/>
                <w:szCs w:val="20"/>
                <w:color w:val="auto"/>
              </w:rPr>
            </w:pPr>
            <w:r>
              <w:rPr>
                <w:rFonts w:ascii="Arial" w:cs="Arial" w:eastAsia="Arial" w:hAnsi="Arial"/>
                <w:sz w:val="18"/>
                <w:szCs w:val="18"/>
                <w:color w:val="auto"/>
              </w:rPr>
              <w:t>The Vanguard Group, Inc.(3)</w:t>
            </w:r>
          </w:p>
        </w:tc>
        <w:tc>
          <w:tcPr>
            <w:tcW w:w="3460" w:type="dxa"/>
            <w:vAlign w:val="bottom"/>
          </w:tcPr>
          <w:p>
            <w:pPr>
              <w:jc w:val="right"/>
              <w:ind w:right="599"/>
              <w:spacing w:after="0"/>
              <w:rPr>
                <w:sz w:val="20"/>
                <w:szCs w:val="20"/>
                <w:color w:val="auto"/>
              </w:rPr>
            </w:pPr>
            <w:r>
              <w:rPr>
                <w:rFonts w:ascii="Arial" w:cs="Arial" w:eastAsia="Arial" w:hAnsi="Arial"/>
                <w:sz w:val="18"/>
                <w:szCs w:val="18"/>
                <w:color w:val="auto"/>
              </w:rPr>
              <w:t>5,553,016</w:t>
            </w:r>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100 Vanguard Blvd.</w:t>
            </w:r>
          </w:p>
        </w:tc>
        <w:tc>
          <w:tcPr>
            <w:tcW w:w="3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3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Vanguard Specialized Funds – Vanguard REIT Index Fund(4)</w:t>
            </w:r>
          </w:p>
        </w:tc>
        <w:tc>
          <w:tcPr>
            <w:tcW w:w="346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3,247,533</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40" w:type="dxa"/>
            <w:vAlign w:val="bottom"/>
            <w:gridSpan w:val="2"/>
          </w:tcPr>
          <w:p>
            <w:pPr>
              <w:spacing w:after="0"/>
              <w:rPr>
                <w:sz w:val="20"/>
                <w:szCs w:val="20"/>
                <w:color w:val="auto"/>
              </w:rPr>
            </w:pPr>
            <w:r>
              <w:rPr>
                <w:rFonts w:ascii="Arial" w:cs="Arial" w:eastAsia="Arial" w:hAnsi="Arial"/>
                <w:sz w:val="18"/>
                <w:szCs w:val="18"/>
                <w:color w:val="auto"/>
              </w:rPr>
              <w:t>FMR LLC(5)</w:t>
            </w:r>
          </w:p>
        </w:tc>
        <w:tc>
          <w:tcPr>
            <w:tcW w:w="3460" w:type="dxa"/>
            <w:vAlign w:val="bottom"/>
          </w:tcPr>
          <w:p>
            <w:pPr>
              <w:jc w:val="right"/>
              <w:ind w:right="599"/>
              <w:spacing w:after="0"/>
              <w:rPr>
                <w:sz w:val="20"/>
                <w:szCs w:val="20"/>
                <w:color w:val="auto"/>
              </w:rPr>
            </w:pPr>
            <w:r>
              <w:rPr>
                <w:rFonts w:ascii="Arial" w:cs="Arial" w:eastAsia="Arial" w:hAnsi="Arial"/>
                <w:sz w:val="18"/>
                <w:szCs w:val="18"/>
                <w:color w:val="auto"/>
              </w:rPr>
              <w:t>3,081,832</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82 Devonshire Street</w:t>
            </w:r>
          </w:p>
        </w:tc>
        <w:tc>
          <w:tcPr>
            <w:tcW w:w="3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3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62,191,980, the total number of Shares outstanding on March 17, 2011.</w:t>
      </w:r>
    </w:p>
    <w:p>
      <w:pPr>
        <w:ind w:left="460" w:right="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March 11, 2011 by BlackRock, Inc., which states BlackRock, Inc., a parent holding company, has sole voting and dispositive power over 6,170,040 Shares and that none of its subsidiaries owns 5% or more of the outstanding Shares. The Schedule 13G/A states that BlackRock, Inc.’s subsidiaries are BlackRock Japan Co. Ltd., BlackRock Advisors (UK) Limited, BlackRock Institutional Trust Company, N.A., BlackRock Fund Advisors, BlackRock Asset Management Canada Limited, BlackRock Asset Management Australia Limited, BlackRock Advisors, LLC, BlackRock Capital Management, Inc., BlackRock Financial Management, Inc., BlackRock Investment Management, LLC, BlackRock Investment Management (Australia) Limited, BlackRock (Luxembourg) S.A., BlackRock (Netherlands) B.V., BlackRock Fund Managers Limited, BlackRock Asset Management Ireland Limited, BlackRock International Limited and BlackRock Investment Management (UK) Limited.</w:t>
      </w:r>
    </w:p>
    <w:p>
      <w:pPr>
        <w:spacing w:after="0" w:line="4" w:lineRule="exact"/>
        <w:rPr>
          <w:rFonts w:ascii="Arial" w:cs="Arial" w:eastAsia="Arial" w:hAnsi="Arial"/>
          <w:sz w:val="16"/>
          <w:szCs w:val="16"/>
          <w:color w:val="auto"/>
        </w:rPr>
      </w:pPr>
    </w:p>
    <w:p>
      <w:pPr>
        <w:ind w:left="460" w:right="560" w:hanging="452"/>
        <w:spacing w:after="0" w:line="30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Information based on a Schedule 13G/A filed with the SEC on February 10, 2011 by The Vanguard Group, Inc. The Schedule 13G/A states that The Vanguard Group, Inc., an investment advisor, has sole voting power over 41,349 Shares, sole dispositive power over 5,511,667 Shares and shared dispositive power over 41,349 Shares; and that Vanguard Fiduciary Trust Company, a wholly owned subsidiary of The Vanguard Group, Inc., is the beneficial owner of 41,349 Shares as a result of serving as investment manager of collective trust accounts, the voting of which it directs.</w:t>
      </w:r>
    </w:p>
    <w:p>
      <w:pPr>
        <w:spacing w:after="0" w:line="1" w:lineRule="exact"/>
        <w:rPr>
          <w:rFonts w:ascii="Arial" w:cs="Arial" w:eastAsia="Arial" w:hAnsi="Arial"/>
          <w:sz w:val="15"/>
          <w:szCs w:val="15"/>
          <w:color w:val="auto"/>
        </w:rPr>
      </w:pP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10, 2011 by Vanguard Specialized Funds – Vanguard REIT Index. The Schedule 13G states that Vanguard Specialized Funds – Vanguard REIT Index Fund, an investment company registered under Section 8 of the Investment Company Act of 1940, has sole voting power over 3,247,533 Shares.</w:t>
      </w:r>
    </w:p>
    <w:p>
      <w:pPr>
        <w:spacing w:after="0" w:line="1"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14, 2011 by FMR LLC. The Schedule 13G states that FMR LLC, a parent holding company, has sole voting power over 2,129,032 Shares, that FMR LLC and Edward C. Johnson 3d, its chairman, have sole dispositive power over 3,081,832 Shares and that none of FMR LLC’s subsidiaries, entities controlled by FMR LLC or the owners of FMR LLC own more than 5% or more of the outstanding Shares. The Schedule 13G indicates that the Shares are beneficially owned by (i) Fidelity Management &amp; Research Company, a wholly-owned subsidiary of FMR LLC and a registered investment advisor; (ii) Strategic Advisors, Inc., a wholly-owned subsidiary of FMR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LLC and a registered investment advisor; (iii) Pyramis Global Advisors, LLC, an indirect wholly-owned subsidiary of FMR LLC and a registered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advisor; (iv) Pyramis Global Advisors Trust Company, an indirect wholly-owned subsidiary of FMR LLC and a bank, as defined by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3(a)(6) of the Securities Exchange Act of 1934; and (v) FIL Limited. Members of the family of Edward C. Johnson 3d are the predominant owners,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directly or through trusts, of Series B voting common shares of FMR LLC, representing 49% of the voting power of FMR LLC.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17, 2011,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r>
        <w:rPr>
          <w:rFonts w:ascii="Arial" w:cs="Arial" w:eastAsia="Arial" w:hAnsi="Arial"/>
          <w:sz w:val="16"/>
          <w:szCs w:val="16"/>
          <w:b w:val="1"/>
          <w:bCs w:val="1"/>
          <w:i w:val="1"/>
          <w:iCs w:val="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Currently</w:t>
            </w:r>
          </w:p>
        </w:tc>
        <w:tc>
          <w:tcPr>
            <w:tcW w:w="1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or</w:t>
            </w:r>
          </w:p>
        </w:tc>
        <w:tc>
          <w:tcPr>
            <w:tcW w:w="1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Within 60</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180" w:type="dxa"/>
            <w:vAlign w:val="bottom"/>
          </w:tcPr>
          <w:p>
            <w:pPr>
              <w:jc w:val="right"/>
              <w:ind w:right="214"/>
              <w:spacing w:after="0"/>
              <w:rPr>
                <w:sz w:val="20"/>
                <w:szCs w:val="20"/>
                <w:color w:val="auto"/>
              </w:rPr>
            </w:pPr>
            <w:r>
              <w:rPr>
                <w:rFonts w:ascii="Arial" w:cs="Arial" w:eastAsia="Arial" w:hAnsi="Arial"/>
                <w:sz w:val="14"/>
                <w:szCs w:val="14"/>
                <w:b w:val="1"/>
                <w:bCs w:val="1"/>
                <w:color w:val="auto"/>
              </w:rPr>
              <w:t>Common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Days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57,149</w:t>
            </w:r>
          </w:p>
        </w:tc>
        <w:tc>
          <w:tcPr>
            <w:tcW w:w="114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20,602</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41,517</w:t>
            </w:r>
          </w:p>
        </w:tc>
        <w:tc>
          <w:tcPr>
            <w:tcW w:w="122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119,268</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Jeffrey S. Berkes(3)</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6,500</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9,635</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11,241</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27,376</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Blocher(4)</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14,482</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20,561</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12,936</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47,979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Jon E. Bortz(5)</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3,912</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3,912</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3,469</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2,500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5,969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Kristin Gamble(6)</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33,819</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7,500</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41,319</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3,265</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3,265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Warren M. Thompson</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3,344</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3,344</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Joseph S. Vassalluzzo</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11,485</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2,500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13,985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Donald C. Wood(7)</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264,130</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157,781</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211,256</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633,167</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1"/>
              </w:rPr>
              <w:t>Trustees, trustee nominees and named executive officers as a group (10</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individuals)</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401,555</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208,579</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289,450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899,584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62,191,980, the total number of Shares outstanding on March 17, 2011,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6,500 Shares as to which voting and investment power is shared with Mr. Berkes’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12,208 Shares as to which voting and investment power is shared with Mr. Blocher’s wife.</w:t>
      </w:r>
    </w:p>
    <w:p>
      <w:pPr>
        <w:spacing w:after="0" w:line="9" w:lineRule="exact"/>
        <w:rPr>
          <w:rFonts w:ascii="Arial" w:cs="Arial" w:eastAsia="Arial" w:hAnsi="Arial"/>
          <w:sz w:val="18"/>
          <w:szCs w:val="18"/>
          <w:color w:val="auto"/>
        </w:rPr>
      </w:pPr>
    </w:p>
    <w:p>
      <w:pPr>
        <w:jc w:val="both"/>
        <w:ind w:left="460" w:right="3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100 Shares as to which voting and investment power is shared with Mr. Bortz’ father; however, Mr. Bortz has expressly disclaimed beneficial ownership of these Shares. Includes 3,912 Shares as to which voting and investment power is shared with Mr. Bortz’ wife. Includes 805 Shares that are pledged.</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26,755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9,437 Shares owned by Mr. Wood’s wife.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2010 and February 2011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Affiliated Company/Position</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Relationship</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Jon E. Bortz</w:t>
            </w:r>
          </w:p>
        </w:tc>
        <w:tc>
          <w:tcPr>
            <w:tcW w:w="4880" w:type="dxa"/>
            <w:vAlign w:val="bottom"/>
          </w:tcPr>
          <w:p>
            <w:pPr>
              <w:ind w:left="1180"/>
              <w:spacing w:after="0"/>
              <w:rPr>
                <w:sz w:val="20"/>
                <w:szCs w:val="20"/>
                <w:color w:val="auto"/>
              </w:rPr>
            </w:pPr>
            <w:r>
              <w:rPr>
                <w:rFonts w:ascii="Arial" w:cs="Arial" w:eastAsia="Arial" w:hAnsi="Arial"/>
                <w:sz w:val="18"/>
                <w:szCs w:val="18"/>
                <w:color w:val="auto"/>
              </w:rPr>
              <w:t>None</w:t>
            </w:r>
          </w:p>
        </w:tc>
        <w:tc>
          <w:tcPr>
            <w:tcW w:w="382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6"/>
        </w:trPr>
        <w:tc>
          <w:tcPr>
            <w:tcW w:w="2720" w:type="dxa"/>
            <w:vAlign w:val="bottom"/>
          </w:tcPr>
          <w:p>
            <w:pPr>
              <w:spacing w:after="0"/>
              <w:rPr>
                <w:sz w:val="20"/>
                <w:szCs w:val="20"/>
                <w:color w:val="auto"/>
              </w:rPr>
            </w:pPr>
            <w:r>
              <w:rPr>
                <w:rFonts w:ascii="Arial" w:cs="Arial" w:eastAsia="Arial" w:hAnsi="Arial"/>
                <w:sz w:val="18"/>
                <w:szCs w:val="18"/>
                <w:color w:val="auto"/>
              </w:rPr>
              <w:t>David W. Faeder</w:t>
            </w:r>
          </w:p>
        </w:tc>
        <w:tc>
          <w:tcPr>
            <w:tcW w:w="4880" w:type="dxa"/>
            <w:vAlign w:val="bottom"/>
          </w:tcPr>
          <w:p>
            <w:pPr>
              <w:ind w:left="1180"/>
              <w:spacing w:after="0"/>
              <w:rPr>
                <w:sz w:val="20"/>
                <w:szCs w:val="20"/>
                <w:color w:val="auto"/>
              </w:rPr>
            </w:pPr>
            <w:r>
              <w:rPr>
                <w:rFonts w:ascii="Arial" w:cs="Arial" w:eastAsia="Arial" w:hAnsi="Arial"/>
                <w:sz w:val="18"/>
                <w:szCs w:val="18"/>
                <w:color w:val="auto"/>
              </w:rPr>
              <w:t>None</w:t>
            </w:r>
          </w:p>
        </w:tc>
        <w:tc>
          <w:tcPr>
            <w:tcW w:w="382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Kristin Gamble</w:t>
            </w:r>
          </w:p>
        </w:tc>
        <w:tc>
          <w:tcPr>
            <w:tcW w:w="4880" w:type="dxa"/>
            <w:vAlign w:val="bottom"/>
          </w:tcPr>
          <w:p>
            <w:pPr>
              <w:ind w:left="1180"/>
              <w:spacing w:after="0"/>
              <w:rPr>
                <w:sz w:val="20"/>
                <w:szCs w:val="20"/>
                <w:color w:val="auto"/>
              </w:rPr>
            </w:pPr>
            <w:r>
              <w:rPr>
                <w:rFonts w:ascii="Arial" w:cs="Arial" w:eastAsia="Arial" w:hAnsi="Arial"/>
                <w:sz w:val="18"/>
                <w:szCs w:val="18"/>
                <w:color w:val="auto"/>
              </w:rPr>
              <w:t>Director of Ethan Allen Interiors, Inc.</w:t>
            </w:r>
          </w:p>
        </w:tc>
        <w:tc>
          <w:tcPr>
            <w:tcW w:w="3820" w:type="dxa"/>
            <w:vAlign w:val="bottom"/>
          </w:tcPr>
          <w:p>
            <w:pPr>
              <w:ind w:left="180"/>
              <w:spacing w:after="0"/>
              <w:rPr>
                <w:sz w:val="20"/>
                <w:szCs w:val="20"/>
                <w:color w:val="auto"/>
              </w:rPr>
            </w:pPr>
            <w:r>
              <w:rPr>
                <w:rFonts w:ascii="Arial" w:cs="Arial" w:eastAsia="Arial" w:hAnsi="Arial"/>
                <w:sz w:val="18"/>
                <w:szCs w:val="18"/>
                <w:color w:val="auto"/>
              </w:rPr>
              <w:t>Ethan Allen leases 1 location from us totaling</w:t>
            </w:r>
          </w:p>
        </w:tc>
      </w:tr>
      <w:tr>
        <w:trPr>
          <w:trHeight w:val="222"/>
        </w:trPr>
        <w:tc>
          <w:tcPr>
            <w:tcW w:w="2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12,900 square feet</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Gail P. Steinel</w:t>
            </w:r>
          </w:p>
        </w:tc>
        <w:tc>
          <w:tcPr>
            <w:tcW w:w="4880" w:type="dxa"/>
            <w:vAlign w:val="bottom"/>
          </w:tcPr>
          <w:p>
            <w:pPr>
              <w:ind w:left="1180"/>
              <w:spacing w:after="0"/>
              <w:rPr>
                <w:sz w:val="20"/>
                <w:szCs w:val="20"/>
                <w:color w:val="auto"/>
              </w:rPr>
            </w:pPr>
            <w:r>
              <w:rPr>
                <w:rFonts w:ascii="Arial" w:cs="Arial" w:eastAsia="Arial" w:hAnsi="Arial"/>
                <w:sz w:val="18"/>
                <w:szCs w:val="18"/>
                <w:color w:val="auto"/>
              </w:rPr>
              <w:t>None</w:t>
            </w:r>
          </w:p>
        </w:tc>
        <w:tc>
          <w:tcPr>
            <w:tcW w:w="382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Warren M. Thompson</w:t>
            </w:r>
          </w:p>
        </w:tc>
        <w:tc>
          <w:tcPr>
            <w:tcW w:w="4880" w:type="dxa"/>
            <w:vAlign w:val="bottom"/>
          </w:tcPr>
          <w:p>
            <w:pPr>
              <w:ind w:left="1180"/>
              <w:spacing w:after="0"/>
              <w:rPr>
                <w:sz w:val="20"/>
                <w:szCs w:val="20"/>
                <w:color w:val="auto"/>
              </w:rPr>
            </w:pPr>
            <w:r>
              <w:rPr>
                <w:rFonts w:ascii="Arial" w:cs="Arial" w:eastAsia="Arial" w:hAnsi="Arial"/>
                <w:sz w:val="18"/>
                <w:szCs w:val="18"/>
                <w:color w:val="auto"/>
                <w:w w:val="93"/>
              </w:rPr>
              <w:t>President and a Director of Thompson Hospitality</w:t>
            </w:r>
          </w:p>
        </w:tc>
        <w:tc>
          <w:tcPr>
            <w:tcW w:w="3820" w:type="dxa"/>
            <w:vAlign w:val="bottom"/>
          </w:tcPr>
          <w:p>
            <w:pPr>
              <w:ind w:left="180"/>
              <w:spacing w:after="0"/>
              <w:rPr>
                <w:sz w:val="20"/>
                <w:szCs w:val="20"/>
                <w:color w:val="auto"/>
              </w:rPr>
            </w:pPr>
            <w:r>
              <w:rPr>
                <w:rFonts w:ascii="Arial" w:cs="Arial" w:eastAsia="Arial" w:hAnsi="Arial"/>
                <w:sz w:val="18"/>
                <w:szCs w:val="18"/>
                <w:color w:val="auto"/>
                <w:w w:val="90"/>
              </w:rPr>
              <w:t>Thompson Hospitality Corporation’s wholly owned</w:t>
            </w:r>
          </w:p>
        </w:tc>
      </w:tr>
      <w:tr>
        <w:trPr>
          <w:trHeight w:val="216"/>
        </w:trPr>
        <w:tc>
          <w:tcPr>
            <w:tcW w:w="2720" w:type="dxa"/>
            <w:vAlign w:val="bottom"/>
          </w:tcPr>
          <w:p>
            <w:pPr>
              <w:spacing w:after="0"/>
              <w:rPr>
                <w:sz w:val="18"/>
                <w:szCs w:val="18"/>
                <w:color w:val="auto"/>
              </w:rPr>
            </w:pPr>
          </w:p>
        </w:tc>
        <w:tc>
          <w:tcPr>
            <w:tcW w:w="4880" w:type="dxa"/>
            <w:vAlign w:val="bottom"/>
          </w:tcPr>
          <w:p>
            <w:pPr>
              <w:ind w:left="1180"/>
              <w:spacing w:after="0"/>
              <w:rPr>
                <w:sz w:val="20"/>
                <w:szCs w:val="20"/>
                <w:color w:val="auto"/>
              </w:rPr>
            </w:pPr>
            <w:r>
              <w:rPr>
                <w:rFonts w:ascii="Arial" w:cs="Arial" w:eastAsia="Arial" w:hAnsi="Arial"/>
                <w:sz w:val="18"/>
                <w:szCs w:val="18"/>
                <w:color w:val="auto"/>
              </w:rPr>
              <w:t>Corporation</w:t>
            </w:r>
          </w:p>
        </w:tc>
        <w:tc>
          <w:tcPr>
            <w:tcW w:w="3820" w:type="dxa"/>
            <w:vAlign w:val="bottom"/>
          </w:tcPr>
          <w:p>
            <w:pPr>
              <w:ind w:left="180"/>
              <w:spacing w:after="0"/>
              <w:rPr>
                <w:sz w:val="20"/>
                <w:szCs w:val="20"/>
                <w:color w:val="auto"/>
              </w:rPr>
            </w:pPr>
            <w:r>
              <w:rPr>
                <w:rFonts w:ascii="Arial" w:cs="Arial" w:eastAsia="Arial" w:hAnsi="Arial"/>
                <w:sz w:val="18"/>
                <w:szCs w:val="18"/>
                <w:color w:val="auto"/>
                <w:w w:val="97"/>
              </w:rPr>
              <w:t>subsidiaries, Austin Grill, LLC d/b/a Austin Grill</w:t>
            </w:r>
          </w:p>
        </w:tc>
      </w:tr>
      <w:tr>
        <w:trPr>
          <w:trHeight w:val="216"/>
        </w:trPr>
        <w:tc>
          <w:tcPr>
            <w:tcW w:w="2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w w:val="95"/>
              </w:rPr>
              <w:t>and Thompson Tap Room, LLC d/b/a American</w:t>
            </w:r>
          </w:p>
        </w:tc>
      </w:tr>
      <w:tr>
        <w:trPr>
          <w:trHeight w:val="216"/>
        </w:trPr>
        <w:tc>
          <w:tcPr>
            <w:tcW w:w="2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Tap Room, lease 3 locations from us totaling</w:t>
            </w:r>
          </w:p>
        </w:tc>
      </w:tr>
      <w:tr>
        <w:trPr>
          <w:trHeight w:val="222"/>
        </w:trPr>
        <w:tc>
          <w:tcPr>
            <w:tcW w:w="2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17,400 square feet</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Joseph S. Vassalluzzo</w:t>
            </w:r>
          </w:p>
        </w:tc>
        <w:tc>
          <w:tcPr>
            <w:tcW w:w="4880" w:type="dxa"/>
            <w:vAlign w:val="bottom"/>
          </w:tcPr>
          <w:p>
            <w:pPr>
              <w:ind w:left="1180"/>
              <w:spacing w:after="0"/>
              <w:rPr>
                <w:sz w:val="20"/>
                <w:szCs w:val="20"/>
                <w:color w:val="auto"/>
              </w:rPr>
            </w:pPr>
            <w:r>
              <w:rPr>
                <w:rFonts w:ascii="Arial" w:cs="Arial" w:eastAsia="Arial" w:hAnsi="Arial"/>
                <w:sz w:val="18"/>
                <w:szCs w:val="18"/>
                <w:color w:val="auto"/>
              </w:rPr>
              <w:t>Director of iParty Corp.</w:t>
            </w:r>
          </w:p>
        </w:tc>
        <w:tc>
          <w:tcPr>
            <w:tcW w:w="3820" w:type="dxa"/>
            <w:vAlign w:val="bottom"/>
          </w:tcPr>
          <w:p>
            <w:pPr>
              <w:ind w:left="180"/>
              <w:spacing w:after="0"/>
              <w:rPr>
                <w:sz w:val="20"/>
                <w:szCs w:val="20"/>
                <w:color w:val="auto"/>
              </w:rPr>
            </w:pPr>
            <w:r>
              <w:rPr>
                <w:rFonts w:ascii="Arial" w:cs="Arial" w:eastAsia="Arial" w:hAnsi="Arial"/>
                <w:sz w:val="18"/>
                <w:szCs w:val="18"/>
                <w:color w:val="auto"/>
                <w:w w:val="99"/>
              </w:rPr>
              <w:t>iParty leases 1 location from us totaling 8,500</w:t>
            </w:r>
          </w:p>
        </w:tc>
      </w:tr>
      <w:tr>
        <w:trPr>
          <w:trHeight w:val="222"/>
        </w:trPr>
        <w:tc>
          <w:tcPr>
            <w:tcW w:w="2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square feet</w:t>
            </w:r>
          </w:p>
        </w:tc>
      </w:tr>
    </w:tbl>
    <w:p>
      <w:pPr>
        <w:spacing w:after="0" w:line="15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no instance did the payments made to us by any tenant with which our Trustees are affiliated account for more than five percent (5%) of our gross revenues or more than ten percent (10%) of the gross revenues of any tenant. Further, the payments made to us by Thompson Hospitality Corporation’s wholly-owned subsidiaries, Austin Grill, LLC and Thompson Tap Room, LLC, collectively accounted for less than 2% of both our and Thompson Hospitality Corporation’s consolidated gross revenues for each of the last three fiscal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During 2010, the Board of Trustees held nine meetings, four of which were designated solely for attendance by the non-management Trustees. In addition, the non-management Trustees (all of whom are independent) held four executive sessions at the meetings that were open for participation by all Trustees.</w:t>
      </w:r>
    </w:p>
    <w:p>
      <w:pPr>
        <w:ind w:right="20"/>
        <w:spacing w:after="0" w:line="287" w:lineRule="auto"/>
        <w:rPr>
          <w:sz w:val="20"/>
          <w:szCs w:val="20"/>
          <w:color w:val="auto"/>
        </w:rPr>
      </w:pPr>
      <w:r>
        <w:rPr>
          <w:rFonts w:ascii="Arial" w:cs="Arial" w:eastAsia="Arial" w:hAnsi="Arial"/>
          <w:sz w:val="16"/>
          <w:szCs w:val="16"/>
          <w:color w:val="auto"/>
        </w:rPr>
        <w:t>Mr. Vassalluzzo, the Non-Executive Chairman of the Board, presided over all Board meetings as well as all executive sessions of the non-management Trustees during 2010. The Non-Executive Chairman of the Board is expected to preside over all future Board meetings and executive sessions of non-management Trustees. Since 2003, we have operated under a governance structure where the Chairman of the Board and Chief Executive Officer are separate positions held by different individuals. At its meetings in February 2010 and 2011, the Board discussed whether this structure was still the best structure for us and 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It also allows our Chief Executive Officer to focus his time on running our day-to-day business.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of the Trustees attended at least 75% of all meetings of the Board and the Board committees during his or her tenure on those committees in 2010. On an aggregate basis, the Trustees attended 99% of all Board and Board committee meetings in 2010. Our Corporate Governance Guidelines provide that all Trustees are expected to attend all meetings of the Board and the Board committees on which he or she serves as well as the Annual Meeting of Shareholders. All Trustees attended our 2010 Annual Meeting of Shareholders.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xml:space="preserve"> . Each member of these committees meets, and throughout 2010 met, the independence, experience and, with respect to the Audit Committee, the financial literacy requirements, of the NYSE, the SEC and our Corporate Governance Guidelines.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75"/>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Audit Committee (1)</w:t>
            </w:r>
          </w:p>
        </w:tc>
        <w:tc>
          <w:tcPr>
            <w:tcW w:w="380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6"/>
              </w:rPr>
              <w:t>Compensation Committee</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Governance Committee</w:t>
            </w:r>
          </w:p>
        </w:tc>
      </w:tr>
      <w:tr>
        <w:trPr>
          <w:trHeight w:val="201"/>
        </w:trPr>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w w:val="90"/>
              </w:rPr>
              <w:t>Gail P. Steinel*</w:t>
            </w:r>
          </w:p>
        </w:tc>
        <w:tc>
          <w:tcPr>
            <w:tcW w:w="3800" w:type="dxa"/>
            <w:vAlign w:val="bottom"/>
          </w:tcPr>
          <w:p>
            <w:pPr>
              <w:jc w:val="center"/>
              <w:spacing w:after="0" w:line="201" w:lineRule="exact"/>
              <w:rPr>
                <w:sz w:val="20"/>
                <w:szCs w:val="20"/>
                <w:color w:val="auto"/>
              </w:rPr>
            </w:pPr>
            <w:r>
              <w:rPr>
                <w:rFonts w:ascii="Arial" w:cs="Arial" w:eastAsia="Arial" w:hAnsi="Arial"/>
                <w:sz w:val="18"/>
                <w:szCs w:val="18"/>
                <w:color w:val="auto"/>
                <w:w w:val="90"/>
              </w:rPr>
              <w:t>David W. Faeder*</w:t>
            </w:r>
          </w:p>
        </w:tc>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0"/>
              </w:rPr>
              <w:t>Warren M. Thompson*</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7"/>
              </w:rPr>
              <w:t>Jon E. Bortz</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Jon E. Bortz</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7"/>
              </w:rPr>
              <w:t>David W. Faeder</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Gail P. Steinel</w:t>
            </w: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r>
      <w:tr>
        <w:trPr>
          <w:trHeight w:val="222"/>
        </w:trPr>
        <w:tc>
          <w:tcPr>
            <w:tcW w:w="3900" w:type="dxa"/>
            <w:vAlign w:val="bottom"/>
          </w:tcPr>
          <w:p>
            <w:pPr>
              <w:jc w:val="center"/>
              <w:spacing w:after="0"/>
              <w:rPr>
                <w:sz w:val="20"/>
                <w:szCs w:val="20"/>
                <w:color w:val="auto"/>
              </w:rPr>
            </w:pPr>
            <w:r>
              <w:rPr>
                <w:rFonts w:ascii="Arial" w:cs="Arial" w:eastAsia="Arial" w:hAnsi="Arial"/>
                <w:sz w:val="18"/>
                <w:szCs w:val="18"/>
                <w:color w:val="auto"/>
                <w:w w:val="88"/>
              </w:rPr>
              <w:t>Warren M. Thompson</w:t>
            </w:r>
          </w:p>
        </w:tc>
        <w:tc>
          <w:tcPr>
            <w:tcW w:w="3800" w:type="dxa"/>
            <w:vAlign w:val="bottom"/>
          </w:tcPr>
          <w:p>
            <w:pPr>
              <w:jc w:val="center"/>
              <w:spacing w:after="0"/>
              <w:rPr>
                <w:sz w:val="20"/>
                <w:szCs w:val="20"/>
                <w:color w:val="auto"/>
              </w:rPr>
            </w:pPr>
            <w:r>
              <w:rPr>
                <w:rFonts w:ascii="Arial" w:cs="Arial" w:eastAsia="Arial" w:hAnsi="Arial"/>
                <w:sz w:val="18"/>
                <w:szCs w:val="18"/>
                <w:color w:val="auto"/>
                <w:w w:val="83"/>
              </w:rPr>
              <w:t>Joseph S. Vassalluzzo</w:t>
            </w:r>
          </w:p>
        </w:tc>
        <w:tc>
          <w:tcPr>
            <w:tcW w:w="3720" w:type="dxa"/>
            <w:vAlign w:val="bottom"/>
          </w:tcPr>
          <w:p>
            <w:pPr>
              <w:jc w:val="center"/>
              <w:spacing w:after="0"/>
              <w:rPr>
                <w:sz w:val="20"/>
                <w:szCs w:val="20"/>
                <w:color w:val="auto"/>
              </w:rPr>
            </w:pPr>
            <w:r>
              <w:rPr>
                <w:rFonts w:ascii="Arial" w:cs="Arial" w:eastAsia="Arial" w:hAnsi="Arial"/>
                <w:sz w:val="18"/>
                <w:szCs w:val="18"/>
                <w:color w:val="auto"/>
                <w:w w:val="85"/>
              </w:rPr>
              <w:t>Joseph S. Vassalluzzo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current chairperson of the committee</w:t>
      </w:r>
    </w:p>
    <w:p>
      <w:pPr>
        <w:spacing w:after="0" w:line="15" w:lineRule="exact"/>
        <w:rPr>
          <w:sz w:val="20"/>
          <w:szCs w:val="20"/>
          <w:color w:val="auto"/>
        </w:rPr>
      </w:pPr>
    </w:p>
    <w:p>
      <w:pPr>
        <w:ind w:left="460" w:right="6740" w:hanging="452"/>
        <w:spacing w:after="0" w:line="434" w:lineRule="auto"/>
        <w:tabs>
          <w:tab w:leader="none" w:pos="4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Mr. Faeder serves as the “audit committee financial expert.”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The Audit Committee is responsible for, among other things: (a) selecting the independent registered public accounting firm and approving and overseeing its work; (b) overseeing our financial reporting, including reviewing results with management and the independent registered public accounting firm; and</w:t>
      </w:r>
    </w:p>
    <w:p>
      <w:pPr>
        <w:ind w:left="5680" w:right="3380" w:hanging="5672"/>
        <w:spacing w:after="0" w:line="433" w:lineRule="auto"/>
        <w:tabs>
          <w:tab w:leader="none" w:pos="2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our internal systems of accounting and controls. During 2010, the Audit Committee met four times. 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Compensation Committee is responsible for, among other things: (a) reviewing and recommending compensation for our officers; (b) administering our Amended and Restated 2001 Long-Term Incentive Plan (“2001 Plan”) and our 2010 Performance Incentive Plan (“2010 Plan”), including making awards under the 2010 Plan; and (c) administering other benefit programs of the Trust. During 2010, the Compensation Committee met four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2010, the Nominating and Corporate Governance Committee met two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 the Committee will consider retaining a search firm. Recommendations provided by shareholders will also be considered and will be evaluated on the same basis as all other Board candidates.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shareholder may propose a candidate to be nominated for election to the Board by following the procedures outlined in Article II, Section 13 of our Bylaws. Any shareholder wishing to present a candidate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consideration as a Trustee for election at the Trust’s 2012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29, 2011 so that the Secretary can forward it to the Committee chair for consideration. The Committee will not have sufficient time to evaluate any candidate submitted after that date. A copy of our Bylaws may be obtained by sending a written request to Investor Relations at 1626 East Jefferson Street, Rockville, MD 20852.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our Board has delegated to our Audit Committee responsibility for overseeing our risks and exposures on an ongoing basis, the entire Board receives regular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 other federal, state and local laws; (f) REIT risks such as our failure to qualify as a REIT for federal income tax purposes; and (g) general risks inherent in the real estate industry.</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Board’s risk oversight function, our Compensation Committee reviewed in February 2011 our compensation policies and practices for all of our employees to determine whether any of such policies or programs created any risk that could have a material adverse impact on us. Approximately 95% of our employees participate in compensation programs tied to either corporate performance or regional performance necessary to achieve corporate objectives and the Committee believes that those programs do not encourage excessive and unnecessary risk taking. The Committee focused its review on the approximately 5% of our employees (9 individuals) who are compensated on a full or partial commission/bonus basis where significant portions of their annual compensation are driven by completing leasing transactions, closing acquisitions or achieving specific milestones on development projects. As part of that review, the Committee reviewed the internal approval processes of the Trust and determined that none of the individuals who are compensated on a transactional commission/bonus basis can complete any leasing, acquisition or development transaction without getting approval from the Board and/or one or more members of senior management whose compensation is tied to achieving corporate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received the following fees for their service on the Board in 2010:</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100,000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5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150,000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5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r>
      <w:tr>
        <w:trPr>
          <w:trHeight w:val="363"/>
        </w:trPr>
        <w:tc>
          <w:tcPr>
            <w:tcW w:w="4440" w:type="dxa"/>
            <w:vAlign w:val="bottom"/>
          </w:tcPr>
          <w:p>
            <w:pPr>
              <w:spacing w:after="0"/>
              <w:rPr>
                <w:sz w:val="24"/>
                <w:szCs w:val="24"/>
                <w:color w:val="auto"/>
              </w:rPr>
            </w:pPr>
          </w:p>
        </w:tc>
        <w:tc>
          <w:tcPr>
            <w:tcW w:w="5380" w:type="dxa"/>
            <w:vAlign w:val="bottom"/>
          </w:tcPr>
          <w:p>
            <w:pPr>
              <w:jc w:val="right"/>
              <w:ind w:right="4432"/>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2010, each non-employee Trustee and the Non-Executive Chairman of the Board received fifty percent (50%) of the annual retainer in the form of Shares and had the option to elect to receive up to an additional twenty-five percent (25%) of the annual retainer in Shares. All Shares paid as part of the annual retainer vested immediately upon issuance. The equity portion of the annual retainer for 2010 was paid in Shares on January 3, 2011. The number of Shares actually received by each Trustee on January 3, 2011 was determined by dividing the amount of the annual retainer elected to be received in Shares by $77.93, the closing price of our stock on the NYSE on December 31, 2010, the last business day prior to the date the Shares were issued. The remainder of the annual retainer as well as the annual fees paid to the Chairs of the Audit, Compensation and Nominating and Corporate Governance Committees were paid in cash.</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 annual retainer described above and in exchange for providing additional services to the Board with respect to evaluating prospective real estate acquisitions and dispositions by us, Mr. Vassalluzzo receives administrative support for both Trust business and personal use from our regional office in Wynnewood, Pennsylvania. Except for the annual fee for serving as a Trustee, the annual fee for serving as the chair of a committee and the use of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2010 was as follows: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2010 DIRECTOR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90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gridSpan w:val="3"/>
          </w:tcPr>
          <w:p>
            <w:pPr>
              <w:ind w:left="2360"/>
              <w:spacing w:after="0" w:line="131" w:lineRule="exact"/>
              <w:rPr>
                <w:sz w:val="20"/>
                <w:szCs w:val="20"/>
                <w:color w:val="auto"/>
              </w:rPr>
            </w:pPr>
            <w:r>
              <w:rPr>
                <w:rFonts w:ascii="Arial" w:cs="Arial" w:eastAsia="Arial" w:hAnsi="Arial"/>
                <w:sz w:val="14"/>
                <w:szCs w:val="14"/>
                <w:b w:val="1"/>
                <w:bCs w:val="1"/>
                <w:color w:val="auto"/>
              </w:rPr>
              <w:t>Fees Earned or</w:t>
            </w: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ind w:left="460"/>
              <w:spacing w:after="0" w:line="131" w:lineRule="exact"/>
              <w:rPr>
                <w:sz w:val="20"/>
                <w:szCs w:val="20"/>
                <w:color w:val="auto"/>
              </w:rPr>
            </w:pPr>
            <w:r>
              <w:rPr>
                <w:rFonts w:ascii="Arial" w:cs="Arial" w:eastAsia="Arial" w:hAnsi="Arial"/>
                <w:sz w:val="14"/>
                <w:szCs w:val="14"/>
                <w:b w:val="1"/>
                <w:bCs w:val="1"/>
                <w:color w:val="auto"/>
              </w:rPr>
              <w:t>All Other</w:t>
            </w: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4"/>
                <w:szCs w:val="14"/>
                <w:color w:val="auto"/>
              </w:rPr>
            </w:pPr>
          </w:p>
        </w:tc>
        <w:tc>
          <w:tcPr>
            <w:tcW w:w="118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w w:val="92"/>
              </w:rPr>
              <w:t>Paid in Cash</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0"/>
              </w:rPr>
              <w:t>($) (1)(2)</w:t>
            </w:r>
          </w:p>
        </w:tc>
        <w:tc>
          <w:tcPr>
            <w:tcW w:w="6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b w:val="1"/>
                <w:bCs w:val="1"/>
                <w:color w:val="auto"/>
                <w:w w:val="74"/>
              </w:rPr>
              <w:t>($</w:t>
            </w: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 (3)</w:t>
            </w:r>
          </w:p>
        </w:tc>
        <w:tc>
          <w:tcPr>
            <w:tcW w:w="980" w:type="dxa"/>
            <w:vAlign w:val="bottom"/>
            <w:tcBorders>
              <w:top w:val="single" w:sz="8" w:color="auto"/>
              <w:bottom w:val="single" w:sz="8" w:color="auto"/>
            </w:tcBorders>
          </w:tcPr>
          <w:p>
            <w:pPr>
              <w:jc w:val="center"/>
              <w:ind w:left="2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87"/>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David W. Faeder</w:t>
            </w:r>
          </w:p>
        </w:tc>
        <w:tc>
          <w:tcPr>
            <w:tcW w:w="25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60,000</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50,000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237"/>
              <w:spacing w:after="0"/>
              <w:rPr>
                <w:sz w:val="20"/>
                <w:szCs w:val="20"/>
                <w:color w:val="auto"/>
              </w:rPr>
            </w:pPr>
            <w:r>
              <w:rPr>
                <w:rFonts w:ascii="Arial" w:cs="Arial" w:eastAsia="Arial" w:hAnsi="Arial"/>
                <w:sz w:val="18"/>
                <w:szCs w:val="18"/>
                <w:color w:val="auto"/>
                <w:w w:val="82"/>
              </w:rPr>
              <w:t>$ 110,000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87"/>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Gail P. Steinel</w:t>
            </w:r>
          </w:p>
        </w:tc>
        <w:tc>
          <w:tcPr>
            <w:tcW w:w="25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70,000</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50,000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237"/>
              <w:spacing w:after="0"/>
              <w:rPr>
                <w:sz w:val="20"/>
                <w:szCs w:val="20"/>
                <w:color w:val="auto"/>
              </w:rPr>
            </w:pPr>
            <w:r>
              <w:rPr>
                <w:rFonts w:ascii="Arial" w:cs="Arial" w:eastAsia="Arial" w:hAnsi="Arial"/>
                <w:sz w:val="18"/>
                <w:szCs w:val="18"/>
                <w:color w:val="auto"/>
                <w:w w:val="87"/>
              </w:rPr>
              <w:t>$120,000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82"/>
              </w:rPr>
              <w:t>$ 110,000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Joseph S. Vassalluzzo</w:t>
            </w:r>
          </w:p>
        </w:tc>
        <w:tc>
          <w:tcPr>
            <w:tcW w:w="25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75,000</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75,000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9,713</w:t>
            </w:r>
          </w:p>
        </w:tc>
        <w:tc>
          <w:tcPr>
            <w:tcW w:w="980" w:type="dxa"/>
            <w:vAlign w:val="bottom"/>
          </w:tcPr>
          <w:p>
            <w:pPr>
              <w:jc w:val="center"/>
              <w:ind w:left="237"/>
              <w:spacing w:after="0"/>
              <w:rPr>
                <w:sz w:val="20"/>
                <w:szCs w:val="20"/>
                <w:color w:val="auto"/>
              </w:rPr>
            </w:pPr>
            <w:r>
              <w:rPr>
                <w:rFonts w:ascii="Arial" w:cs="Arial" w:eastAsia="Arial" w:hAnsi="Arial"/>
                <w:sz w:val="18"/>
                <w:szCs w:val="18"/>
                <w:color w:val="auto"/>
                <w:w w:val="87"/>
              </w:rPr>
              <w:t>$159,713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365,000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325,000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9,713</w:t>
            </w:r>
          </w:p>
        </w:tc>
        <w:tc>
          <w:tcPr>
            <w:tcW w:w="98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87"/>
              </w:rPr>
              <w:t>$699,713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2010. Dividends are paid on all Shares awarded at the same rate as paid to all other holders of our common shares as declared by our Board from time to time.</w:t>
      </w:r>
    </w:p>
    <w:p>
      <w:pPr>
        <w:spacing w:after="0" w:line="1" w:lineRule="exact"/>
        <w:rPr>
          <w:rFonts w:ascii="Arial" w:cs="Arial" w:eastAsia="Arial" w:hAnsi="Arial"/>
          <w:sz w:val="18"/>
          <w:szCs w:val="18"/>
          <w:color w:val="auto"/>
        </w:rPr>
      </w:pPr>
    </w:p>
    <w:p>
      <w:pPr>
        <w:ind w:left="460" w:right="120" w:hanging="452"/>
        <w:spacing w:after="0" w:line="30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of December 31, 2010, Mr. Bortz owned 3,170 Shares; Mr. Faeder owned 2,827 Shares and had 2,500 options; Ms. Gamble owned 5,908 Shares and had 7,500 options; Ms. Steinel owned 2,623 Shares; Mr. Thompson owned 2,702 Shares and Mr. Vassalluzzo owned 10,523 Shares and had 2,500 options.</w:t>
      </w:r>
    </w:p>
    <w:p>
      <w:pPr>
        <w:ind w:left="460" w:right="220" w:hanging="452"/>
        <w:spacing w:after="0" w:line="331"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amount in the “All Other Compensation” column represents our estimated value of the administrative services we made available to Mr. Vassalluzzo for both Trust business and personal use in our regional office in Wynnewood, Pennsylvania. We estimated the value by valuing 20% of the cost of the administrative assistant supporting Mr. Vassalluzzo. We believe there is no incremental cost to us of providing this administrative support.</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December 2010 the Nominating and Corporate Governance Committee retained Mercer (US), Inc. (“Mercer”), a nationally recognized compensation consultant, to provide market information on Board compensation and to make recommendations for Board compensation, including compensation for the Non-Executive Chairman of the Board. Mercer was paid $7,500 for that study. Based on the Mercer study, the Board, on the recommendation of the Nominating and Corporate Governance Committee</w:t>
      </w:r>
      <w:r>
        <w:rPr>
          <w:rFonts w:ascii="Arial" w:cs="Arial" w:eastAsia="Arial" w:hAnsi="Arial"/>
          <w:sz w:val="18"/>
          <w:szCs w:val="18"/>
          <w:b w:val="1"/>
          <w:bCs w:val="1"/>
          <w:color w:val="auto"/>
        </w:rPr>
        <w:t>,</w:t>
      </w:r>
      <w:r>
        <w:rPr>
          <w:rFonts w:ascii="Arial" w:cs="Arial" w:eastAsia="Arial" w:hAnsi="Arial"/>
          <w:sz w:val="18"/>
          <w:szCs w:val="18"/>
          <w:color w:val="auto"/>
        </w:rPr>
        <w:t xml:space="preserve"> increased the annual retainer for the Trustees beginning January 1, 2011 to $250,000 for the Non-Executive Chairman of the Board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and to $150,000 for other Trustees with the requirement that 60% of the retainer ($150,000 for the Non-Executive Chairman of the Board and $90,000 for other Trustees) be paid in the form of Shares. In addition, the Board adopted ownership guidelines for the Trustees requiring that they hold at all times an amount of Shares valued at least at five times the amount of the annual retainer and giving Trustees five years to achieve the required level of ownership.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xml:space="preserve"> .</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Trustees has seven Trustees. We are currently in the process of moving to a declassified Board and that process will be completed in 2012. As a result, the nominees for Trustee this year will be elected to serve one-year terms until the 2012 Annual Meeting of Shareholders. The Board, on recommendation of the Nominating and Corporate Governance Committee, approved the nomination of the following five individuals, all of whom are currently serving on the Board, for election as trustees to hold office until the 2012 Annual Meeting of Shareholders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right"/>
              <w:ind w:right="456"/>
              <w:spacing w:after="0"/>
              <w:rPr>
                <w:sz w:val="20"/>
                <w:szCs w:val="20"/>
                <w:color w:val="auto"/>
              </w:rPr>
            </w:pPr>
            <w:r>
              <w:rPr>
                <w:rFonts w:ascii="Arial" w:cs="Arial" w:eastAsia="Arial" w:hAnsi="Arial"/>
                <w:sz w:val="14"/>
                <w:szCs w:val="14"/>
                <w:b w:val="1"/>
                <w:bCs w:val="1"/>
                <w:color w:val="auto"/>
              </w:rPr>
              <w:t>Age</w:t>
            </w:r>
          </w:p>
        </w:tc>
        <w:tc>
          <w:tcPr>
            <w:tcW w:w="4640" w:type="dxa"/>
            <w:vAlign w:val="bottom"/>
          </w:tcPr>
          <w:p>
            <w:pPr>
              <w:ind w:left="540"/>
              <w:spacing w:after="0"/>
              <w:rPr>
                <w:sz w:val="20"/>
                <w:szCs w:val="20"/>
                <w:color w:val="auto"/>
              </w:rPr>
            </w:pPr>
            <w:r>
              <w:rPr>
                <w:rFonts w:ascii="Arial" w:cs="Arial" w:eastAsia="Arial" w:hAnsi="Arial"/>
                <w:sz w:val="14"/>
                <w:szCs w:val="14"/>
                <w:b w:val="1"/>
                <w:bCs w:val="1"/>
                <w:color w:val="auto"/>
              </w:rPr>
              <w:t>Position</w:t>
            </w:r>
          </w:p>
        </w:tc>
        <w:tc>
          <w:tcPr>
            <w:tcW w:w="1660" w:type="dxa"/>
            <w:vAlign w:val="bottom"/>
          </w:tcPr>
          <w:p>
            <w:pPr>
              <w:jc w:val="right"/>
              <w:ind w:right="236"/>
              <w:spacing w:after="0"/>
              <w:rPr>
                <w:sz w:val="20"/>
                <w:szCs w:val="20"/>
                <w:color w:val="auto"/>
              </w:rPr>
            </w:pPr>
            <w:r>
              <w:rPr>
                <w:rFonts w:ascii="Arial" w:cs="Arial" w:eastAsia="Arial" w:hAnsi="Arial"/>
                <w:sz w:val="14"/>
                <w:szCs w:val="14"/>
                <w:b w:val="1"/>
                <w:bCs w:val="1"/>
                <w:color w:val="auto"/>
              </w:rPr>
              <w:t>Trustee Since</w:t>
            </w:r>
          </w:p>
        </w:tc>
        <w:tc>
          <w:tcPr>
            <w:tcW w:w="1260" w:type="dxa"/>
            <w:vAlign w:val="bottom"/>
          </w:tcPr>
          <w:p>
            <w:pPr>
              <w:jc w:val="right"/>
              <w:ind w:right="16"/>
              <w:spacing w:after="0"/>
              <w:rPr>
                <w:sz w:val="20"/>
                <w:szCs w:val="20"/>
                <w:color w:val="auto"/>
              </w:rPr>
            </w:pPr>
            <w:r>
              <w:rPr>
                <w:rFonts w:ascii="Arial" w:cs="Arial" w:eastAsia="Arial" w:hAnsi="Arial"/>
                <w:sz w:val="14"/>
                <w:szCs w:val="14"/>
                <w:b w:val="1"/>
                <w:bCs w:val="1"/>
                <w:color w:val="auto"/>
              </w:rPr>
              <w:t>Term to Expire</w:t>
            </w: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 E. Bortz</w:t>
            </w:r>
          </w:p>
        </w:tc>
        <w:tc>
          <w:tcPr>
            <w:tcW w:w="154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54</w:t>
            </w:r>
          </w:p>
        </w:tc>
        <w:tc>
          <w:tcPr>
            <w:tcW w:w="46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Independent Trustee</w:t>
            </w:r>
          </w:p>
        </w:tc>
        <w:tc>
          <w:tcPr>
            <w:tcW w:w="166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2005</w:t>
            </w:r>
          </w:p>
        </w:tc>
        <w:tc>
          <w:tcPr>
            <w:tcW w:w="12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2012</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David W. Faeder</w:t>
            </w:r>
          </w:p>
        </w:tc>
        <w:tc>
          <w:tcPr>
            <w:tcW w:w="1540" w:type="dxa"/>
            <w:vAlign w:val="bottom"/>
          </w:tcPr>
          <w:p>
            <w:pPr>
              <w:jc w:val="right"/>
              <w:ind w:right="456"/>
              <w:spacing w:after="0"/>
              <w:rPr>
                <w:sz w:val="20"/>
                <w:szCs w:val="20"/>
                <w:color w:val="auto"/>
              </w:rPr>
            </w:pPr>
            <w:r>
              <w:rPr>
                <w:rFonts w:ascii="Arial" w:cs="Arial" w:eastAsia="Arial" w:hAnsi="Arial"/>
                <w:sz w:val="18"/>
                <w:szCs w:val="18"/>
                <w:color w:val="auto"/>
              </w:rPr>
              <w:t>54</w:t>
            </w:r>
          </w:p>
        </w:tc>
        <w:tc>
          <w:tcPr>
            <w:tcW w:w="4640" w:type="dxa"/>
            <w:vAlign w:val="bottom"/>
          </w:tcPr>
          <w:p>
            <w:pPr>
              <w:ind w:left="540"/>
              <w:spacing w:after="0"/>
              <w:rPr>
                <w:sz w:val="20"/>
                <w:szCs w:val="20"/>
                <w:color w:val="auto"/>
              </w:rPr>
            </w:pPr>
            <w:r>
              <w:rPr>
                <w:rFonts w:ascii="Arial" w:cs="Arial" w:eastAsia="Arial" w:hAnsi="Arial"/>
                <w:sz w:val="18"/>
                <w:szCs w:val="18"/>
                <w:color w:val="auto"/>
              </w:rPr>
              <w:t>Independent Trustee</w:t>
            </w:r>
          </w:p>
        </w:tc>
        <w:tc>
          <w:tcPr>
            <w:tcW w:w="166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2012</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65</w:t>
            </w:r>
          </w:p>
        </w:tc>
        <w:tc>
          <w:tcPr>
            <w:tcW w:w="4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Independent Trustee</w:t>
            </w:r>
          </w:p>
        </w:tc>
        <w:tc>
          <w:tcPr>
            <w:tcW w:w="16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1995</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2012</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Warren M. Thompson</w:t>
            </w:r>
          </w:p>
        </w:tc>
        <w:tc>
          <w:tcPr>
            <w:tcW w:w="1540" w:type="dxa"/>
            <w:vAlign w:val="bottom"/>
          </w:tcPr>
          <w:p>
            <w:pPr>
              <w:jc w:val="right"/>
              <w:ind w:right="456"/>
              <w:spacing w:after="0"/>
              <w:rPr>
                <w:sz w:val="20"/>
                <w:szCs w:val="20"/>
                <w:color w:val="auto"/>
              </w:rPr>
            </w:pPr>
            <w:r>
              <w:rPr>
                <w:rFonts w:ascii="Arial" w:cs="Arial" w:eastAsia="Arial" w:hAnsi="Arial"/>
                <w:sz w:val="18"/>
                <w:szCs w:val="18"/>
                <w:color w:val="auto"/>
              </w:rPr>
              <w:t>51</w:t>
            </w:r>
          </w:p>
        </w:tc>
        <w:tc>
          <w:tcPr>
            <w:tcW w:w="4640" w:type="dxa"/>
            <w:vAlign w:val="bottom"/>
          </w:tcPr>
          <w:p>
            <w:pPr>
              <w:ind w:left="540"/>
              <w:spacing w:after="0"/>
              <w:rPr>
                <w:sz w:val="20"/>
                <w:szCs w:val="20"/>
                <w:color w:val="auto"/>
              </w:rPr>
            </w:pPr>
            <w:r>
              <w:rPr>
                <w:rFonts w:ascii="Arial" w:cs="Arial" w:eastAsia="Arial" w:hAnsi="Arial"/>
                <w:sz w:val="18"/>
                <w:szCs w:val="18"/>
                <w:color w:val="auto"/>
              </w:rPr>
              <w:t>Independent Trustee</w:t>
            </w:r>
          </w:p>
        </w:tc>
        <w:tc>
          <w:tcPr>
            <w:tcW w:w="1660" w:type="dxa"/>
            <w:vAlign w:val="bottom"/>
          </w:tcPr>
          <w:p>
            <w:pPr>
              <w:jc w:val="right"/>
              <w:ind w:right="216"/>
              <w:spacing w:after="0"/>
              <w:rPr>
                <w:sz w:val="20"/>
                <w:szCs w:val="20"/>
                <w:color w:val="auto"/>
              </w:rPr>
            </w:pPr>
            <w:r>
              <w:rPr>
                <w:rFonts w:ascii="Arial" w:cs="Arial" w:eastAsia="Arial" w:hAnsi="Arial"/>
                <w:sz w:val="18"/>
                <w:szCs w:val="18"/>
                <w:color w:val="auto"/>
              </w:rPr>
              <w:t>2007</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2012</w:t>
            </w:r>
          </w:p>
        </w:tc>
      </w:tr>
      <w:tr>
        <w:trPr>
          <w:trHeight w:val="208"/>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50</w:t>
            </w:r>
          </w:p>
        </w:tc>
        <w:tc>
          <w:tcPr>
            <w:tcW w:w="4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Non-Independent Trustee</w:t>
            </w:r>
          </w:p>
        </w:tc>
        <w:tc>
          <w:tcPr>
            <w:tcW w:w="16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2003</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2012</w:t>
            </w:r>
          </w:p>
        </w:tc>
      </w:tr>
      <w:tr>
        <w:trPr>
          <w:trHeight w:val="238"/>
        </w:trPr>
        <w:tc>
          <w:tcPr>
            <w:tcW w:w="20" w:type="dxa"/>
            <w:vAlign w:val="bottom"/>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President and Chief Executive Officer of the Trust</w:t>
            </w:r>
          </w:p>
        </w:tc>
        <w:tc>
          <w:tcPr>
            <w:tcW w:w="16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2011 Annual Meeting of Shareholders, the Committee considered the following qualifications for each Trustee nominee: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a Trustee of Pebblebrook Hotel Trust, a REIT that acquires and operates upper upscale hotels in large</w:t>
      </w:r>
      <w:r>
        <w:rPr>
          <w:rFonts w:ascii="Arial" w:cs="Arial" w:eastAsia="Arial" w:hAnsi="Arial"/>
          <w:sz w:val="16"/>
          <w:szCs w:val="16"/>
          <w:b w:val="1"/>
          <w:bCs w:val="1"/>
          <w:color w:val="auto"/>
        </w:rPr>
        <w:t xml:space="preserve"> </w:t>
      </w:r>
      <w:r>
        <w:rPr>
          <w:rFonts w:ascii="Arial" w:cs="Arial" w:eastAsia="Arial" w:hAnsi="Arial"/>
          <w:sz w:val="16"/>
          <w:szCs w:val="16"/>
          <w:color w:val="auto"/>
        </w:rPr>
        <w:t>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11"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David W. Faeder</w:t>
      </w:r>
      <w:r>
        <w:rPr>
          <w:rFonts w:ascii="Arial" w:cs="Arial" w:eastAsia="Arial" w:hAnsi="Arial"/>
          <w:sz w:val="15"/>
          <w:szCs w:val="15"/>
          <w:color w:val="auto"/>
        </w:rPr>
        <w:t>, Managing Partner of Fountain Square Properties, a diversified real estate company, since 2003; Vice Chairman (from 2000 to 2003),</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(from 1997 to 2000) and Executive Vice President and Chief Financial Officer (from 1993 to 1997) of Sunrise Senior Living, Inc., a provider of senior living services in the United States, United Kingdom and Canada; Vice President of Credit Suisse First Boston (formerly First Boston Corporation) from 1991 to 1993, directing the real estate advisory business for the RTC in the Washington, DC area; Vice President of Morgan Stanley and Company, Inc., a brokerage firm, from 1984 to 1991 specializing in real estate transactions and financings; and prior to that time, various accounting positions with Ernst and Whinney, Better Homes of Virginia, and Goodman and Company.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00"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President of Flood, Gamble Associates, Inc., an investment counseling firm, since 1984; and prior to that time, various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with responsibility for investments and investment research with brokerage firms and other financial services companies. Director of Ethan Allen Interiors Inc., a furniture manufacturer and retailer. Ms. Gamble benefits the Board through her broad financial related experience from an investor perspective, including as President of her own investment counseling company for over 20 years, and before that, as an executive with responsibility for investments and investment research with various brokerage firms and other financial services companies.</w:t>
      </w:r>
    </w:p>
    <w:p>
      <w:pPr>
        <w:spacing w:after="0" w:line="108"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restaurants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Mr. Wood has been employed by the Trust for more than twelve years and serves on the Board as the sole non-independent Trustee. His tenure with the Trust and his responsibilities as chief executive officer provides the Board with familiarity and details on all aspects of the operations of the Trust.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and Corporate Governance Committee within five (5) business days after certification of the vote. The Nominating and Corporate Governance Committee will promptly consider the resignation and make a recommendation to the Board of Trustees. In deciding whether to accept or reject a resignation that has been tendered, the Nominating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Corporate Governance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and Corporate Governance Committee 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and Corporate Governance Committee or the decision of the Board.</w:t>
      </w:r>
    </w:p>
    <w:p>
      <w:pPr>
        <w:spacing w:after="0" w:line="12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five named individuals. Proxies may not be voted for more than five individuals.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FIVE NOMINEES FOR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other two Trustees currently serving on the Board are named below. These Trustees will continue to serve on the Board until the 2012 Annual Meeting.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right"/>
              <w:ind w:right="499"/>
              <w:spacing w:after="0"/>
              <w:rPr>
                <w:sz w:val="20"/>
                <w:szCs w:val="20"/>
                <w:color w:val="auto"/>
              </w:rPr>
            </w:pPr>
            <w:r>
              <w:rPr>
                <w:rFonts w:ascii="Arial" w:cs="Arial" w:eastAsia="Arial" w:hAnsi="Arial"/>
                <w:sz w:val="14"/>
                <w:szCs w:val="14"/>
                <w:b w:val="1"/>
                <w:bCs w:val="1"/>
                <w:color w:val="auto"/>
              </w:rPr>
              <w:t>Age</w:t>
            </w:r>
          </w:p>
        </w:tc>
        <w:tc>
          <w:tcPr>
            <w:tcW w:w="3600" w:type="dxa"/>
            <w:vAlign w:val="bottom"/>
          </w:tcPr>
          <w:p>
            <w:pPr>
              <w:ind w:left="560"/>
              <w:spacing w:after="0"/>
              <w:rPr>
                <w:sz w:val="20"/>
                <w:szCs w:val="20"/>
                <w:color w:val="auto"/>
              </w:rPr>
            </w:pPr>
            <w:r>
              <w:rPr>
                <w:rFonts w:ascii="Arial" w:cs="Arial" w:eastAsia="Arial" w:hAnsi="Arial"/>
                <w:sz w:val="14"/>
                <w:szCs w:val="14"/>
                <w:b w:val="1"/>
                <w:bCs w:val="1"/>
                <w:color w:val="auto"/>
              </w:rPr>
              <w:t>Position</w:t>
            </w:r>
          </w:p>
        </w:tc>
        <w:tc>
          <w:tcPr>
            <w:tcW w:w="1460" w:type="dxa"/>
            <w:vAlign w:val="bottom"/>
          </w:tcPr>
          <w:p>
            <w:pPr>
              <w:jc w:val="right"/>
              <w:ind w:right="279"/>
              <w:spacing w:after="0"/>
              <w:rPr>
                <w:sz w:val="20"/>
                <w:szCs w:val="20"/>
                <w:color w:val="auto"/>
              </w:rPr>
            </w:pPr>
            <w:r>
              <w:rPr>
                <w:rFonts w:ascii="Arial" w:cs="Arial" w:eastAsia="Arial" w:hAnsi="Arial"/>
                <w:sz w:val="14"/>
                <w:szCs w:val="14"/>
                <w:b w:val="1"/>
                <w:bCs w:val="1"/>
                <w:color w:val="auto"/>
              </w:rPr>
              <w:t>Trustee Since</w:t>
            </w:r>
          </w:p>
        </w:tc>
        <w:tc>
          <w:tcPr>
            <w:tcW w:w="1340" w:type="dxa"/>
            <w:vAlign w:val="bottom"/>
          </w:tcPr>
          <w:p>
            <w:pPr>
              <w:jc w:val="right"/>
              <w:ind w:right="39"/>
              <w:spacing w:after="0"/>
              <w:rPr>
                <w:sz w:val="20"/>
                <w:szCs w:val="20"/>
                <w:color w:val="auto"/>
              </w:rPr>
            </w:pPr>
            <w:r>
              <w:rPr>
                <w:rFonts w:ascii="Arial" w:cs="Arial" w:eastAsia="Arial" w:hAnsi="Arial"/>
                <w:sz w:val="14"/>
                <w:szCs w:val="14"/>
                <w:b w:val="1"/>
                <w:bCs w:val="1"/>
                <w:color w:val="auto"/>
              </w:rPr>
              <w:t>Term to Expire</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214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54</w:t>
            </w:r>
          </w:p>
        </w:tc>
        <w:tc>
          <w:tcPr>
            <w:tcW w:w="36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Independent Trustee</w:t>
            </w:r>
          </w:p>
        </w:tc>
        <w:tc>
          <w:tcPr>
            <w:tcW w:w="1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2006</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2012</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Joseph S. Vassalluzzo</w:t>
            </w:r>
          </w:p>
        </w:tc>
        <w:tc>
          <w:tcPr>
            <w:tcW w:w="2140" w:type="dxa"/>
            <w:vAlign w:val="bottom"/>
          </w:tcPr>
          <w:p>
            <w:pPr>
              <w:jc w:val="right"/>
              <w:ind w:right="479"/>
              <w:spacing w:after="0"/>
              <w:rPr>
                <w:sz w:val="20"/>
                <w:szCs w:val="20"/>
                <w:color w:val="auto"/>
              </w:rPr>
            </w:pPr>
            <w:r>
              <w:rPr>
                <w:rFonts w:ascii="Arial" w:cs="Arial" w:eastAsia="Arial" w:hAnsi="Arial"/>
                <w:sz w:val="18"/>
                <w:szCs w:val="18"/>
                <w:color w:val="auto"/>
              </w:rPr>
              <w:t>63</w:t>
            </w:r>
          </w:p>
        </w:tc>
        <w:tc>
          <w:tcPr>
            <w:tcW w:w="3600" w:type="dxa"/>
            <w:vAlign w:val="bottom"/>
          </w:tcPr>
          <w:p>
            <w:pPr>
              <w:ind w:left="560"/>
              <w:spacing w:after="0"/>
              <w:rPr>
                <w:sz w:val="20"/>
                <w:szCs w:val="20"/>
                <w:color w:val="auto"/>
              </w:rPr>
            </w:pPr>
            <w:r>
              <w:rPr>
                <w:rFonts w:ascii="Arial" w:cs="Arial" w:eastAsia="Arial" w:hAnsi="Arial"/>
                <w:sz w:val="18"/>
                <w:szCs w:val="18"/>
                <w:color w:val="auto"/>
              </w:rPr>
              <w:t>Independent Trustee</w:t>
            </w:r>
          </w:p>
        </w:tc>
        <w:tc>
          <w:tcPr>
            <w:tcW w:w="1460" w:type="dxa"/>
            <w:vAlign w:val="bottom"/>
          </w:tcPr>
          <w:p>
            <w:pPr>
              <w:jc w:val="right"/>
              <w:ind w:right="259"/>
              <w:spacing w:after="0"/>
              <w:rPr>
                <w:sz w:val="20"/>
                <w:szCs w:val="20"/>
                <w:color w:val="auto"/>
              </w:rPr>
            </w:pPr>
            <w:r>
              <w:rPr>
                <w:rFonts w:ascii="Arial" w:cs="Arial" w:eastAsia="Arial" w:hAnsi="Arial"/>
                <w:sz w:val="18"/>
                <w:szCs w:val="18"/>
                <w:color w:val="auto"/>
              </w:rPr>
              <w:t>2002</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2012</w:t>
            </w: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w w:val="99"/>
              </w:rPr>
              <w:t>Non-Executive Chairman of the Board</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considered the following qualifications for our remaining Trustees:</w:t>
      </w:r>
    </w:p>
    <w:p>
      <w:pPr>
        <w:spacing w:after="0" w:line="16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to chief executive officers and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seminars to companies. Executive 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Director of iParty Corp., a premier multi-channel party supply and party planning company; Lead Director of Life Time Fitness, Inc., an operator of distinctive and large sports, athletic, fitness and family recreation centers.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the Trust’s internal audit function which has been provided by the Reznick Group since March 2003.</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Audit Committee meets at least quarterly and at such other times as it deems necessary or appropriate to carry out its responsibilities. All quarterly meetings during 2010 included executive sessions with our independent accountant without management being present. The Audit Committee met four times during 2010, including four executive sessions with GT. In the course of fulfilling its oversight responsibilities, the Audit Committee met with both management and GT to review and discuss all annual and quarterly financial statements and quarterly operating results prior to their issuance. Management advised the Audit Committee that all financial statements were prepared in accordance with GAAP. The Audit Committee also discussed with GT matters required to be discussed pursuant to Statement on Auditing Standards No. 61, as amended,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including the reasonableness of judgments and the clarity and completeness of financial disclosures.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continually monitors the non-audit services provided by GT. During 2010, the Audit Committee limited non-audit services primarily to income tax form preparation for us and our subsidiaries and the provision of advice on the tax impacts of acquisition and other property related transactions. GT also performed the 2010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the Audit Committee continued to oversee in 2010 the internal auditor’s ongoing testing of the effectiveness of our internal controls. The findings of the internal auditor were reported to the Audit Committee on a quarterly basis. GT, as part of its 2010 audit of our financial statements, independently reviewed our internal controls and concluded that there were no material weaknesses or significant deficiencies.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2010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2010. The Audit Committee approves in advance all fees paid to and services provided by GT. In addition, the Audit Committee has considered those services provided by GT and has determined that such services are compatible with maintaining the independence of GT. During 2010 and 2009,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$449,000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$523,258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Audit-Related Fees(2)</w:t>
            </w:r>
          </w:p>
        </w:tc>
        <w:tc>
          <w:tcPr>
            <w:tcW w:w="680" w:type="dxa"/>
            <w:vAlign w:val="bottom"/>
          </w:tcPr>
          <w:p>
            <w:pPr>
              <w:jc w:val="right"/>
              <w:spacing w:after="0"/>
              <w:rPr>
                <w:sz w:val="20"/>
                <w:szCs w:val="20"/>
                <w:color w:val="auto"/>
              </w:rPr>
            </w:pPr>
            <w:r>
              <w:rPr>
                <w:rFonts w:ascii="Arial" w:cs="Arial" w:eastAsia="Arial" w:hAnsi="Arial"/>
                <w:sz w:val="18"/>
                <w:szCs w:val="18"/>
                <w:color w:val="auto"/>
              </w:rPr>
              <w:t>25,988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$642,854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$726,165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$17,325 in both 2010 and 2009 we paid to GT as our 30% share of the cost of the 2010 and 2009 financial statement audits of our joint venture with affiliates of a discretionary fund created and advised by ING Clarion Partners.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Audit-related fees primarily including audits of our employee benefit plan.</w:t>
      </w:r>
    </w:p>
    <w:p>
      <w:pPr>
        <w:spacing w:after="0" w:line="9"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include preparation of federal and state tax returns, earnings and profits calculations and requested tax research, none of which research related to tax shelters. These figures do not include $2,460 in both 2010 and 2009 we paid to GT as our 30% share of the cost of tax return preparation for our joint venture with affiliates of a discretionary fund created and advised by ING Clarion Partners.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2011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 Pursuant to its charter, the Audit Committee must pre-approve all audit and non-audit services provided by GT. For 2011 the Audit Committee to date has approved GT’s providing the following non-audit services: (a) tax planning and other consultation for purposes of structuring acquisitions, dispositions, joint ventures and other investment or financing opportunities as well as consultation associated with financial reporting matters (e.g. implementation of newly issued accounting standards) provided that the aggregate amount paid to Grant Thornton for such services does not exceed $100,000; (b) issuance of comfort letters and consents in connection with capital markets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transactions approved in accordance with the Trust’s policies and procedures provided that the aggregate amount paid to Grant Thornton for such services does not exceed $75,000; (c) issuance of audit opinions related to acquisition audits required under Rule 3-14 of Regulation S-X provided that the aggregate amount paid to Grant Thornton for such services does not exceed $75,000, and (d) a Limited Review of the Trust’s letter to the State of California Department of Environmental Quality provided that the aggregate amount paid to Grant Thornton for such services does not exceed $3,000, which will only be completed if requested by the State of California.</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GT’s providing additional non-audit services or services in excess of the amounts specified above if it determines that it is in our best interest and that GT’s independence would not be compromised. All audit and non-audit services provided to the Trust by GT for the 2010 fiscal year are described in the “Relationship With Independent Registered Public Accounting Firm” section above.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GT’s performing the audit of the financial statements for our equity joint venture with affiliates of a discretionary fund created and advised by ING Clarion Partners for the fiscal years ending 2004 through 2010. We own a 30% interest in that joint venture. The Audit Committee approved GT’s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the proposal to ratify the Audit Committee’s selection of GT as our independent registered public accounting firm for 2011. If you fail to give any instructions on your proxy card on this matter, the proxies identified on the proxy card will vote FOR this proposal. An “abstention” or broker “non-vote” will have no effect on the outcome of the vote on this proposal, however, if you fail to give instructions to your broker, your broker may have authority to vote the shares for this proposal.</w:t>
      </w:r>
    </w:p>
    <w:p>
      <w:pPr>
        <w:spacing w:after="0" w:line="1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2011.</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right"/>
              <w:ind w:right="116"/>
              <w:spacing w:after="0"/>
              <w:rPr>
                <w:sz w:val="20"/>
                <w:szCs w:val="20"/>
                <w:color w:val="auto"/>
              </w:rPr>
            </w:pPr>
            <w:r>
              <w:rPr>
                <w:rFonts w:ascii="Arial" w:cs="Arial" w:eastAsia="Arial" w:hAnsi="Arial"/>
                <w:sz w:val="14"/>
                <w:szCs w:val="14"/>
                <w:b w:val="1"/>
                <w:bCs w:val="1"/>
                <w:color w:val="auto"/>
              </w:rPr>
              <w:t>Age</w:t>
            </w:r>
          </w:p>
        </w:tc>
        <w:tc>
          <w:tcPr>
            <w:tcW w:w="6160" w:type="dxa"/>
            <w:vAlign w:val="bottom"/>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1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50</w:t>
            </w:r>
          </w:p>
        </w:tc>
        <w:tc>
          <w:tcPr>
            <w:tcW w:w="61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Andrew P. Blocher</w:t>
            </w:r>
          </w:p>
        </w:tc>
        <w:tc>
          <w:tcPr>
            <w:tcW w:w="2180" w:type="dxa"/>
            <w:vAlign w:val="bottom"/>
          </w:tcPr>
          <w:p>
            <w:pPr>
              <w:jc w:val="right"/>
              <w:ind w:right="96"/>
              <w:spacing w:after="0"/>
              <w:rPr>
                <w:sz w:val="20"/>
                <w:szCs w:val="20"/>
                <w:color w:val="auto"/>
              </w:rPr>
            </w:pPr>
            <w:r>
              <w:rPr>
                <w:rFonts w:ascii="Arial" w:cs="Arial" w:eastAsia="Arial" w:hAnsi="Arial"/>
                <w:sz w:val="18"/>
                <w:szCs w:val="18"/>
                <w:color w:val="auto"/>
              </w:rPr>
              <w:t>46</w:t>
            </w:r>
          </w:p>
        </w:tc>
        <w:tc>
          <w:tcPr>
            <w:tcW w:w="6160" w:type="dxa"/>
            <w:vAlign w:val="bottom"/>
          </w:tcPr>
          <w:p>
            <w:pPr>
              <w:ind w:left="160"/>
              <w:spacing w:after="0"/>
              <w:rPr>
                <w:sz w:val="20"/>
                <w:szCs w:val="20"/>
                <w:color w:val="auto"/>
              </w:rPr>
            </w:pPr>
            <w:r>
              <w:rPr>
                <w:rFonts w:ascii="Arial" w:cs="Arial" w:eastAsia="Arial" w:hAnsi="Arial"/>
                <w:sz w:val="18"/>
                <w:szCs w:val="18"/>
                <w:color w:val="auto"/>
              </w:rPr>
              <w:t>Senior Vice President—Chief Financial Officer and Treasurer</w:t>
            </w: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47</w:t>
            </w: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President—Chief Operating Officer/</w:t>
            </w: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 and Secretary</w:t>
            </w: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Jeffrey S. Berkes</w:t>
            </w:r>
          </w:p>
        </w:tc>
        <w:tc>
          <w:tcPr>
            <w:tcW w:w="2180" w:type="dxa"/>
            <w:vAlign w:val="bottom"/>
          </w:tcPr>
          <w:p>
            <w:pPr>
              <w:jc w:val="right"/>
              <w:ind w:right="96"/>
              <w:spacing w:after="0"/>
              <w:rPr>
                <w:sz w:val="20"/>
                <w:szCs w:val="20"/>
                <w:color w:val="auto"/>
              </w:rPr>
            </w:pPr>
            <w:r>
              <w:rPr>
                <w:rFonts w:ascii="Arial" w:cs="Arial" w:eastAsia="Arial" w:hAnsi="Arial"/>
                <w:sz w:val="18"/>
                <w:szCs w:val="18"/>
                <w:color w:val="auto"/>
              </w:rPr>
              <w:t>47</w:t>
            </w:r>
          </w:p>
        </w:tc>
        <w:tc>
          <w:tcPr>
            <w:tcW w:w="6160" w:type="dxa"/>
            <w:vAlign w:val="bottom"/>
          </w:tcPr>
          <w:p>
            <w:pPr>
              <w:ind w:left="160"/>
              <w:spacing w:after="0"/>
              <w:rPr>
                <w:sz w:val="20"/>
                <w:szCs w:val="20"/>
                <w:color w:val="auto"/>
              </w:rPr>
            </w:pPr>
            <w:r>
              <w:rPr>
                <w:rFonts w:ascii="Arial" w:cs="Arial" w:eastAsia="Arial" w:hAnsi="Arial"/>
                <w:sz w:val="18"/>
                <w:szCs w:val="18"/>
                <w:color w:val="auto"/>
              </w:rPr>
              <w:t>Executive Vice President—Chief Investment Officer</w:t>
            </w: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Andrew P. Blocher</w:t>
      </w:r>
      <w:r>
        <w:rPr>
          <w:rFonts w:ascii="Arial" w:cs="Arial" w:eastAsia="Arial" w:hAnsi="Arial"/>
          <w:sz w:val="16"/>
          <w:szCs w:val="16"/>
          <w:color w:val="auto"/>
        </w:rPr>
        <w:t>, Senior Vice President – Chief Financial Officer and Treasurer of the Trust since September 1, 2008, with responsibility for overseeing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Trust’s capital markets, financial reporting, investor relations, corporate communications, human resources and information technology functions; and prior to that time, various officer positions with the Trust, including Senior Vice President-Capital Markets and Investor Relations (2007 to 2008), Vice President-Capital Markets and Investor Relations (2003 to 2007) and Vice President-Investor Relations and Finance (2000 to 2003).</w:t>
      </w:r>
    </w:p>
    <w:p>
      <w:pPr>
        <w:spacing w:after="0" w:line="10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 – Chief Operating Officer (since February 2010) and General Counsel and Secretary of the Trust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with responsibility for overseeing all of the Trust’s operations and asset management functions and the Trust’s Legal Department; and prior to that time, various officer positions with the Trust, including Vice President–Real Estate and Finance Counsel (2000 to 2002).</w:t>
      </w:r>
    </w:p>
    <w:p>
      <w:pPr>
        <w:spacing w:after="0" w:line="97"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Jeffrey S. Berkes</w:t>
      </w:r>
      <w:r>
        <w:rPr>
          <w:rFonts w:ascii="Arial" w:cs="Arial" w:eastAsia="Arial" w:hAnsi="Arial"/>
          <w:sz w:val="16"/>
          <w:szCs w:val="16"/>
          <w:color w:val="auto"/>
        </w:rPr>
        <w:t>, Executive Vice President-Chief Investment Officer since February 2006, with responsibility for overseeing acquisitions, dispositions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investment activity for the Trust; and prior to that time, various officer positions with the Trust, including Senior Vice President-Chief Investment Officer (2003 to 2006), Senior Vice President–Strategic Transactions (2002 to 2003) and Vice President-Strategic Transactions (2000 to 2002).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You will be asked in Item 3 of this proxy statement to provide a non-binding, advisory vote on the compensation of our named executive officers as described in the following sections of this proxy statement. Please keep that in mind as you review the following information, including the Summary Compensation Table, the supplemental tables and narrative disclosures that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Despite continuing economic challenges and pressure on retail consumers, we delivered a strong financial performance in 2010 that improved on the solid financial performance we were able to deliver through the heart of the recession in 2008 and 2009. During that time, we increased our funds from operations, funds from operations per share and property operating income. We also increased our dividend during each of 2008, 2009 and 2010 and paid that dividend entirely in cash. Some of our key performance metrics for the period from 2008 through 2010 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2040" w:type="dxa"/>
            <w:vAlign w:val="bottom"/>
          </w:tcPr>
          <w:p>
            <w:pPr>
              <w:spacing w:after="0"/>
              <w:rPr>
                <w:sz w:val="14"/>
                <w:szCs w:val="14"/>
                <w:color w:val="auto"/>
              </w:rPr>
            </w:pPr>
          </w:p>
        </w:tc>
        <w:tc>
          <w:tcPr>
            <w:tcW w:w="1360" w:type="dxa"/>
            <w:vAlign w:val="bottom"/>
          </w:tcPr>
          <w:p>
            <w:pPr>
              <w:jc w:val="right"/>
              <w:ind w:right="71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340" w:type="dxa"/>
            <w:vAlign w:val="bottom"/>
          </w:tcPr>
          <w:p>
            <w:pPr>
              <w:jc w:val="right"/>
              <w:ind w:right="69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160" w:type="dxa"/>
            <w:vAlign w:val="bottom"/>
          </w:tcPr>
          <w:p>
            <w:pPr>
              <w:jc w:val="right"/>
              <w:ind w:right="516"/>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2"/>
              </w:rPr>
              <w:t>239.2 million</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1"/>
              </w:rPr>
              <w:t>227.4 million</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2"/>
              </w:rPr>
              <w:t>228.4 million</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Funds from Operations per Share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6"/>
              <w:spacing w:after="0"/>
              <w:rPr>
                <w:sz w:val="20"/>
                <w:szCs w:val="20"/>
                <w:color w:val="auto"/>
              </w:rPr>
            </w:pPr>
            <w:r>
              <w:rPr>
                <w:rFonts w:ascii="Arial" w:cs="Arial" w:eastAsia="Arial" w:hAnsi="Arial"/>
                <w:sz w:val="18"/>
                <w:szCs w:val="18"/>
                <w:color w:val="auto"/>
              </w:rPr>
              <w:t>3.88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3.78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2"/>
              </w:rPr>
              <w:t>374.5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1"/>
              </w:rPr>
              <w:t>363.8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2"/>
              </w:rPr>
              <w:t>354.8 million</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Same Store POI Growth</w:t>
            </w:r>
          </w:p>
        </w:tc>
        <w:tc>
          <w:tcPr>
            <w:tcW w:w="2040" w:type="dxa"/>
            <w:vAlign w:val="bottom"/>
          </w:tcPr>
          <w:p>
            <w:pPr>
              <w:spacing w:after="0"/>
              <w:rPr>
                <w:sz w:val="18"/>
                <w:szCs w:val="18"/>
                <w:color w:val="auto"/>
              </w:rPr>
            </w:pP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2.48</w:t>
            </w:r>
          </w:p>
        </w:tc>
      </w:tr>
    </w:tbl>
    <w:p>
      <w:pPr>
        <w:spacing w:after="0" w:line="154"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That operational performance has provided the foundation for our strong total shareholder return performance over the past one and three year periods both on an absolute and relative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560" w:type="dxa"/>
            <w:vAlign w:val="bottom"/>
          </w:tcPr>
          <w:p>
            <w:pPr>
              <w:jc w:val="right"/>
              <w:ind w:right="799"/>
              <w:spacing w:after="0"/>
              <w:rPr>
                <w:sz w:val="20"/>
                <w:szCs w:val="20"/>
                <w:color w:val="auto"/>
              </w:rPr>
            </w:pPr>
            <w:r>
              <w:rPr>
                <w:rFonts w:ascii="Arial" w:cs="Arial" w:eastAsia="Arial" w:hAnsi="Arial"/>
                <w:sz w:val="14"/>
                <w:szCs w:val="14"/>
                <w:b w:val="1"/>
                <w:bCs w:val="1"/>
                <w:color w:val="auto"/>
              </w:rPr>
              <w:t>2010 Total Shareholder</w:t>
            </w:r>
          </w:p>
        </w:tc>
        <w:tc>
          <w:tcPr>
            <w:tcW w:w="2380" w:type="dxa"/>
            <w:vAlign w:val="bottom"/>
          </w:tcPr>
          <w:p>
            <w:pPr>
              <w:jc w:val="right"/>
              <w:ind w:right="119"/>
              <w:spacing w:after="0"/>
              <w:rPr>
                <w:sz w:val="20"/>
                <w:szCs w:val="20"/>
                <w:color w:val="auto"/>
              </w:rPr>
            </w:pPr>
            <w:r>
              <w:rPr>
                <w:rFonts w:ascii="Arial" w:cs="Arial" w:eastAsia="Arial" w:hAnsi="Arial"/>
                <w:sz w:val="14"/>
                <w:szCs w:val="14"/>
                <w:b w:val="1"/>
                <w:bCs w:val="1"/>
                <w:color w:val="auto"/>
              </w:rPr>
              <w:t>3 Year Total Shareholder</w:t>
            </w:r>
          </w:p>
        </w:tc>
      </w:tr>
      <w:tr>
        <w:trPr>
          <w:trHeight w:val="16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3560" w:type="dxa"/>
            <w:vAlign w:val="bottom"/>
          </w:tcPr>
          <w:p>
            <w:pPr>
              <w:jc w:val="right"/>
              <w:ind w:right="1259"/>
              <w:spacing w:after="0"/>
              <w:rPr>
                <w:sz w:val="20"/>
                <w:szCs w:val="20"/>
                <w:color w:val="auto"/>
              </w:rPr>
            </w:pPr>
            <w:r>
              <w:rPr>
                <w:rFonts w:ascii="Arial" w:cs="Arial" w:eastAsia="Arial" w:hAnsi="Arial"/>
                <w:sz w:val="14"/>
                <w:szCs w:val="14"/>
                <w:b w:val="1"/>
                <w:bCs w:val="1"/>
                <w:color w:val="auto"/>
              </w:rPr>
              <w:t>Return</w:t>
            </w:r>
          </w:p>
        </w:tc>
        <w:tc>
          <w:tcPr>
            <w:tcW w:w="2380" w:type="dxa"/>
            <w:vAlign w:val="bottom"/>
          </w:tcPr>
          <w:p>
            <w:pPr>
              <w:jc w:val="right"/>
              <w:ind w:right="139"/>
              <w:spacing w:after="0"/>
              <w:rPr>
                <w:sz w:val="20"/>
                <w:szCs w:val="20"/>
                <w:color w:val="auto"/>
              </w:rPr>
            </w:pPr>
            <w:r>
              <w:rPr>
                <w:rFonts w:ascii="Arial" w:cs="Arial" w:eastAsia="Arial" w:hAnsi="Arial"/>
                <w:sz w:val="14"/>
                <w:szCs w:val="14"/>
                <w:b w:val="1"/>
                <w:bCs w:val="1"/>
                <w:color w:val="auto"/>
              </w:rPr>
              <w:t>Return through 12/31/10</w:t>
            </w:r>
          </w:p>
        </w:tc>
      </w:tr>
      <w:tr>
        <w:trPr>
          <w:trHeight w:val="210"/>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356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rPr>
              <w:t>19.1%</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Bloomberg REIT Shopping Center Index (“BBRESHOP”)</w:t>
            </w:r>
          </w:p>
        </w:tc>
        <w:tc>
          <w:tcPr>
            <w:tcW w:w="3560" w:type="dxa"/>
            <w:vAlign w:val="bottom"/>
          </w:tcPr>
          <w:p>
            <w:pPr>
              <w:jc w:val="right"/>
              <w:ind w:right="639"/>
              <w:spacing w:after="0"/>
              <w:rPr>
                <w:sz w:val="20"/>
                <w:szCs w:val="20"/>
                <w:color w:val="auto"/>
              </w:rPr>
            </w:pPr>
            <w:r>
              <w:rPr>
                <w:rFonts w:ascii="Arial" w:cs="Arial" w:eastAsia="Arial" w:hAnsi="Arial"/>
                <w:sz w:val="18"/>
                <w:szCs w:val="18"/>
                <w:color w:val="auto"/>
              </w:rPr>
              <w:t>30.5%</w:t>
            </w:r>
          </w:p>
        </w:tc>
        <w:tc>
          <w:tcPr>
            <w:tcW w:w="23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REIT Index</w:t>
            </w:r>
          </w:p>
        </w:tc>
        <w:tc>
          <w:tcPr>
            <w:tcW w:w="356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28.5%</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S&amp;P 500</w:t>
            </w:r>
          </w:p>
        </w:tc>
        <w:tc>
          <w:tcPr>
            <w:tcW w:w="3560" w:type="dxa"/>
            <w:vAlign w:val="bottom"/>
          </w:tcPr>
          <w:p>
            <w:pPr>
              <w:jc w:val="right"/>
              <w:ind w:right="639"/>
              <w:spacing w:after="0"/>
              <w:rPr>
                <w:sz w:val="20"/>
                <w:szCs w:val="20"/>
                <w:color w:val="auto"/>
              </w:rPr>
            </w:pPr>
            <w:r>
              <w:rPr>
                <w:rFonts w:ascii="Arial" w:cs="Arial" w:eastAsia="Arial" w:hAnsi="Arial"/>
                <w:sz w:val="18"/>
                <w:szCs w:val="18"/>
                <w:color w:val="auto"/>
              </w:rPr>
              <w:t>15.1%</w:t>
            </w:r>
          </w:p>
        </w:tc>
        <w:tc>
          <w:tcPr>
            <w:tcW w:w="23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4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compensation of our named executive officers for 2010 reflects these results and includes: (a) base salary increases commensurate with market and individual responsibility; (b) annual bonuses being paid at 88% of the maximum potential; and (c) equity awards being paid at 75% of the maximum potential. The final 2010 compensation for each of our named executive officers was: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400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c>
          <w:tcPr>
            <w:tcW w:w="1640" w:type="dxa"/>
            <w:vAlign w:val="bottom"/>
          </w:tcPr>
          <w:p>
            <w:pPr>
              <w:jc w:val="center"/>
              <w:ind w:left="556"/>
              <w:spacing w:after="0"/>
              <w:rPr>
                <w:sz w:val="20"/>
                <w:szCs w:val="20"/>
                <w:color w:val="auto"/>
              </w:rPr>
            </w:pPr>
            <w:r>
              <w:rPr>
                <w:rFonts w:ascii="Arial" w:cs="Arial" w:eastAsia="Arial" w:hAnsi="Arial"/>
                <w:sz w:val="14"/>
                <w:szCs w:val="14"/>
                <w:b w:val="1"/>
                <w:bCs w:val="1"/>
                <w:color w:val="auto"/>
                <w:w w:val="83"/>
              </w:rPr>
              <w:t>Base</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Annual Bonus</w:t>
            </w:r>
          </w:p>
        </w:tc>
        <w:tc>
          <w:tcPr>
            <w:tcW w:w="26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LTIAP</w:t>
            </w:r>
          </w:p>
        </w:tc>
        <w:tc>
          <w:tcPr>
            <w:tcW w:w="28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Wood (a)</w:t>
            </w:r>
          </w:p>
        </w:tc>
        <w:tc>
          <w:tcPr>
            <w:tcW w:w="400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Chief Executive Officer</w:t>
            </w:r>
          </w:p>
        </w:tc>
        <w:tc>
          <w:tcPr>
            <w:tcW w:w="1640" w:type="dxa"/>
            <w:vAlign w:val="bottom"/>
            <w:tcBorders>
              <w:top w:val="single" w:sz="8" w:color="auto"/>
            </w:tcBorders>
            <w:shd w:val="clear" w:color="auto" w:fill="CCEEFF"/>
          </w:tcPr>
          <w:p>
            <w:pPr>
              <w:jc w:val="center"/>
              <w:ind w:left="556"/>
              <w:spacing w:after="0"/>
              <w:rPr>
                <w:sz w:val="20"/>
                <w:szCs w:val="20"/>
                <w:color w:val="auto"/>
              </w:rPr>
            </w:pPr>
            <w:r>
              <w:rPr>
                <w:rFonts w:ascii="Arial" w:cs="Arial" w:eastAsia="Arial" w:hAnsi="Arial"/>
                <w:sz w:val="18"/>
                <w:szCs w:val="18"/>
                <w:color w:val="auto"/>
                <w:w w:val="84"/>
              </w:rPr>
              <w:t>$ 850,000</w:t>
            </w:r>
          </w:p>
        </w:tc>
        <w:tc>
          <w:tcPr>
            <w:tcW w:w="2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1,402,500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89"/>
              </w:rPr>
              <w:t>3,700,000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9"/>
              </w:rPr>
              <w:t>5,952,500</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Ms. Becker</w:t>
            </w:r>
          </w:p>
        </w:tc>
        <w:tc>
          <w:tcPr>
            <w:tcW w:w="4000" w:type="dxa"/>
            <w:vAlign w:val="bottom"/>
          </w:tcPr>
          <w:p>
            <w:pPr>
              <w:ind w:left="1380"/>
              <w:spacing w:after="0"/>
              <w:rPr>
                <w:sz w:val="20"/>
                <w:szCs w:val="20"/>
                <w:color w:val="auto"/>
              </w:rPr>
            </w:pPr>
            <w:r>
              <w:rPr>
                <w:rFonts w:ascii="Arial" w:cs="Arial" w:eastAsia="Arial" w:hAnsi="Arial"/>
                <w:sz w:val="18"/>
                <w:szCs w:val="18"/>
                <w:color w:val="auto"/>
              </w:rPr>
              <w:t>Chief Operating Officer</w:t>
            </w:r>
          </w:p>
        </w:tc>
        <w:tc>
          <w:tcPr>
            <w:tcW w:w="1640" w:type="dxa"/>
            <w:vAlign w:val="bottom"/>
          </w:tcPr>
          <w:p>
            <w:pPr>
              <w:jc w:val="center"/>
              <w:ind w:left="556"/>
              <w:spacing w:after="0"/>
              <w:rPr>
                <w:sz w:val="20"/>
                <w:szCs w:val="20"/>
                <w:color w:val="auto"/>
              </w:rPr>
            </w:pPr>
            <w:r>
              <w:rPr>
                <w:rFonts w:ascii="Arial" w:cs="Arial" w:eastAsia="Arial" w:hAnsi="Arial"/>
                <w:sz w:val="18"/>
                <w:szCs w:val="18"/>
                <w:color w:val="auto"/>
                <w:w w:val="84"/>
              </w:rPr>
              <w:t>$ 400,000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330,000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562,250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w w:val="89"/>
              </w:rPr>
              <w:t>1,292,250</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Mr. Berkes</w:t>
            </w:r>
          </w:p>
        </w:tc>
        <w:tc>
          <w:tcPr>
            <w:tcW w:w="40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Chief Investment Officer</w:t>
            </w:r>
          </w:p>
        </w:tc>
        <w:tc>
          <w:tcPr>
            <w:tcW w:w="164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4"/>
              </w:rPr>
              <w:t>$ 375,000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206,250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581,250</w:t>
            </w: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Mr. Blocher</w:t>
            </w:r>
          </w:p>
        </w:tc>
        <w:tc>
          <w:tcPr>
            <w:tcW w:w="4000" w:type="dxa"/>
            <w:vAlign w:val="bottom"/>
          </w:tcPr>
          <w:p>
            <w:pPr>
              <w:ind w:left="138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jc w:val="center"/>
              <w:ind w:left="556"/>
              <w:spacing w:after="0"/>
              <w:rPr>
                <w:sz w:val="20"/>
                <w:szCs w:val="20"/>
                <w:color w:val="auto"/>
              </w:rPr>
            </w:pPr>
            <w:r>
              <w:rPr>
                <w:rFonts w:ascii="Arial" w:cs="Arial" w:eastAsia="Arial" w:hAnsi="Arial"/>
                <w:sz w:val="18"/>
                <w:szCs w:val="18"/>
                <w:color w:val="auto"/>
                <w:w w:val="84"/>
              </w:rPr>
              <w:t>$ 300,000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247,500</w:t>
            </w:r>
          </w:p>
        </w:tc>
        <w:tc>
          <w:tcPr>
            <w:tcW w:w="26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N/A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547,500</w:t>
            </w:r>
          </w:p>
        </w:tc>
      </w:tr>
    </w:tbl>
    <w:p>
      <w:pPr>
        <w:spacing w:after="0" w:line="66" w:lineRule="exact"/>
        <w:rPr>
          <w:sz w:val="20"/>
          <w:szCs w:val="20"/>
          <w:color w:val="auto"/>
        </w:rPr>
      </w:pPr>
    </w:p>
    <w:p>
      <w:pPr>
        <w:ind w:left="460" w:right="2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Wood’s base salary was increased effective November 1, 2010. Total base salary paid to Mr. Wood for calendar year 2010 was $725,000. The total LTIAP award earned by Mr. Wood for 2010 was $4,500,000; however, as described below, Mr. Wood voluntarily requested that the award be reduced by $800,000 and distributed to other members of the senior management team.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16" w:lineRule="exact"/>
        <w:rPr>
          <w:sz w:val="20"/>
          <w:szCs w:val="20"/>
          <w:color w:val="auto"/>
        </w:rPr>
      </w:pPr>
    </w:p>
    <w:p>
      <w:pPr>
        <w:ind w:right="14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operating strategy.</w:t>
      </w:r>
    </w:p>
    <w:p>
      <w:pPr>
        <w:spacing w:after="0" w:line="140" w:lineRule="exact"/>
        <w:rPr>
          <w:rFonts w:ascii="Arial" w:cs="Arial" w:eastAsia="Arial" w:hAnsi="Arial"/>
          <w:sz w:val="18"/>
          <w:szCs w:val="18"/>
          <w:color w:val="auto"/>
        </w:rPr>
      </w:pPr>
    </w:p>
    <w:p>
      <w:pPr>
        <w:ind w:right="26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compensation of our named executive officers should include a significant portion that is “at risk” and variable depending on both our short-term financial performance and long-term shareholder value creation with the largest portion of that “at risk” compensation designed to incentivize the creation of sustainable, long-term shareholder value.</w:t>
      </w:r>
    </w:p>
    <w:p>
      <w:pPr>
        <w:spacing w:after="0" w:line="140" w:lineRule="exact"/>
        <w:rPr>
          <w:rFonts w:ascii="Arial" w:cs="Arial" w:eastAsia="Arial" w:hAnsi="Arial"/>
          <w:sz w:val="18"/>
          <w:szCs w:val="18"/>
          <w:color w:val="auto"/>
        </w:rPr>
      </w:pPr>
    </w:p>
    <w:p>
      <w:pPr>
        <w:ind w:firstLine="464"/>
        <w:spacing w:after="0" w:line="289"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requiring that Mr. Wood, our CEO, have an equity ownership in the Trust having a value of at least three times his base salary and annual bonus and that Ms. Becker and Mr. Blocher each have an equity ownership in the Trust having a value of at least two and one-half times their respective base salary and annual bonus. The Nominating and Corporate Governance Committee confirmed that each of Mr. Wood, Ms. Becker and Mr. Blocher were in compliance with the minimum stock ownership requirements at December 31, 2010. The Nominating and Corporate Governance Committee exempted Mr. Berkes from complying with any ownership requirements through 2012, the duration of the cash based compensation plan approved for him in 2009.</w:t>
      </w:r>
    </w:p>
    <w:p>
      <w:pPr>
        <w:spacing w:after="0" w:line="118" w:lineRule="exact"/>
        <w:rPr>
          <w:rFonts w:ascii="Arial" w:cs="Arial" w:eastAsia="Arial" w:hAnsi="Arial"/>
          <w:sz w:val="16"/>
          <w:szCs w:val="16"/>
          <w:color w:val="auto"/>
        </w:rPr>
      </w:pPr>
    </w:p>
    <w:p>
      <w:pPr>
        <w:ind w:right="620" w:firstLine="464"/>
        <w:spacing w:after="0" w:line="259" w:lineRule="auto"/>
        <w:tabs>
          <w:tab w:leader="none" w:pos="6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crafting our compensation policies and programs, we also consider whether they will encourage excessive or unnecessary risk taking and as described in the “Risk Management Oversight” section, we have concluded that our compensation programs do not do so. We do not currently have any policy that addresses the ability of our named executive officers to hedge their stock ownership position in us nor do we currently have any “clawback” or other compensation recovery policy with respect to compensation that may have been paid on the basis of incorrect financial results. While we understand that the SEC and the NYSE may require such policies in the future pursuant to the provisions of the Dodd-Frank Act, we are awaiting final rules until we adopt such policies.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describes the primary components of our named executive officers’ 2010 compensation, the reason for each component and the objective it serves in support of our compensation philosophy.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8"/>
              </w:rPr>
              <w:t>Link to Compensation Philosophy</w:t>
            </w:r>
          </w:p>
        </w:tc>
        <w:tc>
          <w:tcPr>
            <w:tcW w:w="9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Reward</w:t>
            </w:r>
          </w:p>
        </w:tc>
        <w:tc>
          <w:tcPr>
            <w:tcW w:w="1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Reward</w:t>
            </w:r>
          </w:p>
        </w:tc>
        <w:tc>
          <w:tcPr>
            <w:tcW w:w="980" w:type="dxa"/>
            <w:vAlign w:val="bottom"/>
          </w:tcPr>
          <w:p>
            <w:pPr>
              <w:jc w:val="center"/>
              <w:ind w:left="181"/>
              <w:spacing w:after="0" w:line="129" w:lineRule="exact"/>
              <w:rPr>
                <w:sz w:val="20"/>
                <w:szCs w:val="20"/>
                <w:color w:val="auto"/>
              </w:rPr>
            </w:pPr>
            <w:r>
              <w:rPr>
                <w:rFonts w:ascii="Arial" w:cs="Arial" w:eastAsia="Arial" w:hAnsi="Arial"/>
                <w:sz w:val="14"/>
                <w:szCs w:val="14"/>
                <w:b w:val="1"/>
                <w:bCs w:val="1"/>
                <w:color w:val="auto"/>
                <w:w w:val="89"/>
              </w:rPr>
              <w:t>Align with</w:t>
            </w:r>
          </w:p>
        </w:tc>
      </w:tr>
      <w:tr>
        <w:trPr>
          <w:trHeight w:val="149"/>
        </w:trPr>
        <w:tc>
          <w:tcPr>
            <w:tcW w:w="1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5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Short-Term</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Long-Term</w:t>
            </w:r>
          </w:p>
        </w:tc>
        <w:tc>
          <w:tcPr>
            <w:tcW w:w="9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88"/>
              </w:rPr>
              <w:t>Shareholder</w:t>
            </w:r>
          </w:p>
        </w:tc>
      </w:tr>
      <w:tr>
        <w:trPr>
          <w:trHeight w:val="175"/>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5540" w:type="dxa"/>
            <w:vAlign w:val="bottom"/>
          </w:tcPr>
          <w:p>
            <w:pPr>
              <w:ind w:left="380"/>
              <w:spacing w:after="0"/>
              <w:rPr>
                <w:sz w:val="20"/>
                <w:szCs w:val="20"/>
                <w:color w:val="auto"/>
              </w:rPr>
            </w:pPr>
            <w:r>
              <w:rPr>
                <w:rFonts w:ascii="Arial" w:cs="Arial" w:eastAsia="Arial" w:hAnsi="Arial"/>
                <w:sz w:val="14"/>
                <w:szCs w:val="14"/>
                <w:b w:val="1"/>
                <w:bCs w:val="1"/>
                <w:color w:val="auto"/>
              </w:rPr>
              <w:t>Purpose</w:t>
            </w:r>
          </w:p>
        </w:tc>
        <w:tc>
          <w:tcPr>
            <w:tcW w:w="700" w:type="dxa"/>
            <w:vAlign w:val="bottom"/>
          </w:tcPr>
          <w:p>
            <w:pPr>
              <w:jc w:val="center"/>
              <w:ind w:right="236"/>
              <w:spacing w:after="0"/>
              <w:rPr>
                <w:sz w:val="20"/>
                <w:szCs w:val="20"/>
                <w:color w:val="auto"/>
              </w:rPr>
            </w:pPr>
            <w:r>
              <w:rPr>
                <w:rFonts w:ascii="Arial" w:cs="Arial" w:eastAsia="Arial" w:hAnsi="Arial"/>
                <w:sz w:val="14"/>
                <w:szCs w:val="14"/>
                <w:b w:val="1"/>
                <w:bCs w:val="1"/>
                <w:color w:val="auto"/>
                <w:w w:val="88"/>
              </w:rPr>
              <w:t>Retain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980" w:type="dxa"/>
            <w:vAlign w:val="bottom"/>
          </w:tcPr>
          <w:p>
            <w:pPr>
              <w:jc w:val="center"/>
              <w:ind w:left="201"/>
              <w:spacing w:after="0"/>
              <w:rPr>
                <w:sz w:val="20"/>
                <w:szCs w:val="20"/>
                <w:color w:val="auto"/>
              </w:rPr>
            </w:pPr>
            <w:r>
              <w:rPr>
                <w:rFonts w:ascii="Arial" w:cs="Arial" w:eastAsia="Arial" w:hAnsi="Arial"/>
                <w:sz w:val="14"/>
                <w:szCs w:val="14"/>
                <w:b w:val="1"/>
                <w:bCs w:val="1"/>
                <w:color w:val="auto"/>
                <w:w w:val="85"/>
              </w:rPr>
              <w:t>Interests</w:t>
            </w:r>
          </w:p>
        </w:tc>
      </w:tr>
      <w:tr>
        <w:trPr>
          <w:trHeight w:val="201"/>
        </w:trPr>
        <w:tc>
          <w:tcPr>
            <w:tcW w:w="20" w:type="dxa"/>
            <w:vAlign w:val="bottom"/>
          </w:tcPr>
          <w:p>
            <w:pPr>
              <w:spacing w:after="0"/>
              <w:rPr>
                <w:sz w:val="17"/>
                <w:szCs w:val="17"/>
                <w:color w:val="auto"/>
              </w:rPr>
            </w:pPr>
          </w:p>
        </w:tc>
        <w:tc>
          <w:tcPr>
            <w:tcW w:w="1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5540" w:type="dxa"/>
            <w:vAlign w:val="bottom"/>
            <w:tcBorders>
              <w:top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Fixed cash component maintained to be competitive with the</w:t>
            </w:r>
          </w:p>
        </w:tc>
        <w:tc>
          <w:tcPr>
            <w:tcW w:w="7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market; reflects level of responsibility, experience and sustained</w:t>
            </w:r>
          </w:p>
        </w:tc>
        <w:tc>
          <w:tcPr>
            <w:tcW w:w="700" w:type="dxa"/>
            <w:vAlign w:val="bottom"/>
            <w:shd w:val="clear" w:color="auto" w:fill="CCEEFF"/>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individual performance</w:t>
            </w:r>
          </w:p>
        </w:tc>
        <w:tc>
          <w:tcPr>
            <w:tcW w:w="7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80" w:type="dxa"/>
            <w:vAlign w:val="bottom"/>
          </w:tcPr>
          <w:p>
            <w:pPr>
              <w:spacing w:after="0" w:line="202" w:lineRule="exact"/>
              <w:rPr>
                <w:sz w:val="20"/>
                <w:szCs w:val="20"/>
                <w:color w:val="auto"/>
              </w:rPr>
            </w:pPr>
            <w:r>
              <w:rPr>
                <w:rFonts w:ascii="Arial" w:cs="Arial" w:eastAsia="Arial" w:hAnsi="Arial"/>
                <w:sz w:val="18"/>
                <w:szCs w:val="18"/>
                <w:color w:val="auto"/>
              </w:rPr>
              <w:t>Annual Bonus</w:t>
            </w:r>
          </w:p>
        </w:tc>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Cash award used to reward achievement of annual level of FFO</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rPr>
              <w:t>determined to be necessary for company success for that year;</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rPr>
              <w:t>amount varies with company and individual performance with</w:t>
            </w:r>
          </w:p>
        </w:tc>
        <w:tc>
          <w:tcPr>
            <w:tcW w:w="700" w:type="dxa"/>
            <w:vAlign w:val="bottom"/>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18"/>
                <w:szCs w:val="18"/>
                <w:color w:val="auto"/>
              </w:rPr>
            </w:pPr>
          </w:p>
        </w:tc>
        <w:tc>
          <w:tcPr>
            <w:tcW w:w="980" w:type="dxa"/>
            <w:vAlign w:val="bottom"/>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rPr>
              <w:t>option to take up to 25% of the award in the form of company</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stock</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w:t>
            </w:r>
          </w:p>
        </w:tc>
        <w:tc>
          <w:tcPr>
            <w:tcW w:w="55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Equity award that measures creation of long-term value over a</w:t>
            </w: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Incentive</w:t>
            </w:r>
          </w:p>
        </w:tc>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three-year period using stock price performance on both an</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Award</w:t>
            </w:r>
          </w:p>
        </w:tc>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absolute and relative basis as well as returns generated on</w:t>
            </w:r>
          </w:p>
        </w:tc>
        <w:tc>
          <w:tcPr>
            <w:tcW w:w="700" w:type="dxa"/>
            <w:vAlign w:val="bottom"/>
            <w:shd w:val="clear" w:color="auto" w:fill="CCEEFF"/>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invested capital; amount varies with company and individual</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performance</w:t>
            </w:r>
          </w:p>
        </w:tc>
        <w:tc>
          <w:tcPr>
            <w:tcW w:w="7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80" w:type="dxa"/>
            <w:vAlign w:val="bottom"/>
          </w:tcPr>
          <w:p>
            <w:pPr>
              <w:spacing w:after="0" w:line="202" w:lineRule="exact"/>
              <w:rPr>
                <w:sz w:val="20"/>
                <w:szCs w:val="20"/>
                <w:color w:val="auto"/>
              </w:rPr>
            </w:pPr>
            <w:r>
              <w:rPr>
                <w:rFonts w:ascii="Arial" w:cs="Arial" w:eastAsia="Arial" w:hAnsi="Arial"/>
                <w:sz w:val="18"/>
                <w:szCs w:val="18"/>
                <w:color w:val="auto"/>
              </w:rPr>
              <w:t>Benefits and</w:t>
            </w:r>
          </w:p>
        </w:tc>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Benefits generally offered to all employees to remain</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Perquisites</w:t>
            </w:r>
          </w:p>
        </w:tc>
        <w:tc>
          <w:tcPr>
            <w:tcW w:w="5540" w:type="dxa"/>
            <w:vAlign w:val="bottom"/>
          </w:tcPr>
          <w:p>
            <w:pPr>
              <w:ind w:left="380"/>
              <w:spacing w:after="0"/>
              <w:rPr>
                <w:sz w:val="20"/>
                <w:szCs w:val="20"/>
                <w:color w:val="auto"/>
              </w:rPr>
            </w:pPr>
            <w:r>
              <w:rPr>
                <w:rFonts w:ascii="Arial" w:cs="Arial" w:eastAsia="Arial" w:hAnsi="Arial"/>
                <w:sz w:val="18"/>
                <w:szCs w:val="18"/>
                <w:color w:val="auto"/>
              </w:rPr>
              <w:t>competitive in the market, including healthcare, life, disability,</w:t>
            </w:r>
          </w:p>
        </w:tc>
        <w:tc>
          <w:tcPr>
            <w:tcW w:w="700" w:type="dxa"/>
            <w:vAlign w:val="bottom"/>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dental and vision insurance as well as a 401(k) program</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Compensation Committee of the Board is responsible for approving all compensation for our named executive officers. The Committee periodically reviews all elements of compensation to ensure that we remain competitive in the market and to ensure that overall compensation, including the means by which payment is made, is aligned with our business objectives, our performance and the interests of our shareholders. The Committee conducts an annual review of our CEO’s performance and takes those results into consideration when setting compensation for our CEO. Our CEO plays a significant role in setting the compensation for our other named executive officers by providing the Committee with an evaluation of their performances and recommendations for their compensation, including recommendations for any adjustments to annual bonus and long-term equity payouts which are otherwise determined formulaically. The Committee has the discretion to accept, reject or modify the CEO’s recommendations.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their individual responsibilities and contributions to our performance taking into account competitive market compensation paid for similar positions. Competitive market compensation for our named executive officers is generally determined by the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2009 and 2010 Compensation Surveys (“NAREIT Surveys”) to confirm its assessment of appropriate market compensation for our executive officers. The NAREIT Surveys included both the information reported for each position by the more than 80 real estate investment trusts (“REITs”) that participated in the survey as well as by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approximately 17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Once the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earlier.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consulting the NAREIT Survey, the Compensation Committee retained Mercer in September 2010 to benchmark comparable real estate companies and make recommendations for compensation for our CEO and other members of senior management, including our other named executive officers. The total fees paid for these reports were $35,448. For benchmarking purposes, Mercer used the following publicly traded REITs: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HCP</w:t>
            </w:r>
          </w:p>
        </w:tc>
        <w:tc>
          <w:tcPr>
            <w:tcW w:w="2940" w:type="dxa"/>
            <w:vAlign w:val="bottom"/>
          </w:tcPr>
          <w:p>
            <w:pPr>
              <w:ind w:left="540"/>
              <w:spacing w:after="0"/>
              <w:rPr>
                <w:sz w:val="20"/>
                <w:szCs w:val="20"/>
                <w:color w:val="auto"/>
              </w:rPr>
            </w:pPr>
            <w:r>
              <w:rPr>
                <w:rFonts w:ascii="Arial" w:cs="Arial" w:eastAsia="Arial" w:hAnsi="Arial"/>
                <w:sz w:val="18"/>
                <w:szCs w:val="18"/>
                <w:color w:val="auto"/>
              </w:rPr>
              <w:t>CBL &amp; Associates</w:t>
            </w:r>
          </w:p>
        </w:tc>
        <w:tc>
          <w:tcPr>
            <w:tcW w:w="2620" w:type="dxa"/>
            <w:vAlign w:val="bottom"/>
          </w:tcPr>
          <w:p>
            <w:pPr>
              <w:ind w:left="680"/>
              <w:spacing w:after="0"/>
              <w:rPr>
                <w:sz w:val="20"/>
                <w:szCs w:val="20"/>
                <w:color w:val="auto"/>
              </w:rPr>
            </w:pPr>
            <w:r>
              <w:rPr>
                <w:rFonts w:ascii="Arial" w:cs="Arial" w:eastAsia="Arial" w:hAnsi="Arial"/>
                <w:sz w:val="18"/>
                <w:szCs w:val="18"/>
                <w:color w:val="auto"/>
              </w:rPr>
              <w:t>Kimco Realty</w:t>
            </w:r>
          </w:p>
        </w:tc>
        <w:tc>
          <w:tcPr>
            <w:tcW w:w="2380" w:type="dxa"/>
            <w:vAlign w:val="bottom"/>
          </w:tcPr>
          <w:p>
            <w:pPr>
              <w:ind w:left="560"/>
              <w:spacing w:after="0"/>
              <w:rPr>
                <w:sz w:val="20"/>
                <w:szCs w:val="20"/>
                <w:color w:val="auto"/>
              </w:rPr>
            </w:pPr>
            <w:r>
              <w:rPr>
                <w:rFonts w:ascii="Arial" w:cs="Arial" w:eastAsia="Arial" w:hAnsi="Arial"/>
                <w:sz w:val="18"/>
                <w:szCs w:val="18"/>
                <w:color w:val="auto"/>
                <w:w w:val="88"/>
              </w:rPr>
              <w:t>National Retail Properties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Developers Diversified</w:t>
            </w:r>
          </w:p>
        </w:tc>
        <w:tc>
          <w:tcPr>
            <w:tcW w:w="2940" w:type="dxa"/>
            <w:vAlign w:val="bottom"/>
          </w:tcPr>
          <w:p>
            <w:pPr>
              <w:ind w:left="540"/>
              <w:spacing w:after="0"/>
              <w:rPr>
                <w:sz w:val="20"/>
                <w:szCs w:val="20"/>
                <w:color w:val="auto"/>
              </w:rPr>
            </w:pPr>
            <w:r>
              <w:rPr>
                <w:rFonts w:ascii="Arial" w:cs="Arial" w:eastAsia="Arial" w:hAnsi="Arial"/>
                <w:sz w:val="18"/>
                <w:szCs w:val="18"/>
                <w:color w:val="auto"/>
              </w:rPr>
              <w:t>Macerich</w:t>
            </w:r>
          </w:p>
        </w:tc>
        <w:tc>
          <w:tcPr>
            <w:tcW w:w="2620" w:type="dxa"/>
            <w:vAlign w:val="bottom"/>
          </w:tcPr>
          <w:p>
            <w:pPr>
              <w:ind w:left="680"/>
              <w:spacing w:after="0"/>
              <w:rPr>
                <w:sz w:val="20"/>
                <w:szCs w:val="20"/>
                <w:color w:val="auto"/>
              </w:rPr>
            </w:pPr>
            <w:r>
              <w:rPr>
                <w:rFonts w:ascii="Arial" w:cs="Arial" w:eastAsia="Arial" w:hAnsi="Arial"/>
                <w:sz w:val="18"/>
                <w:szCs w:val="18"/>
                <w:color w:val="auto"/>
              </w:rPr>
              <w:t>Digital Realty Trust</w:t>
            </w:r>
          </w:p>
        </w:tc>
        <w:tc>
          <w:tcPr>
            <w:tcW w:w="2380" w:type="dxa"/>
            <w:vAlign w:val="bottom"/>
          </w:tcPr>
          <w:p>
            <w:pPr>
              <w:ind w:left="560"/>
              <w:spacing w:after="0"/>
              <w:rPr>
                <w:sz w:val="20"/>
                <w:szCs w:val="20"/>
                <w:color w:val="auto"/>
              </w:rPr>
            </w:pPr>
            <w:r>
              <w:rPr>
                <w:rFonts w:ascii="Arial" w:cs="Arial" w:eastAsia="Arial" w:hAnsi="Arial"/>
                <w:sz w:val="18"/>
                <w:szCs w:val="18"/>
                <w:color w:val="auto"/>
              </w:rPr>
              <w:t>Equity One</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Taubman Centers</w:t>
            </w:r>
          </w:p>
        </w:tc>
        <w:tc>
          <w:tcPr>
            <w:tcW w:w="2940" w:type="dxa"/>
            <w:vAlign w:val="bottom"/>
          </w:tcPr>
          <w:p>
            <w:pPr>
              <w:ind w:left="540"/>
              <w:spacing w:after="0"/>
              <w:rPr>
                <w:sz w:val="20"/>
                <w:szCs w:val="20"/>
                <w:color w:val="auto"/>
              </w:rPr>
            </w:pPr>
            <w:r>
              <w:rPr>
                <w:rFonts w:ascii="Arial" w:cs="Arial" w:eastAsia="Arial" w:hAnsi="Arial"/>
                <w:sz w:val="18"/>
                <w:szCs w:val="18"/>
                <w:color w:val="auto"/>
              </w:rPr>
              <w:t>Weingarten Realty Trust</w:t>
            </w:r>
          </w:p>
        </w:tc>
        <w:tc>
          <w:tcPr>
            <w:tcW w:w="2620" w:type="dxa"/>
            <w:vAlign w:val="bottom"/>
          </w:tcPr>
          <w:p>
            <w:pPr>
              <w:ind w:left="680"/>
              <w:spacing w:after="0"/>
              <w:rPr>
                <w:sz w:val="20"/>
                <w:szCs w:val="20"/>
                <w:color w:val="auto"/>
              </w:rPr>
            </w:pPr>
            <w:r>
              <w:rPr>
                <w:rFonts w:ascii="Arial" w:cs="Arial" w:eastAsia="Arial" w:hAnsi="Arial"/>
                <w:sz w:val="18"/>
                <w:szCs w:val="18"/>
                <w:color w:val="auto"/>
              </w:rPr>
              <w:t>Regency Centers</w:t>
            </w:r>
          </w:p>
        </w:tc>
        <w:tc>
          <w:tcPr>
            <w:tcW w:w="2380" w:type="dxa"/>
            <w:vAlign w:val="bottom"/>
          </w:tcPr>
          <w:p>
            <w:pPr>
              <w:ind w:left="560"/>
              <w:spacing w:after="0"/>
              <w:rPr>
                <w:sz w:val="20"/>
                <w:szCs w:val="20"/>
                <w:color w:val="auto"/>
              </w:rPr>
            </w:pPr>
            <w:r>
              <w:rPr>
                <w:rFonts w:ascii="Arial" w:cs="Arial" w:eastAsia="Arial" w:hAnsi="Arial"/>
                <w:sz w:val="18"/>
                <w:szCs w:val="18"/>
                <w:color w:val="auto"/>
              </w:rPr>
              <w:t>Realty Income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Tanger Factory Outlet Centers</w:t>
            </w:r>
          </w:p>
        </w:tc>
        <w:tc>
          <w:tcPr>
            <w:tcW w:w="29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not specifically included in the peer group for benchmarking purposes, Mercer also looked at information for each of General Growth, Simon Property Group and Vornado Realty Trust as additional points of reference. The peer group includes US based publicly traded REITs with sales ranging from one-half (1/2) to two (2) times the sales of the Trust and that have a market capitalization in excess of $1 billion with a primary focus on retail REITs with a few other non-retail, market leading REITs added in order to increase the size of the peer group. The reports prepared by Mercer included recommendations for all of our named executive officers and were considered by the Compensation Committee in making its October 2010 compensation decisions for our CEO. Except for this benchmarking study and the benchmarking study performed for our Nominating and Corporate Governance Committee in December 2010 with respect to Board compensation described above, Mercer has not and does not provide any other services to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 salaries are used to compensate the executive for services rendered during the year.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 and the reports prepared by Mercer as a guide to confirm that the base salaries are within market parameters. Base salaries are reviewed annually at the beginning of each calendar year, and are adjusted from time to time to realign salaries with market levels and to take into account individual responsibilities, performance and experience. Base salaries for each of Mr. Wood, Ms. Becker, Mr. Berkes and Mr. Blocher were increased to $850,000, $400,000, $375,000 and $300,000, respectively for 2010. The base salary increases for Mr. Wood, Ms. Becker and Mr. Berkes were the first base salary increases they had received since 2007. The Committee determined that these base salary increases were warranted based on both company and individual performance and appropriately reflected market conditions for these individuals. The increase in base salary for Ms. Becker also reflected her promotion in 2010 to Chief Operating Officer of the Trust.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Annual bonuses for all of our named executive officers are determined each year in accordance with our Annual Incentive Bonus Plan (“Annual Bonus Plan”) that covers about 95% of our employees. The Annual Bonus Plan is intended to compensate our named executive officers for achieving an annual level of FFO per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share that is consistent with our business objectives for that year and for achieving individual annual performance objectives as subjectively evaluated: (a) by the Board with respect to our CEO; and (b) by our CEO with respect to each of the other named executive officers.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Annual Bonus Plan, each of our named executive officers and other employees has a targeted bonus equal to a percentage of the person’s base salary. For 2010, the targeted bonuses for our named executive officers were 150% of base salary for Mr. Wood, 75% of base salary for each of Ms. Becker and Mr. Blocher and 50% of base salary for Mr. Berkes. Each of our named executive officers could earn from 0% to 125% of his or her targeted bonus amount depending on the level of FFO we achieve for the calendar year as well as individual performance.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level of FFO per share that must be achieved for our named executive officers to earn an annual bonus is set at the beginning of each year by the Compensation Committee after a thorough review and discussion of our budget for that year. FFO is widely accepted in the REIT industry as an accurate reflection of operating performance on an annual basis and as a result, we believe FFO is an appropriate metric to use for determining short-term financial success which is being rewarded in annual performance bonuses. The following chart shows for each named executive officer his or her potential annual bonus depending on the level of FFO we achieved during calendar year 2010 and the final annual bonus earned based on our 2010 results: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w w:val="97"/>
              </w:rPr>
              <w:t>Potential Bonus Payout</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FFO Below $3.80</w:t>
            </w:r>
          </w:p>
        </w:tc>
        <w:tc>
          <w:tcPr>
            <w:tcW w:w="134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FFO at $3.80</w:t>
            </w:r>
          </w:p>
        </w:tc>
        <w:tc>
          <w:tcPr>
            <w:tcW w:w="1400" w:type="dxa"/>
            <w:vAlign w:val="bottom"/>
            <w:gridSpan w:val="2"/>
          </w:tcPr>
          <w:p>
            <w:pPr>
              <w:ind w:left="320"/>
              <w:spacing w:after="0" w:line="129" w:lineRule="exact"/>
              <w:rPr>
                <w:sz w:val="20"/>
                <w:szCs w:val="20"/>
                <w:color w:val="auto"/>
              </w:rPr>
            </w:pPr>
            <w:r>
              <w:rPr>
                <w:rFonts w:ascii="Arial" w:cs="Arial" w:eastAsia="Arial" w:hAnsi="Arial"/>
                <w:sz w:val="14"/>
                <w:szCs w:val="14"/>
                <w:b w:val="1"/>
                <w:bCs w:val="1"/>
                <w:color w:val="auto"/>
              </w:rPr>
              <w:t>FFO at $3.85</w:t>
            </w:r>
          </w:p>
        </w:tc>
        <w:tc>
          <w:tcPr>
            <w:tcW w:w="1380" w:type="dxa"/>
            <w:vAlign w:val="bottom"/>
            <w:gridSpan w:val="3"/>
          </w:tcPr>
          <w:p>
            <w:pPr>
              <w:ind w:left="320"/>
              <w:spacing w:after="0" w:line="129" w:lineRule="exact"/>
              <w:rPr>
                <w:sz w:val="20"/>
                <w:szCs w:val="20"/>
                <w:color w:val="auto"/>
              </w:rPr>
            </w:pPr>
            <w:r>
              <w:rPr>
                <w:rFonts w:ascii="Arial" w:cs="Arial" w:eastAsia="Arial" w:hAnsi="Arial"/>
                <w:sz w:val="14"/>
                <w:szCs w:val="14"/>
                <w:b w:val="1"/>
                <w:bCs w:val="1"/>
                <w:color w:val="auto"/>
              </w:rPr>
              <w:t>FFO at $3.90</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75"/>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160" w:type="dxa"/>
            <w:vAlign w:val="bottom"/>
          </w:tcPr>
          <w:p>
            <w:pPr>
              <w:spacing w:after="0"/>
              <w:rPr>
                <w:sz w:val="15"/>
                <w:szCs w:val="15"/>
                <w:color w:val="auto"/>
              </w:rPr>
            </w:pPr>
          </w:p>
        </w:tc>
        <w:tc>
          <w:tcPr>
            <w:tcW w:w="1140" w:type="dxa"/>
            <w:vAlign w:val="bottom"/>
          </w:tcPr>
          <w:p>
            <w:pPr>
              <w:jc w:val="right"/>
              <w:ind w:right="456"/>
              <w:spacing w:after="0"/>
              <w:rPr>
                <w:sz w:val="20"/>
                <w:szCs w:val="20"/>
                <w:color w:val="auto"/>
              </w:rPr>
            </w:pPr>
            <w:r>
              <w:rPr>
                <w:rFonts w:ascii="Arial" w:cs="Arial" w:eastAsia="Arial" w:hAnsi="Arial"/>
                <w:sz w:val="14"/>
                <w:szCs w:val="14"/>
                <w:b w:val="1"/>
                <w:bCs w:val="1"/>
                <w:color w:val="auto"/>
                <w:w w:val="91"/>
              </w:rPr>
              <w:t>per share</w:t>
            </w:r>
          </w:p>
        </w:tc>
        <w:tc>
          <w:tcPr>
            <w:tcW w:w="380" w:type="dxa"/>
            <w:vAlign w:val="bottom"/>
          </w:tcPr>
          <w:p>
            <w:pPr>
              <w:spacing w:after="0"/>
              <w:rPr>
                <w:sz w:val="15"/>
                <w:szCs w:val="15"/>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Pr>
          <w:p>
            <w:pPr>
              <w:spacing w:after="0"/>
              <w:rPr>
                <w:sz w:val="15"/>
                <w:szCs w:val="15"/>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per share</w:t>
            </w: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w w:val="96"/>
              </w:rPr>
              <w:t>Actual Payout</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0</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8"/>
              </w:rPr>
              <w:t>956,250</w:t>
            </w:r>
          </w:p>
        </w:tc>
        <w:tc>
          <w:tcPr>
            <w:tcW w:w="1400" w:type="dxa"/>
            <w:vAlign w:val="bottom"/>
            <w:tcBorders>
              <w:top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$1,275,000</w:t>
            </w:r>
          </w:p>
        </w:tc>
        <w:tc>
          <w:tcPr>
            <w:tcW w:w="138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$1,593,750</w:t>
            </w:r>
          </w:p>
        </w:tc>
        <w:tc>
          <w:tcPr>
            <w:tcW w:w="4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1,402,500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Becker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19"/>
              <w:spacing w:after="0"/>
              <w:rPr>
                <w:sz w:val="20"/>
                <w:szCs w:val="20"/>
                <w:color w:val="auto"/>
              </w:rPr>
            </w:pPr>
            <w:r>
              <w:rPr>
                <w:rFonts w:ascii="Arial" w:cs="Arial" w:eastAsia="Arial" w:hAnsi="Arial"/>
                <w:sz w:val="18"/>
                <w:szCs w:val="18"/>
                <w:color w:val="auto"/>
                <w:w w:val="98"/>
              </w:rPr>
              <w:t>225,000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300,000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375,000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330,000</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Berkes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8"/>
              </w:rPr>
              <w:t>140,625</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187,500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234,375</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206,250</w:t>
            </w: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Blocher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19"/>
              <w:spacing w:after="0"/>
              <w:rPr>
                <w:sz w:val="20"/>
                <w:szCs w:val="20"/>
                <w:color w:val="auto"/>
              </w:rPr>
            </w:pPr>
            <w:r>
              <w:rPr>
                <w:rFonts w:ascii="Arial" w:cs="Arial" w:eastAsia="Arial" w:hAnsi="Arial"/>
                <w:sz w:val="18"/>
                <w:szCs w:val="18"/>
                <w:color w:val="auto"/>
                <w:w w:val="98"/>
              </w:rPr>
              <w:t>168,750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225,000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281,250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247,500</w:t>
            </w:r>
          </w:p>
        </w:tc>
      </w:tr>
    </w:tbl>
    <w:p>
      <w:pPr>
        <w:spacing w:after="0" w:line="14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Payout amounts are interpolated for any results in between the foregoing amounts. The Compensation Committee set these levels of FFO per share in February 2010 and excluded the impact of a pending litigation matter which was not possible of being estimated at the time these levels were established. We achieved actual FFO per share for 2010, excluding the impact of reversing an accrual for the litigation matter, of $3.87 which, under the terms of the Annual Bonus Plan, resulted in bonuses being paid at 88% of the maximum potential payout.</w:t>
      </w:r>
    </w:p>
    <w:p>
      <w:pPr>
        <w:spacing w:after="0" w:line="113"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5"/>
          <w:szCs w:val="15"/>
          <w:color w:val="auto"/>
        </w:rPr>
        <w:t>The Committee determined that each of our named executive officers should receive the full amount of the annual bonus to which he or she was entitled. The determination was made with respect to Mr. Wood based on the Board’s evaluation of his performance taking into consideration our financial results for the year and Mr. Wood’s effectiveness in leading the company, long-term strategic planning, succession planning, relationship with the Board, and relationship with shareholders and other stakeholders. With respect to each of the other named executive officers, the Committee accepted Mr. Wood’s recommendation that each of them be paid the full amount of annual bonus to which he or she was entitled. Mr. Wood’s recommendation to pay each of Ms. Becker, Mr. Berkes and</w:t>
      </w:r>
    </w:p>
    <w:p>
      <w:pPr>
        <w:spacing w:after="0" w:line="2"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Mr. Blocher a full bonus was based on his subjective assessment of each individual’s contributions to the Trust’s performance in 2010 in their respective job functions. Those contributions included, without limitation, the following: (a) Ms. Becker’s oversight of the day to day operations of the Trust that resulted in year over year increases in FFO, FFO per share and property operating income and improvements in same store property operating income growth;</w:t>
      </w:r>
    </w:p>
    <w:p>
      <w:pPr>
        <w:spacing w:after="0" w:line="2" w:lineRule="exact"/>
        <w:rPr>
          <w:sz w:val="20"/>
          <w:szCs w:val="20"/>
          <w:color w:val="auto"/>
        </w:rPr>
      </w:pPr>
    </w:p>
    <w:p>
      <w:pPr>
        <w:ind w:right="200" w:firstLine="8"/>
        <w:spacing w:after="0" w:line="255"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Berkes’ oversight in the investment of approximately $60 million in the acquisition of new properties and in the acquisition or additional ownership positions in a number of our existing properties; and (c) Mr. Blocher’s role in the continued management of our balance sheet, including the funding of our new investments, and overall management of our general and administrative expenses.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our Annual Bonus Plan, the named executive officers (other than Mr. Berkes) and approximately 41 other employees have the option to receive up to 25% of the annual bonus in the form of Shares that vest equally over three years. The amount an individual elects to receive in Shares is paid out at 120% of that amount in consideration of the extended vesting. For 2010, each of Mr. Wood, Ms. Becker and Mr. Blocher elected to receive 20% of their annual bonus amounts in Shares. Pursuant to his compensation arrangement approved in 2009, Mr. Berkes was not eligible to receive any portion of his 2010 annual bonus in the form of Shares. The cash portion of the annual bonuses is reflected in the “Non-Equity Incentive Plan Compensation” column in the Summary Compensation Table in this proxy statement. The stock portion of these annual bonuses will be included in the Summary Compensation Table and Grants of Plan-Based Awards Table in next year’s proxy statement.</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his compensation plan approved in 2009, Mr. Berkes was also eligible in 2010 to receive a supplemental annual bonus that is calculated based on the volume of acquisitions completed by the Trust during calendar year 2010. We did not exceed the threshold level of $100,000,000 of acquisitions in 2010 and as a result, Mr. Berkes was not entitled to receive any supplemental acquisitions bonus for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and participants in our leadership education and development program under our Long-Term Incentive Award Program (“LTIAP”). This program was structured to align the most significant portion of compensation for our senior management team, including our named executive officers, with the creation of long-term shareholder value. Recipients of awards under this program realize value over a minimum 6-year time horizon comprised of a 3-year performance period followed by a minimum of a 3-year vesting period. We believe that the combination of this extended period with the requirements described above for our named executive officers to continually hold a meaningful equity position in the company creates a strong long-term alignment of interests between our named executive officers and our shareholders.</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performance metrics used under the LTIAP, the levels of performance required to be achieved for our named executive officers to earn an LTIAP award and the performance actually achieved for the three year period from January 1, 2008 through December 31, 2010 are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0" w:type="dxa"/>
            <w:vAlign w:val="bottom"/>
          </w:tcPr>
          <w:p>
            <w:pPr>
              <w:jc w:val="center"/>
              <w:ind w:left="380"/>
              <w:spacing w:after="0"/>
              <w:rPr>
                <w:sz w:val="20"/>
                <w:szCs w:val="20"/>
                <w:color w:val="auto"/>
              </w:rPr>
            </w:pPr>
            <w:r>
              <w:rPr>
                <w:rFonts w:ascii="Arial" w:cs="Arial" w:eastAsia="Arial" w:hAnsi="Arial"/>
                <w:sz w:val="14"/>
                <w:szCs w:val="14"/>
                <w:b w:val="1"/>
                <w:bCs w:val="1"/>
                <w:color w:val="auto"/>
                <w:w w:val="88"/>
              </w:rPr>
              <w:t>Award</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Actual</w:t>
            </w:r>
          </w:p>
        </w:tc>
      </w:tr>
      <w:tr>
        <w:trPr>
          <w:trHeight w:val="175"/>
        </w:trPr>
        <w:tc>
          <w:tcPr>
            <w:tcW w:w="20" w:type="dxa"/>
            <w:vAlign w:val="bottom"/>
          </w:tcPr>
          <w:p>
            <w:pPr>
              <w:spacing w:after="0"/>
              <w:rPr>
                <w:sz w:val="15"/>
                <w:szCs w:val="15"/>
                <w:color w:val="auto"/>
              </w:rPr>
            </w:pPr>
          </w:p>
        </w:tc>
        <w:tc>
          <w:tcPr>
            <w:tcW w:w="43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Performance Measure</w:t>
            </w:r>
          </w:p>
        </w:tc>
        <w:tc>
          <w:tcPr>
            <w:tcW w:w="1400" w:type="dxa"/>
            <w:vAlign w:val="bottom"/>
            <w:tcBorders>
              <w:bottom w:val="single" w:sz="8" w:color="auto"/>
            </w:tcBorders>
          </w:tcPr>
          <w:p>
            <w:pPr>
              <w:jc w:val="center"/>
              <w:ind w:left="380"/>
              <w:spacing w:after="0"/>
              <w:rPr>
                <w:sz w:val="20"/>
                <w:szCs w:val="20"/>
                <w:color w:val="auto"/>
              </w:rPr>
            </w:pPr>
            <w:r>
              <w:rPr>
                <w:rFonts w:ascii="Arial" w:cs="Arial" w:eastAsia="Arial" w:hAnsi="Arial"/>
                <w:sz w:val="14"/>
                <w:szCs w:val="14"/>
                <w:b w:val="1"/>
                <w:bCs w:val="1"/>
                <w:color w:val="auto"/>
                <w:w w:val="85"/>
              </w:rPr>
              <w:t>Weighting</w:t>
            </w: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Threshold</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Target</w:t>
            </w: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Stretch</w:t>
            </w: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Achieved</w:t>
            </w: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Relative Total Shareholder Return v. BBRESHOP(a)</w:t>
            </w:r>
          </w:p>
        </w:tc>
        <w:tc>
          <w:tcPr>
            <w:tcW w:w="1400" w:type="dxa"/>
            <w:vAlign w:val="bottom"/>
            <w:shd w:val="clear" w:color="auto" w:fill="CCEEFF"/>
          </w:tcPr>
          <w:p>
            <w:pPr>
              <w:jc w:val="center"/>
              <w:ind w:left="360"/>
              <w:spacing w:after="0"/>
              <w:rPr>
                <w:sz w:val="20"/>
                <w:szCs w:val="20"/>
                <w:color w:val="auto"/>
              </w:rPr>
            </w:pPr>
            <w:r>
              <w:rPr>
                <w:rFonts w:ascii="Arial" w:cs="Arial" w:eastAsia="Arial" w:hAnsi="Arial"/>
                <w:sz w:val="18"/>
                <w:szCs w:val="18"/>
                <w:color w:val="auto"/>
                <w:w w:val="88"/>
              </w:rPr>
              <w:t>50%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r>
              <w:rPr>
                <w:rFonts w:ascii="Arial" w:cs="Arial" w:eastAsia="Arial" w:hAnsi="Arial"/>
                <w:sz w:val="11"/>
                <w:szCs w:val="11"/>
                <w:color w:val="auto"/>
                <w:w w:val="87"/>
              </w:rPr>
              <w:t>th</w:t>
            </w:r>
            <w:r>
              <w:rPr>
                <w:rFonts w:ascii="Arial" w:cs="Arial" w:eastAsia="Arial" w:hAnsi="Arial"/>
                <w:sz w:val="18"/>
                <w:szCs w:val="18"/>
                <w:color w:val="auto"/>
                <w:w w:val="87"/>
              </w:rPr>
              <w:t xml:space="preserve"> percentile</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3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91</w:t>
            </w:r>
            <w:r>
              <w:rPr>
                <w:rFonts w:ascii="Arial" w:cs="Arial" w:eastAsia="Arial" w:hAnsi="Arial"/>
                <w:sz w:val="11"/>
                <w:szCs w:val="11"/>
                <w:color w:val="auto"/>
                <w:w w:val="94"/>
              </w:rPr>
              <w:t>st</w:t>
            </w:r>
            <w:r>
              <w:rPr>
                <w:rFonts w:ascii="Arial" w:cs="Arial" w:eastAsia="Arial" w:hAnsi="Arial"/>
                <w:sz w:val="18"/>
                <w:szCs w:val="18"/>
                <w:color w:val="auto"/>
                <w:w w:val="94"/>
              </w:rPr>
              <w:t xml:space="preserve"> percentile</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Absolute Total Shareholder Return (a)</w:t>
            </w:r>
          </w:p>
        </w:tc>
        <w:tc>
          <w:tcPr>
            <w:tcW w:w="1400" w:type="dxa"/>
            <w:vAlign w:val="bottom"/>
          </w:tcPr>
          <w:p>
            <w:pPr>
              <w:jc w:val="center"/>
              <w:ind w:left="360"/>
              <w:spacing w:after="0"/>
              <w:rPr>
                <w:sz w:val="20"/>
                <w:szCs w:val="20"/>
                <w:color w:val="auto"/>
              </w:rPr>
            </w:pPr>
            <w:r>
              <w:rPr>
                <w:rFonts w:ascii="Arial" w:cs="Arial" w:eastAsia="Arial" w:hAnsi="Arial"/>
                <w:sz w:val="18"/>
                <w:szCs w:val="18"/>
                <w:color w:val="auto"/>
                <w:w w:val="88"/>
              </w:rPr>
              <w:t>25%</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460" w:type="dxa"/>
            <w:vAlign w:val="bottom"/>
          </w:tcPr>
          <w:p>
            <w:pPr>
              <w:jc w:val="right"/>
              <w:ind w:right="377"/>
              <w:spacing w:after="0"/>
              <w:rPr>
                <w:sz w:val="20"/>
                <w:szCs w:val="20"/>
                <w:color w:val="auto"/>
              </w:rPr>
            </w:pPr>
            <w:r>
              <w:rPr>
                <w:rFonts w:ascii="Arial" w:cs="Arial" w:eastAsia="Arial" w:hAnsi="Arial"/>
                <w:sz w:val="18"/>
                <w:szCs w:val="18"/>
                <w:color w:val="auto"/>
              </w:rPr>
              <w:t>10.00%</w:t>
            </w:r>
          </w:p>
        </w:tc>
        <w:tc>
          <w:tcPr>
            <w:tcW w:w="1460" w:type="dxa"/>
            <w:vAlign w:val="bottom"/>
          </w:tcPr>
          <w:p>
            <w:pPr>
              <w:jc w:val="right"/>
              <w:ind w:right="377"/>
              <w:spacing w:after="0"/>
              <w:rPr>
                <w:sz w:val="20"/>
                <w:szCs w:val="20"/>
                <w:color w:val="auto"/>
              </w:rPr>
            </w:pPr>
            <w:r>
              <w:rPr>
                <w:rFonts w:ascii="Arial" w:cs="Arial" w:eastAsia="Arial" w:hAnsi="Arial"/>
                <w:sz w:val="18"/>
                <w:szCs w:val="18"/>
                <w:color w:val="auto"/>
              </w:rPr>
              <w:t>12.00%</w:t>
            </w:r>
          </w:p>
        </w:tc>
        <w:tc>
          <w:tcPr>
            <w:tcW w:w="1320" w:type="dxa"/>
            <w:vAlign w:val="bottom"/>
          </w:tcPr>
          <w:p>
            <w:pPr>
              <w:ind w:left="50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1400" w:type="dxa"/>
            <w:vAlign w:val="bottom"/>
            <w:shd w:val="clear" w:color="auto" w:fill="CCEEFF"/>
          </w:tcPr>
          <w:p>
            <w:pPr>
              <w:jc w:val="center"/>
              <w:ind w:left="360"/>
              <w:spacing w:after="0"/>
              <w:rPr>
                <w:sz w:val="20"/>
                <w:szCs w:val="20"/>
                <w:color w:val="auto"/>
              </w:rPr>
            </w:pPr>
            <w:r>
              <w:rPr>
                <w:rFonts w:ascii="Arial" w:cs="Arial" w:eastAsia="Arial" w:hAnsi="Arial"/>
                <w:sz w:val="18"/>
                <w:szCs w:val="18"/>
                <w:color w:val="auto"/>
                <w:w w:val="88"/>
              </w:rPr>
              <w:t>25%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9.25%</w:t>
            </w:r>
          </w:p>
        </w:tc>
        <w:tc>
          <w:tcPr>
            <w:tcW w:w="14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9.50%</w:t>
            </w:r>
          </w:p>
        </w:tc>
        <w:tc>
          <w:tcPr>
            <w:tcW w:w="14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9.75%</w:t>
            </w:r>
          </w:p>
        </w:tc>
        <w:tc>
          <w:tcPr>
            <w:tcW w:w="1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return takes into account both stock price appreciation and dividends assuming all dividends are reinvested.</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was the best index to use because the BBRESHOP is an industry index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These performance metrics support the objectives of the company and the LTIAP and have remain unchanged from prior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potential LTIAP payments for both Mr. Wood and Ms. Becker at the various levels of performance for each of the performance metrics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LTIAP and the amounts earned by each of Mr. Wood and Ms. Becker for the prior 3-year period are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Stretch</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4,500,000</w:t>
            </w:r>
          </w:p>
        </w:tc>
        <w:tc>
          <w:tcPr>
            <w:tcW w:w="0" w:type="dxa"/>
            <w:vAlign w:val="bottom"/>
          </w:tcPr>
          <w:p>
            <w:pPr>
              <w:spacing w:after="0"/>
              <w:rPr>
                <w:sz w:val="1"/>
                <w:szCs w:val="1"/>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Potential Award</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562,500</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Compensation Committee approved paying each of Mr. Wood and Ms. Becker the full amount of the LTIAP award to which they were entitled. The Compensation Committee has the discretion to increase or decrease any LTIAP award by up to 20% to reflect individual performance but did not exercise that discretion for the 2010 LTIAP awards for either Mr. Wood or Ms. Becker. For 2010, neither Mr. Berkes nor Mr. Blocher was eligible to receive an award under the LTIAP.</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Despite the Compensation Committee’s approval of paying a full LTIAP award to Mr. Wood, Mr. Wood voluntarily requested that the award be reduced by $800,000 and that the Committee use that $800,000 to make new equity awards to certain members of senior management, including the other named executive officers, and that those new awards be structured in a way to provide additional retention value for the other members of senior management and include a non-solicitation agreement by those members of senior management. Mr. Wood made that recommendation because of his belief that retaining the current members of senior management is important to the Trust’s ability to take advantage of future opportunities to create shareholder value and that providing that retention value should not be done at any additional expense to the company. The Compensation Committee approved Mr. Wood’s recommendation and decreased his LTIAP award for 2010 to $3,700,000.</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 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Shares or options are issued under the LTIAP only after all performance has been achieved and thereafter, the Shares or options are subject to time-based vesting. Dividends are paid on all Shares issued under the LTIAP.</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Each of Mr. Wood and Ms. Becker elected to take the entirety of their 2010 LTIAP award in Shares. The number of Shares actually awarded to each individual was determined by dividing the amount of the award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$81.98, the closing price of our stock on the NYSE on February 10, 2011, the date the award was made. There is no amount included in the Summary Compensation Table or Grants of Plan-Based Awards Table in this proxy statement for these awards to Mr. Wood or Ms. Becker. The LTIAP awards reflected in the Summary Compensation Table and the Grants of Plan-Based Awards Table in this proxy statement relate to performance for the 3-year period ending December 31, 2009.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Retention/Non-Solicitation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Mr. Wood’s recommendation as described above, in February 2011 the Compensation Committee approved restricted Share awards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$200,000 for each of Ms. Becker, Mr. Berkes and Mr. Blocher in exchange for a non-solicitation agreement by each of these individuals. Fifty percent (50%)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Shares will vest at the end of four years with the remaining fifty percent (50%) vesting at the end of six years so long as the named executive officer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employed by us at the time of the vesting. Vesting of these Shares will be accelerated in the event of a change in control transaction. The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actually awarded to each individual was determined by dividing the amount of the award by $81.98, the closing price of our stock on the NYSE on February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the date the award was made. There is no amount included in the Summary Compensation Table or Grants of Plan-Based Awards Table in this proxy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for these awards.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In February 2010, the Compensation Committee set Mr. Wood’s annual compensation with a base salary of $700,000, a target annual bonus of 100% of his base salary resulting in a potential annual bonus payout ranging from $525,000 to $875,000, and a target annual LTIAP award of $2,000,000 resulting in a potential LTIAP award ranging from $1,000,000 to $3,000,000. During the course of 2010, Mr. Wood was being actively recruited by other companies and the Board determined that it was in the best interest of the Trust and our shareholders to retain Mr. Wood’s services and that a key part of that retention was to ensure that Mr. Wood’s compensation package was appropriate given the current market environment. The Compensation Committee retained Mercer to benchmark other comparable real estate companies and make recommendations on a compensation package that was reflective of the current market for Mr. Wood’s services. In October 2010, after taking into account the information in Mercer’s report, our historical outperformance over the last decade in terms of shareholder value creation and the prospects for continued outperformance in the future, the active recruiting for Mr. Wood’s services in the marketplace and the related strong desire to retain Mr. Wood, and the ability of Mr. Wood and the current senior management team to take advantage of future opportunities to increase shareholder value, the Board modified Mr. Wood’s compensation package as follows: (a) increased base salary to $850,000 effective November 1, 2010; (b) set Mr. Wood’s target annual bonus at 150% of base salary effective for calendar year 2010, creating a range for a potential bonus payout from $956,250 to $1,593,750; and (c) set Mr. Wood’s target equity award under the LTIAP at $4,000,000 creating a range for a potential LTIAP award from $2,000,000 to $6,000,000.</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Board approved on October 12, 2010 a restricted Share award to Mr. Wood having a value of $5,000,000 in exchange for Mr. Wood’s agreeing to a one-year non-compete and non-solicitation in the event he left the company. The shares vest on October 12, 2015 so long as Mr. Wood is employed by us at that time with vesting accelerated in the event of a change in control transaction or a termination without cause. Given the active recruitment of Mr. Wood that occurred in 2010, the Board determined that this award was warranted both to provide additional value to retain Mr. Wood’s services for a longer period of time as well as to ensure that if he did choose to leave, he would not engage in competitive behavior that would be harmful to the Trust nor would he be able to take with him for a period of time other employees of the Trust, including senior management, whose departure from the Trust concurrently with Mr. Wood’s departure could be detrimental to the Trust’s short and long-term success.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purchased for Mr. Wood in 1998 a split dollar life insurance policy and consistent with the terms of that arrangement approved by the Compensation Committee in 1998, we continued to hold in 2010 an outstanding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interest free loan for the benefit of Mr. Wood secured by that split dollar life insurance policy. We reflect the amount of interest that would have been payable by Mr. Wood on that loan in 2010 under the “All Other Compensation” column of Summary Compensation Table. We also have an agreement in place with</w:t>
      </w:r>
    </w:p>
    <w:p>
      <w:pPr>
        <w:ind w:right="40"/>
        <w:spacing w:after="0" w:line="287" w:lineRule="auto"/>
        <w:rPr>
          <w:sz w:val="20"/>
          <w:szCs w:val="20"/>
          <w:color w:val="auto"/>
        </w:rPr>
      </w:pPr>
      <w:r>
        <w:rPr>
          <w:rFonts w:ascii="Arial" w:cs="Arial" w:eastAsia="Arial" w:hAnsi="Arial"/>
          <w:sz w:val="16"/>
          <w:szCs w:val="16"/>
          <w:color w:val="auto"/>
        </w:rPr>
        <w:t>Mr. Wood (“Health Coverage Continuation Agreement”) pursuant to which we have agreed to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The Compensation Committee has determined that these perquisites and other personal benefits are a relatively small portion of Mr. Wood’s overall compensation, are reasonable in light of the total compensation package for Mr. Wood and are consistent with our compensation objectives of creating programs that will allow us to retain talented executives.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LTIAP described above are made at the Compensation Committee’s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performance through 2010 were made at the Compensation Committee’s meeting on February 10, 2011 based on the closing price of our Shares on the NYSE on that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2010, 2009 and 2008, in accordance with current SEC rules. The Summary Compensation Table below does not include the value of the Shares issued to our named executive officers on February 10, 2011 for the performance period ending December 31, 2010. Those awards will appear in next year’s proxy statement in the “Grants of Plan-Based Awards Table” as well as the Stock Awards column of the Summary Compensation Table. The cash portion of the annual bonuses awarded pursuant to the Annual Bonus Plan in February 2011 based on 2010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8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Incentive Plan</w:t>
            </w:r>
          </w:p>
        </w:tc>
        <w:tc>
          <w:tcPr>
            <w:tcW w:w="260" w:type="dxa"/>
            <w:vAlign w:val="bottom"/>
          </w:tcPr>
          <w:p>
            <w:pPr>
              <w:spacing w:after="0"/>
              <w:rPr>
                <w:sz w:val="12"/>
                <w:szCs w:val="12"/>
                <w:color w:val="auto"/>
              </w:rPr>
            </w:pPr>
          </w:p>
        </w:tc>
        <w:tc>
          <w:tcPr>
            <w:tcW w:w="9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Year</w:t>
            </w: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820" w:type="dxa"/>
            <w:vAlign w:val="bottom"/>
          </w:tcPr>
          <w:p>
            <w:pPr>
              <w:jc w:val="center"/>
              <w:ind w:right="217"/>
              <w:spacing w:after="0"/>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4"/>
                <w:szCs w:val="14"/>
                <w:color w:val="auto"/>
              </w:rPr>
            </w:pPr>
          </w:p>
        </w:tc>
        <w:tc>
          <w:tcPr>
            <w:tcW w:w="840" w:type="dxa"/>
            <w:vAlign w:val="bottom"/>
          </w:tcPr>
          <w:p>
            <w:pPr>
              <w:jc w:val="center"/>
              <w:ind w:right="237"/>
              <w:spacing w:after="0"/>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w w:val="98"/>
              </w:rPr>
              <w:t>Compensation</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4"/>
                <w:szCs w:val="14"/>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 (2)</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 (2)</w:t>
            </w: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(3)</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 (4)</w:t>
            </w: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2010</w:t>
            </w: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$726,154</w:t>
            </w:r>
          </w:p>
        </w:tc>
        <w:tc>
          <w:tcPr>
            <w:tcW w:w="1100" w:type="dxa"/>
            <w:vAlign w:val="bottom"/>
            <w:gridSpan w:val="2"/>
            <w:shd w:val="clear" w:color="auto" w:fill="CCEEFF"/>
          </w:tcPr>
          <w:p>
            <w:pPr>
              <w:jc w:val="right"/>
              <w:ind w:right="77"/>
              <w:spacing w:after="0" w:line="201" w:lineRule="exact"/>
              <w:rPr>
                <w:sz w:val="20"/>
                <w:szCs w:val="20"/>
                <w:color w:val="auto"/>
              </w:rPr>
            </w:pPr>
            <w:r>
              <w:rPr>
                <w:rFonts w:ascii="Arial" w:cs="Arial" w:eastAsia="Arial" w:hAnsi="Arial"/>
                <w:sz w:val="18"/>
                <w:szCs w:val="18"/>
                <w:color w:val="auto"/>
              </w:rPr>
              <w:t>$7,895,004</w:t>
            </w:r>
          </w:p>
        </w:tc>
        <w:tc>
          <w:tcPr>
            <w:tcW w:w="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7"/>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
              <w:spacing w:after="0" w:line="201" w:lineRule="exact"/>
              <w:rPr>
                <w:sz w:val="20"/>
                <w:szCs w:val="20"/>
                <w:color w:val="auto"/>
              </w:rPr>
            </w:pPr>
            <w:r>
              <w:rPr>
                <w:rFonts w:ascii="Arial" w:cs="Arial" w:eastAsia="Arial" w:hAnsi="Arial"/>
                <w:sz w:val="18"/>
                <w:szCs w:val="18"/>
                <w:color w:val="auto"/>
              </w:rPr>
              <w:t>$ 1,122,000</w:t>
            </w:r>
          </w:p>
        </w:tc>
        <w:tc>
          <w:tcPr>
            <w:tcW w:w="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line="201" w:lineRule="exact"/>
              <w:rPr>
                <w:sz w:val="20"/>
                <w:szCs w:val="20"/>
                <w:color w:val="auto"/>
              </w:rPr>
            </w:pPr>
            <w:r>
              <w:rPr>
                <w:rFonts w:ascii="Arial" w:cs="Arial" w:eastAsia="Arial" w:hAnsi="Arial"/>
                <w:sz w:val="18"/>
                <w:szCs w:val="18"/>
                <w:color w:val="auto"/>
              </w:rPr>
              <w:t>19,334</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line="201" w:lineRule="exact"/>
              <w:rPr>
                <w:sz w:val="20"/>
                <w:szCs w:val="20"/>
                <w:color w:val="auto"/>
              </w:rPr>
            </w:pPr>
            <w:r>
              <w:rPr>
                <w:rFonts w:ascii="Arial" w:cs="Arial" w:eastAsia="Arial" w:hAnsi="Arial"/>
                <w:sz w:val="18"/>
                <w:szCs w:val="18"/>
                <w:color w:val="auto"/>
                <w:w w:val="84"/>
              </w:rPr>
              <w:t>9,762,492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(PEO)</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$650,000</w:t>
            </w:r>
          </w:p>
        </w:tc>
        <w:tc>
          <w:tcPr>
            <w:tcW w:w="11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$1,203,005</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$1,125,003</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487,500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45,502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4"/>
              </w:rPr>
              <w:t>3,511,010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$650,000</w:t>
            </w:r>
          </w:p>
        </w:tc>
        <w:tc>
          <w:tcPr>
            <w:tcW w:w="11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$2,850,361</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900,000</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260,000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50,646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4"/>
              </w:rPr>
              <w:t>4,711,007</w:t>
            </w:r>
          </w:p>
        </w:tc>
        <w:tc>
          <w:tcPr>
            <w:tcW w:w="0" w:type="dxa"/>
            <w:vAlign w:val="bottom"/>
          </w:tcPr>
          <w:p>
            <w:pPr>
              <w:spacing w:after="0"/>
              <w:rPr>
                <w:sz w:val="1"/>
                <w:szCs w:val="1"/>
                <w:color w:val="auto"/>
              </w:rPr>
            </w:pPr>
          </w:p>
        </w:tc>
      </w:tr>
      <w:tr>
        <w:trPr>
          <w:trHeight w:val="316"/>
        </w:trPr>
        <w:tc>
          <w:tcPr>
            <w:tcW w:w="410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820" w:type="dxa"/>
            <w:vAlign w:val="bottom"/>
          </w:tcPr>
          <w:p>
            <w:pPr>
              <w:ind w:left="320"/>
              <w:spacing w:after="0"/>
              <w:rPr>
                <w:sz w:val="20"/>
                <w:szCs w:val="20"/>
                <w:color w:val="auto"/>
              </w:rPr>
            </w:pPr>
            <w:r>
              <w:rPr>
                <w:rFonts w:ascii="Arial" w:cs="Arial" w:eastAsia="Arial" w:hAnsi="Arial"/>
                <w:sz w:val="18"/>
                <w:szCs w:val="18"/>
                <w:color w:val="auto"/>
              </w:rPr>
              <w:t>2010</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w w:val="98"/>
              </w:rPr>
              <w:t>113,501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198,000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10,247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621,748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Senior Vice President-</w:t>
            </w:r>
          </w:p>
        </w:tc>
        <w:tc>
          <w:tcPr>
            <w:tcW w:w="820" w:type="dxa"/>
            <w:vAlign w:val="bottom"/>
          </w:tcPr>
          <w:p>
            <w:pPr>
              <w:ind w:left="320"/>
              <w:spacing w:after="0"/>
              <w:rPr>
                <w:sz w:val="20"/>
                <w:szCs w:val="20"/>
                <w:color w:val="auto"/>
              </w:rPr>
            </w:pPr>
            <w:r>
              <w:rPr>
                <w:rFonts w:ascii="Arial" w:cs="Arial" w:eastAsia="Arial" w:hAnsi="Arial"/>
                <w:sz w:val="18"/>
                <w:szCs w:val="18"/>
                <w:color w:val="auto"/>
              </w:rPr>
              <w:t>2009</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$260,000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w w:val="98"/>
              </w:rPr>
              <w:t>720,246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299,999</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156,000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8,586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w w:val="84"/>
              </w:rPr>
              <w:t>1,444,831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ind w:left="320"/>
              <w:spacing w:after="0"/>
              <w:rPr>
                <w:sz w:val="20"/>
                <w:szCs w:val="20"/>
                <w:color w:val="auto"/>
              </w:rPr>
            </w:pPr>
            <w:r>
              <w:rPr>
                <w:rFonts w:ascii="Arial" w:cs="Arial" w:eastAsia="Arial" w:hAnsi="Arial"/>
                <w:sz w:val="18"/>
                <w:szCs w:val="18"/>
                <w:color w:val="auto"/>
              </w:rPr>
              <w:t>2008</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$225,000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w w:val="98"/>
              </w:rPr>
              <w:t>114,876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59,997</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50,625</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458,499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Dawn M. Becker, Executive Vice President-Chief</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8"/>
              </w:rPr>
              <w:t>143,962</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264,000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10,726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Operating Officer; General Counsel and Secretary</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33,740</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9,765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523,505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8"/>
              </w:rPr>
              <w:t>998,028</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405,002</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84,375</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10,189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4"/>
              </w:rPr>
              <w:t>1,797,594</w:t>
            </w:r>
          </w:p>
        </w:tc>
        <w:tc>
          <w:tcPr>
            <w:tcW w:w="0" w:type="dxa"/>
            <w:vAlign w:val="bottom"/>
          </w:tcPr>
          <w:p>
            <w:pPr>
              <w:spacing w:after="0"/>
              <w:rPr>
                <w:sz w:val="1"/>
                <w:szCs w:val="1"/>
                <w:color w:val="auto"/>
              </w:rPr>
            </w:pPr>
          </w:p>
        </w:tc>
      </w:tr>
      <w:tr>
        <w:trPr>
          <w:trHeight w:val="316"/>
        </w:trPr>
        <w:tc>
          <w:tcPr>
            <w:tcW w:w="410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820" w:type="dxa"/>
            <w:vAlign w:val="bottom"/>
          </w:tcPr>
          <w:p>
            <w:pPr>
              <w:ind w:left="320"/>
              <w:spacing w:after="0"/>
              <w:rPr>
                <w:sz w:val="20"/>
                <w:szCs w:val="20"/>
                <w:color w:val="auto"/>
              </w:rPr>
            </w:pPr>
            <w:r>
              <w:rPr>
                <w:rFonts w:ascii="Arial" w:cs="Arial" w:eastAsia="Arial" w:hAnsi="Arial"/>
                <w:sz w:val="18"/>
                <w:szCs w:val="18"/>
                <w:color w:val="auto"/>
              </w:rPr>
              <w:t>2010</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$375,000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45,030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206,250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12,011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638,291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w w:val="96"/>
              </w:rPr>
              <w:t>Executive Vice President-Chief Investment Officer</w:t>
            </w:r>
          </w:p>
        </w:tc>
        <w:tc>
          <w:tcPr>
            <w:tcW w:w="820" w:type="dxa"/>
            <w:vAlign w:val="bottom"/>
          </w:tcPr>
          <w:p>
            <w:pPr>
              <w:ind w:left="320"/>
              <w:spacing w:after="0"/>
              <w:rPr>
                <w:sz w:val="20"/>
                <w:szCs w:val="20"/>
                <w:color w:val="auto"/>
              </w:rPr>
            </w:pPr>
            <w:r>
              <w:rPr>
                <w:rFonts w:ascii="Arial" w:cs="Arial" w:eastAsia="Arial" w:hAnsi="Arial"/>
                <w:sz w:val="18"/>
                <w:szCs w:val="18"/>
                <w:color w:val="auto"/>
              </w:rPr>
              <w:t>2009</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31,480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150,000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10,056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541,536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2008</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60,761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105,000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10,646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526,407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78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right="60" w:hanging="452"/>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shown in the Stock Awards and Options Awards columns reflect the aggregate grant date fair value of the awards calculated in accordance with FASB ASC Topic 718 for the fiscal years ended December 31, 2010, 2009 and 2008. For a discussion of the valuation of these awards, please refer to Note 14 in the notes to our consolidated financial statements in our Annual Report on Form 10-K filed on February 15, 2011.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305"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Amounts shown in this column represent only the cash portion paid under our Annual Bonus Plan for 2010, 2009 and 2008 and include amounts deferred by our named executive officers into our non-qualified deferred compensation plan. For 2010, each of Mr. Wood, Mr. Blocher and Ms. Becker received</w:t>
      </w:r>
    </w:p>
    <w:p>
      <w:pPr>
        <w:ind w:left="460"/>
        <w:spacing w:after="0" w:line="315" w:lineRule="auto"/>
        <w:rPr>
          <w:rFonts w:ascii="Arial" w:cs="Arial" w:eastAsia="Arial" w:hAnsi="Arial"/>
          <w:sz w:val="15"/>
          <w:szCs w:val="15"/>
          <w:color w:val="auto"/>
        </w:rPr>
      </w:pPr>
      <w:r>
        <w:rPr>
          <w:rFonts w:ascii="Arial" w:cs="Arial" w:eastAsia="Arial" w:hAnsi="Arial"/>
          <w:sz w:val="15"/>
          <w:szCs w:val="15"/>
          <w:color w:val="auto"/>
        </w:rPr>
        <w:t>80% of his or her Annual Bonus in cash and Mr. Berkes received 100% of his bonus in cash. For 2009, Mr. Wood received 75% of his annual bonus in cash and each of Mr. Blocher, Ms. Becker and Mr. Berkes received 80% of his or her annual bonus in cash. For 2008, each of Mr. Wood and Mr. Berkes received 80% of his Annual Bonus in cash and each of Mr. Blocher and Ms. Becker received 75% of his or her Annual Bonus in cash. The remaining amounts earned under the Annual Bonus Plan in 2010, 2009 and 2008 were paid in Shares in an amount equal to 120% of the cash value in consideration of a 3-year vesting schedule. The aggregate Annual Bonus paid to each of the named executive officers for 2010 including both cash and Shares is as follows:</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2010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16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23"/>
              <w:spacing w:after="0" w:line="131" w:lineRule="exact"/>
              <w:rPr>
                <w:sz w:val="20"/>
                <w:szCs w:val="20"/>
                <w:color w:val="auto"/>
              </w:rPr>
            </w:pPr>
            <w:r>
              <w:rPr>
                <w:rFonts w:ascii="Arial" w:cs="Arial" w:eastAsia="Arial" w:hAnsi="Arial"/>
                <w:sz w:val="14"/>
                <w:szCs w:val="14"/>
                <w:b w:val="1"/>
                <w:bCs w:val="1"/>
                <w:color w:val="auto"/>
                <w:w w:val="88"/>
              </w:rPr>
              <w:t>Annual</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222"/>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84"/>
              <w:spacing w:after="0" w:line="131" w:lineRule="exact"/>
              <w:rPr>
                <w:sz w:val="20"/>
                <w:szCs w:val="20"/>
                <w:color w:val="auto"/>
              </w:rPr>
            </w:pPr>
            <w:r>
              <w:rPr>
                <w:rFonts w:ascii="Arial" w:cs="Arial" w:eastAsia="Arial" w:hAnsi="Arial"/>
                <w:sz w:val="14"/>
                <w:szCs w:val="14"/>
                <w:b w:val="1"/>
                <w:bCs w:val="1"/>
                <w:color w:val="auto"/>
              </w:rPr>
              <w:t>20%</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23"/>
              <w:spacing w:after="0" w:line="131" w:lineRule="exact"/>
              <w:rPr>
                <w:sz w:val="20"/>
                <w:szCs w:val="20"/>
                <w:color w:val="auto"/>
              </w:rPr>
            </w:pPr>
            <w:r>
              <w:rPr>
                <w:rFonts w:ascii="Arial" w:cs="Arial" w:eastAsia="Arial" w:hAnsi="Arial"/>
                <w:sz w:val="14"/>
                <w:szCs w:val="14"/>
                <w:b w:val="1"/>
                <w:bCs w:val="1"/>
                <w:color w:val="auto"/>
                <w:w w:val="83"/>
              </w:rPr>
              <w:t>Total</w:t>
            </w:r>
          </w:p>
        </w:tc>
        <w:tc>
          <w:tcPr>
            <w:tcW w:w="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2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Premium</w:t>
            </w:r>
          </w:p>
        </w:tc>
        <w:tc>
          <w:tcPr>
            <w:tcW w:w="280" w:type="dxa"/>
            <w:vAlign w:val="bottom"/>
          </w:tcPr>
          <w:p>
            <w:pPr>
              <w:spacing w:after="0"/>
              <w:rPr>
                <w:sz w:val="11"/>
                <w:szCs w:val="11"/>
                <w:color w:val="auto"/>
              </w:rPr>
            </w:pPr>
          </w:p>
        </w:tc>
        <w:tc>
          <w:tcPr>
            <w:tcW w:w="9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82"/>
              </w:rPr>
              <w:t>Bonus</w:t>
            </w:r>
          </w:p>
        </w:tc>
        <w:tc>
          <w:tcPr>
            <w:tcW w:w="280" w:type="dxa"/>
            <w:vAlign w:val="bottom"/>
          </w:tcPr>
          <w:p>
            <w:pPr>
              <w:spacing w:after="0"/>
              <w:rPr>
                <w:sz w:val="12"/>
                <w:szCs w:val="12"/>
                <w:color w:val="auto"/>
              </w:rPr>
            </w:pPr>
          </w:p>
        </w:tc>
        <w:tc>
          <w:tcPr>
            <w:tcW w:w="92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1"/>
              </w:rPr>
              <w:t>Paid in</w:t>
            </w:r>
          </w:p>
        </w:tc>
        <w:tc>
          <w:tcPr>
            <w:tcW w:w="260" w:type="dxa"/>
            <w:vAlign w:val="bottom"/>
          </w:tcPr>
          <w:p>
            <w:pPr>
              <w:spacing w:after="0"/>
              <w:rPr>
                <w:sz w:val="12"/>
                <w:szCs w:val="12"/>
                <w:color w:val="auto"/>
              </w:rPr>
            </w:pPr>
          </w:p>
        </w:tc>
        <w:tc>
          <w:tcPr>
            <w:tcW w:w="7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9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5"/>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15"/>
                <w:szCs w:val="15"/>
                <w:color w:val="auto"/>
              </w:rPr>
            </w:pPr>
          </w:p>
        </w:tc>
        <w:tc>
          <w:tcPr>
            <w:tcW w:w="920" w:type="dxa"/>
            <w:vAlign w:val="bottom"/>
          </w:tcPr>
          <w:p>
            <w:pPr>
              <w:jc w:val="center"/>
              <w:ind w:right="223"/>
              <w:spacing w:after="0"/>
              <w:rPr>
                <w:sz w:val="20"/>
                <w:szCs w:val="20"/>
                <w:color w:val="auto"/>
              </w:rPr>
            </w:pPr>
            <w:r>
              <w:rPr>
                <w:rFonts w:ascii="Arial" w:cs="Arial" w:eastAsia="Arial" w:hAnsi="Arial"/>
                <w:sz w:val="14"/>
                <w:szCs w:val="14"/>
                <w:b w:val="1"/>
                <w:bCs w:val="1"/>
                <w:color w:val="auto"/>
                <w:w w:val="91"/>
              </w:rPr>
              <w:t>Awarded</w:t>
            </w:r>
          </w:p>
        </w:tc>
        <w:tc>
          <w:tcPr>
            <w:tcW w:w="280" w:type="dxa"/>
            <w:vAlign w:val="bottom"/>
          </w:tcPr>
          <w:p>
            <w:pPr>
              <w:spacing w:after="0"/>
              <w:rPr>
                <w:sz w:val="15"/>
                <w:szCs w:val="15"/>
                <w:color w:val="auto"/>
              </w:rPr>
            </w:pPr>
          </w:p>
        </w:tc>
        <w:tc>
          <w:tcPr>
            <w:tcW w:w="920" w:type="dxa"/>
            <w:vAlign w:val="bottom"/>
          </w:tcPr>
          <w:p>
            <w:pPr>
              <w:jc w:val="center"/>
              <w:ind w:right="222"/>
              <w:spacing w:after="0"/>
              <w:rPr>
                <w:sz w:val="20"/>
                <w:szCs w:val="20"/>
                <w:color w:val="auto"/>
              </w:rPr>
            </w:pPr>
            <w:r>
              <w:rPr>
                <w:rFonts w:ascii="Arial" w:cs="Arial" w:eastAsia="Arial" w:hAnsi="Arial"/>
                <w:sz w:val="14"/>
                <w:szCs w:val="14"/>
                <w:b w:val="1"/>
                <w:bCs w:val="1"/>
                <w:color w:val="auto"/>
                <w:w w:val="87"/>
              </w:rPr>
              <w:t>Cash</w:t>
            </w:r>
          </w:p>
        </w:tc>
        <w:tc>
          <w:tcPr>
            <w:tcW w:w="280" w:type="dxa"/>
            <w:vAlign w:val="bottom"/>
          </w:tcPr>
          <w:p>
            <w:pPr>
              <w:spacing w:after="0"/>
              <w:rPr>
                <w:sz w:val="15"/>
                <w:szCs w:val="15"/>
                <w:color w:val="auto"/>
              </w:rPr>
            </w:pPr>
          </w:p>
        </w:tc>
        <w:tc>
          <w:tcPr>
            <w:tcW w:w="820" w:type="dxa"/>
            <w:vAlign w:val="bottom"/>
          </w:tcPr>
          <w:p>
            <w:pPr>
              <w:jc w:val="center"/>
              <w:ind w:right="202"/>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5"/>
                <w:szCs w:val="15"/>
                <w:color w:val="auto"/>
              </w:rPr>
            </w:pPr>
          </w:p>
        </w:tc>
        <w:tc>
          <w:tcPr>
            <w:tcW w:w="720" w:type="dxa"/>
            <w:vAlign w:val="bottom"/>
          </w:tcPr>
          <w:p>
            <w:pPr>
              <w:jc w:val="center"/>
              <w:ind w:right="184"/>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5"/>
                <w:szCs w:val="15"/>
                <w:color w:val="auto"/>
              </w:rPr>
            </w:pPr>
          </w:p>
        </w:tc>
        <w:tc>
          <w:tcPr>
            <w:tcW w:w="980" w:type="dxa"/>
            <w:vAlign w:val="bottom"/>
          </w:tcPr>
          <w:p>
            <w:pPr>
              <w:jc w:val="center"/>
              <w:ind w:right="223"/>
              <w:spacing w:after="0"/>
              <w:rPr>
                <w:sz w:val="20"/>
                <w:szCs w:val="20"/>
                <w:color w:val="auto"/>
              </w:rPr>
            </w:pPr>
            <w:r>
              <w:rPr>
                <w:rFonts w:ascii="Arial" w:cs="Arial" w:eastAsia="Arial" w:hAnsi="Arial"/>
                <w:sz w:val="14"/>
                <w:szCs w:val="14"/>
                <w:b w:val="1"/>
                <w:bCs w:val="1"/>
                <w:color w:val="auto"/>
                <w:w w:val="83"/>
              </w:rPr>
              <w:t>Bonus Paid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81"/>
              </w:rPr>
              <w:t>($)</w:t>
            </w: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w w:val="92"/>
              </w:rPr>
              <w:t>1,402,500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92"/>
              </w:rPr>
              <w:t>1,122,000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98"/>
              </w:rPr>
              <w:t>280,500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8"/>
              </w:rPr>
              <w:t>56,100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w w:val="97"/>
              </w:rPr>
              <w:t>1,458,600</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Andrew P. Blocher</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247,500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2"/>
              <w:spacing w:after="0"/>
              <w:rPr>
                <w:sz w:val="20"/>
                <w:szCs w:val="20"/>
                <w:color w:val="auto"/>
              </w:rPr>
            </w:pPr>
            <w:r>
              <w:rPr>
                <w:rFonts w:ascii="Arial" w:cs="Arial" w:eastAsia="Arial" w:hAnsi="Arial"/>
                <w:sz w:val="18"/>
                <w:szCs w:val="18"/>
                <w:color w:val="auto"/>
              </w:rPr>
              <w:t>198,000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2"/>
              <w:spacing w:after="0"/>
              <w:rPr>
                <w:sz w:val="20"/>
                <w:szCs w:val="20"/>
                <w:color w:val="auto"/>
              </w:rPr>
            </w:pPr>
            <w:r>
              <w:rPr>
                <w:rFonts w:ascii="Arial" w:cs="Arial" w:eastAsia="Arial" w:hAnsi="Arial"/>
                <w:sz w:val="18"/>
                <w:szCs w:val="18"/>
                <w:color w:val="auto"/>
              </w:rPr>
              <w:t>49,500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84"/>
              <w:spacing w:after="0"/>
              <w:rPr>
                <w:sz w:val="20"/>
                <w:szCs w:val="20"/>
                <w:color w:val="auto"/>
              </w:rPr>
            </w:pPr>
            <w:r>
              <w:rPr>
                <w:rFonts w:ascii="Arial" w:cs="Arial" w:eastAsia="Arial" w:hAnsi="Arial"/>
                <w:sz w:val="18"/>
                <w:szCs w:val="18"/>
                <w:color w:val="auto"/>
              </w:rPr>
              <w:t>9,900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3"/>
              <w:spacing w:after="0"/>
              <w:rPr>
                <w:sz w:val="20"/>
                <w:szCs w:val="20"/>
                <w:color w:val="auto"/>
              </w:rPr>
            </w:pPr>
            <w:r>
              <w:rPr>
                <w:rFonts w:ascii="Arial" w:cs="Arial" w:eastAsia="Arial" w:hAnsi="Arial"/>
                <w:sz w:val="18"/>
                <w:szCs w:val="18"/>
                <w:color w:val="auto"/>
              </w:rPr>
              <w:t>257,400</w:t>
            </w:r>
          </w:p>
        </w:tc>
        <w:tc>
          <w:tcPr>
            <w:tcW w:w="820" w:type="dxa"/>
            <w:vAlign w:val="bottom"/>
          </w:tcPr>
          <w:p>
            <w:pPr>
              <w:jc w:val="right"/>
              <w:ind w:right="4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330,000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264,000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66,000</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$ 13,200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343,200</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Jeffrey S. Berkes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206,250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2"/>
              <w:spacing w:after="0"/>
              <w:rPr>
                <w:sz w:val="20"/>
                <w:szCs w:val="20"/>
                <w:color w:val="auto"/>
              </w:rPr>
            </w:pPr>
            <w:r>
              <w:rPr>
                <w:rFonts w:ascii="Arial" w:cs="Arial" w:eastAsia="Arial" w:hAnsi="Arial"/>
                <w:sz w:val="18"/>
                <w:szCs w:val="18"/>
                <w:color w:val="auto"/>
              </w:rPr>
              <w:t>206,250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6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3"/>
              <w:spacing w:after="0"/>
              <w:rPr>
                <w:sz w:val="20"/>
                <w:szCs w:val="20"/>
                <w:color w:val="auto"/>
              </w:rPr>
            </w:pPr>
            <w:r>
              <w:rPr>
                <w:rFonts w:ascii="Arial" w:cs="Arial" w:eastAsia="Arial" w:hAnsi="Arial"/>
                <w:sz w:val="18"/>
                <w:szCs w:val="18"/>
                <w:color w:val="auto"/>
              </w:rPr>
              <w:t>206,250</w:t>
            </w:r>
          </w:p>
        </w:tc>
        <w:tc>
          <w:tcPr>
            <w:tcW w:w="820" w:type="dxa"/>
            <w:vAlign w:val="bottom"/>
          </w:tcPr>
          <w:p>
            <w:pPr>
              <w:jc w:val="right"/>
              <w:ind w:right="4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value of the Shares awarded in 2011 as part of the Annual Bonus for 2010, will be reflected in the Summary Compensation Table and Grant of Plan-Based Awards Table in next year’s proxy statement.</w:t>
      </w:r>
    </w:p>
    <w:p>
      <w:pPr>
        <w:spacing w:after="0" w:line="51" w:lineRule="exact"/>
        <w:rPr>
          <w:sz w:val="20"/>
          <w:szCs w:val="20"/>
          <w:color w:val="auto"/>
        </w:rPr>
      </w:pPr>
    </w:p>
    <w:p>
      <w:pPr>
        <w:ind w:left="460" w:right="18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19"/>
              <w:spacing w:after="0"/>
              <w:rPr>
                <w:sz w:val="20"/>
                <w:szCs w:val="20"/>
                <w:color w:val="auto"/>
              </w:rPr>
            </w:pPr>
            <w:r>
              <w:rPr>
                <w:rFonts w:ascii="Arial" w:cs="Arial" w:eastAsia="Arial" w:hAnsi="Arial"/>
                <w:sz w:val="14"/>
                <w:szCs w:val="14"/>
                <w:b w:val="1"/>
                <w:bCs w:val="1"/>
                <w:color w:val="auto"/>
                <w:w w:val="87"/>
              </w:rPr>
              <w:t>Long-</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90"/>
              </w:rPr>
              <w:t>Group</w:t>
            </w:r>
          </w:p>
        </w:tc>
        <w:tc>
          <w:tcPr>
            <w:tcW w:w="380" w:type="dxa"/>
            <w:vAlign w:val="bottom"/>
          </w:tcPr>
          <w:p>
            <w:pPr>
              <w:spacing w:after="0"/>
              <w:rPr>
                <w:sz w:val="12"/>
                <w:szCs w:val="12"/>
                <w:color w:val="auto"/>
              </w:rPr>
            </w:pPr>
          </w:p>
        </w:tc>
        <w:tc>
          <w:tcPr>
            <w:tcW w:w="76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w w:val="93"/>
              </w:rPr>
              <w:t>Term</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1"/>
              </w:rPr>
              <w:t>Trust</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Disability</w:t>
            </w:r>
          </w:p>
        </w:tc>
        <w:tc>
          <w:tcPr>
            <w:tcW w:w="13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Supplemental</w:t>
            </w:r>
          </w:p>
        </w:tc>
        <w:tc>
          <w:tcPr>
            <w:tcW w:w="13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Contributions</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96"/>
              </w:rPr>
              <w:t>Life</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Insurance</w:t>
            </w:r>
          </w:p>
        </w:tc>
        <w:tc>
          <w:tcPr>
            <w:tcW w:w="380" w:type="dxa"/>
            <w:vAlign w:val="bottom"/>
          </w:tcPr>
          <w:p>
            <w:pPr>
              <w:spacing w:after="0"/>
              <w:rPr>
                <w:sz w:val="12"/>
                <w:szCs w:val="12"/>
                <w:color w:val="auto"/>
              </w:rPr>
            </w:pPr>
          </w:p>
        </w:tc>
        <w:tc>
          <w:tcPr>
            <w:tcW w:w="1000" w:type="dxa"/>
            <w:vAlign w:val="bottom"/>
          </w:tcPr>
          <w:p>
            <w:pPr>
              <w:jc w:val="right"/>
              <w:ind w:right="499"/>
              <w:spacing w:after="0" w:line="149" w:lineRule="exact"/>
              <w:rPr>
                <w:sz w:val="20"/>
                <w:szCs w:val="20"/>
                <w:color w:val="auto"/>
              </w:rPr>
            </w:pPr>
            <w:r>
              <w:rPr>
                <w:rFonts w:ascii="Arial" w:cs="Arial" w:eastAsia="Arial" w:hAnsi="Arial"/>
                <w:sz w:val="14"/>
                <w:szCs w:val="14"/>
                <w:b w:val="1"/>
                <w:bCs w:val="1"/>
                <w:color w:val="auto"/>
              </w:rPr>
              <w:t>Life</w:t>
            </w:r>
          </w:p>
        </w:tc>
        <w:tc>
          <w:tcPr>
            <w:tcW w:w="380" w:type="dxa"/>
            <w:vAlign w:val="bottom"/>
          </w:tcPr>
          <w:p>
            <w:pPr>
              <w:spacing w:after="0"/>
              <w:rPr>
                <w:sz w:val="12"/>
                <w:szCs w:val="12"/>
                <w:color w:val="auto"/>
              </w:rPr>
            </w:pPr>
          </w:p>
        </w:tc>
        <w:tc>
          <w:tcPr>
            <w:tcW w:w="10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82"/>
              </w:rPr>
              <w:t>to Section</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ind w:left="1420"/>
              <w:spacing w:after="0"/>
              <w:rPr>
                <w:sz w:val="20"/>
                <w:szCs w:val="20"/>
                <w:color w:val="auto"/>
              </w:rPr>
            </w:pPr>
            <w:r>
              <w:rPr>
                <w:rFonts w:ascii="Arial" w:cs="Arial" w:eastAsia="Arial" w:hAnsi="Arial"/>
                <w:sz w:val="14"/>
                <w:szCs w:val="14"/>
                <w:b w:val="1"/>
                <w:bCs w:val="1"/>
                <w:color w:val="auto"/>
              </w:rPr>
              <w:t>Insurance</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Premium</w:t>
            </w:r>
          </w:p>
        </w:tc>
        <w:tc>
          <w:tcPr>
            <w:tcW w:w="380" w:type="dxa"/>
            <w:vAlign w:val="bottom"/>
          </w:tcPr>
          <w:p>
            <w:pPr>
              <w:spacing w:after="0"/>
              <w:rPr>
                <w:sz w:val="14"/>
                <w:szCs w:val="14"/>
                <w:color w:val="auto"/>
              </w:rPr>
            </w:pPr>
          </w:p>
        </w:tc>
        <w:tc>
          <w:tcPr>
            <w:tcW w:w="1000" w:type="dxa"/>
            <w:vAlign w:val="bottom"/>
          </w:tcPr>
          <w:p>
            <w:pPr>
              <w:jc w:val="right"/>
              <w:ind w:right="319"/>
              <w:spacing w:after="0"/>
              <w:rPr>
                <w:sz w:val="20"/>
                <w:szCs w:val="20"/>
                <w:color w:val="auto"/>
              </w:rPr>
            </w:pPr>
            <w:r>
              <w:rPr>
                <w:rFonts w:ascii="Arial" w:cs="Arial" w:eastAsia="Arial" w:hAnsi="Arial"/>
                <w:sz w:val="14"/>
                <w:szCs w:val="14"/>
                <w:b w:val="1"/>
                <w:bCs w:val="1"/>
                <w:color w:val="auto"/>
                <w:w w:val="87"/>
              </w:rPr>
              <w:t>Insurance</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Miscellaneous(a)</w:t>
            </w:r>
          </w:p>
        </w:tc>
        <w:tc>
          <w:tcPr>
            <w:tcW w:w="960" w:type="dxa"/>
            <w:vAlign w:val="bottom"/>
          </w:tcPr>
          <w:p>
            <w:pPr>
              <w:jc w:val="center"/>
              <w:ind w:left="116"/>
              <w:spacing w:after="0"/>
              <w:rPr>
                <w:sz w:val="20"/>
                <w:szCs w:val="20"/>
                <w:color w:val="auto"/>
              </w:rPr>
            </w:pPr>
            <w:r>
              <w:rPr>
                <w:rFonts w:ascii="Arial" w:cs="Arial" w:eastAsia="Arial" w:hAnsi="Arial"/>
                <w:sz w:val="14"/>
                <w:szCs w:val="14"/>
                <w:b w:val="1"/>
                <w:bCs w:val="1"/>
                <w:color w:val="auto"/>
                <w:w w:val="88"/>
              </w:rPr>
              <w:t>Total ($)</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0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1,752</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1,066</w:t>
            </w:r>
          </w:p>
        </w:tc>
        <w:tc>
          <w:tcPr>
            <w:tcW w:w="3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6,396</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6,125</w:t>
            </w:r>
          </w:p>
        </w:tc>
        <w:tc>
          <w:tcPr>
            <w:tcW w:w="6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3,996</w:t>
            </w:r>
          </w:p>
        </w:tc>
        <w:tc>
          <w:tcPr>
            <w:tcW w:w="96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89"/>
              </w:rPr>
              <w:t>$19,335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Andrew P. Blocher</w:t>
            </w:r>
          </w:p>
        </w:tc>
        <w:tc>
          <w:tcPr>
            <w:tcW w:w="1500" w:type="dxa"/>
            <w:vAlign w:val="bottom"/>
          </w:tcPr>
          <w:p>
            <w:pPr>
              <w:ind w:left="14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1"/>
              <w:spacing w:after="0"/>
              <w:rPr>
                <w:sz w:val="20"/>
                <w:szCs w:val="20"/>
                <w:color w:val="auto"/>
              </w:rPr>
            </w:pPr>
            <w:r>
              <w:rPr>
                <w:rFonts w:ascii="Arial" w:cs="Arial" w:eastAsia="Arial" w:hAnsi="Arial"/>
                <w:sz w:val="18"/>
                <w:szCs w:val="18"/>
                <w:color w:val="auto"/>
              </w:rPr>
              <w:t>405</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1,066</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2,059</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6,125</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592</w:t>
            </w:r>
          </w:p>
        </w:tc>
        <w:tc>
          <w:tcPr>
            <w:tcW w:w="960" w:type="dxa"/>
            <w:vAlign w:val="bottom"/>
          </w:tcPr>
          <w:p>
            <w:pPr>
              <w:jc w:val="center"/>
              <w:ind w:left="96"/>
              <w:spacing w:after="0"/>
              <w:rPr>
                <w:sz w:val="20"/>
                <w:szCs w:val="20"/>
                <w:color w:val="auto"/>
              </w:rPr>
            </w:pPr>
            <w:r>
              <w:rPr>
                <w:rFonts w:ascii="Arial" w:cs="Arial" w:eastAsia="Arial" w:hAnsi="Arial"/>
                <w:sz w:val="18"/>
                <w:szCs w:val="18"/>
                <w:color w:val="auto"/>
                <w:w w:val="89"/>
              </w:rPr>
              <w:t>$10,247</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500" w:type="dxa"/>
            <w:vAlign w:val="bottom"/>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1,066</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3,054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6,125</w:t>
            </w:r>
          </w:p>
        </w:tc>
        <w:tc>
          <w:tcPr>
            <w:tcW w:w="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$10,726</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Jeffrey S. Berkes</w:t>
            </w:r>
          </w:p>
        </w:tc>
        <w:tc>
          <w:tcPr>
            <w:tcW w:w="1500" w:type="dxa"/>
            <w:vAlign w:val="bottom"/>
          </w:tcPr>
          <w:p>
            <w:pPr>
              <w:ind w:left="14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1"/>
              <w:spacing w:after="0"/>
              <w:rPr>
                <w:sz w:val="20"/>
                <w:szCs w:val="20"/>
                <w:color w:val="auto"/>
              </w:rPr>
            </w:pPr>
            <w:r>
              <w:rPr>
                <w:rFonts w:ascii="Arial" w:cs="Arial" w:eastAsia="Arial" w:hAnsi="Arial"/>
                <w:sz w:val="18"/>
                <w:szCs w:val="18"/>
                <w:color w:val="auto"/>
              </w:rPr>
              <w:t>578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1,125</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4,183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6,125</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96"/>
              <w:spacing w:after="0"/>
              <w:rPr>
                <w:sz w:val="20"/>
                <w:szCs w:val="20"/>
                <w:color w:val="auto"/>
              </w:rPr>
            </w:pPr>
            <w:r>
              <w:rPr>
                <w:rFonts w:ascii="Arial" w:cs="Arial" w:eastAsia="Arial" w:hAnsi="Arial"/>
                <w:sz w:val="18"/>
                <w:szCs w:val="18"/>
                <w:color w:val="auto"/>
                <w:w w:val="89"/>
              </w:rPr>
              <w:t>$12,011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12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shown in this column for Mr. Wood constitutes interest that would have been payable on an interest-free loan made in connection with a split-dollar life insurance agreement put in place for Mr. Wood in 1998. The amount shown in this column for Mr. Blocher includes the value of a gift card and applicable taxes paid by the Trust on the gift card. The gift card was given to Mr. Blocher for his 10 years of service in connection with the Trust’s service award program applicable to all of our employees.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GRANTS OF PLAN-BASED AWARDS TABLE</w:t>
      </w:r>
    </w:p>
    <w:p>
      <w:pPr>
        <w:spacing w:after="0" w:line="17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following Share awards were made in 2010. Awards made in 2011 to the named executive officers under the Annual Bonus Plan and LTIAP for either a one or three-year performance period ending December 31, 2010 will be reported in the Grants of Plan-Based Awards Table in next year’s proxy statement.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All Other Stock</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Shares of Stock</w:t>
            </w:r>
          </w:p>
        </w:tc>
        <w:tc>
          <w:tcPr>
            <w:tcW w:w="1400" w:type="dxa"/>
            <w:vAlign w:val="bottom"/>
            <w:gridSpan w:val="2"/>
          </w:tcPr>
          <w:p>
            <w:pPr>
              <w:jc w:val="center"/>
              <w:ind w:left="334"/>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7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000" w:type="dxa"/>
            <w:vAlign w:val="bottom"/>
          </w:tcPr>
          <w:p>
            <w:pPr>
              <w:jc w:val="right"/>
              <w:ind w:right="614"/>
              <w:spacing w:after="0"/>
              <w:rPr>
                <w:sz w:val="20"/>
                <w:szCs w:val="20"/>
                <w:color w:val="auto"/>
              </w:rPr>
            </w:pPr>
            <w:r>
              <w:rPr>
                <w:rFonts w:ascii="Arial" w:cs="Arial" w:eastAsia="Arial" w:hAnsi="Arial"/>
                <w:sz w:val="14"/>
                <w:szCs w:val="14"/>
                <w:b w:val="1"/>
                <w:bCs w:val="1"/>
                <w:color w:val="auto"/>
              </w:rPr>
              <w:t>Grant Date</w:t>
            </w:r>
          </w:p>
        </w:tc>
        <w:tc>
          <w:tcPr>
            <w:tcW w:w="206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or Units</w:t>
            </w:r>
          </w:p>
        </w:tc>
        <w:tc>
          <w:tcPr>
            <w:tcW w:w="600" w:type="dxa"/>
            <w:vAlign w:val="bottom"/>
          </w:tcPr>
          <w:p>
            <w:pPr>
              <w:spacing w:after="0"/>
              <w:rPr>
                <w:sz w:val="15"/>
                <w:szCs w:val="15"/>
                <w:color w:val="auto"/>
              </w:rPr>
            </w:pPr>
          </w:p>
        </w:tc>
        <w:tc>
          <w:tcPr>
            <w:tcW w:w="8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Fair Value</w:t>
            </w:r>
          </w:p>
        </w:tc>
      </w:tr>
      <w:tr>
        <w:trPr>
          <w:trHeight w:val="237"/>
        </w:trPr>
        <w:tc>
          <w:tcPr>
            <w:tcW w:w="20" w:type="dxa"/>
            <w:vAlign w:val="bottom"/>
          </w:tcPr>
          <w:p>
            <w:pPr>
              <w:spacing w:after="0"/>
              <w:rPr>
                <w:sz w:val="20"/>
                <w:szCs w:val="20"/>
                <w:color w:val="auto"/>
              </w:rPr>
            </w:pPr>
          </w:p>
        </w:tc>
        <w:tc>
          <w:tcPr>
            <w:tcW w:w="3940" w:type="dxa"/>
            <w:vAlign w:val="bottom"/>
            <w:tcBorders>
              <w:top w:val="single" w:sz="8" w:color="auto"/>
              <w:bottom w:val="single" w:sz="8" w:color="auto"/>
            </w:tcBorders>
          </w:tcPr>
          <w:p>
            <w:pPr>
              <w:spacing w:after="0"/>
              <w:rPr>
                <w:sz w:val="20"/>
                <w:szCs w:val="20"/>
                <w:color w:val="auto"/>
              </w:rPr>
            </w:pPr>
          </w:p>
        </w:tc>
        <w:tc>
          <w:tcPr>
            <w:tcW w:w="400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w:t>
            </w:r>
          </w:p>
        </w:tc>
      </w:tr>
      <w:tr>
        <w:trPr>
          <w:trHeight w:val="201"/>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4000" w:type="dxa"/>
            <w:vAlign w:val="bottom"/>
            <w:shd w:val="clear" w:color="auto" w:fill="CCEEFF"/>
          </w:tcPr>
          <w:p>
            <w:pPr>
              <w:jc w:val="right"/>
              <w:ind w:right="294"/>
              <w:spacing w:after="0" w:line="201" w:lineRule="exact"/>
              <w:rPr>
                <w:sz w:val="20"/>
                <w:szCs w:val="20"/>
                <w:color w:val="auto"/>
              </w:rPr>
            </w:pPr>
            <w:r>
              <w:rPr>
                <w:rFonts w:ascii="Arial" w:cs="Arial" w:eastAsia="Arial" w:hAnsi="Arial"/>
                <w:sz w:val="18"/>
                <w:szCs w:val="18"/>
                <w:color w:val="auto"/>
              </w:rPr>
              <w:t>2/16/2010(1)</w:t>
            </w:r>
          </w:p>
        </w:tc>
        <w:tc>
          <w:tcPr>
            <w:tcW w:w="2060" w:type="dxa"/>
            <w:vAlign w:val="bottom"/>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2,945</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line="201" w:lineRule="exact"/>
              <w:rPr>
                <w:sz w:val="20"/>
                <w:szCs w:val="20"/>
                <w:color w:val="auto"/>
              </w:rPr>
            </w:pPr>
            <w:r>
              <w:rPr>
                <w:rFonts w:ascii="Arial" w:cs="Arial" w:eastAsia="Arial" w:hAnsi="Arial"/>
                <w:sz w:val="18"/>
                <w:szCs w:val="18"/>
                <w:color w:val="auto"/>
              </w:rPr>
              <w:t>195,018</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0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2/16/2010(2)</w:t>
            </w:r>
          </w:p>
        </w:tc>
        <w:tc>
          <w:tcPr>
            <w:tcW w:w="206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40,773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2,699,988</w:t>
            </w:r>
          </w:p>
        </w:tc>
      </w:tr>
      <w:tr>
        <w:trPr>
          <w:trHeight w:val="238"/>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10/12/2010(3)</w:t>
            </w:r>
          </w:p>
        </w:tc>
        <w:tc>
          <w:tcPr>
            <w:tcW w:w="206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60,931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4,999,998</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Andrew P. Blocher</w:t>
            </w:r>
          </w:p>
        </w:tc>
        <w:tc>
          <w:tcPr>
            <w:tcW w:w="4000" w:type="dxa"/>
            <w:vAlign w:val="bottom"/>
          </w:tcPr>
          <w:p>
            <w:pPr>
              <w:jc w:val="right"/>
              <w:ind w:right="294"/>
              <w:spacing w:after="0"/>
              <w:rPr>
                <w:sz w:val="20"/>
                <w:szCs w:val="20"/>
                <w:color w:val="auto"/>
              </w:rPr>
            </w:pPr>
            <w:r>
              <w:rPr>
                <w:rFonts w:ascii="Arial" w:cs="Arial" w:eastAsia="Arial" w:hAnsi="Arial"/>
                <w:sz w:val="18"/>
                <w:szCs w:val="18"/>
                <w:color w:val="auto"/>
              </w:rPr>
              <w:t>2/16/2010(1)</w:t>
            </w:r>
          </w:p>
        </w:tc>
        <w:tc>
          <w:tcPr>
            <w:tcW w:w="2060" w:type="dxa"/>
            <w:vAlign w:val="bottom"/>
          </w:tcPr>
          <w:p>
            <w:pPr>
              <w:jc w:val="right"/>
              <w:ind w:right="440"/>
              <w:spacing w:after="0"/>
              <w:rPr>
                <w:sz w:val="20"/>
                <w:szCs w:val="20"/>
                <w:color w:val="auto"/>
              </w:rPr>
            </w:pPr>
            <w:r>
              <w:rPr>
                <w:rFonts w:ascii="Arial" w:cs="Arial" w:eastAsia="Arial" w:hAnsi="Arial"/>
                <w:sz w:val="18"/>
                <w:szCs w:val="18"/>
                <w:color w:val="auto"/>
              </w:rPr>
              <w:t>707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46,818</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0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2/16/2010(2)</w:t>
            </w:r>
          </w:p>
        </w:tc>
        <w:tc>
          <w:tcPr>
            <w:tcW w:w="206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1,007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66,684</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Dawn M. Becker</w:t>
            </w:r>
          </w:p>
        </w:tc>
        <w:tc>
          <w:tcPr>
            <w:tcW w:w="4000" w:type="dxa"/>
            <w:vAlign w:val="bottom"/>
          </w:tcPr>
          <w:p>
            <w:pPr>
              <w:jc w:val="right"/>
              <w:ind w:right="294"/>
              <w:spacing w:after="0"/>
              <w:rPr>
                <w:sz w:val="20"/>
                <w:szCs w:val="20"/>
                <w:color w:val="auto"/>
              </w:rPr>
            </w:pPr>
            <w:r>
              <w:rPr>
                <w:rFonts w:ascii="Arial" w:cs="Arial" w:eastAsia="Arial" w:hAnsi="Arial"/>
                <w:sz w:val="18"/>
                <w:szCs w:val="18"/>
                <w:color w:val="auto"/>
              </w:rPr>
              <w:t>2/16/2010(1)</w:t>
            </w:r>
          </w:p>
        </w:tc>
        <w:tc>
          <w:tcPr>
            <w:tcW w:w="2060" w:type="dxa"/>
            <w:vAlign w:val="bottom"/>
          </w:tcPr>
          <w:p>
            <w:pPr>
              <w:jc w:val="right"/>
              <w:ind w:right="440"/>
              <w:spacing w:after="0"/>
              <w:rPr>
                <w:sz w:val="20"/>
                <w:szCs w:val="20"/>
                <w:color w:val="auto"/>
              </w:rPr>
            </w:pPr>
            <w:r>
              <w:rPr>
                <w:rFonts w:ascii="Arial" w:cs="Arial" w:eastAsia="Arial" w:hAnsi="Arial"/>
                <w:sz w:val="18"/>
                <w:szCs w:val="18"/>
                <w:color w:val="auto"/>
              </w:rPr>
              <w:t>815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53,969</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0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2/16/2010(2)</w:t>
            </w:r>
          </w:p>
        </w:tc>
        <w:tc>
          <w:tcPr>
            <w:tcW w:w="206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1,359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89,993</w:t>
            </w: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Jeffery S. Berkes</w:t>
            </w:r>
          </w:p>
        </w:tc>
        <w:tc>
          <w:tcPr>
            <w:tcW w:w="4000" w:type="dxa"/>
            <w:vAlign w:val="bottom"/>
          </w:tcPr>
          <w:p>
            <w:pPr>
              <w:jc w:val="right"/>
              <w:ind w:right="294"/>
              <w:spacing w:after="0"/>
              <w:rPr>
                <w:sz w:val="20"/>
                <w:szCs w:val="20"/>
                <w:color w:val="auto"/>
              </w:rPr>
            </w:pPr>
            <w:r>
              <w:rPr>
                <w:rFonts w:ascii="Arial" w:cs="Arial" w:eastAsia="Arial" w:hAnsi="Arial"/>
                <w:sz w:val="18"/>
                <w:szCs w:val="18"/>
                <w:color w:val="auto"/>
              </w:rPr>
              <w:t>2/16/2010(1)</w:t>
            </w:r>
          </w:p>
        </w:tc>
        <w:tc>
          <w:tcPr>
            <w:tcW w:w="2060" w:type="dxa"/>
            <w:vAlign w:val="bottom"/>
          </w:tcPr>
          <w:p>
            <w:pPr>
              <w:jc w:val="right"/>
              <w:ind w:right="440"/>
              <w:spacing w:after="0"/>
              <w:rPr>
                <w:sz w:val="20"/>
                <w:szCs w:val="20"/>
                <w:color w:val="auto"/>
              </w:rPr>
            </w:pPr>
            <w:r>
              <w:rPr>
                <w:rFonts w:ascii="Arial" w:cs="Arial" w:eastAsia="Arial" w:hAnsi="Arial"/>
                <w:sz w:val="18"/>
                <w:szCs w:val="18"/>
                <w:color w:val="auto"/>
              </w:rPr>
              <w:t>680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45,030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to Mr. Wood in exchange for a non-compete and non-solicitation agreement. These Shares vest on October 12, 2015.</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2010 OUTSTANDING EQUITY AWARDS AT FISCAL YEAR-END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spacing w:after="0" w:line="144" w:lineRule="exact"/>
              <w:rPr>
                <w:sz w:val="20"/>
                <w:szCs w:val="20"/>
                <w:color w:val="auto"/>
              </w:rPr>
            </w:pPr>
            <w:r>
              <w:rPr>
                <w:rFonts w:ascii="Arial" w:cs="Arial" w:eastAsia="Arial" w:hAnsi="Arial"/>
                <w:sz w:val="14"/>
                <w:szCs w:val="14"/>
                <w:b w:val="1"/>
                <w:bCs w:val="1"/>
                <w:color w:val="auto"/>
              </w:rPr>
              <w:t>Option Awards</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20"/>
              <w:spacing w:after="0" w:line="144" w:lineRule="exact"/>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146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Number of</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172"/>
              <w:spacing w:after="0" w:line="135"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of Shares</w:t>
            </w:r>
          </w:p>
        </w:tc>
        <w:tc>
          <w:tcPr>
            <w:tcW w:w="5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or Units of</w:t>
            </w:r>
          </w:p>
        </w:tc>
        <w:tc>
          <w:tcPr>
            <w:tcW w:w="5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Stock That</w:t>
            </w:r>
          </w:p>
        </w:tc>
        <w:tc>
          <w:tcPr>
            <w:tcW w:w="132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52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6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1"/>
                <w:szCs w:val="11"/>
                <w:color w:val="auto"/>
              </w:rPr>
            </w:pPr>
          </w:p>
        </w:tc>
        <w:tc>
          <w:tcPr>
            <w:tcW w:w="1700" w:type="dxa"/>
            <w:vAlign w:val="bottom"/>
            <w:gridSpan w:val="3"/>
          </w:tcPr>
          <w:p>
            <w:pPr>
              <w:ind w:left="480"/>
              <w:spacing w:after="0" w:line="129" w:lineRule="exact"/>
              <w:rPr>
                <w:sz w:val="20"/>
                <w:szCs w:val="20"/>
                <w:color w:val="auto"/>
              </w:rPr>
            </w:pPr>
            <w:r>
              <w:rPr>
                <w:rFonts w:ascii="Arial" w:cs="Arial" w:eastAsia="Arial" w:hAnsi="Arial"/>
                <w:sz w:val="14"/>
                <w:szCs w:val="14"/>
                <w:b w:val="1"/>
                <w:bCs w:val="1"/>
                <w:color w:val="auto"/>
              </w:rPr>
              <w:t>Expiration</w:t>
            </w:r>
          </w:p>
        </w:tc>
        <w:tc>
          <w:tcPr>
            <w:tcW w:w="880" w:type="dxa"/>
            <w:vAlign w:val="bottom"/>
            <w:gridSpan w:val="2"/>
          </w:tcPr>
          <w:p>
            <w:pPr>
              <w:jc w:val="center"/>
              <w:ind w:right="192"/>
              <w:spacing w:after="0" w:line="129" w:lineRule="exact"/>
              <w:rPr>
                <w:sz w:val="20"/>
                <w:szCs w:val="20"/>
                <w:color w:val="auto"/>
              </w:rPr>
            </w:pPr>
            <w:r>
              <w:rPr>
                <w:rFonts w:ascii="Arial" w:cs="Arial" w:eastAsia="Arial" w:hAnsi="Arial"/>
                <w:sz w:val="14"/>
                <w:szCs w:val="14"/>
                <w:b w:val="1"/>
                <w:bCs w:val="1"/>
                <w:color w:val="auto"/>
                <w:w w:val="88"/>
              </w:rPr>
              <w:t>Have Not</w:t>
            </w:r>
          </w:p>
        </w:tc>
        <w:tc>
          <w:tcPr>
            <w:tcW w:w="54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Exercisable</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Unexercisable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2"/>
              </w:rPr>
              <w:t>Vested</w:t>
            </w:r>
          </w:p>
        </w:tc>
        <w:tc>
          <w:tcPr>
            <w:tcW w:w="5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12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28,958</w:t>
            </w:r>
          </w:p>
        </w:tc>
        <w:tc>
          <w:tcPr>
            <w:tcW w:w="14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115,830(1)</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$43.48</w:t>
            </w:r>
          </w:p>
        </w:tc>
        <w:tc>
          <w:tcPr>
            <w:tcW w:w="13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w w:val="97"/>
              </w:rPr>
              <w:t>2/17/2019</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60,931(4)</w:t>
            </w:r>
          </w:p>
        </w:tc>
        <w:tc>
          <w:tcPr>
            <w:tcW w:w="1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$4,748,353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42,254</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42,253(2)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$73.03</w:t>
            </w: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2/10/2018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11,221</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7,480(3)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$92.30</w:t>
            </w: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2/12/2017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60,000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$67.66</w:t>
            </w: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2/16/2016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20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42,313(1)</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$43.48</w:t>
            </w:r>
          </w:p>
        </w:tc>
        <w:tc>
          <w:tcPr>
            <w:tcW w:w="1380" w:type="dxa"/>
            <w:vAlign w:val="bottom"/>
            <w:gridSpan w:val="3"/>
          </w:tcPr>
          <w:p>
            <w:pPr>
              <w:ind w:left="580"/>
              <w:spacing w:after="0"/>
              <w:rPr>
                <w:sz w:val="20"/>
                <w:szCs w:val="20"/>
                <w:color w:val="auto"/>
              </w:rPr>
            </w:pPr>
            <w:r>
              <w:rPr>
                <w:rFonts w:ascii="Arial" w:cs="Arial" w:eastAsia="Arial" w:hAnsi="Arial"/>
                <w:sz w:val="18"/>
                <w:szCs w:val="18"/>
                <w:color w:val="auto"/>
                <w:w w:val="97"/>
              </w:rPr>
              <w:t>2/17/2019</w:t>
            </w:r>
          </w:p>
        </w:tc>
        <w:tc>
          <w:tcPr>
            <w:tcW w:w="4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1,007(5)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78,476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2,249</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3,374(2)</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$73.03</w:t>
            </w:r>
          </w:p>
        </w:tc>
        <w:tc>
          <w:tcPr>
            <w:tcW w:w="1380" w:type="dxa"/>
            <w:vAlign w:val="bottom"/>
            <w:gridSpan w:val="3"/>
          </w:tcPr>
          <w:p>
            <w:pPr>
              <w:ind w:left="580"/>
              <w:spacing w:after="0"/>
              <w:rPr>
                <w:sz w:val="20"/>
                <w:szCs w:val="20"/>
                <w:color w:val="auto"/>
              </w:rPr>
            </w:pPr>
            <w:r>
              <w:rPr>
                <w:rFonts w:ascii="Arial" w:cs="Arial" w:eastAsia="Arial" w:hAnsi="Arial"/>
                <w:sz w:val="18"/>
                <w:szCs w:val="18"/>
                <w:color w:val="auto"/>
                <w:w w:val="97"/>
              </w:rPr>
              <w:t>2/10/2018</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16,099(1)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$1,254,595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2,953</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1,968(3)</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$92.30</w:t>
            </w:r>
          </w:p>
        </w:tc>
        <w:tc>
          <w:tcPr>
            <w:tcW w:w="1380" w:type="dxa"/>
            <w:vAlign w:val="bottom"/>
            <w:gridSpan w:val="3"/>
          </w:tcPr>
          <w:p>
            <w:pPr>
              <w:ind w:left="580"/>
              <w:spacing w:after="0"/>
              <w:rPr>
                <w:sz w:val="20"/>
                <w:szCs w:val="20"/>
                <w:color w:val="auto"/>
              </w:rPr>
            </w:pPr>
            <w:r>
              <w:rPr>
                <w:rFonts w:ascii="Arial" w:cs="Arial" w:eastAsia="Arial" w:hAnsi="Arial"/>
                <w:sz w:val="18"/>
                <w:szCs w:val="18"/>
                <w:color w:val="auto"/>
                <w:w w:val="97"/>
              </w:rPr>
              <w:t>2/12/2017</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1,125(3)</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$67.66</w:t>
            </w:r>
          </w:p>
        </w:tc>
        <w:tc>
          <w:tcPr>
            <w:tcW w:w="1380" w:type="dxa"/>
            <w:vAlign w:val="bottom"/>
            <w:gridSpan w:val="3"/>
          </w:tcPr>
          <w:p>
            <w:pPr>
              <w:ind w:left="580"/>
              <w:spacing w:after="0"/>
              <w:rPr>
                <w:sz w:val="20"/>
                <w:szCs w:val="20"/>
                <w:color w:val="auto"/>
              </w:rPr>
            </w:pPr>
            <w:r>
              <w:rPr>
                <w:rFonts w:ascii="Arial" w:cs="Arial" w:eastAsia="Arial" w:hAnsi="Arial"/>
                <w:sz w:val="18"/>
                <w:szCs w:val="18"/>
                <w:color w:val="auto"/>
                <w:w w:val="97"/>
              </w:rPr>
              <w:t>2/16/2016</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707(6)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311(6)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39,941(2)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$73.03</w:t>
            </w: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2/10/2018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6,562</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1,641(3)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$67.66</w:t>
            </w: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2/16/2016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$28.01</w:t>
            </w: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7"/>
              </w:rPr>
              <w:t>2/12/2013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20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4,687</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2,344(3)</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$67.66</w:t>
            </w:r>
          </w:p>
        </w:tc>
        <w:tc>
          <w:tcPr>
            <w:tcW w:w="1380" w:type="dxa"/>
            <w:vAlign w:val="bottom"/>
            <w:gridSpan w:val="3"/>
          </w:tcPr>
          <w:p>
            <w:pPr>
              <w:ind w:left="580"/>
              <w:spacing w:after="0"/>
              <w:rPr>
                <w:sz w:val="20"/>
                <w:szCs w:val="20"/>
                <w:color w:val="auto"/>
              </w:rPr>
            </w:pPr>
            <w:r>
              <w:rPr>
                <w:rFonts w:ascii="Arial" w:cs="Arial" w:eastAsia="Arial" w:hAnsi="Arial"/>
                <w:sz w:val="18"/>
                <w:szCs w:val="18"/>
                <w:color w:val="auto"/>
                <w:w w:val="97"/>
              </w:rPr>
              <w:t>2/16/2016</w:t>
            </w:r>
          </w:p>
        </w:tc>
        <w:tc>
          <w:tcPr>
            <w:tcW w:w="4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680(6)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52,992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4,210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$28.01</w:t>
            </w:r>
          </w:p>
        </w:tc>
        <w:tc>
          <w:tcPr>
            <w:tcW w:w="1380" w:type="dxa"/>
            <w:vAlign w:val="bottom"/>
            <w:gridSpan w:val="3"/>
          </w:tcPr>
          <w:p>
            <w:pPr>
              <w:ind w:left="580"/>
              <w:spacing w:after="0"/>
              <w:rPr>
                <w:sz w:val="20"/>
                <w:szCs w:val="20"/>
                <w:color w:val="auto"/>
              </w:rPr>
            </w:pPr>
            <w:r>
              <w:rPr>
                <w:rFonts w:ascii="Arial" w:cs="Arial" w:eastAsia="Arial" w:hAnsi="Arial"/>
                <w:sz w:val="18"/>
                <w:szCs w:val="18"/>
                <w:color w:val="auto"/>
                <w:w w:val="97"/>
              </w:rPr>
              <w:t>2/12/2013</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483(6)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13,001(7)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$1,013,168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ind w:right="36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options and Shares were issued on February 17, 2009 under the LTIAP for 2008. For Mr. Wood the options vest equally over 5 years and the Shares vest equally over 3 years. One-fifth of these options and one-third of these Shares vested on each of February 17, 2010 and 2011 with the remaining three-fifths of the options scheduled to vest on each of February 17, 2012, 2013 and 2014 and the remaining one-third of the Shares scheduled to vest on February 17, 2012. For Mr. Blocher, the options and Shares vest over 5 years with no vesting for the first two years. One-third of the options and Shares are scheduled to vest on each of February 17, 2012, 2013 and 2014.</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options and Shares were issued on February 10, 2008 under the LTIAP for 2007. For Mr. Wood the options and Shares vest equally over 4 years. One-fourth of these options and Shares vested on each of February 10, 2009, 2010 and 2011 with the remaining one-fourth of these options and Shares scheduled to vest on February 10, 2012. For Mr. Blocher the options vest equally over 5 years and the Shares vest equally over 3 years. One-fifth of these options vested on each of February 10, 2009, 2010 and 2011 with the remaining two-fifths of the options scheduled to vest on each of February 10, 2012 and 2013. One-third of these Shares vested on each of February 10, 2009, 2010 and 2011. For Ms. Becker the options and Shares vest over 5 years with no vesting for the first two years. One-third of these options and Shares vested on February 10, 2011 with the remaining two-thirds of these options and Shares scheduled to vest on each of February 10, 2012 and 2013.</w:t>
      </w:r>
    </w:p>
    <w:p>
      <w:pPr>
        <w:spacing w:after="0" w:line="4"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options were issued under our LTIAP and vest equally over 5 years. One-fifth of the options granted on February 12, 2007 under the LTIAP for 2006 vested on each of February 12, 2008, 2009, 2010 and 2011 with the remaining one-fifth of the options scheduled to vest on February 12, 2012. One-fifth of the options granted on February 16, 2006 under the LTIAP for 2005 vested on each of February 16, 2007, 2008, 2009, 2010 and 2011.</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Shares were issued on October 12, 2010 in exchange for a non-compete and non-solicitation agreement and vest on October 12, 2015.</w:t>
      </w:r>
    </w:p>
    <w:p>
      <w:pPr>
        <w:spacing w:after="0" w:line="32"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Shares were issued on February 16, 2010 under the LTIAP for 2009 and vest equally over 3 years. One-third of these Shares vested on February 16, 2011 with the remaining two-thirds of the Shares scheduled to vest on each of February 17, 2012 and 2013.</w:t>
      </w: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Shares were issued under our Annual Bonus Plan and vest equally over 3 years. One-third of the Shares issued to each of our named executive officers on February 16, 2010 under the 2009 Annual Bonus Plan vested on February 16, 2011 with the remaining two-thirds of the Shares scheduled to vest on each of February 16, 2012 and 2013. Two-thirds of the Shares issued to each of our named executive officers on February 17, 2009 under the 2008 Annual Bonus Plan vested on each of February 17, 2010 and 2011 with the remaining one-third of the Shares scheduled to vest on February 17, 2012. All of the Shares issued to each of our named executive officers on February 10, 2008 under the 2007 Annual Bonus Plan vested on each of February 10, 2009, 2010 and 2011.</w:t>
      </w:r>
    </w:p>
    <w:p>
      <w:pPr>
        <w:spacing w:after="0" w:line="2"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Shares vest equally over 5 years. Four-fifths of these Shares vested on February 16, 2008, 2009, 2010 and 2011 with the remaining one-fifth of these Shares scheduled to vest on February 16, 2012.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2010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96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88"/>
              </w:rPr>
              <w:t>Option Awards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92"/>
              </w:rPr>
              <w:t>Stock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5"/>
              </w:rPr>
              <w:t>Value</w:t>
            </w: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r>
      <w:tr>
        <w:trPr>
          <w:trHeight w:val="149"/>
        </w:trPr>
        <w:tc>
          <w:tcPr>
            <w:tcW w:w="3640" w:type="dxa"/>
            <w:vAlign w:val="bottom"/>
          </w:tcPr>
          <w:p>
            <w:pPr>
              <w:spacing w:after="0"/>
              <w:rPr>
                <w:sz w:val="12"/>
                <w:szCs w:val="12"/>
                <w:color w:val="auto"/>
              </w:rPr>
            </w:pPr>
          </w:p>
        </w:tc>
        <w:tc>
          <w:tcPr>
            <w:tcW w:w="19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Realized</w:t>
            </w:r>
          </w:p>
        </w:tc>
        <w:tc>
          <w:tcPr>
            <w:tcW w:w="1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61"/>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4"/>
                <w:szCs w:val="14"/>
                <w:b w:val="1"/>
                <w:bCs w:val="1"/>
                <w:color w:val="auto"/>
                <w:w w:val="86"/>
              </w:rPr>
              <w:t>Acquired on Exercise</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1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Acquired on Vesting</w:t>
            </w: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3"/>
              </w:rPr>
              <w:t>on Vesting</w:t>
            </w:r>
          </w:p>
        </w:tc>
      </w:tr>
      <w:tr>
        <w:trPr>
          <w:trHeight w:val="142"/>
        </w:trPr>
        <w:tc>
          <w:tcPr>
            <w:tcW w:w="364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93"/>
              </w:rPr>
              <w:t>($)</w:t>
            </w:r>
          </w:p>
        </w:tc>
        <w:tc>
          <w:tcPr>
            <w:tcW w:w="134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1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2,646,477</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29,092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1,886,093</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Andrew P. Blocher</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65,501</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125,214</w:t>
            </w:r>
          </w:p>
        </w:tc>
        <w:tc>
          <w:tcPr>
            <w:tcW w:w="100" w:type="dxa"/>
            <w:vAlign w:val="bottom"/>
            <w:shd w:val="clear" w:color="auto" w:fill="CCEEFF"/>
          </w:tcPr>
          <w:p>
            <w:pPr>
              <w:spacing w:after="0"/>
              <w:rPr>
                <w:sz w:val="18"/>
                <w:szCs w:val="18"/>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Jeffrey S. Berkes</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7,223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465,852</w:t>
            </w:r>
          </w:p>
        </w:tc>
        <w:tc>
          <w:tcPr>
            <w:tcW w:w="100" w:type="dxa"/>
            <w:vAlign w:val="bottom"/>
          </w:tcPr>
          <w:p>
            <w:pPr>
              <w:spacing w:after="0"/>
              <w:rPr>
                <w:sz w:val="19"/>
                <w:szCs w:val="19"/>
                <w:color w:val="auto"/>
              </w:rPr>
            </w:pPr>
          </w:p>
        </w:tc>
      </w:tr>
      <w:tr>
        <w:trPr>
          <w:trHeight w:val="356"/>
        </w:trPr>
        <w:tc>
          <w:tcPr>
            <w:tcW w:w="3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NON-QUALIFIED DEFERRED COMPENSATION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23 members of our senior management team, including our named executive officers. Each participant can elect to defer up to 100% of his or her base salary and cash payment under our Annual Bonus Plan with deferral elections made in December of each year for amounts to be paid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Blocher and Mr. Wood into the plan in 2010 and earnings on plan investments in 2010 are described below. Mr. Berkes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85"/>
              </w:rPr>
              <w:t>Executive</w:t>
            </w:r>
          </w:p>
        </w:tc>
        <w:tc>
          <w:tcPr>
            <w:tcW w:w="162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Registrant</w:t>
            </w: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0" w:type="dxa"/>
            <w:vAlign w:val="bottom"/>
            <w:gridSpan w:val="2"/>
          </w:tcPr>
          <w:p>
            <w:pPr>
              <w:ind w:left="1260"/>
              <w:spacing w:after="0" w:line="149" w:lineRule="exact"/>
              <w:rPr>
                <w:sz w:val="20"/>
                <w:szCs w:val="20"/>
                <w:color w:val="auto"/>
              </w:rPr>
            </w:pPr>
            <w:r>
              <w:rPr>
                <w:rFonts w:ascii="Arial" w:cs="Arial" w:eastAsia="Arial" w:hAnsi="Arial"/>
                <w:sz w:val="14"/>
                <w:szCs w:val="14"/>
                <w:b w:val="1"/>
                <w:bCs w:val="1"/>
                <w:color w:val="auto"/>
              </w:rPr>
              <w:t>Contributions</w:t>
            </w:r>
          </w:p>
        </w:tc>
        <w:tc>
          <w:tcPr>
            <w:tcW w:w="16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Contributions</w:t>
            </w:r>
          </w:p>
        </w:tc>
        <w:tc>
          <w:tcPr>
            <w:tcW w:w="580" w:type="dxa"/>
            <w:vAlign w:val="bottom"/>
          </w:tcPr>
          <w:p>
            <w:pPr>
              <w:spacing w:after="0"/>
              <w:rPr>
                <w:sz w:val="12"/>
                <w:szCs w:val="12"/>
                <w:color w:val="auto"/>
              </w:rPr>
            </w:pPr>
          </w:p>
        </w:tc>
        <w:tc>
          <w:tcPr>
            <w:tcW w:w="1060" w:type="dxa"/>
            <w:vAlign w:val="bottom"/>
          </w:tcPr>
          <w:p>
            <w:pPr>
              <w:jc w:val="center"/>
              <w:ind w:right="504"/>
              <w:spacing w:after="0" w:line="149" w:lineRule="exact"/>
              <w:rPr>
                <w:sz w:val="20"/>
                <w:szCs w:val="20"/>
                <w:color w:val="auto"/>
              </w:rPr>
            </w:pPr>
            <w:r>
              <w:rPr>
                <w:rFonts w:ascii="Arial" w:cs="Arial" w:eastAsia="Arial" w:hAnsi="Arial"/>
                <w:sz w:val="14"/>
                <w:szCs w:val="14"/>
                <w:b w:val="1"/>
                <w:bCs w:val="1"/>
                <w:color w:val="auto"/>
                <w:w w:val="88"/>
              </w:rPr>
              <w:t>in Last</w:t>
            </w:r>
          </w:p>
        </w:tc>
        <w:tc>
          <w:tcPr>
            <w:tcW w:w="178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0" w:type="dxa"/>
            <w:vAlign w:val="bottom"/>
            <w:gridSpan w:val="2"/>
          </w:tcPr>
          <w:p>
            <w:pPr>
              <w:ind w:left="1260"/>
              <w:spacing w:after="0" w:line="149" w:lineRule="exact"/>
              <w:rPr>
                <w:sz w:val="20"/>
                <w:szCs w:val="20"/>
                <w:color w:val="auto"/>
              </w:rPr>
            </w:pPr>
            <w:r>
              <w:rPr>
                <w:rFonts w:ascii="Arial" w:cs="Arial" w:eastAsia="Arial" w:hAnsi="Arial"/>
                <w:sz w:val="14"/>
                <w:szCs w:val="14"/>
                <w:b w:val="1"/>
                <w:bCs w:val="1"/>
                <w:color w:val="auto"/>
              </w:rPr>
              <w:t>in Last Fiscal</w:t>
            </w:r>
          </w:p>
        </w:tc>
        <w:tc>
          <w:tcPr>
            <w:tcW w:w="16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in Last Fiscal</w:t>
            </w:r>
          </w:p>
        </w:tc>
        <w:tc>
          <w:tcPr>
            <w:tcW w:w="580" w:type="dxa"/>
            <w:vAlign w:val="bottom"/>
          </w:tcPr>
          <w:p>
            <w:pPr>
              <w:spacing w:after="0"/>
              <w:rPr>
                <w:sz w:val="12"/>
                <w:szCs w:val="12"/>
                <w:color w:val="auto"/>
              </w:rPr>
            </w:pPr>
          </w:p>
        </w:tc>
        <w:tc>
          <w:tcPr>
            <w:tcW w:w="1060" w:type="dxa"/>
            <w:vAlign w:val="bottom"/>
          </w:tcPr>
          <w:p>
            <w:pPr>
              <w:jc w:val="center"/>
              <w:ind w:right="524"/>
              <w:spacing w:after="0" w:line="149" w:lineRule="exact"/>
              <w:rPr>
                <w:sz w:val="20"/>
                <w:szCs w:val="20"/>
                <w:color w:val="auto"/>
              </w:rPr>
            </w:pPr>
            <w:r>
              <w:rPr>
                <w:rFonts w:ascii="Arial" w:cs="Arial" w:eastAsia="Arial" w:hAnsi="Arial"/>
                <w:sz w:val="14"/>
                <w:szCs w:val="14"/>
                <w:b w:val="1"/>
                <w:bCs w:val="1"/>
                <w:color w:val="auto"/>
                <w:w w:val="85"/>
              </w:rPr>
              <w:t>Fiscal</w:t>
            </w:r>
          </w:p>
        </w:tc>
        <w:tc>
          <w:tcPr>
            <w:tcW w:w="178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Withdrawals /</w:t>
            </w:r>
          </w:p>
        </w:tc>
        <w:tc>
          <w:tcPr>
            <w:tcW w:w="1380" w:type="dxa"/>
            <w:vAlign w:val="bottom"/>
            <w:gridSpan w:val="2"/>
          </w:tcPr>
          <w:p>
            <w:pPr>
              <w:jc w:val="center"/>
              <w:ind w:left="317"/>
              <w:spacing w:after="0" w:line="149" w:lineRule="exact"/>
              <w:rPr>
                <w:sz w:val="20"/>
                <w:szCs w:val="20"/>
                <w:color w:val="auto"/>
              </w:rPr>
            </w:pPr>
            <w:r>
              <w:rPr>
                <w:rFonts w:ascii="Arial" w:cs="Arial" w:eastAsia="Arial" w:hAnsi="Arial"/>
                <w:sz w:val="14"/>
                <w:szCs w:val="14"/>
                <w:b w:val="1"/>
                <w:bCs w:val="1"/>
                <w:color w:val="auto"/>
                <w:w w:val="85"/>
              </w:rPr>
              <w:t>Last Fiscal</w:t>
            </w:r>
          </w:p>
        </w:tc>
      </w:tr>
      <w:tr>
        <w:trPr>
          <w:trHeight w:val="175"/>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spacing w:after="0"/>
              <w:rPr>
                <w:sz w:val="15"/>
                <w:szCs w:val="15"/>
                <w:color w:val="auto"/>
              </w:rPr>
            </w:pPr>
          </w:p>
        </w:tc>
        <w:tc>
          <w:tcPr>
            <w:tcW w:w="1040" w:type="dxa"/>
            <w:vAlign w:val="bottom"/>
          </w:tcPr>
          <w:p>
            <w:pPr>
              <w:jc w:val="center"/>
              <w:ind w:right="362"/>
              <w:spacing w:after="0"/>
              <w:rPr>
                <w:sz w:val="20"/>
                <w:szCs w:val="20"/>
                <w:color w:val="auto"/>
              </w:rPr>
            </w:pPr>
            <w:r>
              <w:rPr>
                <w:rFonts w:ascii="Arial" w:cs="Arial" w:eastAsia="Arial" w:hAnsi="Arial"/>
                <w:sz w:val="14"/>
                <w:szCs w:val="14"/>
                <w:b w:val="1"/>
                <w:bCs w:val="1"/>
                <w:color w:val="auto"/>
                <w:w w:val="92"/>
              </w:rPr>
              <w:t>Year</w:t>
            </w:r>
          </w:p>
        </w:tc>
        <w:tc>
          <w:tcPr>
            <w:tcW w:w="1620" w:type="dxa"/>
            <w:vAlign w:val="bottom"/>
            <w:gridSpan w:val="2"/>
          </w:tcPr>
          <w:p>
            <w:pPr>
              <w:ind w:left="60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5"/>
                <w:szCs w:val="15"/>
                <w:color w:val="auto"/>
              </w:rPr>
            </w:pPr>
          </w:p>
        </w:tc>
        <w:tc>
          <w:tcPr>
            <w:tcW w:w="1060" w:type="dxa"/>
            <w:vAlign w:val="bottom"/>
          </w:tcPr>
          <w:p>
            <w:pPr>
              <w:jc w:val="center"/>
              <w:ind w:right="504"/>
              <w:spacing w:after="0"/>
              <w:rPr>
                <w:sz w:val="20"/>
                <w:szCs w:val="20"/>
                <w:color w:val="auto"/>
              </w:rPr>
            </w:pPr>
            <w:r>
              <w:rPr>
                <w:rFonts w:ascii="Arial" w:cs="Arial" w:eastAsia="Arial" w:hAnsi="Arial"/>
                <w:sz w:val="14"/>
                <w:szCs w:val="14"/>
                <w:b w:val="1"/>
                <w:bCs w:val="1"/>
                <w:color w:val="auto"/>
                <w:w w:val="92"/>
              </w:rPr>
              <w:t>Year</w:t>
            </w:r>
          </w:p>
        </w:tc>
        <w:tc>
          <w:tcPr>
            <w:tcW w:w="1780" w:type="dxa"/>
            <w:vAlign w:val="bottom"/>
            <w:gridSpan w:val="2"/>
          </w:tcPr>
          <w:p>
            <w:pPr>
              <w:ind w:left="500"/>
              <w:spacing w:after="0"/>
              <w:rPr>
                <w:sz w:val="20"/>
                <w:szCs w:val="20"/>
                <w:color w:val="auto"/>
              </w:rPr>
            </w:pPr>
            <w:r>
              <w:rPr>
                <w:rFonts w:ascii="Arial" w:cs="Arial" w:eastAsia="Arial" w:hAnsi="Arial"/>
                <w:sz w:val="14"/>
                <w:szCs w:val="14"/>
                <w:b w:val="1"/>
                <w:bCs w:val="1"/>
                <w:color w:val="auto"/>
              </w:rPr>
              <w:t>Distributions</w:t>
            </w:r>
          </w:p>
        </w:tc>
        <w:tc>
          <w:tcPr>
            <w:tcW w:w="580" w:type="dxa"/>
            <w:vAlign w:val="bottom"/>
          </w:tcPr>
          <w:p>
            <w:pPr>
              <w:spacing w:after="0"/>
              <w:rPr>
                <w:sz w:val="15"/>
                <w:szCs w:val="15"/>
                <w:color w:val="auto"/>
              </w:rPr>
            </w:pPr>
          </w:p>
        </w:tc>
        <w:tc>
          <w:tcPr>
            <w:tcW w:w="800" w:type="dxa"/>
            <w:vAlign w:val="bottom"/>
          </w:tcPr>
          <w:p>
            <w:pPr>
              <w:jc w:val="center"/>
              <w:ind w:right="104"/>
              <w:spacing w:after="0"/>
              <w:rPr>
                <w:sz w:val="20"/>
                <w:szCs w:val="20"/>
                <w:color w:val="auto"/>
              </w:rPr>
            </w:pPr>
            <w:r>
              <w:rPr>
                <w:rFonts w:ascii="Arial" w:cs="Arial" w:eastAsia="Arial" w:hAnsi="Arial"/>
                <w:sz w:val="14"/>
                <w:szCs w:val="14"/>
                <w:b w:val="1"/>
                <w:bCs w:val="1"/>
                <w:color w:val="auto"/>
                <w:w w:val="87"/>
              </w:rPr>
              <w:t>Year-End</w:t>
            </w:r>
          </w:p>
        </w:tc>
      </w:tr>
      <w:tr>
        <w:trPr>
          <w:trHeight w:val="237"/>
        </w:trPr>
        <w:tc>
          <w:tcPr>
            <w:tcW w:w="20" w:type="dxa"/>
            <w:vAlign w:val="bottom"/>
          </w:tcPr>
          <w:p>
            <w:pPr>
              <w:spacing w:after="0"/>
              <w:rPr>
                <w:sz w:val="20"/>
                <w:szCs w:val="20"/>
                <w:color w:val="auto"/>
              </w:rPr>
            </w:pPr>
          </w:p>
        </w:tc>
        <w:tc>
          <w:tcPr>
            <w:tcW w:w="25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3"/>
              </w:rPr>
              <w:t>($)</w:t>
            </w:r>
          </w:p>
        </w:tc>
        <w:tc>
          <w:tcPr>
            <w:tcW w:w="7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b w:val="1"/>
                <w:bCs w:val="1"/>
                <w:color w:val="auto"/>
                <w:w w:val="79"/>
              </w:rPr>
              <w:t>($</w:t>
            </w:r>
          </w:p>
        </w:tc>
        <w:tc>
          <w:tcPr>
            <w:tcW w:w="86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8"/>
                <w:szCs w:val="8"/>
                <w:b w:val="1"/>
                <w:bCs w:val="1"/>
                <w:color w:val="auto"/>
                <w:w w:val="73"/>
              </w:rPr>
              <w:t>)</w:t>
            </w:r>
          </w:p>
        </w:tc>
        <w:tc>
          <w:tcPr>
            <w:tcW w:w="5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center"/>
              <w:ind w:right="504"/>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w w:val="79"/>
              </w:rPr>
              <w:t>($</w:t>
            </w:r>
          </w:p>
        </w:tc>
        <w:tc>
          <w:tcPr>
            <w:tcW w:w="86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8"/>
                <w:szCs w:val="8"/>
                <w:b w:val="1"/>
                <w:bCs w:val="1"/>
                <w:color w:val="auto"/>
                <w:w w:val="73"/>
              </w:rPr>
              <w:t>)</w:t>
            </w:r>
          </w:p>
        </w:tc>
        <w:tc>
          <w:tcPr>
            <w:tcW w:w="5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3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150,000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04"/>
              <w:spacing w:after="0"/>
              <w:rPr>
                <w:sz w:val="20"/>
                <w:szCs w:val="20"/>
                <w:color w:val="auto"/>
              </w:rPr>
            </w:pPr>
            <w:r>
              <w:rPr>
                <w:rFonts w:ascii="Arial" w:cs="Arial" w:eastAsia="Arial" w:hAnsi="Arial"/>
                <w:sz w:val="18"/>
                <w:szCs w:val="18"/>
                <w:color w:val="auto"/>
                <w:w w:val="86"/>
              </w:rPr>
              <w:t>223,488</w:t>
            </w:r>
          </w:p>
        </w:tc>
        <w:tc>
          <w:tcPr>
            <w:tcW w:w="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4"/>
              </w:rPr>
              <w:t>1,996,640</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Andrew P. Blocher</w:t>
            </w:r>
          </w:p>
        </w:tc>
        <w:tc>
          <w:tcPr>
            <w:tcW w:w="136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62"/>
              <w:spacing w:after="0"/>
              <w:rPr>
                <w:sz w:val="20"/>
                <w:szCs w:val="20"/>
                <w:color w:val="auto"/>
              </w:rPr>
            </w:pPr>
            <w:r>
              <w:rPr>
                <w:rFonts w:ascii="Arial" w:cs="Arial" w:eastAsia="Arial" w:hAnsi="Arial"/>
                <w:sz w:val="18"/>
                <w:szCs w:val="18"/>
                <w:color w:val="auto"/>
              </w:rPr>
              <w:t>13,000</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04"/>
              <w:spacing w:after="0"/>
              <w:rPr>
                <w:sz w:val="20"/>
                <w:szCs w:val="20"/>
                <w:color w:val="auto"/>
              </w:rPr>
            </w:pPr>
            <w:r>
              <w:rPr>
                <w:rFonts w:ascii="Arial" w:cs="Arial" w:eastAsia="Arial" w:hAnsi="Arial"/>
                <w:sz w:val="18"/>
                <w:szCs w:val="18"/>
                <w:color w:val="auto"/>
              </w:rPr>
              <w:t>13,331</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4"/>
              <w:spacing w:after="0"/>
              <w:rPr>
                <w:sz w:val="20"/>
                <w:szCs w:val="20"/>
                <w:color w:val="auto"/>
              </w:rPr>
            </w:pPr>
            <w:r>
              <w:rPr>
                <w:rFonts w:ascii="Arial" w:cs="Arial" w:eastAsia="Arial" w:hAnsi="Arial"/>
                <w:sz w:val="18"/>
                <w:szCs w:val="18"/>
                <w:color w:val="auto"/>
              </w:rPr>
              <w:t>101,750</w:t>
            </w: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3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40,038</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04"/>
              <w:spacing w:after="0"/>
              <w:rPr>
                <w:sz w:val="20"/>
                <w:szCs w:val="20"/>
                <w:color w:val="auto"/>
              </w:rPr>
            </w:pPr>
            <w:r>
              <w:rPr>
                <w:rFonts w:ascii="Arial" w:cs="Arial" w:eastAsia="Arial" w:hAnsi="Arial"/>
                <w:sz w:val="18"/>
                <w:szCs w:val="18"/>
                <w:color w:val="auto"/>
              </w:rPr>
              <w:t>64,566</w:t>
            </w:r>
          </w:p>
        </w:tc>
        <w:tc>
          <w:tcPr>
            <w:tcW w:w="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562,285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right="20" w:firstLine="464"/>
        <w:spacing w:after="0" w:line="256" w:lineRule="auto"/>
        <w:tabs>
          <w:tab w:leader="none" w:pos="632"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64"/>
        <w:spacing w:after="0" w:line="254" w:lineRule="auto"/>
        <w:tabs>
          <w:tab w:leader="none" w:pos="632"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Retirement: </w:t>
      </w:r>
      <w:r>
        <w:rPr>
          <w:rFonts w:ascii="Arial" w:cs="Arial" w:eastAsia="Arial" w:hAnsi="Arial"/>
          <w:sz w:val="18"/>
          <w:szCs w:val="18"/>
          <w:color w:val="auto"/>
        </w:rPr>
        <w:t>Upon retirement, our named executive officers receive no additional compensation. Although some of our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under our Annual Bonus Plan and our LTIAP provide for full or partial acceleration of the vesting of these Shares on retirement beginning at age 58, these provisions are not applicable to our named executive officers because all such Shares issued will have vested prior to any of our named executive officers reaching the age of 58. Each named executive officer has two years after retirement to exercise all vested options (subject to the 10-year term of those options), including options that vested as a result of retirement. In addition, Mr. Wood will receive the benefits described in his Health Coverage Continuation Agreement.</w:t>
      </w:r>
    </w:p>
    <w:p>
      <w:pPr>
        <w:spacing w:after="0" w:line="144" w:lineRule="exact"/>
        <w:rPr>
          <w:rFonts w:ascii="Arial" w:cs="Arial" w:eastAsia="Arial" w:hAnsi="Arial"/>
          <w:sz w:val="18"/>
          <w:szCs w:val="18"/>
          <w:i w:val="1"/>
          <w:iCs w:val="1"/>
          <w:color w:val="auto"/>
        </w:rPr>
      </w:pPr>
    </w:p>
    <w:p>
      <w:pPr>
        <w:ind w:firstLine="464"/>
        <w:spacing w:after="0" w:line="289" w:lineRule="auto"/>
        <w:tabs>
          <w:tab w:leader="none" w:pos="632" w:val="left"/>
        </w:tabs>
        <w:numPr>
          <w:ilvl w:val="1"/>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8" w:lineRule="exact"/>
        <w:rPr>
          <w:rFonts w:ascii="Arial" w:cs="Arial" w:eastAsia="Arial" w:hAnsi="Arial"/>
          <w:sz w:val="16"/>
          <w:szCs w:val="16"/>
          <w:i w:val="1"/>
          <w:iCs w:val="1"/>
          <w:color w:val="auto"/>
        </w:rPr>
      </w:pPr>
    </w:p>
    <w:p>
      <w:pPr>
        <w:ind w:right="80" w:firstLine="464"/>
        <w:spacing w:after="0" w:line="290" w:lineRule="auto"/>
        <w:tabs>
          <w:tab w:leader="none" w:pos="632" w:val="left"/>
        </w:tabs>
        <w:numPr>
          <w:ilvl w:val="1"/>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any unvested Shares issued under the Annual Bonus Plan and unvested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18" w:lineRule="exact"/>
        <w:rPr>
          <w:rFonts w:ascii="Arial" w:cs="Arial" w:eastAsia="Arial" w:hAnsi="Arial"/>
          <w:sz w:val="16"/>
          <w:szCs w:val="16"/>
          <w:i w:val="1"/>
          <w:iCs w:val="1"/>
          <w:color w:val="auto"/>
        </w:rPr>
      </w:pPr>
    </w:p>
    <w:p>
      <w:pPr>
        <w:ind w:left="640" w:hanging="176"/>
        <w:spacing w:after="0"/>
        <w:tabs>
          <w:tab w:leader="none" w:pos="640"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1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Messrs. Berkes and Blocher,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Notwithstanding the foregoing, the award made to Mr. Blocher under the LTIAP in 2009 only provides for accelerated vesting on a termination without cause if Mr. Wood is not our Chief Executive Officer at the time of such termination.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84" w:lineRule="auto"/>
        <w:tabs>
          <w:tab w:leader="none" w:pos="632" w:val="left"/>
        </w:tabs>
        <w:numPr>
          <w:ilvl w:val="1"/>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each named executive officer is entitled to receive the following payments so long as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or leaves for good reason within a specified time frame after the change of control or voluntarily leaves employment within the thirty day window following the 1-year anniversary of the change of control. The specified time frame is two years for Ms. Becker, Mr. Berkes and Mr. Wood and</w:t>
      </w:r>
    </w:p>
    <w:p>
      <w:pPr>
        <w:spacing w:after="0" w:line="1"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18 months for Mr. Blocher:</w:t>
      </w:r>
    </w:p>
    <w:p>
      <w:pPr>
        <w:spacing w:after="0" w:line="83" w:lineRule="exact"/>
        <w:rPr>
          <w:rFonts w:ascii="Arial" w:cs="Arial" w:eastAsia="Arial" w:hAnsi="Arial"/>
          <w:sz w:val="16"/>
          <w:szCs w:val="16"/>
          <w:i w:val="1"/>
          <w:iCs w:val="1"/>
          <w:color w:val="auto"/>
        </w:rPr>
      </w:pPr>
    </w:p>
    <w:p>
      <w:pPr>
        <w:ind w:left="900" w:right="1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highest annual cash bonus earned by the named executive officer in the prior three year period. For Ms. Becker and Mr. Berkes the multiple is 2 times, for Mr. Blocher the multiple is 1.5 times and for Mr. Wood, the multiple is 3 times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Berkes, 18 months for Mr. Blocher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2010 and therefore, includes all amounts earned to that date as well as an estimate of amounts that would be payable upon the termination.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Medical</w:t>
            </w:r>
          </w:p>
        </w:tc>
        <w:tc>
          <w:tcPr>
            <w:tcW w:w="300" w:type="dxa"/>
            <w:vAlign w:val="bottom"/>
          </w:tcPr>
          <w:p>
            <w:pPr>
              <w:spacing w:after="0"/>
              <w:rPr>
                <w:sz w:val="14"/>
                <w:szCs w:val="14"/>
                <w:color w:val="auto"/>
              </w:rPr>
            </w:pPr>
          </w:p>
        </w:tc>
        <w:tc>
          <w:tcPr>
            <w:tcW w:w="1060" w:type="dxa"/>
            <w:vAlign w:val="bottom"/>
          </w:tcPr>
          <w:p>
            <w:pPr>
              <w:jc w:val="right"/>
              <w:ind w:right="254"/>
              <w:spacing w:after="0"/>
              <w:rPr>
                <w:sz w:val="20"/>
                <w:szCs w:val="20"/>
                <w:color w:val="auto"/>
              </w:rPr>
            </w:pPr>
            <w:r>
              <w:rPr>
                <w:rFonts w:ascii="Arial" w:cs="Arial" w:eastAsia="Arial" w:hAnsi="Arial"/>
                <w:sz w:val="14"/>
                <w:szCs w:val="14"/>
                <w:b w:val="1"/>
                <w:bCs w:val="1"/>
                <w:color w:val="auto"/>
                <w:w w:val="88"/>
              </w:rPr>
              <w:t>Accelerated</w:t>
            </w:r>
          </w:p>
        </w:tc>
        <w:tc>
          <w:tcPr>
            <w:tcW w:w="320" w:type="dxa"/>
            <w:vAlign w:val="bottom"/>
          </w:tcPr>
          <w:p>
            <w:pPr>
              <w:spacing w:after="0"/>
              <w:rPr>
                <w:sz w:val="14"/>
                <w:szCs w:val="14"/>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Excise Tax</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5"/>
              </w:rPr>
              <w:t>Payment</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8"/>
              </w:rPr>
              <w:t>Benefits(1)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Equity(2)</w:t>
            </w:r>
          </w:p>
        </w:tc>
        <w:tc>
          <w:tcPr>
            <w:tcW w:w="11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Benefits(3)</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Gross-Up</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Wood</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Death</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790,000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11,681,039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12,471,039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1,013,855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1,022,033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11,681,039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13,716,927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TWOC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w w:val="94"/>
              </w:rPr>
              <w:t>3,378,750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99"/>
              </w:rPr>
              <w:t>1,050,275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11,681,039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51,846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16,161,910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13,517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CIC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w w:val="94"/>
              </w:rPr>
              <w:t>6,757,500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99"/>
              </w:rPr>
              <w:t>1,111,100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11,681,039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103,691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w w:val="95"/>
              </w:rPr>
              <w:t>19,653,330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Blocher</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Death</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1,240,341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1,240,341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117,359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21,490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1,240,341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TWOC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547,500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16,118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240,357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34,729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838,704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8,954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133,954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CIC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821,250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32,235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1,240,341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34,729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2,128,555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Becker</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Death</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1,547,253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1,547,253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280,359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12,314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1,547,253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TWOC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730,000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9,235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1,547,253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46,280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2,332,768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206,157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CIC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w w:val="94"/>
              </w:rPr>
              <w:t>1,460,000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24,628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1,547,253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69,420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3,101,301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Berkes</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Death</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1,305,004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1,305,004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261,473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23,706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1,305,004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1,590,183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TWOC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581,250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17,780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1,305,004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47,336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1,951,370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156,250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9,878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166,128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CIC</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w w:val="94"/>
              </w:rPr>
              <w:t>1,162,500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47,413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1,305,004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71,003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2,585,920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83"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2010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$790,000 in the event of death; $995,000 in the event of disability; and $1,030,000 in the event of termination without cause and change in control.</w:t>
      </w:r>
    </w:p>
    <w:p>
      <w:pPr>
        <w:ind w:left="460" w:right="120" w:hanging="452"/>
        <w:spacing w:after="0" w:line="323"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2010 by the value for each Share and option determined in accordance with the FASB ASC Topic 718.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right="60" w:hanging="452"/>
        <w:spacing w:after="0" w:line="28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in the amount of $88,691, $77,560, $79,670 and $54,457 for Mr. Wood, Ms. Becker, Mr. Berkes and Mr. Blocher, respectively. These amounts are based on current personnel costs for executive administrative assistants and assume that each individual has full time use of an assistant; and (b) annual outplacement costs of $15,000 based on a current estimate of these costs. There are no additional incremental costs to us for continuing to provide these individuals with office space, e-mail capability or a telephone.</w:t>
      </w:r>
    </w:p>
    <w:p>
      <w:pPr>
        <w:spacing w:after="0" w:line="2" w:lineRule="exact"/>
        <w:rPr>
          <w:rFonts w:ascii="Arial" w:cs="Arial" w:eastAsia="Arial" w:hAnsi="Arial"/>
          <w:sz w:val="16"/>
          <w:szCs w:val="16"/>
          <w:color w:val="auto"/>
        </w:rPr>
      </w:pPr>
    </w:p>
    <w:p>
      <w:pPr>
        <w:ind w:left="460" w:right="480" w:hanging="452"/>
        <w:spacing w:after="0" w:line="30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cash severance payment includes an incremental payment of $622,000 plus $391,855 as a tax gross-up for Mr. Wood, an incremental payment of $72,000 plus $45,359 as a tax gross-up for Mr. Blocher, an incremental payment of $172,000 plus $108,359 as a tax gross-up for Ms. Becker and an incremental payment of $147,000 plus $114,473 as a tax gross-up for Mr. Berkes.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COMPENSATION OF THE NAMED EXECUTIVE OFFICERS</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proposal will be presented at the Annual Meeting asking shareholders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compensation philosophy is designed to attract and retain top level real estate professionals and to motivate those professionals to achieve superior results for us and our shareholders. Our compensation packages include base salaries, annual incentive compensation, long-term incentives and various other benefits and perquisites. We believe our compensation programs and policies are appropriate and effective in implementing our compensation philosophy and in achieving our goals and that they are aligned with the interests of our shareholders. In considering whether to approve this proposal, we believe our shareholders should consider the following:</w:t>
      </w:r>
    </w:p>
    <w:p>
      <w:pPr>
        <w:spacing w:after="0" w:line="143" w:lineRule="exact"/>
        <w:rPr>
          <w:sz w:val="20"/>
          <w:szCs w:val="20"/>
          <w:color w:val="auto"/>
        </w:rPr>
      </w:pPr>
    </w:p>
    <w:p>
      <w:pPr>
        <w:ind w:right="160" w:firstLine="464"/>
        <w:spacing w:after="0" w:line="259"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consists of a 3-year performance period plus a 3-year vesting period.</w:t>
      </w:r>
    </w:p>
    <w:p>
      <w:pPr>
        <w:spacing w:after="0" w:line="140" w:lineRule="exact"/>
        <w:rPr>
          <w:rFonts w:ascii="Arial" w:cs="Arial" w:eastAsia="Arial" w:hAnsi="Arial"/>
          <w:sz w:val="18"/>
          <w:szCs w:val="18"/>
          <w:color w:val="auto"/>
        </w:rPr>
      </w:pPr>
    </w:p>
    <w:p>
      <w:pPr>
        <w:ind w:right="300" w:firstLine="464"/>
        <w:spacing w:after="0" w:line="306"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compensation of our named executive officers is strongly tied to our performance and to the performance of the individual. The annual incentive compensation is only paid if we achieve our annual FFO objective with payment over the past three years being made from 50-110% of target and long-term incentives are earned on the basis of our absolute and relative shareholders returns as well as our return on invested capital.</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171" w:lineRule="exact"/>
        <w:rPr>
          <w:rFonts w:ascii="Arial" w:cs="Arial" w:eastAsia="Arial" w:hAnsi="Arial"/>
          <w:sz w:val="18"/>
          <w:szCs w:val="18"/>
          <w:color w:val="auto"/>
        </w:rPr>
      </w:pPr>
    </w:p>
    <w:p>
      <w:pPr>
        <w:ind w:right="46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Chief Executive Officer, Chief Operating Officer and Chief Financial Officer are incentivized to act in the best long-term interests of the Trust through stock ownership guidelines.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no perquisites for our named executive officers that are not widely available to other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requesting your advisory and non-binding approval of the compensation of our named executive officers for 2010 as disclosed in the CD&amp;A, the Summary Compensation Table, the supplemental tables and the disclosure narratives accompanying these sections of this proxy statement. This proposal allows our shareholders to express their opinions regarding the decisions made by the Compensation Committee on the annual compensation to the named executive officers for 2010; however, because the vote on this proposal is advisory in nature and is not intended to address any specific element of compensation, it will not affect any compensation already paid or awarded to any named executive officer for 2010 and will not be binding on the Compensation Committee, the Board or the Trust. The Board and our Compensation Committee value the opinions of our shareholders and will review the results of this vote and take them into consideration in addressing future compensation policies and decisions.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have the opportunity at our Annual Meeting to vote, in person or by proxy, on the following:</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on an advisory basis, this proposal. If you are a “registered” shareholder and fail to give any instructions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THE BOARD OF TRUSTEES UNANIMOUSLY RECOMMENDS A VOTE “FOR” THE APPROVAL OF THE COMPENSATION OF OUR NAMED EXECUTIVE OFFICERS AS DESCRIBED IN THE COMPENSATION DISCUSSION AND ANALYSIS, THE SUMMARY COMPENSATION TABLE, THE SUPPLEMENTAL TABLES AND NARRATIVE DISCLOSURES ACCOMPANYING THESE SECTIONS.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THE FREQUENCY OF FUTURE VOTES 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NAMED EXECUTIVE OFFICER COMPENSATION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separate proposal will be presented at the Annual Meeting asking shareholders to elect, on an advisory, non-binding basis, how frequently we should conduct a non-binding shareholder advisory vote on the compensation of our named executive officers. You are being asked to vote on whether the shareholder vote on the compensation of our named executive officers should occur every one, two or three years. You will also have the choice to abstain from voting on this proposal.</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our shareholders should have the opportunity to vote on the compensation of our named executive officers annually. An annual vote will allow us to get shareholder input every year on our compensation policies and practices and is consistent even with our long-term compensation focus given that our current compensation programs have a new 3-year performance period that begins each year.</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are providing you with an advisory, non-binding vote on the frequency of the shareholder vote on the compensation of our named executive officers. Although this vote is not binding on the Committee, the Board and the Committee value the opinions of our shareholders and will review the results of this vote and take them into consideration in determining how often to conduct the shareholder vote on the compensation of our named executive officers.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the Annual Meeting, you will have the opportunity to vote on whether we should conduct a non-binding advisory vote on executive compensation every year, every 2 years, every 3 years or to abstain from voting. Please note that when casting a vote on this proposal, you will not be voting to approve or disapprove the Board of Trustees’ recommendation.</w:t>
      </w:r>
    </w:p>
    <w:p>
      <w:pPr>
        <w:spacing w:after="0" w:line="140"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in accordance with the Board’s recommendation. An “abstention” or broker “non-vote” will have no effect on the outcome of the vote on this proposal.</w:t>
      </w:r>
    </w:p>
    <w:p>
      <w:pPr>
        <w:spacing w:after="0" w:line="79" w:lineRule="exact"/>
        <w:rPr>
          <w:sz w:val="20"/>
          <w:szCs w:val="20"/>
          <w:color w:val="auto"/>
        </w:rPr>
      </w:pPr>
    </w:p>
    <w:p>
      <w:pPr>
        <w:ind w:right="1260" w:firstLine="456"/>
        <w:spacing w:after="0" w:line="275" w:lineRule="auto"/>
        <w:rPr>
          <w:sz w:val="20"/>
          <w:szCs w:val="20"/>
          <w:color w:val="auto"/>
        </w:rPr>
      </w:pPr>
      <w:r>
        <w:rPr>
          <w:rFonts w:ascii="Arial" w:cs="Arial" w:eastAsia="Arial" w:hAnsi="Arial"/>
          <w:sz w:val="18"/>
          <w:szCs w:val="18"/>
          <w:b w:val="1"/>
          <w:bCs w:val="1"/>
          <w:color w:val="auto"/>
        </w:rPr>
        <w:t>THE BOARD OF TRUSTEES UNANIMOUSLY RECOMMENDS THAT OUR SHAREHOLDERS APPROVE HOLDING THE SHAREHOLDER VOTE ON COMPENSATION OF OUR NAMED EXECUTIVE OFFICERS ANNUALLY.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2010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1020" w:type="dxa"/>
            <w:vAlign w:val="bottom"/>
          </w:tcPr>
          <w:p>
            <w:pPr>
              <w:spacing w:after="0"/>
              <w:rPr>
                <w:sz w:val="12"/>
                <w:szCs w:val="12"/>
                <w:color w:val="auto"/>
              </w:rPr>
            </w:pPr>
          </w:p>
        </w:tc>
        <w:tc>
          <w:tcPr>
            <w:tcW w:w="26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20" w:type="dxa"/>
            <w:vAlign w:val="bottom"/>
          </w:tcPr>
          <w:p>
            <w:pPr>
              <w:spacing w:after="0"/>
              <w:rPr>
                <w:sz w:val="12"/>
                <w:szCs w:val="12"/>
                <w:color w:val="auto"/>
              </w:rPr>
            </w:pPr>
          </w:p>
        </w:tc>
        <w:tc>
          <w:tcPr>
            <w:tcW w:w="26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warrants and rights (1)</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75"/>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right"/>
              <w:ind w:right="525"/>
              <w:spacing w:after="0"/>
              <w:rPr>
                <w:sz w:val="20"/>
                <w:szCs w:val="20"/>
                <w:color w:val="auto"/>
              </w:rPr>
            </w:pPr>
            <w:r>
              <w:rPr>
                <w:rFonts w:ascii="Arial" w:cs="Arial" w:eastAsia="Arial" w:hAnsi="Arial"/>
                <w:sz w:val="14"/>
                <w:szCs w:val="14"/>
                <w:b w:val="1"/>
                <w:bCs w:val="1"/>
                <w:color w:val="auto"/>
              </w:rPr>
              <w:t>(a)</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 (c)</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757,424</w:t>
            </w:r>
          </w:p>
        </w:tc>
        <w:tc>
          <w:tcPr>
            <w:tcW w:w="118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20" w:type="dxa"/>
            <w:vAlign w:val="bottom"/>
            <w:tcBorders>
              <w:top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62.09</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2,386,374</w:t>
            </w:r>
          </w:p>
        </w:tc>
        <w:tc>
          <w:tcPr>
            <w:tcW w:w="10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757,424</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62.09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2,386,374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the Amended and Restated 1993 Long-Term Incentive Plan (“1993 Plan”), the Amended and Restated 2001 Long-Term Incentive Plan and the 2010 Performance Incentive Plan (“2010 Plan”).</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the 2010 Plan.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 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17, 2011 or at any time during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wholly owned subsidiaries, Austin Grill, LLC d/b/a Austin Grill and Thompson Tap Room, LLC d/b/a American Tap Room , lease from us approximately 17,400 square feet in three of the Trust’s properties under leases that were negotiated prior to Mr. Thompson’s joining the Board in July 2007. These leases were negotiated at arms length and reflected market conditions at the time each lease was signed. The three leases expire on June 30, 2015, December 31, 2016 and August 31, 2017. Austin Grill and American Tap Room collectively paid us approximately $899,000 in rent and other related charges in 2010 and we anticipate receiving approximately the same amount in rent and other related charges in 2011. The Board determined that Mr. Thompson met all independence requirements established by the NYSE, the SEC, the Trust’s Corporate Governance Guidelines and other applicable rules and regulations during his service as a Trustee during 2010 as described in the “Independence of Trustees” section above.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section above.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2010.</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2010,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2012 Annual Meeting of Shareholders, including nominations for persons for election to the Board of Trustees, must be received by us no later than November 29, 2011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4"/>
          </w:tcPr>
          <w:p>
            <w:pPr>
              <w:spacing w:after="0"/>
              <w:rPr>
                <w:sz w:val="20"/>
                <w:szCs w:val="20"/>
                <w:color w:val="auto"/>
              </w:rPr>
            </w:pPr>
            <w:r>
              <w:rPr>
                <w:rFonts w:ascii="Arial" w:cs="Arial" w:eastAsia="Arial" w:hAnsi="Arial"/>
                <w:sz w:val="14"/>
                <w:szCs w:val="14"/>
                <w:color w:val="FFFFFF"/>
              </w:rPr>
              <w:t>ANNUAL MEETING OF SHAREHOLDERS OF</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FEDERAL REALTY INVESTMENT TRUST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May 4, 2011</w:t>
            </w: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NOTICE OF INTERNET AVAILABILITY OF PROXY MATERIAL:</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Notice of Meeting, proxy statement and proxy card are available   http://www.federalrealty.com/investor_relations/annual_report.php for the Annual Report/Form 10K Wrap and</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http://www.snl.com/irweblinkx/docs.aspx?iid=102950 for the Proxy Statement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6060" w:type="dxa"/>
            <w:vAlign w:val="bottom"/>
            <w:gridSpan w:val="3"/>
          </w:tcPr>
          <w:p>
            <w:pPr>
              <w:ind w:left="60"/>
              <w:spacing w:after="0"/>
              <w:rPr>
                <w:sz w:val="20"/>
                <w:szCs w:val="20"/>
                <w:color w:val="auto"/>
              </w:rPr>
            </w:pPr>
            <w:r>
              <w:rPr>
                <w:rFonts w:ascii="Arial" w:cs="Arial" w:eastAsia="Arial" w:hAnsi="Arial"/>
                <w:sz w:val="3"/>
                <w:szCs w:val="3"/>
                <w:color w:val="FFFFFF"/>
              </w:rPr>
              <w:t>sign, date and mail your proxy card in the envelope provided as soon as possible.</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20530304000000000000 3 050411</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400" w:type="dxa"/>
            <w:vAlign w:val="bottom"/>
            <w:gridSpan w:val="5"/>
          </w:tcPr>
          <w:p>
            <w:pPr>
              <w:ind w:left="100"/>
              <w:spacing w:after="0"/>
              <w:rPr>
                <w:sz w:val="20"/>
                <w:szCs w:val="20"/>
                <w:color w:val="auto"/>
              </w:rPr>
            </w:pPr>
            <w:r>
              <w:rPr>
                <w:rFonts w:ascii="Arial" w:cs="Arial" w:eastAsia="Arial" w:hAnsi="Arial"/>
                <w:sz w:val="3"/>
                <w:szCs w:val="3"/>
                <w:color w:val="FFFFFF"/>
              </w:rPr>
              <w:t>LL NOMINEES IN PROPOSAL 1 AND “FOR” PROPOSALS 2 AND 3 AND “FOR” THE 1 YEAR CHOICE FOR PROPOSAL 4 AND THE PROXIES WILL VOTE IN THEIR SOLE JUDGMENT UPON</w:t>
            </w: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ANY OTHER MA</w:t>
            </w:r>
          </w:p>
        </w:tc>
        <w:tc>
          <w:tcPr>
            <w:tcW w:w="10320" w:type="dxa"/>
            <w:vAlign w:val="bottom"/>
            <w:gridSpan w:val="2"/>
          </w:tcPr>
          <w:p>
            <w:pPr>
              <w:ind w:left="380"/>
              <w:spacing w:after="0"/>
              <w:rPr>
                <w:sz w:val="20"/>
                <w:szCs w:val="20"/>
                <w:color w:val="auto"/>
              </w:rPr>
            </w:pPr>
            <w:r>
              <w:rPr>
                <w:rFonts w:ascii="Arial" w:cs="Arial" w:eastAsia="Arial" w:hAnsi="Arial"/>
                <w:sz w:val="3"/>
                <w:szCs w:val="3"/>
                <w:color w:val="FFFFFF"/>
              </w:rPr>
              <w:t>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PLEASE SIGN, DATTERSAND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1. ELECTION OF TRUSTEES: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FOR ALL NOMINEES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WITHHOLD AUTHORITY</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78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FOR ALL EXCEPT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(See instructions below)</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080" w:type="dxa"/>
            <w:vAlign w:val="bottom"/>
            <w:gridSpan w:val="3"/>
          </w:tcPr>
          <w:p>
            <w:pPr>
              <w:spacing w:after="0" w:line="81" w:lineRule="exact"/>
              <w:rPr>
                <w:sz w:val="20"/>
                <w:szCs w:val="20"/>
                <w:color w:val="auto"/>
              </w:rPr>
            </w:pPr>
            <w:r>
              <w:rPr>
                <w:rFonts w:ascii="Arial" w:cs="Arial" w:eastAsia="Arial" w:hAnsi="Arial"/>
                <w:sz w:val="9"/>
                <w:szCs w:val="9"/>
                <w:color w:val="FFFFFF"/>
              </w:rPr>
              <w:t>NOMINEES:Jon.Bortz</w:t>
            </w:r>
          </w:p>
        </w:tc>
        <w:tc>
          <w:tcPr>
            <w:tcW w:w="5300" w:type="dxa"/>
            <w:vAlign w:val="bottom"/>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David W. Faeder</w:t>
            </w: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Kristin Gamble</w:t>
            </w:r>
          </w:p>
        </w:tc>
        <w:tc>
          <w:tcPr>
            <w:tcW w:w="530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Donald C. Wood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Warren M.</w:t>
            </w:r>
          </w:p>
        </w:tc>
        <w:tc>
          <w:tcPr>
            <w:tcW w:w="480" w:type="dxa"/>
            <w:vAlign w:val="bottom"/>
          </w:tcPr>
          <w:p>
            <w:pPr>
              <w:spacing w:after="0"/>
              <w:rPr>
                <w:sz w:val="3"/>
                <w:szCs w:val="3"/>
                <w:color w:val="auto"/>
              </w:rPr>
            </w:pPr>
          </w:p>
        </w:tc>
        <w:tc>
          <w:tcPr>
            <w:tcW w:w="5300" w:type="dxa"/>
            <w:vAlign w:val="bottom"/>
            <w:vMerge w:val="continue"/>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0" w:type="dxa"/>
            <w:vAlign w:val="bottom"/>
            <w:gridSpan w:val="3"/>
          </w:tcPr>
          <w:p>
            <w:pPr>
              <w:ind w:left="20"/>
              <w:spacing w:after="0"/>
              <w:rPr>
                <w:sz w:val="20"/>
                <w:szCs w:val="20"/>
                <w:color w:val="auto"/>
              </w:rPr>
            </w:pPr>
            <w:r>
              <w:rPr>
                <w:rFonts w:ascii="Arial" w:cs="Arial" w:eastAsia="Arial" w:hAnsi="Arial"/>
                <w:sz w:val="3"/>
                <w:szCs w:val="3"/>
                <w:color w:val="FFFFFF"/>
              </w:rPr>
              <w:t>Thompson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INSTRUCTIONS:ochangetheaddress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submitted via this method.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FOR AGAINST ABSTAIN</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w:t>
            </w:r>
          </w:p>
        </w:tc>
        <w:tc>
          <w:tcPr>
            <w:tcW w:w="760" w:type="dxa"/>
            <w:vAlign w:val="bottom"/>
            <w:gridSpan w:val="2"/>
          </w:tcPr>
          <w:p>
            <w:pPr>
              <w:spacing w:after="0"/>
              <w:rPr>
                <w:sz w:val="20"/>
                <w:szCs w:val="20"/>
                <w:color w:val="auto"/>
              </w:rPr>
            </w:pPr>
            <w:r>
              <w:rPr>
                <w:rFonts w:ascii="Arial" w:cs="Arial" w:eastAsia="Arial" w:hAnsi="Arial"/>
                <w:sz w:val="3"/>
                <w:szCs w:val="3"/>
                <w:color w:val="FFFFFF"/>
              </w:rPr>
              <w:t>ratify the app</w:t>
            </w:r>
          </w:p>
        </w:tc>
        <w:tc>
          <w:tcPr>
            <w:tcW w:w="10320" w:type="dxa"/>
            <w:vAlign w:val="bottom"/>
            <w:gridSpan w:val="2"/>
          </w:tcPr>
          <w:p>
            <w:pPr>
              <w:ind w:left="20"/>
              <w:spacing w:after="0"/>
              <w:rPr>
                <w:sz w:val="20"/>
                <w:szCs w:val="20"/>
                <w:color w:val="auto"/>
              </w:rPr>
            </w:pPr>
            <w:r>
              <w:rPr>
                <w:rFonts w:ascii="Arial" w:cs="Arial" w:eastAsia="Arial" w:hAnsi="Arial"/>
                <w:sz w:val="3"/>
                <w:szCs w:val="3"/>
                <w:color w:val="FFFFFF"/>
              </w:rPr>
              <w:t>intment of Grant Thornton LLP as our independent registered public accounting firm for the fiscal year ending December 31, 2011.</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3. To hold an advisory vote to approve the compensation of our named executive officers.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1 year 2 years 3 years ABSTAIN</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4hold an advisory vote on the frequency of holding future votes on the compensation of our named executive officers.</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5.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ELECTRONIC ACCESS TO FUTURE DOCUMENTS</w:t>
            </w:r>
          </w:p>
        </w:tc>
        <w:tc>
          <w:tcPr>
            <w:tcW w:w="502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5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Access to enroll. Please enter your account number and tax identification number to log in, then select Receive Company Mailings via E-Mail and provide your e-mail address.</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Signature of Shareholder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Signature of Shareholder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280" w:type="dxa"/>
            <w:vAlign w:val="bottom"/>
          </w:tcPr>
          <w:p>
            <w:pPr>
              <w:spacing w:after="0"/>
              <w:rPr>
                <w:sz w:val="3"/>
                <w:szCs w:val="3"/>
                <w:color w:val="auto"/>
              </w:rPr>
            </w:pPr>
          </w:p>
        </w:tc>
        <w:tc>
          <w:tcPr>
            <w:tcW w:w="10800" w:type="dxa"/>
            <w:vAlign w:val="bottom"/>
            <w:gridSpan w:val="3"/>
            <w:vMerge w:val="restart"/>
          </w:tcPr>
          <w:p>
            <w:pPr>
              <w:ind w:left="12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280" w:type="dxa"/>
            <w:vAlign w:val="bottom"/>
          </w:tcPr>
          <w:p>
            <w:pPr>
              <w:spacing w:after="0" w:line="20" w:lineRule="exact"/>
              <w:rPr>
                <w:sz w:val="1"/>
                <w:szCs w:val="1"/>
                <w:color w:val="auto"/>
              </w:rPr>
            </w:pPr>
          </w:p>
        </w:tc>
        <w:tc>
          <w:tcPr>
            <w:tcW w:w="10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4"/>
          </w:tcPr>
          <w:p>
            <w:pPr>
              <w:spacing w:after="0"/>
              <w:rPr>
                <w:sz w:val="20"/>
                <w:szCs w:val="20"/>
                <w:color w:val="auto"/>
              </w:rPr>
            </w:pPr>
            <w:r>
              <w:rPr>
                <w:rFonts w:ascii="Arial" w:cs="Arial" w:eastAsia="Arial" w:hAnsi="Arial"/>
                <w:sz w:val="14"/>
                <w:szCs w:val="14"/>
                <w:color w:val="FFFFFF"/>
              </w:rPr>
              <w:t>ANNUAL MEETING OF SHAREHOLDERS OF</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FEDERAL REALTY INVESTMENT TRUST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May 4, 2011</w:t>
            </w: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PROXY VOTING INSTRUCTIONS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INTERNET - Access “www.voteproxy.com” and follow the on-screen instructions. Have your proxy card available when you access the web page, and use the Company Number and Account Number shown on</w:t>
            </w: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your proxy card.</w:t>
            </w: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TELEPHONE - Call toll-free 1-800-PROXIES (1-800-776-9437) in the United States or 1-718-921-8500 from foreign countries from any touch-tone telephone and follow the instructions. Have your proxy card</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available when you call and use the Company Numb r and Account Number shown on your proxy card.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Vote online/phone until 11:59 PM EST the day before the meeting.</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MAIL - Sign, date and mail your proxy card in the envelope provided as soon as possible.</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IN PERSON - You may vote your shares in person by attending the Annual Meeting.</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COMPANY NUMBER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ACCOUNT NUMBER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NOTICE OF INTERNET AVAILABILITY OF PROXY MATERIAL: The Notice of Meeting, proxy statement and proxy card are available at http://www.federalrealty.com/investor_relations/annual_report.php</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for the Annual Report/Form 10K Wrap and http://www.snl.com/irweblinkx/docs.aspx?iid=102950 for the Proxy Statement</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20530304000000000000 3 050411</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400" w:type="dxa"/>
            <w:vAlign w:val="bottom"/>
            <w:gridSpan w:val="5"/>
          </w:tcPr>
          <w:p>
            <w:pPr>
              <w:ind w:left="100"/>
              <w:spacing w:after="0"/>
              <w:rPr>
                <w:sz w:val="20"/>
                <w:szCs w:val="20"/>
                <w:color w:val="auto"/>
              </w:rPr>
            </w:pPr>
            <w:r>
              <w:rPr>
                <w:rFonts w:ascii="Arial" w:cs="Arial" w:eastAsia="Arial" w:hAnsi="Arial"/>
                <w:sz w:val="3"/>
                <w:szCs w:val="3"/>
                <w:color w:val="FFFFFF"/>
              </w:rPr>
              <w:t>LL NOMINEES IN PROPOSAL 1 AND “FOR” PROPOSALS 2 AND 3 AND “FOR” THE 1 YEAR CHOICE FOR PROPOSAL 4 AND THE PROXIES WILL VOTE IN THEIR SOLE JUDGMENT UPON</w:t>
            </w: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ANY OTHER MA</w:t>
            </w:r>
          </w:p>
        </w:tc>
        <w:tc>
          <w:tcPr>
            <w:tcW w:w="10320" w:type="dxa"/>
            <w:vAlign w:val="bottom"/>
            <w:gridSpan w:val="2"/>
          </w:tcPr>
          <w:p>
            <w:pPr>
              <w:ind w:left="380"/>
              <w:spacing w:after="0"/>
              <w:rPr>
                <w:sz w:val="20"/>
                <w:szCs w:val="20"/>
                <w:color w:val="auto"/>
              </w:rPr>
            </w:pPr>
            <w:r>
              <w:rPr>
                <w:rFonts w:ascii="Arial" w:cs="Arial" w:eastAsia="Arial" w:hAnsi="Arial"/>
                <w:sz w:val="3"/>
                <w:szCs w:val="3"/>
                <w:color w:val="FFFFFF"/>
              </w:rPr>
              <w:t>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PLEASE SIGN, DATTERSAND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1. ELECTION OF TRUSTEES: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FOR ALL NOMINEES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WITHHOLD AUTHORITY</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78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FOR ALL EXCEPT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(See instructions below)</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080" w:type="dxa"/>
            <w:vAlign w:val="bottom"/>
            <w:gridSpan w:val="3"/>
          </w:tcPr>
          <w:p>
            <w:pPr>
              <w:spacing w:after="0" w:line="81" w:lineRule="exact"/>
              <w:rPr>
                <w:sz w:val="20"/>
                <w:szCs w:val="20"/>
                <w:color w:val="auto"/>
              </w:rPr>
            </w:pPr>
            <w:r>
              <w:rPr>
                <w:rFonts w:ascii="Arial" w:cs="Arial" w:eastAsia="Arial" w:hAnsi="Arial"/>
                <w:sz w:val="9"/>
                <w:szCs w:val="9"/>
                <w:color w:val="FFFFFF"/>
              </w:rPr>
              <w:t>NOMINEES:Jon.Bortz</w:t>
            </w:r>
          </w:p>
        </w:tc>
        <w:tc>
          <w:tcPr>
            <w:tcW w:w="5300" w:type="dxa"/>
            <w:vAlign w:val="bottom"/>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David W. Faeder</w:t>
            </w: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80" w:type="dxa"/>
            <w:vAlign w:val="bottom"/>
            <w:gridSpan w:val="3"/>
          </w:tcPr>
          <w:p>
            <w:pPr>
              <w:spacing w:after="0"/>
              <w:rPr>
                <w:sz w:val="20"/>
                <w:szCs w:val="20"/>
                <w:color w:val="auto"/>
              </w:rPr>
            </w:pPr>
            <w:r>
              <w:rPr>
                <w:rFonts w:ascii="Arial" w:cs="Arial" w:eastAsia="Arial" w:hAnsi="Arial"/>
                <w:sz w:val="3"/>
                <w:szCs w:val="3"/>
                <w:color w:val="FFFFFF"/>
              </w:rPr>
              <w:t>Kristin Gamble</w:t>
            </w:r>
          </w:p>
        </w:tc>
        <w:tc>
          <w:tcPr>
            <w:tcW w:w="530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Donald C. Wood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Warren M.</w:t>
            </w:r>
          </w:p>
        </w:tc>
        <w:tc>
          <w:tcPr>
            <w:tcW w:w="480" w:type="dxa"/>
            <w:vAlign w:val="bottom"/>
          </w:tcPr>
          <w:p>
            <w:pPr>
              <w:spacing w:after="0"/>
              <w:rPr>
                <w:sz w:val="3"/>
                <w:szCs w:val="3"/>
                <w:color w:val="auto"/>
              </w:rPr>
            </w:pPr>
          </w:p>
        </w:tc>
        <w:tc>
          <w:tcPr>
            <w:tcW w:w="5300" w:type="dxa"/>
            <w:vAlign w:val="bottom"/>
            <w:vMerge w:val="continue"/>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0" w:type="dxa"/>
            <w:vAlign w:val="bottom"/>
            <w:gridSpan w:val="3"/>
          </w:tcPr>
          <w:p>
            <w:pPr>
              <w:ind w:left="20"/>
              <w:spacing w:after="0"/>
              <w:rPr>
                <w:sz w:val="20"/>
                <w:szCs w:val="20"/>
                <w:color w:val="auto"/>
              </w:rPr>
            </w:pPr>
            <w:r>
              <w:rPr>
                <w:rFonts w:ascii="Arial" w:cs="Arial" w:eastAsia="Arial" w:hAnsi="Arial"/>
                <w:sz w:val="3"/>
                <w:szCs w:val="3"/>
                <w:color w:val="FFFFFF"/>
              </w:rPr>
              <w:t>Thompson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INSTRUCTIONS:ochangetheaddress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submitted via this method.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FOR AGAINST ABSTAIN</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w:t>
            </w:r>
          </w:p>
        </w:tc>
        <w:tc>
          <w:tcPr>
            <w:tcW w:w="760" w:type="dxa"/>
            <w:vAlign w:val="bottom"/>
            <w:gridSpan w:val="2"/>
          </w:tcPr>
          <w:p>
            <w:pPr>
              <w:spacing w:after="0"/>
              <w:rPr>
                <w:sz w:val="20"/>
                <w:szCs w:val="20"/>
                <w:color w:val="auto"/>
              </w:rPr>
            </w:pPr>
            <w:r>
              <w:rPr>
                <w:rFonts w:ascii="Arial" w:cs="Arial" w:eastAsia="Arial" w:hAnsi="Arial"/>
                <w:sz w:val="3"/>
                <w:szCs w:val="3"/>
                <w:color w:val="FFFFFF"/>
              </w:rPr>
              <w:t>ratify the app</w:t>
            </w:r>
          </w:p>
        </w:tc>
        <w:tc>
          <w:tcPr>
            <w:tcW w:w="10320" w:type="dxa"/>
            <w:vAlign w:val="bottom"/>
            <w:gridSpan w:val="2"/>
          </w:tcPr>
          <w:p>
            <w:pPr>
              <w:ind w:left="20"/>
              <w:spacing w:after="0"/>
              <w:rPr>
                <w:sz w:val="20"/>
                <w:szCs w:val="20"/>
                <w:color w:val="auto"/>
              </w:rPr>
            </w:pPr>
            <w:r>
              <w:rPr>
                <w:rFonts w:ascii="Arial" w:cs="Arial" w:eastAsia="Arial" w:hAnsi="Arial"/>
                <w:sz w:val="3"/>
                <w:szCs w:val="3"/>
                <w:color w:val="FFFFFF"/>
              </w:rPr>
              <w:t>intment of Grant Thornton LLP as our independent registered public accounting firm for the fiscal year ending December 31, 2011.</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3. To hold an advisory vote to approve the compensation of our named executive officers.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1 year 2 years 3 years ABSTAIN</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4hold an advisory vote on the frequency of holding future votes on the compensation of our named executive officers.</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5. To 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ELECTRONIC ACCESS TO FUTURE DOCUMENTS</w:t>
            </w:r>
          </w:p>
        </w:tc>
        <w:tc>
          <w:tcPr>
            <w:tcW w:w="502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5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Access to enroll. Please enter your account number and tax identification number to log in, then select Receive Company Mailings via E-Mail and provide your e-mail address.</w:t>
            </w: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Signature of Shareholder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4"/>
          </w:tcPr>
          <w:p>
            <w:pPr>
              <w:spacing w:after="0"/>
              <w:rPr>
                <w:sz w:val="20"/>
                <w:szCs w:val="20"/>
                <w:color w:val="auto"/>
              </w:rPr>
            </w:pPr>
            <w:r>
              <w:rPr>
                <w:rFonts w:ascii="Arial" w:cs="Arial" w:eastAsia="Arial" w:hAnsi="Arial"/>
                <w:sz w:val="3"/>
                <w:szCs w:val="3"/>
                <w:color w:val="FFFFFF"/>
              </w:rPr>
              <w:t>Signature of Shareholder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280" w:type="dxa"/>
            <w:vAlign w:val="bottom"/>
          </w:tcPr>
          <w:p>
            <w:pPr>
              <w:spacing w:after="0"/>
              <w:rPr>
                <w:sz w:val="3"/>
                <w:szCs w:val="3"/>
                <w:color w:val="auto"/>
              </w:rPr>
            </w:pPr>
          </w:p>
        </w:tc>
        <w:tc>
          <w:tcPr>
            <w:tcW w:w="10800" w:type="dxa"/>
            <w:vAlign w:val="bottom"/>
            <w:gridSpan w:val="3"/>
            <w:vMerge w:val="restart"/>
          </w:tcPr>
          <w:p>
            <w:pPr>
              <w:ind w:left="12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280" w:type="dxa"/>
            <w:vAlign w:val="bottom"/>
          </w:tcPr>
          <w:p>
            <w:pPr>
              <w:spacing w:after="0" w:line="20" w:lineRule="exact"/>
              <w:rPr>
                <w:sz w:val="1"/>
                <w:szCs w:val="1"/>
                <w:color w:val="auto"/>
              </w:rPr>
            </w:pPr>
          </w:p>
        </w:tc>
        <w:tc>
          <w:tcPr>
            <w:tcW w:w="10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400"/>
          </w:cols>
          <w:pgMar w:left="240" w:top="459" w:right="2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FFFFFF"/>
        </w:rPr>
        <w:t>FEDERALTheHISPROXYREALTYISSOLICITEDINVESTMENTONBEHALFTRUSTOF THE BOARD OF TRUSTEES</w:t>
      </w:r>
    </w:p>
    <w:p>
      <w:pPr>
        <w:spacing w:after="0"/>
        <w:rPr>
          <w:sz w:val="20"/>
          <w:szCs w:val="20"/>
          <w:color w:val="auto"/>
        </w:rPr>
      </w:pPr>
      <w:r>
        <w:rPr>
          <w:rFonts w:ascii="Arial" w:cs="Arial" w:eastAsia="Arial" w:hAnsi="Arial"/>
          <w:sz w:val="3"/>
          <w:szCs w:val="3"/>
          <w:color w:val="FFFFFF"/>
        </w:rPr>
        <w:t>attorneysundersigned,andproxiesashareholderoftheundersigned,ofFederalwithRealtyfullInvestmentpowerofsubstitutionTrust(the“Trust”),ineachofherebythem,constitutesforandin theandnameappointsoftheDAWNundersigned,M.BECKERtovoteandandANDREWotherwise P.actBLOCHER,attheAnnualor Meetingeitherof ofthem,ShareholdersasthetrueofandthelawfulTrust to be held at Woodmont Country Club, 1201 Rockville Pike, Rockville, Maryland on Wednesday, May 4, 2011 at 10:00 a.m. or at any postponement or adjournment with respect to all of the Common</w:t>
      </w:r>
    </w:p>
    <w:p>
      <w:pPr>
        <w:spacing w:after="0" w:line="181" w:lineRule="auto"/>
        <w:rPr>
          <w:sz w:val="20"/>
          <w:szCs w:val="20"/>
          <w:color w:val="auto"/>
        </w:rPr>
      </w:pPr>
      <w:r>
        <w:rPr>
          <w:rFonts w:ascii="Arial" w:cs="Arial" w:eastAsia="Arial" w:hAnsi="Arial"/>
          <w:sz w:val="7"/>
          <w:szCs w:val="7"/>
          <w:color w:val="FFFFFF"/>
        </w:rPr>
        <w:t>Shares of Beneficial Inte</w:t>
      </w:r>
      <w:r>
        <w:rPr>
          <w:rFonts w:ascii="Arial" w:cs="Arial" w:eastAsia="Arial" w:hAnsi="Arial"/>
          <w:sz w:val="10"/>
          <w:szCs w:val="10"/>
          <w:color w:val="FFFFFF"/>
          <w:vertAlign w:val="subscript"/>
        </w:rPr>
        <w:t>ratifies</w:t>
      </w:r>
      <w:r>
        <w:rPr>
          <w:rFonts w:ascii="Arial" w:cs="Arial" w:eastAsia="Arial" w:hAnsi="Arial"/>
          <w:sz w:val="7"/>
          <w:szCs w:val="7"/>
          <w:color w:val="FFFFFF"/>
        </w:rPr>
        <w:t>estofthe Trust which the undersigned would be entitled to vote, with all the powers the undersigned would possess if personally present, thereof,onfollowing matters.</w:t>
      </w:r>
    </w:p>
    <w:p>
      <w:pPr>
        <w:spacing w:after="0"/>
        <w:tabs>
          <w:tab w:leader="none" w:pos="1740" w:val="left"/>
        </w:tabs>
        <w:rPr>
          <w:sz w:val="20"/>
          <w:szCs w:val="20"/>
          <w:color w:val="auto"/>
        </w:rPr>
      </w:pPr>
      <w:r>
        <w:rPr>
          <w:rFonts w:ascii="Arial" w:cs="Arial" w:eastAsia="Arial" w:hAnsi="Arial"/>
          <w:sz w:val="4"/>
          <w:szCs w:val="4"/>
          <w:color w:val="FFFFFF"/>
          <w:vertAlign w:val="subscript"/>
        </w:rPr>
        <w:t>The undersigned hereby</w:t>
      </w:r>
      <w:r>
        <w:rPr>
          <w:sz w:val="20"/>
          <w:szCs w:val="20"/>
          <w:color w:val="auto"/>
        </w:rPr>
        <w:tab/>
      </w:r>
      <w:r>
        <w:rPr>
          <w:rFonts w:ascii="Arial" w:cs="Arial" w:eastAsia="Arial" w:hAnsi="Arial"/>
          <w:sz w:val="3"/>
          <w:szCs w:val="3"/>
          <w:color w:val="FFFFFF"/>
        </w:rPr>
        <w:t>and confirms all that the aforesaid attorneys and proxies may do hereunder.</w:t>
      </w:r>
    </w:p>
    <w:p>
      <w:pPr>
        <w:ind w:right="46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lowerLetter"/>
      <w:start w:val="3"/>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Letter"/>
      <w:start w:val="2"/>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4"/>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lvl w:ilvl="1">
      <w:lvlJc w:val="left"/>
      <w:lvlText w:val="%2."/>
      <w:numFmt w:val="decimal"/>
      <w:start w:val="2"/>
    </w:lvl>
  </w:abstractNum>
  <w:abstractNum w:abstractNumId="27">
    <w:nsid w:val="8138641"/>
    <w:multiLevelType w:val="hybridMultilevel"/>
    <w:lvl w:ilvl="0">
      <w:lvlJc w:val="left"/>
      <w:lvlText w:val="•"/>
      <w:numFmt w:val="bullet"/>
      <w:start w:val="1"/>
    </w:lvl>
    <w:lvl w:ilvl="1">
      <w:lvlJc w:val="left"/>
      <w:lvlText w:val="%2."/>
      <w:numFmt w:val="decimal"/>
      <w:start w:val="6"/>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3"/>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2019-12-09T23:54:19Z</dcterms:created>
  <dcterms:modified xsi:type="dcterms:W3CDTF">2019-12-09T23:54:19Z</dcterms:modified>
</cp:coreProperties>
</file>