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276"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240" w:lineRule="exact"/>
        <w:rPr>
          <w:sz w:val="24"/>
          <w:szCs w:val="24"/>
          <w:color w:val="auto"/>
        </w:rPr>
      </w:pPr>
    </w:p>
    <w:p>
      <w:pPr>
        <w:jc w:val="center"/>
        <w:ind w:right="-4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60" w:lineRule="exact"/>
        <w:rPr>
          <w:sz w:val="24"/>
          <w:szCs w:val="24"/>
          <w:color w:val="auto"/>
        </w:rPr>
      </w:pPr>
    </w:p>
    <w:p>
      <w:pPr>
        <w:jc w:val="center"/>
        <w:ind w:right="-439"/>
        <w:spacing w:after="0"/>
        <w:rPr>
          <w:sz w:val="20"/>
          <w:szCs w:val="20"/>
          <w:color w:val="auto"/>
        </w:rPr>
      </w:pPr>
      <w:r>
        <w:rPr>
          <w:rFonts w:ascii="Arial" w:cs="Arial" w:eastAsia="Arial" w:hAnsi="Arial"/>
          <w:sz w:val="22"/>
          <w:szCs w:val="22"/>
          <w:color w:val="auto"/>
        </w:rPr>
        <w:t>Date of Report (Date of earliest event reported) February 7, 2017</w:t>
      </w:r>
    </w:p>
    <w:p>
      <w:pPr>
        <w:spacing w:after="0" w:line="200" w:lineRule="exact"/>
        <w:rPr>
          <w:sz w:val="24"/>
          <w:szCs w:val="24"/>
          <w:color w:val="auto"/>
        </w:rPr>
      </w:pPr>
    </w:p>
    <w:p>
      <w:pPr>
        <w:spacing w:after="0" w:line="214"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9" w:lineRule="exact"/>
        <w:rPr>
          <w:sz w:val="24"/>
          <w:szCs w:val="24"/>
          <w:color w:val="auto"/>
        </w:rPr>
      </w:pPr>
    </w:p>
    <w:p>
      <w:pPr>
        <w:ind w:left="3480"/>
        <w:spacing w:after="0"/>
        <w:rPr>
          <w:sz w:val="20"/>
          <w:szCs w:val="20"/>
          <w:color w:val="auto"/>
        </w:rPr>
      </w:pPr>
      <w:r>
        <w:rPr>
          <w:rFonts w:ascii="Arial" w:cs="Arial" w:eastAsia="Arial" w:hAnsi="Arial"/>
          <w:sz w:val="22"/>
          <w:szCs w:val="22"/>
          <w:color w:val="auto"/>
        </w:rPr>
        <w:t>(Exact name of registrant as specified in its charter)</w:t>
      </w: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369" w:lineRule="exact"/>
        <w:rPr>
          <w:sz w:val="24"/>
          <w:szCs w:val="24"/>
          <w:color w:val="auto"/>
        </w:rPr>
      </w:pPr>
    </w:p>
    <w:p>
      <w:pPr>
        <w:ind w:left="254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9" w:lineRule="exact"/>
        <w:rPr>
          <w:sz w:val="24"/>
          <w:szCs w:val="24"/>
          <w:color w:val="auto"/>
        </w:rPr>
      </w:pPr>
    </w:p>
    <w:p>
      <w:pPr>
        <w:jc w:val="center"/>
        <w:ind w:right="134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9" w:lineRule="exact"/>
        <w:rPr>
          <w:sz w:val="24"/>
          <w:szCs w:val="24"/>
          <w:color w:val="auto"/>
        </w:rPr>
      </w:pPr>
    </w:p>
    <w:p>
      <w:pPr>
        <w:jc w:val="center"/>
        <w:ind w:right="1960"/>
        <w:spacing w:after="0"/>
        <w:rPr>
          <w:sz w:val="20"/>
          <w:szCs w:val="20"/>
          <w:color w:val="auto"/>
        </w:rPr>
      </w:pPr>
      <w:r>
        <w:rPr>
          <w:rFonts w:ascii="Arial" w:cs="Arial" w:eastAsia="Arial" w:hAnsi="Arial"/>
          <w:sz w:val="16"/>
          <w:szCs w:val="16"/>
          <w:b w:val="1"/>
          <w:bCs w:val="1"/>
          <w:color w:val="auto"/>
        </w:rPr>
        <w:t>52-0782497</w:t>
      </w:r>
    </w:p>
    <w:p>
      <w:pPr>
        <w:spacing w:after="0" w:line="85" w:lineRule="exact"/>
        <w:rPr>
          <w:sz w:val="24"/>
          <w:szCs w:val="24"/>
          <w:color w:val="auto"/>
        </w:rPr>
      </w:pPr>
    </w:p>
    <w:p>
      <w:pPr>
        <w:sectPr>
          <w:pgSz w:w="11900" w:h="16838" w:orient="portrait"/>
          <w:cols w:equalWidth="0" w:num="3">
            <w:col w:w="4760" w:space="720"/>
            <w:col w:w="1940" w:space="720"/>
            <w:col w:w="2840"/>
          </w:cols>
          <w:pgMar w:left="240" w:top="679" w:right="679" w:bottom="1440" w:gutter="0" w:footer="0" w:header="0"/>
          <w:type w:val="continuous"/>
        </w:sectPr>
      </w:pPr>
    </w:p>
    <w:p>
      <w:pPr>
        <w:spacing w:after="0" w:line="1" w:lineRule="exact"/>
        <w:rPr>
          <w:sz w:val="24"/>
          <w:szCs w:val="24"/>
          <w:color w:val="auto"/>
        </w:rPr>
      </w:pPr>
    </w:p>
    <w:p>
      <w:pPr>
        <w:jc w:val="center"/>
        <w:ind w:left="1140"/>
        <w:spacing w:after="0"/>
        <w:rPr>
          <w:sz w:val="20"/>
          <w:szCs w:val="20"/>
          <w:color w:val="auto"/>
        </w:rPr>
      </w:pPr>
      <w:r>
        <w:rPr>
          <w:rFonts w:ascii="Arial" w:cs="Arial" w:eastAsia="Arial" w:hAnsi="Arial"/>
          <w:sz w:val="11"/>
          <w:szCs w:val="11"/>
          <w:b w:val="1"/>
          <w:bCs w:val="1"/>
          <w:color w:val="auto"/>
        </w:rPr>
        <w:t>(State or other jurisdiction</w:t>
      </w:r>
    </w:p>
    <w:p>
      <w:pPr>
        <w:spacing w:after="0" w:line="23" w:lineRule="exact"/>
        <w:rPr>
          <w:sz w:val="24"/>
          <w:szCs w:val="24"/>
          <w:color w:val="auto"/>
        </w:rPr>
      </w:pPr>
    </w:p>
    <w:p>
      <w:pPr>
        <w:jc w:val="center"/>
        <w:ind w:left="114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(Commission</w:t>
      </w:r>
    </w:p>
    <w:p>
      <w:pPr>
        <w:spacing w:after="0" w:line="2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File Number)</w:t>
      </w:r>
    </w:p>
    <w:p>
      <w:pPr>
        <w:spacing w:after="0" w:line="20" w:lineRule="exact"/>
        <w:rPr>
          <w:sz w:val="24"/>
          <w:szCs w:val="24"/>
          <w:color w:val="auto"/>
        </w:rPr>
      </w:pPr>
      <w:r>
        <w:rPr>
          <w:sz w:val="24"/>
          <w:szCs w:val="24"/>
          <w:color w:val="auto"/>
        </w:rPr>
        <w:br w:type="column"/>
      </w:r>
    </w:p>
    <w:p>
      <w:pPr>
        <w:jc w:val="center"/>
        <w:ind w:right="1900"/>
        <w:spacing w:after="0"/>
        <w:rPr>
          <w:sz w:val="20"/>
          <w:szCs w:val="20"/>
          <w:color w:val="auto"/>
        </w:rPr>
      </w:pPr>
      <w:r>
        <w:rPr>
          <w:rFonts w:ascii="Arial" w:cs="Arial" w:eastAsia="Arial" w:hAnsi="Arial"/>
          <w:sz w:val="13"/>
          <w:szCs w:val="13"/>
          <w:b w:val="1"/>
          <w:bCs w:val="1"/>
          <w:color w:val="auto"/>
        </w:rPr>
        <w:t>(IRS Employer</w:t>
      </w:r>
    </w:p>
    <w:p>
      <w:pPr>
        <w:jc w:val="center"/>
        <w:ind w:right="1900"/>
        <w:spacing w:after="0"/>
        <w:rPr>
          <w:sz w:val="20"/>
          <w:szCs w:val="20"/>
          <w:color w:val="auto"/>
        </w:rPr>
      </w:pPr>
      <w:r>
        <w:rPr>
          <w:rFonts w:ascii="Arial" w:cs="Arial" w:eastAsia="Arial" w:hAnsi="Arial"/>
          <w:sz w:val="11"/>
          <w:szCs w:val="11"/>
          <w:b w:val="1"/>
          <w:bCs w:val="1"/>
          <w:color w:val="auto"/>
        </w:rPr>
        <w:t>Identification No.)</w:t>
      </w:r>
    </w:p>
    <w:p>
      <w:pPr>
        <w:spacing w:after="0" w:line="223" w:lineRule="exact"/>
        <w:rPr>
          <w:sz w:val="24"/>
          <w:szCs w:val="24"/>
          <w:color w:val="auto"/>
        </w:rPr>
      </w:pPr>
    </w:p>
    <w:p>
      <w:pPr>
        <w:sectPr>
          <w:pgSz w:w="11900" w:h="16838" w:orient="portrait"/>
          <w:cols w:equalWidth="0" w:num="3">
            <w:col w:w="4700" w:space="720"/>
            <w:col w:w="1940" w:space="720"/>
            <w:col w:w="2900"/>
          </w:cols>
          <w:pgMar w:left="240" w:top="679" w:right="679"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ind w:left="17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6740" w:space="720"/>
            <w:col w:w="3520"/>
          </w:cols>
          <w:pgMar w:left="240" w:top="679" w:right="679" w:bottom="1440" w:gutter="0" w:footer="0" w:header="0"/>
          <w:type w:val="continuous"/>
        </w:sectPr>
      </w:pPr>
    </w:p>
    <w:p>
      <w:pPr>
        <w:ind w:left="256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780"/>
        <w:spacing w:after="0"/>
        <w:rPr>
          <w:sz w:val="20"/>
          <w:szCs w:val="20"/>
          <w:color w:val="auto"/>
        </w:rPr>
      </w:pPr>
      <w:r>
        <w:rPr>
          <w:rFonts w:ascii="Arial" w:cs="Arial" w:eastAsia="Arial" w:hAnsi="Arial"/>
          <w:sz w:val="12"/>
          <w:szCs w:val="12"/>
          <w:b w:val="1"/>
          <w:bCs w:val="1"/>
          <w:color w:val="auto"/>
        </w:rPr>
        <w:t>(Zip Code)</w:t>
      </w:r>
    </w:p>
    <w:p>
      <w:pPr>
        <w:spacing w:after="0" w:line="200" w:lineRule="exact"/>
        <w:rPr>
          <w:sz w:val="24"/>
          <w:szCs w:val="24"/>
          <w:color w:val="auto"/>
        </w:rPr>
      </w:pPr>
    </w:p>
    <w:p>
      <w:pPr>
        <w:sectPr>
          <w:pgSz w:w="11900" w:h="16838" w:orient="portrait"/>
          <w:cols w:equalWidth="0" w:num="2">
            <w:col w:w="6880" w:space="720"/>
            <w:col w:w="3380"/>
          </w:cols>
          <w:pgMar w:left="240" w:top="679" w:right="679" w:bottom="1440" w:gutter="0" w:footer="0" w:header="0"/>
          <w:type w:val="continuous"/>
        </w:sectPr>
      </w:pPr>
    </w:p>
    <w:p>
      <w:pPr>
        <w:spacing w:after="0" w:line="297"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310"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640" w:hanging="11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640" w:hanging="11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640" w:hanging="11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640" w:hanging="11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0980"/>
          </w:cols>
          <w:pgMar w:left="240" w:top="679" w:right="679" w:bottom="1440" w:gutter="0" w:footer="0" w:header="0"/>
          <w:type w:val="continuous"/>
        </w:sectPr>
      </w:pPr>
    </w:p>
    <w:bookmarkStart w:id="1" w:name="page2"/>
    <w:bookmarkEnd w:id="1"/>
    <w:p>
      <w:pPr>
        <w:jc w:val="both"/>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At the February 7, 2017 meeting of the Nominating and Corporate Governance Committee of the Board of Trustees (“Board”), Ms. Kristin Gamble indicated that she did not want to stand for reelection at the 2017 Annual Meeting of Shareholders. Ms. Gamble cited as her reasons the facts that she had served on the Board for nearly twenty-two (22) years and would reach the Board’s retirement age prior to the end of another term.</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On February 7, 2017, the Board, upon the recommendation of Nominating and Corporate Governance Committee, also appointed Ms. Liz Holland to serve as a member of each of the Compensation Committee and the Nominating and Corporate Governance Committee effective as of the Trust’s 2017 Annual Meeting of Shareholders.</w:t>
      </w:r>
    </w:p>
    <w:p>
      <w:pPr>
        <w:sectPr>
          <w:pgSz w:w="11900" w:h="16838" w:orient="portrait"/>
          <w:cols w:equalWidth="0" w:num="1">
            <w:col w:w="11420"/>
          </w:cols>
          <w:pgMar w:left="240" w:top="576" w:right="239" w:bottom="1440" w:gutter="0" w:footer="0" w:header="0"/>
        </w:sectPr>
      </w:pPr>
    </w:p>
    <w:bookmarkStart w:id="2" w:name="page3"/>
    <w:bookmarkEnd w:id="2"/>
    <w:p>
      <w:pPr>
        <w:ind w:left="5460"/>
        <w:spacing w:after="0"/>
        <w:rPr>
          <w:sz w:val="20"/>
          <w:szCs w:val="20"/>
          <w:color w:val="auto"/>
        </w:rPr>
      </w:pPr>
      <w:r>
        <w:rPr>
          <w:rFonts w:ascii="Arial" w:cs="Arial" w:eastAsia="Arial" w:hAnsi="Arial"/>
          <w:sz w:val="20"/>
          <w:szCs w:val="20"/>
          <w:b w:val="1"/>
          <w:bCs w:val="1"/>
          <w:color w:val="auto"/>
        </w:rPr>
        <w:t>SIGNATURE</w:t>
      </w:r>
    </w:p>
    <w:p>
      <w:pPr>
        <w:spacing w:after="0" w:line="200" w:lineRule="exact"/>
        <w:rPr>
          <w:sz w:val="20"/>
          <w:szCs w:val="20"/>
          <w:color w:val="auto"/>
        </w:rPr>
      </w:pPr>
    </w:p>
    <w:p>
      <w:pPr>
        <w:spacing w:after="0" w:line="23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FEDERAL REALTY INVESTMENT TRUST</w:t>
      </w:r>
    </w:p>
    <w:p>
      <w:pPr>
        <w:spacing w:after="0" w:line="222" w:lineRule="exact"/>
        <w:rPr>
          <w:sz w:val="20"/>
          <w:szCs w:val="20"/>
          <w:color w:val="auto"/>
        </w:rPr>
      </w:pPr>
    </w:p>
    <w:p>
      <w:pPr>
        <w:spacing w:after="0"/>
        <w:tabs>
          <w:tab w:leader="none" w:pos="600" w:val="left"/>
          <w:tab w:leader="none" w:pos="2420" w:val="left"/>
        </w:tabs>
        <w:rPr>
          <w:sz w:val="20"/>
          <w:szCs w:val="20"/>
          <w:color w:val="auto"/>
        </w:rPr>
      </w:pPr>
      <w:r>
        <w:rPr>
          <w:rFonts w:ascii="Arial" w:cs="Arial" w:eastAsia="Arial" w:hAnsi="Arial"/>
          <w:sz w:val="20"/>
          <w:szCs w:val="20"/>
          <w:color w:val="auto"/>
        </w:rPr>
        <w:t>Date:</w:t>
        <w:tab/>
        <w:t>February 10, 2017</w:t>
      </w:r>
      <w:r>
        <w:rPr>
          <w:sz w:val="20"/>
          <w:szCs w:val="20"/>
          <w:color w:val="auto"/>
        </w:rPr>
        <w:tab/>
      </w:r>
      <w:r>
        <w:rPr>
          <w:rFonts w:ascii="Arial" w:cs="Arial" w:eastAsia="Arial" w:hAnsi="Arial"/>
          <w:sz w:val="18"/>
          <w:szCs w:val="18"/>
          <w:u w:val="single" w:color="auto"/>
          <w:color w:val="auto"/>
        </w:rPr>
        <w:t>/s/ Dawn M. Becker</w:t>
      </w:r>
    </w:p>
    <w:p>
      <w:pPr>
        <w:spacing w:after="0" w:line="21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Dawn M. Becker</w:t>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Executive Vice President-General Counsel and Secretary</w:t>
      </w:r>
    </w:p>
    <w:sectPr>
      <w:pgSz w:w="11900" w:h="16838" w:orient="portrait"/>
      <w:cols w:equalWidth="0" w:num="1">
        <w:col w:w="11420"/>
      </w:cols>
      <w:pgMar w:left="240" w:top="7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2019-12-05T02:58:28Z</dcterms:created>
  <dcterms:modified xsi:type="dcterms:W3CDTF">2019-12-05T02:58:28Z</dcterms:modified>
</cp:coreProperties>
</file>