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+The information in this</w:t>
            </w:r>
          </w:p>
        </w:tc>
        <w:tc>
          <w:tcPr>
            <w:tcW w:w="48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prospectus supplement is not complete and may</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be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840" w:type="dxa"/>
            <w:vAlign w:val="bottom"/>
            <w:gridSpan w:val="3"/>
          </w:tcPr>
          <w:p>
            <w:pPr>
              <w:spacing w:after="0"/>
              <w:rPr>
                <w:sz w:val="20"/>
                <w:szCs w:val="20"/>
                <w:color w:val="auto"/>
              </w:rPr>
            </w:pPr>
            <w:r>
              <w:rPr>
                <w:rFonts w:ascii="Courier New" w:cs="Courier New" w:eastAsia="Courier New" w:hAnsi="Courier New"/>
                <w:sz w:val="17"/>
                <w:szCs w:val="17"/>
                <w:color w:val="auto"/>
              </w:rPr>
              <w:t>+changed. This prospectus supplement</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and the accompanying</w:t>
            </w:r>
          </w:p>
        </w:tc>
        <w:tc>
          <w:tcPr>
            <w:tcW w:w="2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prospectus are not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+an offer to sell</w:t>
            </w:r>
          </w:p>
        </w:tc>
        <w:tc>
          <w:tcPr>
            <w:tcW w:w="55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these securities and we are not soliciting offers to</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buy</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+these securities</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in any</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state where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offer or sale is</w:t>
            </w:r>
          </w:p>
        </w:tc>
        <w:tc>
          <w:tcPr>
            <w:tcW w:w="2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not permitted.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Filed pursuant to Rule 424(b)(3)</w:t>
      </w:r>
    </w:p>
    <w:p>
      <w:pPr>
        <w:spacing w:after="0" w:line="9"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Registration No. 333-63619</w:t>
      </w:r>
    </w:p>
    <w:p>
      <w:pPr>
        <w:spacing w:after="0" w:line="210" w:lineRule="exact"/>
        <w:rPr>
          <w:sz w:val="24"/>
          <w:szCs w:val="24"/>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PRELIMINARY PROSPECTUS SUPPLEMENT (Subject to Completion, Issued November 15, 2001)</w:t>
      </w:r>
    </w:p>
    <w:p>
      <w:pPr>
        <w:spacing w:after="0"/>
        <w:rPr>
          <w:sz w:val="20"/>
          <w:szCs w:val="20"/>
          <w:color w:val="auto"/>
        </w:rPr>
      </w:pPr>
      <w:r>
        <w:rPr>
          <w:rFonts w:ascii="Courier New" w:cs="Courier New" w:eastAsia="Courier New" w:hAnsi="Courier New"/>
          <w:sz w:val="17"/>
          <w:szCs w:val="17"/>
          <w:color w:val="auto"/>
        </w:rPr>
        <w:t>(To Prospectus dated September 30, 1998)</w:t>
      </w:r>
    </w:p>
    <w:p>
      <w:pPr>
        <w:spacing w:after="0" w:line="210"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[LOGO OF FEDERAL REALTY INVESTMENT TRUST]</w:t>
      </w:r>
    </w:p>
    <w:p>
      <w:pPr>
        <w:spacing w:after="0" w:line="210" w:lineRule="exact"/>
        <w:rPr>
          <w:sz w:val="24"/>
          <w:szCs w:val="24"/>
          <w:color w:val="auto"/>
        </w:rPr>
      </w:pPr>
    </w:p>
    <w:p>
      <w:pPr>
        <w:ind w:left="2000" w:right="3399" w:hanging="317"/>
        <w:spacing w:after="0" w:line="257" w:lineRule="auto"/>
        <w:tabs>
          <w:tab w:leader="none" w:pos="1895"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SERIES B CUMULATIVE REDEEMABLE PREFERRED SHARES (Liquidation Preference $25.00 per share)</w:t>
      </w:r>
    </w:p>
    <w:p>
      <w:pPr>
        <w:spacing w:after="0" w:line="192"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Series B Preferred Shares will not be redeemable before , 2006. Beginning , 2006, Federal Realty Investment Trust may redeem Series B Preferred Shares at $25 per share plus accumulated dividends. Dividends on the Series B Preferred Shares will be cumulative from the date of issuance and are payable quarterly, starting February 28, 2002.</w:t>
      </w:r>
    </w:p>
    <w:p>
      <w:pPr>
        <w:spacing w:after="0" w:line="197"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both"/>
        <w:ind w:right="2039" w:firstLine="209"/>
        <w:spacing w:after="0" w:line="254" w:lineRule="auto"/>
        <w:rPr>
          <w:sz w:val="20"/>
          <w:szCs w:val="20"/>
          <w:color w:val="auto"/>
        </w:rPr>
      </w:pPr>
      <w:r>
        <w:rPr>
          <w:rFonts w:ascii="Courier New" w:cs="Courier New" w:eastAsia="Courier New" w:hAnsi="Courier New"/>
          <w:sz w:val="17"/>
          <w:szCs w:val="17"/>
          <w:color w:val="auto"/>
        </w:rPr>
        <w:t>Federal Realty expects to list the Series B Preferred Shares on the New York Stock Exchange and expects that trading will commence within 30 days after the initial delivery of the Series B Preferred Shares.</w:t>
      </w:r>
    </w:p>
    <w:p>
      <w:pPr>
        <w:spacing w:after="0" w:line="194"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939" w:firstLine="209"/>
        <w:spacing w:after="0" w:line="257" w:lineRule="auto"/>
        <w:rPr>
          <w:sz w:val="20"/>
          <w:szCs w:val="20"/>
          <w:color w:val="auto"/>
        </w:rPr>
      </w:pPr>
      <w:r>
        <w:rPr>
          <w:rFonts w:ascii="Courier New" w:cs="Courier New" w:eastAsia="Courier New" w:hAnsi="Courier New"/>
          <w:sz w:val="17"/>
          <w:szCs w:val="17"/>
          <w:color w:val="auto"/>
        </w:rPr>
        <w:t>Investing in the Series B Preferred Shares involves risks. See "Risk Factors" on page S-7.</w:t>
      </w:r>
    </w:p>
    <w:p>
      <w:pPr>
        <w:spacing w:after="0" w:line="192"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PRICE $25 A SHARE</w:t>
      </w:r>
    </w:p>
    <w:p>
      <w:pPr>
        <w:spacing w:after="0" w:line="210"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540"/>
        <w:spacing w:after="0"/>
        <w:rPr>
          <w:sz w:val="20"/>
          <w:szCs w:val="20"/>
          <w:color w:val="auto"/>
        </w:rPr>
      </w:pPr>
      <w:r>
        <w:rPr>
          <w:rFonts w:ascii="Courier New" w:cs="Courier New" w:eastAsia="Courier New" w:hAnsi="Courier New"/>
          <w:sz w:val="17"/>
          <w:szCs w:val="17"/>
          <w:color w:val="auto"/>
        </w:rPr>
        <w:t>Proceeds</w:t>
      </w:r>
    </w:p>
    <w:p>
      <w:pPr>
        <w:spacing w:after="0" w:line="9" w:lineRule="exact"/>
        <w:rPr>
          <w:sz w:val="24"/>
          <w:szCs w:val="24"/>
          <w:color w:val="auto"/>
        </w:rPr>
      </w:pPr>
    </w:p>
    <w:p>
      <w:pPr>
        <w:ind w:left="6080"/>
        <w:spacing w:after="0"/>
        <w:tabs>
          <w:tab w:leader="none" w:pos="7840" w:val="left"/>
        </w:tabs>
        <w:rPr>
          <w:sz w:val="20"/>
          <w:szCs w:val="20"/>
          <w:color w:val="auto"/>
        </w:rPr>
      </w:pPr>
      <w:r>
        <w:rPr>
          <w:rFonts w:ascii="Courier New" w:cs="Courier New" w:eastAsia="Courier New" w:hAnsi="Courier New"/>
          <w:sz w:val="17"/>
          <w:szCs w:val="17"/>
          <w:color w:val="auto"/>
        </w:rPr>
        <w:t>Underwriting</w:t>
      </w:r>
      <w:r>
        <w:rPr>
          <w:sz w:val="20"/>
          <w:szCs w:val="20"/>
          <w:color w:val="auto"/>
        </w:rPr>
        <w:tab/>
      </w:r>
      <w:r>
        <w:rPr>
          <w:rFonts w:ascii="Courier New" w:cs="Courier New" w:eastAsia="Courier New" w:hAnsi="Courier New"/>
          <w:sz w:val="17"/>
          <w:szCs w:val="17"/>
          <w:color w:val="auto"/>
        </w:rPr>
        <w:t>to</w:t>
      </w:r>
    </w:p>
    <w:p>
      <w:pPr>
        <w:spacing w:after="0" w:line="9" w:lineRule="exact"/>
        <w:rPr>
          <w:sz w:val="24"/>
          <w:szCs w:val="24"/>
          <w:color w:val="auto"/>
        </w:rPr>
      </w:pPr>
    </w:p>
    <w:p>
      <w:pPr>
        <w:ind w:left="5140"/>
        <w:spacing w:after="0"/>
        <w:rPr>
          <w:sz w:val="20"/>
          <w:szCs w:val="20"/>
          <w:color w:val="auto"/>
        </w:rPr>
      </w:pPr>
      <w:r>
        <w:rPr>
          <w:rFonts w:ascii="Courier New" w:cs="Courier New" w:eastAsia="Courier New" w:hAnsi="Courier New"/>
          <w:sz w:val="17"/>
          <w:szCs w:val="17"/>
          <w:color w:val="auto"/>
        </w:rPr>
        <w:t>Price to Discounts and Federal</w:t>
      </w:r>
    </w:p>
    <w:p>
      <w:pPr>
        <w:spacing w:after="0" w:line="9" w:lineRule="exact"/>
        <w:rPr>
          <w:sz w:val="24"/>
          <w:szCs w:val="24"/>
          <w:color w:val="auto"/>
        </w:rPr>
      </w:pPr>
    </w:p>
    <w:p>
      <w:pPr>
        <w:ind w:left="5240"/>
        <w:spacing w:after="0"/>
        <w:tabs>
          <w:tab w:leader="none" w:pos="6160" w:val="left"/>
          <w:tab w:leader="none" w:pos="7640" w:val="left"/>
        </w:tabs>
        <w:rPr>
          <w:sz w:val="20"/>
          <w:szCs w:val="20"/>
          <w:color w:val="auto"/>
        </w:rPr>
      </w:pPr>
      <w:r>
        <w:rPr>
          <w:rFonts w:ascii="Courier New" w:cs="Courier New" w:eastAsia="Courier New" w:hAnsi="Courier New"/>
          <w:sz w:val="17"/>
          <w:szCs w:val="17"/>
          <w:color w:val="auto"/>
        </w:rPr>
        <w:t>Public</w:t>
        <w:tab/>
        <w:t>Commissions</w:t>
      </w:r>
      <w:r>
        <w:rPr>
          <w:sz w:val="20"/>
          <w:szCs w:val="20"/>
          <w:color w:val="auto"/>
        </w:rPr>
        <w:tab/>
      </w:r>
      <w:r>
        <w:rPr>
          <w:rFonts w:ascii="Courier New" w:cs="Courier New" w:eastAsia="Courier New" w:hAnsi="Courier New"/>
          <w:sz w:val="17"/>
          <w:szCs w:val="17"/>
          <w:color w:val="auto"/>
        </w:rPr>
        <w:t>Realty</w:t>
      </w:r>
    </w:p>
    <w:p>
      <w:pPr>
        <w:spacing w:after="0" w:line="9" w:lineRule="exact"/>
        <w:rPr>
          <w:sz w:val="24"/>
          <w:szCs w:val="24"/>
          <w:color w:val="auto"/>
        </w:rPr>
      </w:pPr>
    </w:p>
    <w:p>
      <w:pPr>
        <w:ind w:left="5140"/>
        <w:spacing w:after="0"/>
        <w:rPr>
          <w:sz w:val="20"/>
          <w:szCs w:val="20"/>
          <w:color w:val="auto"/>
        </w:rPr>
      </w:pPr>
      <w:r>
        <w:rPr>
          <w:rFonts w:ascii="Courier New" w:cs="Courier New" w:eastAsia="Courier New" w:hAnsi="Courier New"/>
          <w:sz w:val="17"/>
          <w:szCs w:val="17"/>
          <w:color w:val="auto"/>
        </w:rPr>
        <w:t>-------- ------------- --------</w:t>
      </w:r>
    </w:p>
    <w:p>
      <w:pPr>
        <w:sectPr>
          <w:pgSz w:w="11900" w:h="16838" w:orient="portrait"/>
          <w:cols w:equalWidth="0" w:num="1">
            <w:col w:w="10219"/>
          </w:cols>
          <w:pgMar w:left="240" w:top="652" w:right="1440" w:bottom="525" w:gutter="0" w:footer="0" w:header="0"/>
        </w:sect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Per Share.......................................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4"/>
          <w:szCs w:val="24"/>
          <w:color w:val="auto"/>
        </w:rPr>
      </w:pPr>
    </w:p>
    <w:p>
      <w:pPr>
        <w:sectPr>
          <w:pgSz w:w="11900" w:h="16838" w:orient="portrait"/>
          <w:cols w:equalWidth="0" w:num="4">
            <w:col w:w="5040" w:space="300"/>
            <w:col w:w="440" w:space="720"/>
            <w:col w:w="540" w:space="720"/>
            <w:col w:w="2459"/>
          </w:cols>
          <w:pgMar w:left="240" w:top="652" w:right="1440" w:bottom="525" w:gutter="0" w:footer="0" w:header="0"/>
          <w:type w:val="continuous"/>
        </w:sectPr>
      </w:pPr>
    </w:p>
    <w:p>
      <w:pPr>
        <w:spacing w:after="0" w:line="212" w:lineRule="exact"/>
        <w:rPr>
          <w:sz w:val="24"/>
          <w:szCs w:val="24"/>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Securities and Exchange Commission and state securities regulators have not approved or disapproved these securities, or determined if this prospectus supplement or the accompanying prospectus is truthful or complete. Any representation to the contrary is a criminal offense.</w:t>
      </w:r>
    </w:p>
    <w:p>
      <w:pPr>
        <w:spacing w:after="0" w:line="19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Federal Realty has granted to the underwriters the right to purchase up to an</w:t>
      </w:r>
    </w:p>
    <w:p>
      <w:pPr>
        <w:spacing w:after="0" w:line="9"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additional</w:t>
      </w:r>
      <w:r>
        <w:rPr>
          <w:sz w:val="20"/>
          <w:szCs w:val="20"/>
          <w:color w:val="auto"/>
        </w:rPr>
        <w:tab/>
      </w:r>
      <w:r>
        <w:rPr>
          <w:rFonts w:ascii="Courier New" w:cs="Courier New" w:eastAsia="Courier New" w:hAnsi="Courier New"/>
          <w:sz w:val="17"/>
          <w:szCs w:val="17"/>
          <w:color w:val="auto"/>
        </w:rPr>
        <w:t>Series B Preferred Shares to cover overallotments.</w:t>
      </w:r>
    </w:p>
    <w:p>
      <w:pPr>
        <w:spacing w:after="0" w:line="210" w:lineRule="exact"/>
        <w:rPr>
          <w:sz w:val="24"/>
          <w:szCs w:val="24"/>
          <w:color w:val="auto"/>
        </w:rPr>
      </w:pPr>
    </w:p>
    <w:p>
      <w:pPr>
        <w:ind w:right="2979" w:firstLine="209"/>
        <w:spacing w:after="0" w:line="257" w:lineRule="auto"/>
        <w:rPr>
          <w:sz w:val="20"/>
          <w:szCs w:val="20"/>
          <w:color w:val="auto"/>
        </w:rPr>
      </w:pPr>
      <w:r>
        <w:rPr>
          <w:rFonts w:ascii="Courier New" w:cs="Courier New" w:eastAsia="Courier New" w:hAnsi="Courier New"/>
          <w:sz w:val="17"/>
          <w:szCs w:val="17"/>
          <w:color w:val="auto"/>
        </w:rPr>
        <w:t>The underwriters expect to deliver the Series B Preferred Shares to purchasers on or about November , 2001.</w:t>
      </w:r>
    </w:p>
    <w:p>
      <w:pPr>
        <w:spacing w:after="0" w:line="192"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MORGAN STANLEY</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MERRILL LYNCH &amp; CO.</w:t>
      </w:r>
    </w:p>
    <w:p>
      <w:pPr>
        <w:spacing w:after="0" w:line="9"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SALOMON SMITH BARNEY</w:t>
      </w:r>
    </w:p>
    <w:p>
      <w:pPr>
        <w:spacing w:after="0" w:line="9"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WACHOVIA SECURITIES</w:t>
      </w:r>
    </w:p>
    <w:p>
      <w:pPr>
        <w:spacing w:after="0" w:line="21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November</w:t>
        <w:tab/>
        <w:t>, 2001</w:t>
      </w:r>
    </w:p>
    <w:p>
      <w:pPr>
        <w:sectPr>
          <w:pgSz w:w="11900" w:h="16838" w:orient="portrait"/>
          <w:cols w:equalWidth="0" w:num="1">
            <w:col w:w="10219"/>
          </w:cols>
          <w:pgMar w:left="240" w:top="652" w:right="1440" w:bottom="525" w:gutter="0" w:footer="0" w:header="0"/>
          <w:type w:val="continuous"/>
        </w:sectPr>
      </w:pPr>
    </w:p>
    <w:bookmarkStart w:id="1" w:name="page2"/>
    <w:bookmarkEnd w:id="1"/>
    <w:p>
      <w:pPr>
        <w:ind w:right="2139" w:firstLine="314"/>
        <w:spacing w:after="0" w:line="251" w:lineRule="auto"/>
        <w:rPr>
          <w:sz w:val="20"/>
          <w:szCs w:val="20"/>
          <w:color w:val="auto"/>
        </w:rPr>
      </w:pPr>
      <w:r>
        <w:rPr>
          <w:rFonts w:ascii="Courier New" w:cs="Courier New" w:eastAsia="Courier New" w:hAnsi="Courier New"/>
          <w:sz w:val="17"/>
          <w:szCs w:val="17"/>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and the accompanying prospectus is accurate as of their dates. Our business, financial condition, results of operations and prospects may have changed since then.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PROSPECTUS SUPPLEMENT</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Prospectus Supplement Summary</w:t>
      </w:r>
      <w:r>
        <w:rPr>
          <w:sz w:val="20"/>
          <w:szCs w:val="20"/>
          <w:color w:val="auto"/>
        </w:rPr>
        <w:tab/>
      </w:r>
      <w:r>
        <w:rPr>
          <w:rFonts w:ascii="Courier New" w:cs="Courier New" w:eastAsia="Courier New" w:hAnsi="Courier New"/>
          <w:sz w:val="17"/>
          <w:szCs w:val="17"/>
          <w:color w:val="auto"/>
        </w:rPr>
        <w:t>S-3</w:t>
      </w:r>
    </w:p>
    <w:p>
      <w:pPr>
        <w:spacing w:after="0" w:line="9" w:lineRule="exact"/>
        <w:rPr>
          <w:sz w:val="20"/>
          <w:szCs w:val="20"/>
          <w:color w:val="auto"/>
        </w:rPr>
      </w:pPr>
    </w:p>
    <w:p>
      <w:pPr>
        <w:ind w:left="220"/>
        <w:spacing w:after="0"/>
        <w:tabs>
          <w:tab w:leader="dot" w:pos="7940" w:val="left"/>
        </w:tabs>
        <w:rPr>
          <w:sz w:val="20"/>
          <w:szCs w:val="20"/>
          <w:color w:val="auto"/>
        </w:rPr>
      </w:pPr>
      <w:r>
        <w:rPr>
          <w:rFonts w:ascii="Courier New" w:cs="Courier New" w:eastAsia="Courier New" w:hAnsi="Courier New"/>
          <w:sz w:val="17"/>
          <w:szCs w:val="17"/>
          <w:color w:val="auto"/>
        </w:rPr>
        <w:t>Federal Realty Investment Trust</w:t>
      </w:r>
      <w:r>
        <w:rPr>
          <w:sz w:val="20"/>
          <w:szCs w:val="20"/>
          <w:color w:val="auto"/>
        </w:rPr>
        <w:tab/>
      </w:r>
      <w:r>
        <w:rPr>
          <w:rFonts w:ascii="Courier New" w:cs="Courier New" w:eastAsia="Courier New" w:hAnsi="Courier New"/>
          <w:sz w:val="17"/>
          <w:szCs w:val="17"/>
          <w:color w:val="auto"/>
        </w:rPr>
        <w:t>S-3</w:t>
      </w:r>
    </w:p>
    <w:p>
      <w:pPr>
        <w:spacing w:after="0" w:line="9" w:lineRule="exact"/>
        <w:rPr>
          <w:sz w:val="20"/>
          <w:szCs w:val="20"/>
          <w:color w:val="auto"/>
        </w:rPr>
      </w:pPr>
    </w:p>
    <w:p>
      <w:pPr>
        <w:ind w:left="220"/>
        <w:spacing w:after="0"/>
        <w:tabs>
          <w:tab w:leader="dot" w:pos="7940" w:val="left"/>
        </w:tabs>
        <w:rPr>
          <w:sz w:val="20"/>
          <w:szCs w:val="20"/>
          <w:color w:val="auto"/>
        </w:rPr>
      </w:pPr>
      <w:r>
        <w:rPr>
          <w:rFonts w:ascii="Courier New" w:cs="Courier New" w:eastAsia="Courier New" w:hAnsi="Courier New"/>
          <w:sz w:val="17"/>
          <w:szCs w:val="17"/>
          <w:color w:val="auto"/>
        </w:rPr>
        <w:t>Recent Developments</w:t>
      </w:r>
      <w:r>
        <w:rPr>
          <w:sz w:val="20"/>
          <w:szCs w:val="20"/>
          <w:color w:val="auto"/>
        </w:rPr>
        <w:tab/>
      </w:r>
      <w:r>
        <w:rPr>
          <w:rFonts w:ascii="Courier New" w:cs="Courier New" w:eastAsia="Courier New" w:hAnsi="Courier New"/>
          <w:sz w:val="17"/>
          <w:szCs w:val="17"/>
          <w:color w:val="auto"/>
        </w:rPr>
        <w:t>S-4</w:t>
      </w:r>
    </w:p>
    <w:p>
      <w:pPr>
        <w:spacing w:after="0" w:line="9" w:lineRule="exact"/>
        <w:rPr>
          <w:sz w:val="20"/>
          <w:szCs w:val="20"/>
          <w:color w:val="auto"/>
        </w:rPr>
      </w:pPr>
    </w:p>
    <w:p>
      <w:pPr>
        <w:ind w:left="220"/>
        <w:spacing w:after="0"/>
        <w:tabs>
          <w:tab w:leader="dot" w:pos="7940" w:val="left"/>
        </w:tabs>
        <w:rPr>
          <w:sz w:val="20"/>
          <w:szCs w:val="20"/>
          <w:color w:val="auto"/>
        </w:rPr>
      </w:pPr>
      <w:r>
        <w:rPr>
          <w:rFonts w:ascii="Courier New" w:cs="Courier New" w:eastAsia="Courier New" w:hAnsi="Courier New"/>
          <w:sz w:val="17"/>
          <w:szCs w:val="17"/>
          <w:color w:val="auto"/>
        </w:rPr>
        <w:t>The Offering</w:t>
      </w:r>
      <w:r>
        <w:rPr>
          <w:sz w:val="20"/>
          <w:szCs w:val="20"/>
          <w:color w:val="auto"/>
        </w:rPr>
        <w:tab/>
      </w:r>
      <w:r>
        <w:rPr>
          <w:rFonts w:ascii="Courier New" w:cs="Courier New" w:eastAsia="Courier New" w:hAnsi="Courier New"/>
          <w:sz w:val="17"/>
          <w:szCs w:val="17"/>
          <w:color w:val="auto"/>
        </w:rPr>
        <w:t>S-6</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7"/>
          <w:szCs w:val="17"/>
          <w:color w:val="auto"/>
        </w:rPr>
        <w:t>S-7</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7"/>
          <w:szCs w:val="17"/>
          <w:color w:val="auto"/>
        </w:rPr>
        <w:t>S-7</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7"/>
          <w:szCs w:val="17"/>
          <w:color w:val="auto"/>
        </w:rPr>
        <w:t>S-8</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Selected Consolidated Financial Data</w:t>
      </w:r>
      <w:r>
        <w:rPr>
          <w:sz w:val="20"/>
          <w:szCs w:val="20"/>
          <w:color w:val="auto"/>
        </w:rPr>
        <w:tab/>
      </w:r>
      <w:r>
        <w:rPr>
          <w:rFonts w:ascii="Courier New" w:cs="Courier New" w:eastAsia="Courier New" w:hAnsi="Courier New"/>
          <w:sz w:val="17"/>
          <w:szCs w:val="17"/>
          <w:color w:val="auto"/>
        </w:rPr>
        <w:t>S-9</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Our Portfolio</w:t>
      </w:r>
      <w:r>
        <w:rPr>
          <w:sz w:val="20"/>
          <w:szCs w:val="20"/>
          <w:color w:val="auto"/>
        </w:rPr>
        <w:tab/>
      </w:r>
      <w:r>
        <w:rPr>
          <w:rFonts w:ascii="Courier New" w:cs="Courier New" w:eastAsia="Courier New" w:hAnsi="Courier New"/>
          <w:sz w:val="17"/>
          <w:szCs w:val="17"/>
          <w:color w:val="auto"/>
        </w:rPr>
        <w:t>S-10</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Description of Series B Preferred Shares</w:t>
      </w:r>
      <w:r>
        <w:rPr>
          <w:sz w:val="20"/>
          <w:szCs w:val="20"/>
          <w:color w:val="auto"/>
        </w:rPr>
        <w:tab/>
      </w:r>
      <w:r>
        <w:rPr>
          <w:rFonts w:ascii="Courier New" w:cs="Courier New" w:eastAsia="Courier New" w:hAnsi="Courier New"/>
          <w:sz w:val="17"/>
          <w:szCs w:val="17"/>
          <w:color w:val="auto"/>
        </w:rPr>
        <w:t>S-15</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Federal Income Tax Consequences</w:t>
      </w:r>
      <w:r>
        <w:rPr>
          <w:sz w:val="20"/>
          <w:szCs w:val="20"/>
          <w:color w:val="auto"/>
        </w:rPr>
        <w:tab/>
      </w:r>
      <w:r>
        <w:rPr>
          <w:rFonts w:ascii="Courier New" w:cs="Courier New" w:eastAsia="Courier New" w:hAnsi="Courier New"/>
          <w:sz w:val="17"/>
          <w:szCs w:val="17"/>
          <w:color w:val="auto"/>
        </w:rPr>
        <w:t>S-18</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Underwriters</w:t>
      </w:r>
      <w:r>
        <w:rPr>
          <w:sz w:val="20"/>
          <w:szCs w:val="20"/>
          <w:color w:val="auto"/>
        </w:rPr>
        <w:tab/>
      </w:r>
      <w:r>
        <w:rPr>
          <w:rFonts w:ascii="Courier New" w:cs="Courier New" w:eastAsia="Courier New" w:hAnsi="Courier New"/>
          <w:sz w:val="17"/>
          <w:szCs w:val="17"/>
          <w:color w:val="auto"/>
        </w:rPr>
        <w:t>S-20</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7"/>
          <w:szCs w:val="17"/>
          <w:color w:val="auto"/>
        </w:rPr>
        <w:t>S-21</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PROSPECTUS</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The Trust</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Ratios of Earnings to Fixed Charges</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Description of Debt Securities</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Description of Preferred Shares</w:t>
      </w:r>
      <w:r>
        <w:rPr>
          <w:sz w:val="20"/>
          <w:szCs w:val="20"/>
          <w:color w:val="auto"/>
        </w:rPr>
        <w:tab/>
      </w:r>
      <w:r>
        <w:rPr>
          <w:rFonts w:ascii="Courier New" w:cs="Courier New" w:eastAsia="Courier New" w:hAnsi="Courier New"/>
          <w:sz w:val="16"/>
          <w:szCs w:val="16"/>
          <w:color w:val="auto"/>
        </w:rPr>
        <w:t>16</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Description of Common Shares</w:t>
      </w:r>
      <w:r>
        <w:rPr>
          <w:sz w:val="20"/>
          <w:szCs w:val="20"/>
          <w:color w:val="auto"/>
        </w:rPr>
        <w:tab/>
      </w:r>
      <w:r>
        <w:rPr>
          <w:rFonts w:ascii="Courier New" w:cs="Courier New" w:eastAsia="Courier New" w:hAnsi="Courier New"/>
          <w:sz w:val="16"/>
          <w:szCs w:val="16"/>
          <w:color w:val="auto"/>
        </w:rPr>
        <w:t>22</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Federal Income Tax Considerations</w:t>
      </w:r>
      <w:r>
        <w:rPr>
          <w:sz w:val="20"/>
          <w:szCs w:val="20"/>
          <w:color w:val="auto"/>
        </w:rPr>
        <w:tab/>
      </w:r>
      <w:r>
        <w:rPr>
          <w:rFonts w:ascii="Courier New" w:cs="Courier New" w:eastAsia="Courier New" w:hAnsi="Courier New"/>
          <w:sz w:val="16"/>
          <w:szCs w:val="16"/>
          <w:color w:val="auto"/>
        </w:rPr>
        <w:t>23</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24</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Legal Opinions</w:t>
      </w:r>
      <w:r>
        <w:rPr>
          <w:sz w:val="20"/>
          <w:szCs w:val="20"/>
          <w:color w:val="auto"/>
        </w:rPr>
        <w:tab/>
      </w:r>
      <w:r>
        <w:rPr>
          <w:rFonts w:ascii="Courier New" w:cs="Courier New" w:eastAsia="Courier New" w:hAnsi="Courier New"/>
          <w:sz w:val="16"/>
          <w:szCs w:val="16"/>
          <w:color w:val="auto"/>
        </w:rPr>
        <w:t>25</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719" w:right="1440" w:bottom="1440" w:gutter="0" w:footer="0" w:header="0"/>
        </w:sectPr>
      </w:pPr>
    </w:p>
    <w:bookmarkStart w:id="2" w:name="page3"/>
    <w:bookmarkEnd w:id="2"/>
    <w:p>
      <w:pPr>
        <w:jc w:val="center"/>
        <w:ind w:right="1939"/>
        <w:spacing w:after="0"/>
        <w:rPr>
          <w:sz w:val="20"/>
          <w:szCs w:val="20"/>
          <w:color w:val="auto"/>
        </w:rPr>
      </w:pPr>
      <w:r>
        <w:rPr>
          <w:rFonts w:ascii="Courier New" w:cs="Courier New" w:eastAsia="Courier New" w:hAnsi="Courier New"/>
          <w:sz w:val="17"/>
          <w:szCs w:val="17"/>
          <w:color w:val="auto"/>
        </w:rPr>
        <w:t>PROSPECTUS SUPPLEMENT SUMMARY</w:t>
      </w:r>
    </w:p>
    <w:p>
      <w:pPr>
        <w:spacing w:after="0" w:line="210" w:lineRule="exact"/>
        <w:rPr>
          <w:sz w:val="20"/>
          <w:szCs w:val="20"/>
          <w:color w:val="auto"/>
        </w:rPr>
      </w:pPr>
    </w:p>
    <w:p>
      <w:pPr>
        <w:ind w:right="2259" w:firstLine="314"/>
        <w:spacing w:after="0" w:line="252" w:lineRule="auto"/>
        <w:rPr>
          <w:sz w:val="20"/>
          <w:szCs w:val="20"/>
          <w:color w:val="auto"/>
        </w:rPr>
      </w:pPr>
      <w:r>
        <w:rPr>
          <w:rFonts w:ascii="Courier New" w:cs="Courier New" w:eastAsia="Courier New" w:hAnsi="Courier New"/>
          <w:sz w:val="17"/>
          <w:szCs w:val="17"/>
          <w:color w:val="auto"/>
        </w:rPr>
        <w:t>The following is only a summary. It should be read together with the more detailed information elsewhere in this prospectus supplement and the accompanying prospectus. In addition, important information, including capitalized terms used but not defined in this prospectus supplement, is incorporated by reference into the prospectus.</w:t>
      </w:r>
    </w:p>
    <w:p>
      <w:pPr>
        <w:spacing w:after="0" w:line="197"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10" w:lineRule="exact"/>
        <w:rPr>
          <w:sz w:val="20"/>
          <w:szCs w:val="20"/>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As used in this prospectus supplement, references to "we", "our", the "Trust" and "Federal Realty" and similar references are to Federal Realty Investment Trust, a Maryland real estate investment trust and its consolidated subsidiaries.</w:t>
      </w:r>
    </w:p>
    <w:p>
      <w:pPr>
        <w:spacing w:after="0" w:line="195"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Federal Realty Investment Trust is an equity real estate investment trust specializing in the ownership, management, development and re-development of high quality retail and mixed-use properties. Federal Realty owns or has an interest in 56 community and neighborhood shopping centers comprising over 12 million square feet, primarily located in densely populated and affluent communities throughout the Northeast and Mid-Atlantic United States. In addition, Federal Realty owns 66 retail and urban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w:t>
      </w:r>
    </w:p>
    <w:p>
      <w:pPr>
        <w:spacing w:after="0" w:line="201"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will be an important source of our growth in the future.</w:t>
      </w:r>
    </w:p>
    <w:p>
      <w:pPr>
        <w:spacing w:after="0" w:line="201" w:lineRule="exact"/>
        <w:rPr>
          <w:sz w:val="20"/>
          <w:szCs w:val="20"/>
          <w:color w:val="auto"/>
        </w:rPr>
      </w:pPr>
    </w:p>
    <w:p>
      <w:pPr>
        <w:ind w:right="1939" w:firstLine="314"/>
        <w:spacing w:after="0" w:line="252" w:lineRule="auto"/>
        <w:rPr>
          <w:sz w:val="20"/>
          <w:szCs w:val="20"/>
          <w:color w:val="auto"/>
        </w:rPr>
      </w:pPr>
      <w:r>
        <w:rPr>
          <w:rFonts w:ascii="Courier New" w:cs="Courier New" w:eastAsia="Courier New" w:hAnsi="Courier New"/>
          <w:sz w:val="17"/>
          <w:szCs w:val="17"/>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197" w:lineRule="exact"/>
        <w:rPr>
          <w:sz w:val="20"/>
          <w:szCs w:val="20"/>
          <w:color w:val="auto"/>
        </w:rPr>
      </w:pPr>
    </w:p>
    <w:p>
      <w:pPr>
        <w:ind w:right="2359" w:firstLine="314"/>
        <w:spacing w:after="0" w:line="257" w:lineRule="auto"/>
        <w:rPr>
          <w:sz w:val="20"/>
          <w:szCs w:val="20"/>
          <w:color w:val="auto"/>
        </w:rPr>
      </w:pPr>
      <w:r>
        <w:rPr>
          <w:rFonts w:ascii="Courier New" w:cs="Courier New" w:eastAsia="Courier New" w:hAnsi="Courier New"/>
          <w:sz w:val="17"/>
          <w:szCs w:val="17"/>
          <w:color w:val="auto"/>
        </w:rPr>
        <w:t>We have benefited, and expect to continue to benefit, from the following characteristics of our operations:</w:t>
      </w:r>
    </w:p>
    <w:p>
      <w:pPr>
        <w:spacing w:after="0" w:line="192" w:lineRule="exact"/>
        <w:rPr>
          <w:sz w:val="20"/>
          <w:szCs w:val="20"/>
          <w:color w:val="auto"/>
        </w:rPr>
      </w:pPr>
    </w:p>
    <w:p>
      <w:pPr>
        <w:ind w:left="540" w:right="2139" w:hanging="323"/>
        <w:spacing w:after="0" w:line="253" w:lineRule="auto"/>
        <w:tabs>
          <w:tab w:leader="none" w:pos="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term operating history. Our revenues have increased consistently since we were founded through many real estate and economic cycles. As a result, we have been able to increase our common dividend each and every year for the past 34 years.</w:t>
      </w:r>
    </w:p>
    <w:p>
      <w:pPr>
        <w:spacing w:after="0" w:line="195" w:lineRule="exact"/>
        <w:rPr>
          <w:sz w:val="20"/>
          <w:szCs w:val="20"/>
          <w:color w:val="auto"/>
        </w:rPr>
      </w:pPr>
    </w:p>
    <w:p>
      <w:pPr>
        <w:ind w:left="540" w:right="2139" w:hanging="323"/>
        <w:spacing w:after="0" w:line="253"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Strong demand for our assets. During the twelve months ended September 30, 2001, we signed leases for 1,457,000 square feet of retail space. On a same space basis, we re-leased 837,000 square feet of retail space at an average increase in rent per square foot of 15%.</w:t>
      </w:r>
    </w:p>
    <w:p>
      <w:pPr>
        <w:spacing w:after="0" w:line="195" w:lineRule="exact"/>
        <w:rPr>
          <w:sz w:val="20"/>
          <w:szCs w:val="20"/>
          <w:color w:val="auto"/>
        </w:rPr>
      </w:pPr>
    </w:p>
    <w:p>
      <w:pPr>
        <w:ind w:left="540" w:right="2359" w:hanging="323"/>
        <w:spacing w:after="0" w:line="254" w:lineRule="auto"/>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Excellent demographics. Our properties tend to be located in densely populated, affluent markets where limited land availability and zoning restrictions limit the development of new competitive products.</w:t>
      </w:r>
    </w:p>
    <w:p>
      <w:pPr>
        <w:spacing w:after="0" w:line="194" w:lineRule="exact"/>
        <w:rPr>
          <w:sz w:val="20"/>
          <w:szCs w:val="20"/>
          <w:color w:val="auto"/>
        </w:rPr>
      </w:pPr>
    </w:p>
    <w:p>
      <w:pPr>
        <w:ind w:left="540" w:right="2459" w:hanging="323"/>
        <w:spacing w:after="0" w:line="254" w:lineRule="auto"/>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Contractual rents. During the twelve months ended September 30, 2001, 98% of our retail rental income was contractual minimum rent plus expense recoveries and was not derived from percentage rents.</w:t>
      </w:r>
    </w:p>
    <w:p>
      <w:pPr>
        <w:spacing w:after="0" w:line="194" w:lineRule="exact"/>
        <w:rPr>
          <w:sz w:val="20"/>
          <w:szCs w:val="20"/>
          <w:color w:val="auto"/>
        </w:rPr>
      </w:pPr>
    </w:p>
    <w:p>
      <w:pPr>
        <w:ind w:left="540" w:right="2259" w:hanging="323"/>
        <w:spacing w:after="0" w:line="254"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Diverse tenant base. In 2000, our retail rental income was derived from approximately 2,100 tenants, with no single tenant or corporate entity accounting for more than 2.5% of revenue.</w:t>
      </w:r>
    </w:p>
    <w:p>
      <w:pPr>
        <w:spacing w:after="0" w:line="194" w:lineRule="exact"/>
        <w:rPr>
          <w:sz w:val="20"/>
          <w:szCs w:val="20"/>
          <w:color w:val="auto"/>
        </w:rPr>
      </w:pPr>
    </w:p>
    <w:p>
      <w:pPr>
        <w:ind w:left="540" w:right="2359" w:hanging="323"/>
        <w:spacing w:after="0" w:line="252" w:lineRule="auto"/>
        <w:tabs>
          <w:tab w:leader="none" w:pos="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Favorable lease structure. Our typical shopping center lease includes provisions for recapture of a majority of property operating expenses and real estate taxes. For the year ended December 31, 2000, we recovered 81% of property operating expenses and 80% of real estate taxes.</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We are organized as a Maryland real estate investment trust. Our executive</w:t>
      </w:r>
    </w:p>
    <w:p>
      <w:pPr>
        <w:sectPr>
          <w:pgSz w:w="11900" w:h="16838" w:orient="portrait"/>
          <w:cols w:equalWidth="0" w:num="1">
            <w:col w:w="10219"/>
          </w:cols>
          <w:pgMar w:left="240" w:top="719" w:right="1440" w:bottom="0" w:gutter="0" w:footer="0" w:header="0"/>
        </w:sectPr>
      </w:pPr>
    </w:p>
    <w:bookmarkStart w:id="3" w:name="page4"/>
    <w:bookmarkEnd w:id="3"/>
    <w:p>
      <w:pPr>
        <w:ind w:right="2259"/>
        <w:spacing w:after="0" w:line="257" w:lineRule="auto"/>
        <w:rPr>
          <w:sz w:val="20"/>
          <w:szCs w:val="20"/>
          <w:color w:val="auto"/>
        </w:rPr>
      </w:pPr>
      <w:r>
        <w:rPr>
          <w:rFonts w:ascii="Courier New" w:cs="Courier New" w:eastAsia="Courier New" w:hAnsi="Courier New"/>
          <w:sz w:val="17"/>
          <w:szCs w:val="17"/>
          <w:color w:val="auto"/>
        </w:rPr>
        <w:t>offices are located at 1626 East Jefferson Street, Rockville, Maryland 20852 and our telephone number is (301) 998-8100.</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142" w:right="1440" w:bottom="1440" w:gutter="0" w:footer="0" w:header="0"/>
        </w:sectPr>
      </w:pPr>
    </w:p>
    <w:bookmarkStart w:id="4" w:name="page5"/>
    <w:bookmarkEnd w:id="4"/>
    <w:p>
      <w:pPr>
        <w:ind w:left="3140"/>
        <w:spacing w:after="0"/>
        <w:rPr>
          <w:sz w:val="20"/>
          <w:szCs w:val="20"/>
          <w:color w:val="auto"/>
        </w:rPr>
      </w:pPr>
      <w:r>
        <w:rPr>
          <w:rFonts w:ascii="Courier New" w:cs="Courier New" w:eastAsia="Courier New" w:hAnsi="Courier New"/>
          <w:sz w:val="17"/>
          <w:szCs w:val="17"/>
          <w:color w:val="auto"/>
        </w:rPr>
        <w:t>RECENT DEVELOPMENTS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Third Quarter Operating Results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On November 1, 2001, we announced our operating results for the third quarter of 2001. Funds from operations for the third quarter of 2001 increased 9.5% to $28.3 million from $25.8 million in the third quarter of 2000. Funds from operations also improved for the first nine months of 2001, increasing 7.1% to $81.9 million in 2001 from $76.5 million in 2000. At September 30, 2001 our overall occupancy was 95.8%. During the third quarter, we signed leases for over 280,000 square feet of retail space. On a same space basis, we signed leases for 200,388 square feet at an average increase in rent per square foot of 11%. The weighted-average new rent on these same space leases was $25.57 per square foot compared to the previous average rent of $23.03 per square foot.</w:t>
      </w:r>
    </w:p>
    <w:p>
      <w:pPr>
        <w:spacing w:after="0" w:line="200" w:lineRule="exact"/>
        <w:rPr>
          <w:sz w:val="20"/>
          <w:szCs w:val="20"/>
          <w:color w:val="auto"/>
        </w:rPr>
      </w:pPr>
    </w:p>
    <w:p>
      <w:pPr>
        <w:spacing w:after="0" w:line="203" w:lineRule="exact"/>
        <w:rPr>
          <w:sz w:val="20"/>
          <w:szCs w:val="20"/>
          <w:color w:val="auto"/>
        </w:rPr>
      </w:pPr>
    </w:p>
    <w:p>
      <w:pPr>
        <w:ind w:right="2359" w:firstLine="314"/>
        <w:spacing w:after="0" w:line="257" w:lineRule="auto"/>
        <w:rPr>
          <w:sz w:val="20"/>
          <w:szCs w:val="20"/>
          <w:color w:val="auto"/>
        </w:rPr>
      </w:pPr>
      <w:r>
        <w:rPr>
          <w:rFonts w:ascii="Courier New" w:cs="Courier New" w:eastAsia="Courier New" w:hAnsi="Courier New"/>
          <w:sz w:val="17"/>
          <w:szCs w:val="17"/>
          <w:color w:val="auto"/>
        </w:rPr>
        <w:t>A comparison of property operations for the third quarter of 2001 versus the third quarter of 2000 shows the following:</w:t>
      </w:r>
    </w:p>
    <w:p>
      <w:pPr>
        <w:spacing w:after="0" w:line="192" w:lineRule="exact"/>
        <w:rPr>
          <w:sz w:val="20"/>
          <w:szCs w:val="20"/>
          <w:color w:val="auto"/>
        </w:rPr>
      </w:pPr>
    </w:p>
    <w:p>
      <w:pPr>
        <w:jc w:val="both"/>
        <w:ind w:left="540" w:right="2139" w:hanging="323"/>
        <w:spacing w:after="0" w:line="251"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Rental income increased 8.5% to $69.5 million in 2001 from $64.1 million in 2000. When adjusted to exclude properties acquired, developed or sold during the analyzed periods, rental income increased 6.2% to</w:t>
      </w: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$67.5 million from $63.6 million.</w:t>
      </w:r>
    </w:p>
    <w:p>
      <w:pPr>
        <w:spacing w:after="0" w:line="210" w:lineRule="exact"/>
        <w:rPr>
          <w:sz w:val="20"/>
          <w:szCs w:val="20"/>
          <w:color w:val="auto"/>
        </w:rPr>
      </w:pPr>
    </w:p>
    <w:p>
      <w:pPr>
        <w:ind w:left="540" w:right="2259" w:hanging="323"/>
        <w:spacing w:after="0" w:line="253"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operating income, which includes interest from mortgage notes receivable, increased 8.0% from $48.8 million in 2000 to $52.7 million in 2001. On a same center basis, net operating income increased 7.6% to $51.2 million in 2001 from $47.6 million in 2000.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Dispositions and Developments</w:t>
      </w:r>
    </w:p>
    <w:p>
      <w:pPr>
        <w:spacing w:after="0" w:line="210" w:lineRule="exact"/>
        <w:rPr>
          <w:sz w:val="20"/>
          <w:szCs w:val="20"/>
          <w:color w:val="auto"/>
        </w:rPr>
      </w:pPr>
    </w:p>
    <w:p>
      <w:pPr>
        <w:ind w:right="2259" w:firstLine="314"/>
        <w:spacing w:after="0" w:line="257" w:lineRule="auto"/>
        <w:rPr>
          <w:sz w:val="20"/>
          <w:szCs w:val="20"/>
          <w:color w:val="auto"/>
        </w:rPr>
      </w:pPr>
      <w:r>
        <w:rPr>
          <w:rFonts w:ascii="Courier New" w:cs="Courier New" w:eastAsia="Courier New" w:hAnsi="Courier New"/>
          <w:sz w:val="17"/>
          <w:szCs w:val="17"/>
          <w:color w:val="auto"/>
        </w:rPr>
        <w:t>During the first nine months of 2001, we continued to acquire, dispose of and develop properties, as outlined below.</w:t>
      </w:r>
    </w:p>
    <w:p>
      <w:pPr>
        <w:spacing w:after="0" w:line="192" w:lineRule="exact"/>
        <w:rPr>
          <w:sz w:val="20"/>
          <w:szCs w:val="20"/>
          <w:color w:val="auto"/>
        </w:rPr>
      </w:pPr>
    </w:p>
    <w:p>
      <w:pPr>
        <w:ind w:left="540" w:right="2139" w:hanging="323"/>
        <w:spacing w:after="0" w:line="251" w:lineRule="auto"/>
        <w:tabs>
          <w:tab w:leader="none" w:pos="5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we entered into an arrangement with the minority investor in Santana Row, a significant street retail development project located in San Jose, California, providing for our acquisition of his minority interest in that development in exchange for an office building that we purchased for $8.5 million. Upon completion of this transaction, structured as a tax-free exchange, we will acquire the minority interest in Santana Row and $5.9 million in cash, and the investor will receive the office building.</w:t>
      </w:r>
    </w:p>
    <w:p>
      <w:pPr>
        <w:spacing w:after="0" w:line="201" w:lineRule="exact"/>
        <w:rPr>
          <w:sz w:val="20"/>
          <w:szCs w:val="20"/>
          <w:color w:val="auto"/>
        </w:rPr>
      </w:pPr>
    </w:p>
    <w:p>
      <w:pPr>
        <w:ind w:left="540" w:right="2139" w:hanging="323"/>
        <w:spacing w:after="0" w:line="253"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we bought the fee interest underlying the capital lease obligation of $21.4 million on Brick Plaza, a shopping center located in Brick, New Jersey, thereby terminating the capital lease and obtaining a 100% fee interest in the property for $28 million.</w:t>
      </w:r>
    </w:p>
    <w:p>
      <w:pPr>
        <w:spacing w:after="0" w:line="195" w:lineRule="exact"/>
        <w:rPr>
          <w:sz w:val="20"/>
          <w:szCs w:val="20"/>
          <w:color w:val="auto"/>
        </w:rPr>
      </w:pPr>
    </w:p>
    <w:p>
      <w:pPr>
        <w:ind w:left="540" w:right="2359" w:hanging="323"/>
        <w:spacing w:after="0" w:line="253" w:lineRule="auto"/>
        <w:tabs>
          <w:tab w:leader="none" w:pos="5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March we bought the minority interest in nine street retail properties, bringing our ownership to 100% of each property, for $18.1 million. We paid the purchase price with $11.4 million in cash and 328,116 common shares valued at $6.7 million.</w:t>
      </w:r>
    </w:p>
    <w:p>
      <w:pPr>
        <w:spacing w:after="0" w:line="195" w:lineRule="exact"/>
        <w:rPr>
          <w:sz w:val="20"/>
          <w:szCs w:val="20"/>
          <w:color w:val="auto"/>
        </w:rPr>
      </w:pPr>
    </w:p>
    <w:p>
      <w:pPr>
        <w:ind w:left="540" w:right="2359" w:hanging="323"/>
        <w:spacing w:after="0" w:line="254" w:lineRule="auto"/>
        <w:tabs>
          <w:tab w:leader="none" w:pos="5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as part of a tax-free exchange, we sold the Williamsburg Shopping Center in Williamsburg, Virginia for $16.7 million, resulting in a gain of $7.9 million.</w:t>
      </w:r>
    </w:p>
    <w:p>
      <w:pPr>
        <w:spacing w:after="0" w:line="194" w:lineRule="exact"/>
        <w:rPr>
          <w:sz w:val="20"/>
          <w:szCs w:val="20"/>
          <w:color w:val="auto"/>
        </w:rPr>
      </w:pPr>
    </w:p>
    <w:p>
      <w:pPr>
        <w:ind w:left="540" w:right="2139" w:hanging="323"/>
        <w:spacing w:after="0" w:line="253" w:lineRule="auto"/>
        <w:tabs>
          <w:tab w:leader="none" w:pos="5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September we acquired Friendship Center, a 119,000 square foot street retail property in Washington, D.C. for $33.4 million. The purchase price was funded from the proceeds of the sale of Williamsburg Shopping Center and a $17 million mortgage loan.</w:t>
      </w:r>
    </w:p>
    <w:p>
      <w:pPr>
        <w:spacing w:after="0" w:line="195" w:lineRule="exact"/>
        <w:rPr>
          <w:sz w:val="20"/>
          <w:szCs w:val="20"/>
          <w:color w:val="auto"/>
        </w:rPr>
      </w:pPr>
    </w:p>
    <w:p>
      <w:pPr>
        <w:ind w:left="540" w:right="2259" w:hanging="323"/>
        <w:spacing w:after="0" w:line="254" w:lineRule="auto"/>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first nine months of 2001, we incurred development costs of approximately $135 million on our main street mixed-use projects in San Jose, California and Arlington, Virginia.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Santana Row</w:t>
      </w:r>
    </w:p>
    <w:p>
      <w:pPr>
        <w:spacing w:after="0" w:line="210" w:lineRule="exact"/>
        <w:rPr>
          <w:sz w:val="20"/>
          <w:szCs w:val="20"/>
          <w:color w:val="auto"/>
        </w:rPr>
      </w:pPr>
    </w:p>
    <w:p>
      <w:pPr>
        <w:ind w:right="2259" w:firstLine="314"/>
        <w:spacing w:after="0" w:line="253" w:lineRule="auto"/>
        <w:rPr>
          <w:sz w:val="20"/>
          <w:szCs w:val="20"/>
          <w:color w:val="auto"/>
        </w:rPr>
      </w:pPr>
      <w:r>
        <w:rPr>
          <w:rFonts w:ascii="Courier New" w:cs="Courier New" w:eastAsia="Courier New" w:hAnsi="Courier New"/>
          <w:sz w:val="17"/>
          <w:szCs w:val="17"/>
          <w:color w:val="auto"/>
        </w:rPr>
        <w:t>Santana Row, our single largest development, is a multi-phase mixed-use property being built on 42 acres in San Jose, California in the heart of the Silicon Valley. The project will consist of residential, retail and hotel components, creating a community with the feel of an urban district.</w:t>
      </w:r>
    </w:p>
    <w:p>
      <w:pPr>
        <w:spacing w:after="0" w:line="195" w:lineRule="exact"/>
        <w:rPr>
          <w:sz w:val="20"/>
          <w:szCs w:val="20"/>
          <w:color w:val="auto"/>
        </w:rPr>
      </w:pPr>
    </w:p>
    <w:p>
      <w:pPr>
        <w:ind w:left="540" w:right="2139" w:hanging="323"/>
        <w:spacing w:after="0" w:line="252" w:lineRule="auto"/>
        <w:tabs>
          <w:tab w:leader="none" w:pos="5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Phase 1 of the project includes Santana Row, the "1,500 foot long main street" and nine buildings which will contain approximately 538,000 square feet of retail space, 501 residential units, a 214 room hotel and the supporting infrastructure. Eight buildings comprising 440,000 square feet of retail space are expected to be completed during the third quarter of 2002 with the ninth building being completed twelve to</w:t>
      </w:r>
    </w:p>
    <w:p>
      <w:pPr>
        <w:sectPr>
          <w:pgSz w:w="11900" w:h="16838" w:orient="portrait"/>
          <w:cols w:equalWidth="0" w:num="1">
            <w:col w:w="10219"/>
          </w:cols>
          <w:pgMar w:left="240" w:top="71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eighteen months later.</w:t>
      </w:r>
    </w:p>
    <w:p>
      <w:pPr>
        <w:spacing w:after="0" w:line="210"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9679"/>
          </w:cols>
          <w:pgMar w:left="780" w:top="142" w:right="1440" w:bottom="1440" w:gutter="0" w:footer="0" w:header="0"/>
        </w:sectPr>
      </w:pPr>
    </w:p>
    <w:bookmarkStart w:id="6" w:name="page7"/>
    <w:bookmarkEnd w:id="6"/>
    <w:p>
      <w:pPr>
        <w:ind w:left="540" w:right="2139" w:hanging="323"/>
        <w:spacing w:after="0" w:line="252" w:lineRule="auto"/>
        <w:tabs>
          <w:tab w:leader="none" w:pos="5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cost of Phase 1 is expected to be approximately $475 million. As of September 30, 2001, we have incurred costs of $202 million including the purchase of the land; we estimate that we will spend approximately $36.6 million in the last three months of 2001 and most of the balance of the cost in 2002 to complete the first phase of the project.</w:t>
      </w:r>
    </w:p>
    <w:p>
      <w:pPr>
        <w:spacing w:after="0" w:line="197" w:lineRule="exact"/>
        <w:rPr>
          <w:sz w:val="20"/>
          <w:szCs w:val="20"/>
          <w:color w:val="auto"/>
        </w:rPr>
      </w:pPr>
    </w:p>
    <w:p>
      <w:pPr>
        <w:ind w:left="540" w:right="2139" w:hanging="323"/>
        <w:spacing w:after="0" w:line="252" w:lineRule="auto"/>
        <w:tabs>
          <w:tab w:leader="none" w:pos="5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November 1, 2001, we had executed leases for approximately 213,000 square feet of retail space and had signed letters of intent for an additional 57,000 square feet. Of the first floor retail space located directly on the main street, 79% is covered either by executed leases or signed letters of intent.</w:t>
      </w:r>
    </w:p>
    <w:p>
      <w:pPr>
        <w:spacing w:after="0" w:line="197" w:lineRule="exact"/>
        <w:rPr>
          <w:sz w:val="20"/>
          <w:szCs w:val="20"/>
          <w:color w:val="auto"/>
        </w:rPr>
      </w:pPr>
    </w:p>
    <w:p>
      <w:pPr>
        <w:ind w:left="540" w:right="2139" w:hanging="323"/>
        <w:spacing w:after="0" w:line="251" w:lineRule="auto"/>
        <w:tabs>
          <w:tab w:leader="none" w:pos="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 of Santana Row will depend on many factors which cannot be assured and are not entirely within our control. These factors include among others, the demand for retail and residential space and at what prices, the ability to construct the current and later phases at reasonable prices, the cost of operations, including utilities and insurance, the availability and cost of capital and the general economy, particularly in the Silicon Valley. We have not finalized the cost and scope for future phases of Santana Row and will not do so until the success of Phase 1 and future demand for rental space, both retail and residential, can be determined. However, as Phase 1 utilizes only part of the retail and residential entitlements of the property and as Phase 1 contains infrastructure for further phases, we expect to identify and execute economically viable additional phases to the project.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Pentagon Row</w:t>
      </w:r>
    </w:p>
    <w:p>
      <w:pPr>
        <w:spacing w:after="0" w:line="210"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We are developing the 300,000 square foot retail component of Pentagon Row in Arlington, Virginia with the 500 unit residential component being developed by an unrelated third party. As of September 30, 2001 we have incurred costs of approximately $69 million on our share of the project which we estimate will cost approximately $87 million. The project is currently 92% leased. At September 30, 2001, approximately 60% of the retail component of the project is complete and occupied. We anticipate the entire retail component of the project will be open by the end of the first quarter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Financings</w:t>
      </w:r>
    </w:p>
    <w:p>
      <w:pPr>
        <w:spacing w:after="0" w:line="210"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In April we closed on a $295 million construction loan for Santana Row. The loan currently bears interest at LIBOR plus 212.5 basis points, and will mature April 2004 with two one-year extension options, which are subject to attaining certain operating targets. The interest rate will decrease to LIBOR plus 187.5 basis point and then to LIBOR plus 162.5 basis points upon the achievement of certain leasing, occupancy and net operating income targets. The loan requires fees and has various covenants including the maintenance of a minimum shareholders' equity and a maximum ratio of debt to gross asset value. The initial funding of the loan took place in August 2001 when our equity and pre-leasing requirements were met. As of October 31, 2001, $43 million was borrowed under the loan.</w:t>
      </w:r>
    </w:p>
    <w:p>
      <w:pPr>
        <w:spacing w:after="0" w:line="201" w:lineRule="exact"/>
        <w:rPr>
          <w:sz w:val="20"/>
          <w:szCs w:val="20"/>
          <w:color w:val="auto"/>
        </w:rPr>
      </w:pPr>
    </w:p>
    <w:p>
      <w:pPr>
        <w:ind w:right="1939" w:firstLine="314"/>
        <w:spacing w:after="0" w:line="254" w:lineRule="auto"/>
        <w:rPr>
          <w:sz w:val="20"/>
          <w:szCs w:val="20"/>
          <w:color w:val="auto"/>
        </w:rPr>
      </w:pPr>
      <w:r>
        <w:rPr>
          <w:rFonts w:ascii="Courier New" w:cs="Courier New" w:eastAsia="Courier New" w:hAnsi="Courier New"/>
          <w:sz w:val="17"/>
          <w:szCs w:val="17"/>
          <w:color w:val="auto"/>
        </w:rPr>
        <w:t>Also in April we obtained a $33 million mortgage loan secured by Brick Plaza in Brick, New Jersey. The mortgage bears interest at 7.415% and matures November 1, 2015.</w:t>
      </w:r>
    </w:p>
    <w:p>
      <w:pPr>
        <w:spacing w:after="0" w:line="194" w:lineRule="exact"/>
        <w:rPr>
          <w:sz w:val="20"/>
          <w:szCs w:val="20"/>
          <w:color w:val="auto"/>
        </w:rPr>
      </w:pPr>
    </w:p>
    <w:p>
      <w:pPr>
        <w:ind w:right="1939" w:firstLine="314"/>
        <w:spacing w:after="0" w:line="252" w:lineRule="auto"/>
        <w:rPr>
          <w:sz w:val="20"/>
          <w:szCs w:val="20"/>
          <w:color w:val="auto"/>
        </w:rPr>
      </w:pPr>
      <w:r>
        <w:rPr>
          <w:rFonts w:ascii="Courier New" w:cs="Courier New" w:eastAsia="Courier New" w:hAnsi="Courier New"/>
          <w:sz w:val="17"/>
          <w:szCs w:val="17"/>
          <w:color w:val="auto"/>
        </w:rPr>
        <w:t>During 2001 we refinanced the mortgages on Federal Plaza and Tysons Station. We repaid the $26.5 million mortgage on Federal Plaza, a shopping center in Rockville, Maryland, with proceeds from a new $36.5 million mortgage which bears interest at 6.75% and matures in June 2011. We repaid the $3.9 million mortgage on Tysons Station, a shopping center in Falls Church, Virginia, with proceeds from a new $7.0 million mortgage which bears interest at 7.4% and matures in September 2011.</w:t>
      </w:r>
    </w:p>
    <w:p>
      <w:pPr>
        <w:spacing w:after="0" w:line="196" w:lineRule="exact"/>
        <w:rPr>
          <w:sz w:val="20"/>
          <w:szCs w:val="20"/>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In connection with the purchase of Friendship Center as mentioned above, we placed a $17.0 million mortgage on the property. The loan bears interest at LIBOR plus 135 basis points and matures in September 2003 with three one-year extension options.</w:t>
      </w:r>
    </w:p>
    <w:p>
      <w:pPr>
        <w:spacing w:after="0" w:line="195"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We also utilize our $300 million unsecured line of credit to fund acquisitions, developments and other capital needs. As of October 31, 2001 there was $179 million outstanding under our credit facility which expires in December 2003. Borrowings under our credit facility currently bear interest at LIBOR plus 80 basis points. The weighted average interest rate on borrowings under our credit facility for the nine months ended September 30, 2001 was 5.34%.</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719" w:right="1440" w:bottom="0" w:gutter="0" w:footer="0" w:header="0"/>
        </w:sectPr>
      </w:pPr>
    </w:p>
    <w:bookmarkStart w:id="7" w:name="page8"/>
    <w:bookmarkEnd w:id="7"/>
    <w:p>
      <w:pPr>
        <w:ind w:left="3560"/>
        <w:spacing w:after="0"/>
        <w:rPr>
          <w:sz w:val="20"/>
          <w:szCs w:val="20"/>
          <w:color w:val="auto"/>
        </w:rPr>
      </w:pPr>
      <w:r>
        <w:rPr>
          <w:rFonts w:ascii="Courier New" w:cs="Courier New" w:eastAsia="Courier New" w:hAnsi="Courier New"/>
          <w:sz w:val="17"/>
          <w:szCs w:val="17"/>
          <w:color w:val="auto"/>
        </w:rPr>
        <w:t>THE OFFERING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Federal Realty Investment Trust</w:t>
      </w:r>
    </w:p>
    <w:p>
      <w:pPr>
        <w:sectPr>
          <w:pgSz w:w="11900" w:h="16838" w:orient="portrait"/>
          <w:cols w:equalWidth="0" w:num="1">
            <w:col w:w="10219"/>
          </w:cols>
          <w:pgMar w:left="240" w:top="921" w:right="1440" w:bottom="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Offered........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139" w:firstLine="628"/>
        <w:spacing w:after="0" w:line="254" w:lineRule="auto"/>
        <w:rPr>
          <w:sz w:val="20"/>
          <w:szCs w:val="20"/>
          <w:color w:val="auto"/>
        </w:rPr>
      </w:pPr>
      <w:r>
        <w:rPr>
          <w:rFonts w:ascii="Courier New" w:cs="Courier New" w:eastAsia="Courier New" w:hAnsi="Courier New"/>
          <w:sz w:val="17"/>
          <w:szCs w:val="17"/>
          <w:color w:val="auto"/>
        </w:rPr>
        <w:t>% Series B Preferred Shares. We may sell up to additional Series B Preferred Shares to the underwriters to cover overallotments, if any.</w:t>
      </w:r>
    </w:p>
    <w:p>
      <w:pPr>
        <w:spacing w:after="0" w:line="194" w:lineRule="exact"/>
        <w:rPr>
          <w:sz w:val="20"/>
          <w:szCs w:val="20"/>
          <w:color w:val="auto"/>
        </w:rPr>
      </w:pPr>
    </w:p>
    <w:p>
      <w:pPr>
        <w:sectPr>
          <w:pgSz w:w="11900" w:h="16838" w:orient="portrait"/>
          <w:cols w:equalWidth="0" w:num="2">
            <w:col w:w="2740" w:space="100"/>
            <w:col w:w="7379"/>
          </w:cols>
          <w:pgMar w:left="240" w:top="921"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Dividends................. You will receive cumulative dividends on the Series</w:t>
      </w:r>
    </w:p>
    <w:p>
      <w:pPr>
        <w:spacing w:after="0" w:line="9" w:lineRule="exact"/>
        <w:rPr>
          <w:sz w:val="20"/>
          <w:szCs w:val="20"/>
          <w:color w:val="auto"/>
        </w:rPr>
      </w:pPr>
    </w:p>
    <w:p>
      <w:pPr>
        <w:ind w:left="2840"/>
        <w:spacing w:after="0"/>
        <w:tabs>
          <w:tab w:leader="none" w:pos="6280" w:val="left"/>
        </w:tabs>
        <w:rPr>
          <w:sz w:val="20"/>
          <w:szCs w:val="20"/>
          <w:color w:val="auto"/>
        </w:rPr>
      </w:pPr>
      <w:r>
        <w:rPr>
          <w:rFonts w:ascii="Courier New" w:cs="Courier New" w:eastAsia="Courier New" w:hAnsi="Courier New"/>
          <w:sz w:val="17"/>
          <w:szCs w:val="17"/>
          <w:color w:val="auto"/>
        </w:rPr>
        <w:t>B Preferred Shares at a rate of</w:t>
        <w:tab/>
        <w:t>% of the</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liquidation preference of the Series B Preferred</w:t>
      </w:r>
    </w:p>
    <w:p>
      <w:pPr>
        <w:spacing w:after="0" w:line="9" w:lineRule="exact"/>
        <w:rPr>
          <w:sz w:val="20"/>
          <w:szCs w:val="20"/>
          <w:color w:val="auto"/>
        </w:rPr>
      </w:pPr>
    </w:p>
    <w:tbl>
      <w:tblPr>
        <w:tblLayout w:type="fixed"/>
        <w:tblInd w:w="2840" w:type="dxa"/>
        <w:tblCellMar>
          <w:top w:w="0" w:type="dxa"/>
          <w:left w:w="0" w:type="dxa"/>
          <w:bottom w:w="0" w:type="dxa"/>
          <w:right w:w="0" w:type="dxa"/>
        </w:tblCellMar>
      </w:tblPr>
      <w:tr>
        <w:trPr>
          <w:trHeight w:val="197"/>
        </w:trPr>
        <w:tc>
          <w:tcPr>
            <w:tcW w:w="2240" w:type="dxa"/>
            <w:vAlign w:val="bottom"/>
            <w:gridSpan w:val="2"/>
          </w:tcPr>
          <w:p>
            <w:pPr>
              <w:spacing w:after="0"/>
              <w:rPr>
                <w:sz w:val="20"/>
                <w:szCs w:val="20"/>
                <w:color w:val="auto"/>
              </w:rPr>
            </w:pPr>
            <w:r>
              <w:rPr>
                <w:rFonts w:ascii="Courier New" w:cs="Courier New" w:eastAsia="Courier New" w:hAnsi="Courier New"/>
                <w:sz w:val="17"/>
                <w:szCs w:val="17"/>
                <w:color w:val="auto"/>
              </w:rPr>
              <w:t>Shares per year, or $</w:t>
            </w:r>
          </w:p>
        </w:tc>
        <w:tc>
          <w:tcPr>
            <w:tcW w:w="3000" w:type="dxa"/>
            <w:vAlign w:val="bottom"/>
            <w:gridSpan w:val="3"/>
          </w:tcPr>
          <w:p>
            <w:pPr>
              <w:ind w:left="380"/>
              <w:spacing w:after="0"/>
              <w:rPr>
                <w:sz w:val="20"/>
                <w:szCs w:val="20"/>
                <w:color w:val="auto"/>
              </w:rPr>
            </w:pPr>
            <w:r>
              <w:rPr>
                <w:rFonts w:ascii="Courier New" w:cs="Courier New" w:eastAsia="Courier New" w:hAnsi="Courier New"/>
                <w:sz w:val="17"/>
                <w:szCs w:val="17"/>
                <w:color w:val="auto"/>
              </w:rPr>
              <w:t>per year per share.</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Dividends</w:t>
            </w:r>
          </w:p>
        </w:tc>
        <w:tc>
          <w:tcPr>
            <w:tcW w:w="27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on the Series B Preferred</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Shares will be</w:t>
            </w:r>
          </w:p>
        </w:tc>
      </w:tr>
      <w:tr>
        <w:trPr>
          <w:trHeight w:val="201"/>
        </w:trPr>
        <w:tc>
          <w:tcPr>
            <w:tcW w:w="3180" w:type="dxa"/>
            <w:vAlign w:val="bottom"/>
            <w:gridSpan w:val="3"/>
          </w:tcPr>
          <w:p>
            <w:pPr>
              <w:spacing w:after="0"/>
              <w:rPr>
                <w:sz w:val="20"/>
                <w:szCs w:val="20"/>
                <w:color w:val="auto"/>
              </w:rPr>
            </w:pPr>
            <w:r>
              <w:rPr>
                <w:rFonts w:ascii="Courier New" w:cs="Courier New" w:eastAsia="Courier New" w:hAnsi="Courier New"/>
                <w:sz w:val="17"/>
                <w:szCs w:val="17"/>
                <w:color w:val="auto"/>
              </w:rPr>
              <w:t>payable quarterly each year on</w:t>
            </w:r>
          </w:p>
        </w:tc>
        <w:tc>
          <w:tcPr>
            <w:tcW w:w="2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last day of</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February,</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May, August</w:t>
            </w:r>
          </w:p>
        </w:tc>
        <w:tc>
          <w:tcPr>
            <w:tcW w:w="30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and November. The first</w:t>
            </w:r>
          </w:p>
        </w:tc>
      </w:tr>
      <w:tr>
        <w:trPr>
          <w:trHeight w:val="201"/>
        </w:trPr>
        <w:tc>
          <w:tcPr>
            <w:tcW w:w="3720" w:type="dxa"/>
            <w:vAlign w:val="bottom"/>
            <w:gridSpan w:val="4"/>
          </w:tcPr>
          <w:p>
            <w:pPr>
              <w:spacing w:after="0"/>
              <w:rPr>
                <w:sz w:val="20"/>
                <w:szCs w:val="20"/>
                <w:color w:val="auto"/>
              </w:rPr>
            </w:pPr>
            <w:r>
              <w:rPr>
                <w:rFonts w:ascii="Courier New" w:cs="Courier New" w:eastAsia="Courier New" w:hAnsi="Courier New"/>
                <w:sz w:val="17"/>
                <w:szCs w:val="17"/>
                <w:color w:val="auto"/>
              </w:rPr>
              <w:t>dividend is payable on February 28,</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2002 and at</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that time</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you will be</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entitled</w:t>
            </w:r>
          </w:p>
        </w:tc>
        <w:tc>
          <w:tcPr>
            <w:tcW w:w="2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 receive the full</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amount of</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a quarterly</w:t>
            </w:r>
          </w:p>
        </w:tc>
        <w:tc>
          <w:tcPr>
            <w:tcW w:w="30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dividend, plus a prorated</w:t>
            </w:r>
          </w:p>
        </w:tc>
      </w:tr>
      <w:tr>
        <w:trPr>
          <w:trHeight w:val="201"/>
        </w:trPr>
        <w:tc>
          <w:tcPr>
            <w:tcW w:w="2240" w:type="dxa"/>
            <w:vAlign w:val="bottom"/>
            <w:gridSpan w:val="2"/>
          </w:tcPr>
          <w:p>
            <w:pPr>
              <w:spacing w:after="0"/>
              <w:rPr>
                <w:sz w:val="20"/>
                <w:szCs w:val="20"/>
                <w:color w:val="auto"/>
              </w:rPr>
            </w:pPr>
            <w:r>
              <w:rPr>
                <w:rFonts w:ascii="Courier New" w:cs="Courier New" w:eastAsia="Courier New" w:hAnsi="Courier New"/>
                <w:sz w:val="17"/>
                <w:szCs w:val="17"/>
                <w:color w:val="auto"/>
              </w:rPr>
              <w:t>amount for the period</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from the</w:t>
            </w:r>
          </w:p>
        </w:tc>
        <w:tc>
          <w:tcPr>
            <w:tcW w:w="540" w:type="dxa"/>
            <w:vAlign w:val="bottom"/>
          </w:tcPr>
          <w:p>
            <w:pPr>
              <w:ind w:left="60"/>
              <w:spacing w:after="0"/>
              <w:rPr>
                <w:sz w:val="20"/>
                <w:szCs w:val="20"/>
                <w:color w:val="auto"/>
              </w:rPr>
            </w:pPr>
            <w:r>
              <w:rPr>
                <w:rFonts w:ascii="Courier New" w:cs="Courier New" w:eastAsia="Courier New" w:hAnsi="Courier New"/>
                <w:sz w:val="17"/>
                <w:szCs w:val="17"/>
                <w:color w:val="auto"/>
              </w:rPr>
              <w:t>date</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of original</w:t>
            </w:r>
          </w:p>
        </w:tc>
      </w:tr>
    </w:tbl>
    <w:p>
      <w:pPr>
        <w:spacing w:after="0" w:line="4" w:lineRule="exact"/>
        <w:rPr>
          <w:sz w:val="20"/>
          <w:szCs w:val="20"/>
          <w:color w:val="auto"/>
        </w:rPr>
      </w:pPr>
    </w:p>
    <w:p>
      <w:pPr>
        <w:ind w:left="2840" w:right="2259"/>
        <w:spacing w:after="0" w:line="257" w:lineRule="auto"/>
        <w:rPr>
          <w:sz w:val="20"/>
          <w:szCs w:val="20"/>
          <w:color w:val="auto"/>
        </w:rPr>
      </w:pPr>
      <w:r>
        <w:rPr>
          <w:rFonts w:ascii="Courier New" w:cs="Courier New" w:eastAsia="Courier New" w:hAnsi="Courier New"/>
          <w:sz w:val="17"/>
          <w:szCs w:val="17"/>
          <w:color w:val="auto"/>
        </w:rPr>
        <w:t>issuance of the Series B Preferred Shares through November 30, 2001.</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Maturity.................. The Series B Preferred Shares will not have a</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stated maturity and will not be subject to any</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sinking fund or mandatory redemption provisions</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(except as provided under "Description of Common</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Shares -- Restrictions on Ownership" in the</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accompanying prospectus).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 We may not redeem the Series B Preferred Shares</w:t>
      </w:r>
    </w:p>
    <w:p>
      <w:pPr>
        <w:spacing w:after="0" w:line="9" w:lineRule="exact"/>
        <w:rPr>
          <w:sz w:val="20"/>
          <w:szCs w:val="20"/>
          <w:color w:val="auto"/>
        </w:rPr>
      </w:pPr>
    </w:p>
    <w:p>
      <w:pPr>
        <w:ind w:left="2840" w:right="2039"/>
        <w:spacing w:after="0" w:line="251" w:lineRule="auto"/>
        <w:rPr>
          <w:sz w:val="20"/>
          <w:szCs w:val="20"/>
          <w:color w:val="auto"/>
        </w:rPr>
      </w:pPr>
      <w:r>
        <w:rPr>
          <w:rFonts w:ascii="Courier New" w:cs="Courier New" w:eastAsia="Courier New" w:hAnsi="Courier New"/>
          <w:sz w:val="17"/>
          <w:szCs w:val="17"/>
          <w:color w:val="auto"/>
        </w:rPr>
        <w:t>prior to November , 2006. On or after November , 2006, at our option, we may redeem the Series B Preferred Shares, in whole or in part, for cash in the amount of $25.00 per share, plus accumulated dividends to the date of redemption. We may pay the redemption price, other than the portion consisting of accumulated dividends, only out of the sale proceeds of other of our equity securities, which may include other series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 If we liquidate, dissolve or wind up our</w:t>
      </w:r>
    </w:p>
    <w:p>
      <w:pPr>
        <w:spacing w:after="0" w:line="9" w:lineRule="exact"/>
        <w:rPr>
          <w:sz w:val="20"/>
          <w:szCs w:val="20"/>
          <w:color w:val="auto"/>
        </w:rPr>
      </w:pPr>
    </w:p>
    <w:p>
      <w:pPr>
        <w:ind w:left="2840" w:right="2039"/>
        <w:spacing w:after="0" w:line="253" w:lineRule="auto"/>
        <w:rPr>
          <w:sz w:val="20"/>
          <w:szCs w:val="20"/>
          <w:color w:val="auto"/>
        </w:rPr>
      </w:pPr>
      <w:r>
        <w:rPr>
          <w:rFonts w:ascii="Courier New" w:cs="Courier New" w:eastAsia="Courier New" w:hAnsi="Courier New"/>
          <w:sz w:val="17"/>
          <w:szCs w:val="17"/>
          <w:color w:val="auto"/>
        </w:rPr>
        <w:t>operations, you and the other holders of the Series B Preferred Shares will have a preferred right to receive $25.00 per share, plus all accumulated and unpaid dividends.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 We will pay dividends, and if we liquidate,</w:t>
      </w:r>
    </w:p>
    <w:p>
      <w:pPr>
        <w:spacing w:after="0" w:line="9" w:lineRule="exact"/>
        <w:rPr>
          <w:sz w:val="20"/>
          <w:szCs w:val="20"/>
          <w:color w:val="auto"/>
        </w:rPr>
      </w:pPr>
    </w:p>
    <w:p>
      <w:pPr>
        <w:ind w:left="2840" w:right="2039"/>
        <w:spacing w:after="0" w:line="252" w:lineRule="auto"/>
        <w:rPr>
          <w:sz w:val="20"/>
          <w:szCs w:val="20"/>
          <w:color w:val="auto"/>
        </w:rPr>
      </w:pPr>
      <w:r>
        <w:rPr>
          <w:rFonts w:ascii="Courier New" w:cs="Courier New" w:eastAsia="Courier New" w:hAnsi="Courier New"/>
          <w:sz w:val="17"/>
          <w:szCs w:val="17"/>
          <w:color w:val="auto"/>
        </w:rPr>
        <w:t>dissolve or wind up our operations we will make liquidating distributions, to holders of the Series B Preferred Shares and holders of the Series A Preferred Shares and any other outstanding series of our preferred shares on an equal basis before we make any such payments to holders of our common shares.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 If we do not pay dividends on the Series B</w:t>
      </w:r>
    </w:p>
    <w:p>
      <w:pPr>
        <w:spacing w:after="0" w:line="9" w:lineRule="exact"/>
        <w:rPr>
          <w:sz w:val="20"/>
          <w:szCs w:val="20"/>
          <w:color w:val="auto"/>
        </w:rPr>
      </w:pPr>
    </w:p>
    <w:p>
      <w:pPr>
        <w:ind w:left="2840" w:right="2039"/>
        <w:spacing w:after="0" w:line="251" w:lineRule="auto"/>
        <w:rPr>
          <w:sz w:val="20"/>
          <w:szCs w:val="20"/>
          <w:color w:val="auto"/>
        </w:rPr>
      </w:pPr>
      <w:r>
        <w:rPr>
          <w:rFonts w:ascii="Courier New" w:cs="Courier New" w:eastAsia="Courier New" w:hAnsi="Courier New"/>
          <w:sz w:val="17"/>
          <w:szCs w:val="17"/>
          <w:color w:val="auto"/>
        </w:rPr>
        <w:t>Preferred Shares for six or more consecutive quarterly periods, you and the other holders of the Series B Preferred Shares (voting separately as a class with all other classes or series of our equity securities upon which like voting rights have been conferred and are exercisable) will be entitled to vote for the election of two additional trustees to serve on our Board of Trustees until we pay all dividends we owe on the Series B Preferred Shares. You and the other holders of the Series B Preferred Shares will also be entitled to additional voting rights as described in this prospectus supplement. Holders of our outstanding Series A Preferred Shares have substantially similar voting rights.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NYSE Listing.............. We expect to list the Series B Preferred Shares on</w:t>
      </w:r>
    </w:p>
    <w:p>
      <w:pPr>
        <w:spacing w:after="0" w:line="9" w:lineRule="exact"/>
        <w:rPr>
          <w:sz w:val="20"/>
          <w:szCs w:val="20"/>
          <w:color w:val="auto"/>
        </w:rPr>
      </w:pPr>
    </w:p>
    <w:p>
      <w:pPr>
        <w:ind w:left="2840" w:right="2039"/>
        <w:spacing w:after="0" w:line="252" w:lineRule="auto"/>
        <w:rPr>
          <w:sz w:val="20"/>
          <w:szCs w:val="20"/>
          <w:color w:val="auto"/>
        </w:rPr>
      </w:pPr>
      <w:r>
        <w:rPr>
          <w:rFonts w:ascii="Courier New" w:cs="Courier New" w:eastAsia="Courier New" w:hAnsi="Courier New"/>
          <w:sz w:val="17"/>
          <w:szCs w:val="17"/>
          <w:color w:val="auto"/>
        </w:rPr>
        <w:t>the NYSE and expect that trading will commence within 30 days after initial delivery of the Series B Preferred Shares. While the underwriters have advised us that they intend to make a market in the Series B Preferred Shares prior to commencement of</w:t>
      </w:r>
    </w:p>
    <w:p>
      <w:pPr>
        <w:sectPr>
          <w:pgSz w:w="11900" w:h="16838" w:orient="portrait"/>
          <w:cols w:equalWidth="0" w:num="1">
            <w:col w:w="10219"/>
          </w:cols>
          <w:pgMar w:left="240" w:top="921" w:right="1440" w:bottom="0" w:gutter="0" w:footer="0" w:header="0"/>
          <w:type w:val="continuous"/>
        </w:sectPr>
      </w:pPr>
    </w:p>
    <w:bookmarkStart w:id="8" w:name="page9"/>
    <w:bookmarkEnd w:id="8"/>
    <w:p>
      <w:pPr>
        <w:jc w:val="both"/>
        <w:ind w:left="2840" w:right="2259"/>
        <w:spacing w:after="0" w:line="253" w:lineRule="auto"/>
        <w:rPr>
          <w:sz w:val="20"/>
          <w:szCs w:val="20"/>
          <w:color w:val="auto"/>
        </w:rPr>
      </w:pPr>
      <w:r>
        <w:rPr>
          <w:rFonts w:ascii="Courier New" w:cs="Courier New" w:eastAsia="Courier New" w:hAnsi="Courier New"/>
          <w:sz w:val="17"/>
          <w:szCs w:val="17"/>
          <w:color w:val="auto"/>
        </w:rPr>
        <w:t>trading on the NYSE, they are under no obligation to do so. We cannot assure you that a market for the Series B Preferred Shares will exist prior to or upon commencement of trading.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Proceeds .......... We will use the net proceeds from the offering of</w:t>
      </w:r>
    </w:p>
    <w:p>
      <w:pPr>
        <w:spacing w:after="0" w:line="9" w:lineRule="exact"/>
        <w:rPr>
          <w:sz w:val="20"/>
          <w:szCs w:val="20"/>
          <w:color w:val="auto"/>
        </w:rPr>
      </w:pPr>
    </w:p>
    <w:p>
      <w:pPr>
        <w:ind w:left="2840" w:right="2039"/>
        <w:spacing w:after="0" w:line="257" w:lineRule="auto"/>
        <w:rPr>
          <w:sz w:val="20"/>
          <w:szCs w:val="20"/>
          <w:color w:val="auto"/>
        </w:rPr>
      </w:pPr>
      <w:r>
        <w:rPr>
          <w:rFonts w:ascii="Courier New" w:cs="Courier New" w:eastAsia="Courier New" w:hAnsi="Courier New"/>
          <w:sz w:val="17"/>
          <w:szCs w:val="17"/>
          <w:color w:val="auto"/>
        </w:rPr>
        <w:t>the Series B Preferred Shares to reduce outstanding indebtedness under our credit facility.</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142" w:right="1440" w:bottom="1440" w:gutter="0" w:footer="0" w:header="0"/>
        </w:sectPr>
      </w:pPr>
    </w:p>
    <w:bookmarkStart w:id="9" w:name="page10"/>
    <w:bookmarkEnd w:id="9"/>
    <w:p>
      <w:pPr>
        <w:jc w:val="center"/>
        <w:ind w:right="2039"/>
        <w:spacing w:after="0"/>
        <w:rPr>
          <w:sz w:val="20"/>
          <w:szCs w:val="20"/>
          <w:color w:val="auto"/>
        </w:rPr>
      </w:pPr>
      <w:r>
        <w:rPr>
          <w:rFonts w:ascii="Courier New" w:cs="Courier New" w:eastAsia="Courier New" w:hAnsi="Courier New"/>
          <w:sz w:val="17"/>
          <w:szCs w:val="17"/>
          <w:color w:val="auto"/>
        </w:rPr>
        <w:t>RISK FACTORS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Investing in the Series B Preferred Shares involves risks. As with other publicly traded securities, the value of the Series B Preferred Shares will depend on various market conditions and other factors which may change from time to time. In particular, the market value of the Series B Preferred Shares may fluctuate depending on market interest rates relative to the dividend rate on the Series B Preferred Shares, the extent of investor interest in Federal Realty, our reputation and the reputation of REITs generally, and the market's perception of our growth potential and the value of our assets. Specific factors which could adversely affect our financial condition, our results of operations and the market's perception of Federal Realty and hence the market value of the Series B Preferred Shares include the following:</w:t>
      </w:r>
    </w:p>
    <w:p>
      <w:pPr>
        <w:spacing w:after="0" w:line="201" w:lineRule="exact"/>
        <w:rPr>
          <w:sz w:val="20"/>
          <w:szCs w:val="20"/>
          <w:color w:val="auto"/>
        </w:rPr>
      </w:pPr>
    </w:p>
    <w:p>
      <w:pPr>
        <w:ind w:left="540" w:right="2139" w:hanging="323"/>
        <w:spacing w:after="0" w:line="251" w:lineRule="auto"/>
        <w:tabs>
          <w:tab w:leader="none" w:pos="5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financial condition and results of operations are subject to all the 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and, because real estate is illiquid, that we may not be able to sell properties when appropriate.</w:t>
      </w:r>
    </w:p>
    <w:p>
      <w:pPr>
        <w:spacing w:after="0" w:line="201" w:lineRule="exact"/>
        <w:rPr>
          <w:sz w:val="20"/>
          <w:szCs w:val="20"/>
          <w:color w:val="auto"/>
        </w:rPr>
      </w:pPr>
    </w:p>
    <w:p>
      <w:pPr>
        <w:ind w:left="540" w:right="2139" w:hanging="323"/>
        <w:spacing w:after="0" w:line="252" w:lineRule="auto"/>
        <w:tabs>
          <w:tab w:leader="none" w:pos="5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financial condition and results of operations are subject to the risks normally associated with debt financing, including the possibility of increases in interest rates that would result in increased interest expense and the possibility that we will not be able to refinance our debt on favorable terms.</w:t>
      </w:r>
    </w:p>
    <w:p>
      <w:pPr>
        <w:spacing w:after="0" w:line="197" w:lineRule="exact"/>
        <w:rPr>
          <w:sz w:val="20"/>
          <w:szCs w:val="20"/>
          <w:color w:val="auto"/>
        </w:rPr>
      </w:pPr>
    </w:p>
    <w:p>
      <w:pPr>
        <w:ind w:left="540" w:right="2139" w:hanging="323"/>
        <w:spacing w:after="0" w:line="252" w:lineRule="auto"/>
        <w:tabs>
          <w:tab w:leader="none" w:pos="5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qualify as a REIT, we have to distribute at least 90% of our net taxable income, excluding net capital gains. Consequently, to fund future growth and capital needs, we are dependent on third-party sources of capital, including future equity offerings. This capital may not be available or may be available only on unfavorable terms.</w:t>
      </w:r>
    </w:p>
    <w:p>
      <w:pPr>
        <w:spacing w:after="0" w:line="197" w:lineRule="exact"/>
        <w:rPr>
          <w:sz w:val="20"/>
          <w:szCs w:val="20"/>
          <w:color w:val="auto"/>
        </w:rPr>
      </w:pPr>
    </w:p>
    <w:p>
      <w:pPr>
        <w:ind w:left="540" w:right="2359" w:hanging="323"/>
        <w:spacing w:after="0" w:line="252" w:lineRule="auto"/>
        <w:tabs>
          <w:tab w:leader="none" w:pos="5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status as a REIT is dependent on compliance with complex tax rules and regulations and various factual matters and circumstances that may not be totally within our control. Our failure to qualify as a REIT would likely have a significant adverse effect on the value of our outstanding securities, including the Series B Preferred Shares.</w:t>
      </w:r>
    </w:p>
    <w:p>
      <w:pPr>
        <w:spacing w:after="0" w:line="197" w:lineRule="exact"/>
        <w:rPr>
          <w:sz w:val="20"/>
          <w:szCs w:val="20"/>
          <w:color w:val="auto"/>
        </w:rPr>
      </w:pPr>
    </w:p>
    <w:p>
      <w:pPr>
        <w:ind w:right="2139" w:firstLine="314"/>
        <w:spacing w:after="0" w:line="252" w:lineRule="auto"/>
        <w:rPr>
          <w:sz w:val="20"/>
          <w:szCs w:val="20"/>
          <w:color w:val="auto"/>
        </w:rPr>
      </w:pPr>
      <w:r>
        <w:rPr>
          <w:rFonts w:ascii="Courier New" w:cs="Courier New" w:eastAsia="Courier New" w:hAnsi="Courier New"/>
          <w:sz w:val="17"/>
          <w:szCs w:val="17"/>
          <w:color w:val="auto"/>
        </w:rPr>
        <w:t>For additional information about the foregoing risks and additional risk factors relevant to an investment in the Series B Preferred Shares, we refer you to the section captioned "Risk Factors" in our Current Report on Form 8-K filed with the Securities and Exchange Commission on November 15, 2001, which is incorporated by reference into the prospectus.</w:t>
      </w:r>
    </w:p>
    <w:p>
      <w:pPr>
        <w:spacing w:after="0" w:line="197"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USE OF PROCEEDS</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The net proceeds to us from the sale of the Series B Preferred Shares</w:t>
      </w:r>
    </w:p>
    <w:p>
      <w:pPr>
        <w:spacing w:after="0" w:line="9"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offered hereby are estimated to be $ , assuming no exercise of the underwriters' overallotment option. We intend to use the proceeds to reduce outstanding indebtedness on our credit facility. Our credit facility bears interest at a spread over LIBOR that is determined by our credit rating. The credit facility will mature in December 2003. The weighted average interest rate on borrowings under our credit facility for the nine months ended September 30, 2001 was 5.34%.</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0219"/>
          </w:cols>
          <w:pgMar w:left="240" w:top="719" w:right="1440" w:bottom="1440" w:gutter="0" w:footer="0" w:header="0"/>
        </w:sectPr>
      </w:pPr>
    </w:p>
    <w:bookmarkStart w:id="10" w:name="page11"/>
    <w:bookmarkEnd w:id="10"/>
    <w:p>
      <w:pPr>
        <w:jc w:val="center"/>
        <w:ind w:right="2039"/>
        <w:spacing w:after="0"/>
        <w:rPr>
          <w:sz w:val="20"/>
          <w:szCs w:val="20"/>
          <w:color w:val="auto"/>
        </w:rPr>
      </w:pPr>
      <w:r>
        <w:rPr>
          <w:rFonts w:ascii="Courier New" w:cs="Courier New" w:eastAsia="Courier New" w:hAnsi="Courier New"/>
          <w:sz w:val="17"/>
          <w:szCs w:val="17"/>
          <w:color w:val="auto"/>
        </w:rPr>
        <w:t>CAPITALIZATION</w:t>
      </w:r>
    </w:p>
    <w:p>
      <w:pPr>
        <w:spacing w:after="0" w:line="210" w:lineRule="exact"/>
        <w:rPr>
          <w:sz w:val="20"/>
          <w:szCs w:val="20"/>
          <w:color w:val="auto"/>
        </w:rPr>
      </w:pPr>
    </w:p>
    <w:p>
      <w:pPr>
        <w:ind w:right="2039" w:firstLine="314"/>
        <w:spacing w:after="0" w:line="254" w:lineRule="auto"/>
        <w:rPr>
          <w:sz w:val="20"/>
          <w:szCs w:val="20"/>
          <w:color w:val="auto"/>
        </w:rPr>
      </w:pPr>
      <w:r>
        <w:rPr>
          <w:rFonts w:ascii="Courier New" w:cs="Courier New" w:eastAsia="Courier New" w:hAnsi="Courier New"/>
          <w:sz w:val="17"/>
          <w:szCs w:val="17"/>
          <w:color w:val="auto"/>
        </w:rPr>
        <w:t>The following table sets forth our capitalization as of September 30, 2001, and as adjusted to give effect to the completion of the offering and application of the proceeds to pay down our credit facility.</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9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September 30, 2001</w:t>
            </w:r>
          </w:p>
        </w:tc>
      </w:tr>
      <w:tr>
        <w:trPr>
          <w:trHeight w:val="201"/>
        </w:trPr>
        <w:tc>
          <w:tcPr>
            <w:tcW w:w="5300" w:type="dxa"/>
            <w:vAlign w:val="bottom"/>
          </w:tcPr>
          <w:p>
            <w:pPr>
              <w:spacing w:after="0"/>
              <w:rPr>
                <w:sz w:val="17"/>
                <w:szCs w:val="17"/>
                <w:color w:val="auto"/>
              </w:rPr>
            </w:pPr>
          </w:p>
        </w:tc>
        <w:tc>
          <w:tcPr>
            <w:tcW w:w="29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As</w:t>
            </w:r>
          </w:p>
        </w:tc>
      </w:tr>
      <w:tr>
        <w:trPr>
          <w:trHeight w:val="201"/>
        </w:trPr>
        <w:tc>
          <w:tcPr>
            <w:tcW w:w="5300" w:type="dxa"/>
            <w:vAlign w:val="bottom"/>
          </w:tcPr>
          <w:p>
            <w:pPr>
              <w:spacing w:after="0"/>
              <w:rPr>
                <w:sz w:val="17"/>
                <w:szCs w:val="17"/>
                <w:color w:val="auto"/>
              </w:rPr>
            </w:pP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Historical</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Adjusted</w:t>
            </w: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(in thousands)</w:t>
            </w:r>
          </w:p>
        </w:tc>
        <w:tc>
          <w:tcPr>
            <w:tcW w:w="1100" w:type="dxa"/>
            <w:vAlign w:val="bottom"/>
          </w:tcPr>
          <w:p>
            <w:pPr>
              <w:spacing w:after="0"/>
              <w:rPr>
                <w:sz w:val="17"/>
                <w:szCs w:val="17"/>
                <w:color w:val="auto"/>
              </w:rPr>
            </w:pPr>
          </w:p>
        </w:tc>
      </w:tr>
      <w:tr>
        <w:trPr>
          <w:trHeight w:val="403"/>
        </w:trPr>
        <w:tc>
          <w:tcPr>
            <w:tcW w:w="5300" w:type="dxa"/>
            <w:vAlign w:val="bottom"/>
          </w:tcPr>
          <w:p>
            <w:pPr>
              <w:spacing w:after="0"/>
              <w:rPr>
                <w:sz w:val="20"/>
                <w:szCs w:val="20"/>
                <w:color w:val="auto"/>
              </w:rPr>
            </w:pPr>
            <w:r>
              <w:rPr>
                <w:rFonts w:ascii="Courier New" w:cs="Courier New" w:eastAsia="Courier New" w:hAnsi="Courier New"/>
                <w:sz w:val="17"/>
                <w:szCs w:val="17"/>
                <w:color w:val="auto"/>
              </w:rPr>
              <w:t>Debt:</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Mortgages and construction loans payable........</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310,399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$ 310,399</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Obligations under capital leases................</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100,264</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100,264</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Notes payable, primarily bank lines and notes...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295,884(1)</w:t>
            </w:r>
          </w:p>
        </w:tc>
        <w:tc>
          <w:tcPr>
            <w:tcW w:w="1100" w:type="dxa"/>
            <w:vAlign w:val="bottom"/>
          </w:tcPr>
          <w:p>
            <w:pPr>
              <w:spacing w:after="0"/>
              <w:rPr>
                <w:sz w:val="17"/>
                <w:szCs w:val="17"/>
                <w:color w:val="auto"/>
              </w:rPr>
            </w:pP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Senior notes....................................</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410,000</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410,000</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Convertible subordinated debentures.............</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75,289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75,289</w:t>
            </w: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Total debt....................................</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1,191,836</w:t>
            </w:r>
          </w:p>
        </w:tc>
        <w:tc>
          <w:tcPr>
            <w:tcW w:w="1100" w:type="dxa"/>
            <w:vAlign w:val="bottom"/>
          </w:tcPr>
          <w:p>
            <w:pPr>
              <w:spacing w:after="0"/>
              <w:rPr>
                <w:sz w:val="17"/>
                <w:szCs w:val="17"/>
                <w:color w:val="auto"/>
              </w:rPr>
            </w:pP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Preferred shares, Series A......................</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100,000</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Preferred shares, Series B, offered hereby......</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7"/>
                <w:szCs w:val="17"/>
                <w:color w:val="auto"/>
              </w:rPr>
            </w:pP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Common shares of beneficial interest............</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415</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415</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Additional paid in capital......................</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734,319</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734,319</w:t>
            </w:r>
          </w:p>
        </w:tc>
      </w:tr>
      <w:tr>
        <w:trPr>
          <w:trHeight w:val="201"/>
        </w:trPr>
        <w:tc>
          <w:tcPr>
            <w:tcW w:w="53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Accumulated distributions in excess of net</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(317,275)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(317,275)</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(52,653)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(52,653)</w:t>
            </w: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Total shareholders' equity....................</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464,806</w:t>
            </w:r>
          </w:p>
        </w:tc>
        <w:tc>
          <w:tcPr>
            <w:tcW w:w="1100" w:type="dxa"/>
            <w:vAlign w:val="bottom"/>
          </w:tcPr>
          <w:p>
            <w:pPr>
              <w:spacing w:after="0"/>
              <w:rPr>
                <w:sz w:val="17"/>
                <w:szCs w:val="17"/>
                <w:color w:val="auto"/>
              </w:rPr>
            </w:pP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Total capitalization........................</w:t>
            </w: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$1,656,642</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r>
      <w:tr>
        <w:trPr>
          <w:trHeight w:val="201"/>
        </w:trPr>
        <w:tc>
          <w:tcPr>
            <w:tcW w:w="530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259" w:hanging="413"/>
        <w:spacing w:after="0" w:line="257" w:lineRule="auto"/>
        <w:tabs>
          <w:tab w:leader="none" w:pos="4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$165 million drawn on the credit facility, $125 million on a term note with banks and $5.9 million in miscellaneous notes payable.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0219"/>
          </w:cols>
          <w:pgMar w:left="240" w:top="719" w:right="1440" w:bottom="1440" w:gutter="0" w:footer="0" w:header="0"/>
        </w:sectPr>
      </w:pPr>
    </w:p>
    <w:bookmarkStart w:id="11" w:name="page12"/>
    <w:bookmarkEnd w:id="11"/>
    <w:p>
      <w:pPr>
        <w:ind w:left="2200"/>
        <w:spacing w:after="0"/>
        <w:rPr>
          <w:sz w:val="20"/>
          <w:szCs w:val="20"/>
          <w:color w:val="auto"/>
        </w:rPr>
      </w:pPr>
      <w:r>
        <w:rPr>
          <w:rFonts w:ascii="Courier New" w:cs="Courier New" w:eastAsia="Courier New" w:hAnsi="Courier New"/>
          <w:sz w:val="17"/>
          <w:szCs w:val="17"/>
          <w:color w:val="auto"/>
        </w:rPr>
        <w:t>SELECTED CONSOLIDATED FINANCIAL DATA</w:t>
      </w:r>
    </w:p>
    <w:p>
      <w:pPr>
        <w:spacing w:after="0" w:line="210" w:lineRule="exact"/>
        <w:rPr>
          <w:sz w:val="20"/>
          <w:szCs w:val="20"/>
          <w:color w:val="auto"/>
        </w:rPr>
      </w:pPr>
    </w:p>
    <w:p>
      <w:pPr>
        <w:ind w:right="3340" w:firstLine="314"/>
        <w:spacing w:after="0" w:line="251" w:lineRule="auto"/>
        <w:rPr>
          <w:sz w:val="20"/>
          <w:szCs w:val="20"/>
          <w:color w:val="auto"/>
        </w:rPr>
      </w:pPr>
      <w:r>
        <w:rPr>
          <w:rFonts w:ascii="Courier New" w:cs="Courier New" w:eastAsia="Courier New" w:hAnsi="Courier New"/>
          <w:sz w:val="17"/>
          <w:szCs w:val="17"/>
          <w:color w:val="auto"/>
        </w:rPr>
        <w:t>The following table sets forth our selected consolidated financial data and should be read in conjunction with the consolidated financial statements and notes incorporated by reference in the accompanying prospectus. Our selected operating, other and balance sheet data for the years ended December 31, 2000 and 1999 and for the periods then ended have been derived from financial statements audited by Arthur Andersen LLP, independent public accountants. Our selected operating, other and balance sheet data for the years ended through December 31, 1998, 1997 and 1996 and for the periods then ended have been derived from financial statements audited by Grant Thornton LLP, independent accountants. The unaudited financial data for the nine months ended September 30, 2001 and 2000 includes all adjustments, consisting of normal recurring accruals, which we consider necessary for the fair presentation of our financial position and the results of operations for such period. The results for the nine month period may not be indicative of the results to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3"/>
          </w:tcPr>
          <w:p>
            <w:pPr>
              <w:jc w:val="center"/>
              <w:ind w:right="393"/>
              <w:spacing w:after="0"/>
              <w:rPr>
                <w:sz w:val="20"/>
                <w:szCs w:val="20"/>
                <w:color w:val="auto"/>
              </w:rPr>
            </w:pPr>
            <w:r>
              <w:rPr>
                <w:rFonts w:ascii="Courier New" w:cs="Courier New" w:eastAsia="Courier New" w:hAnsi="Courier New"/>
                <w:sz w:val="17"/>
                <w:szCs w:val="17"/>
                <w:color w:val="auto"/>
              </w:rPr>
              <w:t>Nine months ended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 thousands, except</w:t>
            </w:r>
          </w:p>
        </w:tc>
        <w:tc>
          <w:tcPr>
            <w:tcW w:w="300" w:type="dxa"/>
            <w:vAlign w:val="bottom"/>
          </w:tcPr>
          <w:p>
            <w:pPr>
              <w:spacing w:after="0"/>
              <w:rPr>
                <w:sz w:val="17"/>
                <w:szCs w:val="17"/>
                <w:color w:val="auto"/>
              </w:rPr>
            </w:pPr>
          </w:p>
        </w:tc>
        <w:tc>
          <w:tcPr>
            <w:tcW w:w="2260" w:type="dxa"/>
            <w:vAlign w:val="bottom"/>
            <w:gridSpan w:val="3"/>
          </w:tcPr>
          <w:p>
            <w:pPr>
              <w:jc w:val="center"/>
              <w:ind w:right="373"/>
              <w:spacing w:after="0"/>
              <w:rPr>
                <w:sz w:val="20"/>
                <w:szCs w:val="20"/>
                <w:color w:val="auto"/>
              </w:rPr>
            </w:pPr>
            <w:r>
              <w:rPr>
                <w:rFonts w:ascii="Courier New" w:cs="Courier New" w:eastAsia="Courier New" w:hAnsi="Courier New"/>
                <w:sz w:val="17"/>
                <w:szCs w:val="17"/>
                <w:color w:val="auto"/>
              </w:rPr>
              <w:t>September 30,</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Year ended December 31,</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w:t>
            </w:r>
          </w:p>
        </w:tc>
        <w:tc>
          <w:tcPr>
            <w:tcW w:w="13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4"/>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20" w:type="dxa"/>
            <w:vAlign w:val="bottom"/>
            <w:gridSpan w:val="10"/>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information and per share</w:t>
            </w:r>
          </w:p>
        </w:tc>
        <w:tc>
          <w:tcPr>
            <w:tcW w:w="300" w:type="dxa"/>
            <w:vAlign w:val="bottom"/>
          </w:tcPr>
          <w:p>
            <w:pPr>
              <w:spacing w:after="0"/>
              <w:rPr>
                <w:sz w:val="17"/>
                <w:szCs w:val="17"/>
                <w:color w:val="auto"/>
              </w:rPr>
            </w:pPr>
          </w:p>
        </w:tc>
        <w:tc>
          <w:tcPr>
            <w:tcW w:w="1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2001</w:t>
            </w:r>
          </w:p>
        </w:tc>
        <w:tc>
          <w:tcPr>
            <w:tcW w:w="260" w:type="dxa"/>
            <w:vAlign w:val="bottom"/>
          </w:tcPr>
          <w:p>
            <w:pPr>
              <w:spacing w:after="0"/>
              <w:rPr>
                <w:sz w:val="17"/>
                <w:szCs w:val="17"/>
                <w:color w:val="auto"/>
              </w:rPr>
            </w:pPr>
          </w:p>
        </w:tc>
        <w:tc>
          <w:tcPr>
            <w:tcW w:w="1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2000</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2000</w:t>
            </w:r>
          </w:p>
        </w:tc>
        <w:tc>
          <w:tcPr>
            <w:tcW w:w="32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1999</w:t>
            </w:r>
          </w:p>
        </w:tc>
        <w:tc>
          <w:tcPr>
            <w:tcW w:w="26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1998</w:t>
            </w:r>
          </w:p>
        </w:tc>
        <w:tc>
          <w:tcPr>
            <w:tcW w:w="32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data)</w:t>
            </w: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3"/>
          </w:tcPr>
          <w:p>
            <w:pPr>
              <w:jc w:val="center"/>
              <w:ind w:right="373"/>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274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Rental income...........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205,137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192,584</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260,684</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245,833</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222,186</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188,529</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164,887</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Other property income...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10,213</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8,148</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11,065</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11,231</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10,347</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9,705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9,816</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Interest................</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5,275</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5,759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7,532</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7,649</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5,945</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6,037</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4,352</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220,625</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206,491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279,281</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264,713</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238,478</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204,271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179,055</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Interest................</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52,360</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49,521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66,418</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61,492</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55,125</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47,288</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45,555</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Depreciation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220"/>
              <w:spacing w:after="0"/>
              <w:rPr>
                <w:sz w:val="20"/>
                <w:szCs w:val="20"/>
                <w:color w:val="auto"/>
              </w:rPr>
            </w:pPr>
            <w:r>
              <w:rPr>
                <w:rFonts w:ascii="Courier New" w:cs="Courier New" w:eastAsia="Courier New" w:hAnsi="Courier New"/>
                <w:sz w:val="17"/>
                <w:szCs w:val="17"/>
                <w:color w:val="auto"/>
              </w:rPr>
              <w:t>amortization...........</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44,110</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39,433</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53,259</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50,011</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46,047</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41,399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38,154</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Property expenses.......</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66,509</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60,777</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82,900</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78,698</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72,761</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62,369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57,098</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General, administrative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220"/>
              <w:spacing w:after="0"/>
              <w:rPr>
                <w:sz w:val="20"/>
                <w:szCs w:val="20"/>
                <w:color w:val="auto"/>
              </w:rPr>
            </w:pPr>
            <w:r>
              <w:rPr>
                <w:rFonts w:ascii="Courier New" w:cs="Courier New" w:eastAsia="Courier New" w:hAnsi="Courier New"/>
                <w:sz w:val="17"/>
                <w:szCs w:val="17"/>
                <w:color w:val="auto"/>
              </w:rPr>
              <w:t>and other..............</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9,971</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9,035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13,318</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15,120</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16,461</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11,744</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9,100</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172,950</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158,766</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215,895</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205,321</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190,394</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162,800</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149,907</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Income before investors'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share of operations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gain (loss) on sale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real estate.............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47,675</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47,725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63,386</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59,392</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48,084</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41,471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29,148</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Investors' share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operations..............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(3,991)</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(4,772)</w:t>
            </w:r>
          </w:p>
        </w:tc>
        <w:tc>
          <w:tcPr>
            <w:tcW w:w="260" w:type="dxa"/>
            <w:vAlign w:val="bottom"/>
          </w:tcPr>
          <w:p>
            <w:pPr>
              <w:spacing w:after="0"/>
              <w:rPr>
                <w:sz w:val="17"/>
                <w:szCs w:val="17"/>
                <w:color w:val="auto"/>
              </w:rPr>
            </w:pP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(6,544)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(3,899)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(3,124)</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(1,342)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(394)</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Income before gain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on sale of real estate..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43,684</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42,953</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56,842</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55,493</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44,960</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40,129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28,754</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Gain (loss) on sale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real estate.............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7,898</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3,681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3,681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(7,050)</w:t>
            </w:r>
          </w:p>
        </w:tc>
        <w:tc>
          <w:tcPr>
            <w:tcW w:w="2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6,375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51,582</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46,634</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60,523</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48,443</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44,960</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46,504</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28,742</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Dividends on preferred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stock...................</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(5,963)</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(5,963)</w:t>
            </w:r>
          </w:p>
        </w:tc>
        <w:tc>
          <w:tcPr>
            <w:tcW w:w="260" w:type="dxa"/>
            <w:vAlign w:val="bottom"/>
          </w:tcPr>
          <w:p>
            <w:pPr>
              <w:spacing w:after="0"/>
              <w:rPr>
                <w:sz w:val="17"/>
                <w:szCs w:val="17"/>
                <w:color w:val="auto"/>
              </w:rPr>
            </w:pP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(7,950)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(7,950)</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(7,950)</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(1,877)</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income available for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common shareholders.....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45,619</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40,671</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52,573</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40,493</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37,010</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44,627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28,742</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Weighted average shares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Basic...................</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39,061</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38,812</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38,796</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39,574</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39,174</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38,475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33,175</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Diluted.................</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40,136</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39,949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39,910</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40,638</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40,080</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38,988</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33,573</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Distributions declared 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common shares...........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56,608</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53,945</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72,512</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71,630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69,512</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66,636</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56,607</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Distributions declared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per common share........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1.42</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1.84</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1.78</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1.74</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1.70</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cash provided by</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activities(1)...........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87,394</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84,751</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106,146</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102,183</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90,427</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72,170</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65,648</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cash provided (used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by) by financing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activities(1)...........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101,052</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(10,551)</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15,214</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(8,362)</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97,406</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213,175</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96,691</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cash used in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investing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11520"/>
          </w:cols>
          <w:pgMar w:left="240" w:top="719" w:right="1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activities(1)...........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185,167</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72,212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121,741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99,313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187,646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279,343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161,819</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Funds from</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operations(2)...........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81,924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76,461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102,173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96,795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86,536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79,733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65,254</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fixed charges(3)(4).....</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1.7x</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1.6x</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combined fixed charges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and preferred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dividends(3)(4).........</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1.6x</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 of funds from</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operations to combined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fixed charges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preferred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dividends(2)(4).........</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2.5x</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Real estate assets, at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cost....................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2,065,402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1,804,186</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1,854,913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1,721,459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1,642,136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1,453,639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1,147,865</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1,794,950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1,579,039</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1,621,079</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1,534,048</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1,484,317</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1,316,573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1,035,306</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1,191,836</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987,558</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1,034,446</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920,630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846,928</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670,890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585,584</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1,330,144</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1,105,524</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1,153,425</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1,032,221</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954,370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762,763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646,421</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Redeemable preferred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shares..................</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464,806</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473,515</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467,654</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501,827</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529,947</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553,810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388,885</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Number of common shares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40,012</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39,441</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39,469</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40,201</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40,080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39,148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35,886</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3460" w:hanging="413"/>
        <w:spacing w:after="0" w:line="251"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Determined in accordance with Financial Accounting Standards Board Statement No. 95. See Consolidated Statements of Cash Flows incorporated by reference in the accompanying prospectus.</w:t>
      </w:r>
    </w:p>
    <w:p>
      <w:pPr>
        <w:ind w:left="420" w:right="3240" w:hanging="413"/>
        <w:spacing w:after="0" w:line="251"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by the National Association of Real Estate Investment Trusts ("NAREIT") as income available for common shareholders before depreciation and amortization of real estate assets and before extraordinary items plus or minus losses or gains on sale of real estate. Prior to January 1, 2000 funds from operation also excluded significant nonrecurring events. Funds from operations differs from net cash provided by operating activities primarily because funds from operations does not include changes in operating assets and liabilities. Funds from operations is a supplemental measure of performance used in the real estate industry that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ind w:left="420" w:right="3560" w:hanging="413"/>
        <w:spacing w:after="0" w:line="251"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computing this ratio, earnings consist of income before gain (loss) on sale of real estate plus fixed charges.</w:t>
      </w:r>
    </w:p>
    <w:p>
      <w:pPr>
        <w:ind w:left="420" w:right="3240" w:hanging="413"/>
        <w:spacing w:after="0" w:line="254"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Fixed charges consist of interest on borrowed funds (including capitalized interest), amortization of debt discount and expenses and the portion of rent expense representing an interest factor.</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1420"/>
          </w:cols>
          <w:pgMar w:left="240" w:top="142" w:right="239" w:bottom="1440" w:gutter="0" w:footer="0" w:header="0"/>
        </w:sectPr>
      </w:pPr>
    </w:p>
    <w:bookmarkStart w:id="13" w:name="page14"/>
    <w:bookmarkEnd w:id="13"/>
    <w:p>
      <w:pPr>
        <w:jc w:val="center"/>
        <w:ind w:right="1939"/>
        <w:spacing w:after="0"/>
        <w:rPr>
          <w:sz w:val="20"/>
          <w:szCs w:val="20"/>
          <w:color w:val="auto"/>
        </w:rPr>
      </w:pPr>
      <w:r>
        <w:rPr>
          <w:rFonts w:ascii="Courier New" w:cs="Courier New" w:eastAsia="Courier New" w:hAnsi="Courier New"/>
          <w:sz w:val="17"/>
          <w:szCs w:val="17"/>
          <w:color w:val="auto"/>
        </w:rPr>
        <w:t>OUR PORTFOLIO</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An integral part of our corporate strategy is to own the highest-quality properties in densely-populated, affluent areas and to enhance their operating performance through a program of renovation, expansion, reconfiguration, and retenanting. This strategy has enabled us to increase revenues for each of the past ten years. In addition, our properties have demonstrated their quality through high occupancy levels and strong rental growth over the same ten year period. Since 1991, the portfolio occupancy has ranged from 94% to 96%.</w:t>
      </w:r>
    </w:p>
    <w:p>
      <w:pPr>
        <w:spacing w:after="0" w:line="196" w:lineRule="exact"/>
        <w:rPr>
          <w:sz w:val="20"/>
          <w:szCs w:val="20"/>
          <w:color w:val="auto"/>
        </w:rPr>
      </w:pPr>
    </w:p>
    <w:p>
      <w:pPr>
        <w:ind w:right="1839" w:firstLine="209"/>
        <w:spacing w:after="0" w:line="252" w:lineRule="auto"/>
        <w:rPr>
          <w:sz w:val="20"/>
          <w:szCs w:val="20"/>
          <w:color w:val="auto"/>
        </w:rPr>
      </w:pPr>
      <w:r>
        <w:rPr>
          <w:rFonts w:ascii="Courier New" w:cs="Courier New" w:eastAsia="Courier New" w:hAnsi="Courier New"/>
          <w:sz w:val="17"/>
          <w:szCs w:val="17"/>
          <w:color w:val="auto"/>
        </w:rPr>
        <w:t>[Two bar graphs are presented here. The left-most graph illustrates the progressive increase in our revenues over the past ten years, from $98 million in 1991 to $294 million for the twelve months ended September 30, 2001. The graph at the right shows how our occupany rate has remained constant between 94% and 96% for each of the last 10 years.]</w:t>
      </w:r>
    </w:p>
    <w:p>
      <w:pPr>
        <w:spacing w:after="0" w:line="197"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Our portfolio has a track record of consistently increasing cash flow. Growth in our cash flow has supported our ability to increase the dividend to our common shareholders for each of the past 34 years.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 bar graph shows the yearly increase in our annual dividends paid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share, from $0.24 per share in 1967, to $0.28 per share in 1970, to $0.53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 share in 1980, to $1.42 per share in 1990 to $1.89 per share in 2001.]</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719"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The following table sets forth information concerning our properties as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Northeast Operating Region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Occupancy</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Cost as of</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as of</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Square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Acquisition</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September</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September</w:t>
            </w:r>
          </w:p>
        </w:tc>
        <w:tc>
          <w:tcPr>
            <w:tcW w:w="2760" w:type="dxa"/>
            <w:vAlign w:val="bottom"/>
          </w:tcPr>
          <w:p>
            <w:pPr>
              <w:ind w:left="7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Acquired</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Feet</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30, 2001</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30, 2001</w:t>
            </w:r>
          </w:p>
        </w:tc>
        <w:tc>
          <w:tcPr>
            <w:tcW w:w="2760" w:type="dxa"/>
            <w:vAlign w:val="bottom"/>
          </w:tcPr>
          <w:p>
            <w:pPr>
              <w:ind w:left="88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060" w:type="dxa"/>
            <w:vAlign w:val="bottom"/>
            <w:gridSpan w:val="6"/>
          </w:tcPr>
          <w:p>
            <w:pPr>
              <w:ind w:left="320"/>
              <w:spacing w:after="0"/>
              <w:rPr>
                <w:sz w:val="20"/>
                <w:szCs w:val="20"/>
                <w:color w:val="auto"/>
              </w:rPr>
            </w:pPr>
            <w:r>
              <w:rPr>
                <w:rFonts w:ascii="Courier New" w:cs="Courier New" w:eastAsia="Courier New" w:hAnsi="Courier New"/>
                <w:sz w:val="17"/>
                <w:szCs w:val="17"/>
                <w:color w:val="auto"/>
              </w:rPr>
              <w:t>-------- ------- ----------- ---------- --------- ------------------------</w:t>
            </w:r>
          </w:p>
        </w:tc>
      </w:tr>
      <w:tr>
        <w:trPr>
          <w:trHeight w:val="403"/>
        </w:trPr>
        <w:tc>
          <w:tcPr>
            <w:tcW w:w="25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Allwood</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$3,920,000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$4,265,000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Stop &amp; Shop; Mandee's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Clifton,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Andorra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259,000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14,778,000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18,313,000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Acme Markets; AMC</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Andorra Theater; Kohl's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Bala Cynwyd</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18,031,000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24,029,000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Lord &amp; Taylor; Acme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Bala Cynwyd,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Markets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Blue Star</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403,000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29,922,000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38,735,000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Kohl's; Shop-Rite; Toys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Watchung,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 Us; Michaels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Brick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409,000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28,473,000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53,559,000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 &amp; P Supermarket;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Brick,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Sports Authority; Barnes</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&amp; Noble; Sony Theatres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Bristol</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296,000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19,815,000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21,621,000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Bradlees; Super Stop &amp;</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Bristol, CT</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Shop; T.J. Maxx</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Brunswick</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285,000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12,456,000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20,689,000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76%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 &amp; P Supermarket; Ames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North Brunswick,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Clifton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3,646,000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4,789,000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Acme Markets; Drug Fair;</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Clifton,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Dollar Express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Crossroads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173,000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16,246,000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21,592,000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Comp USA; Golfsmith</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Highland Park,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Dedham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250,000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25,287,000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27,769,000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Ames; Pier One Imports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Dedham, MA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Ellisburg Circle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258,000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15,337,000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25,600,000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 Shop</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Cherry Hill,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Rite</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Feasterville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3,031,000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11,442,000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Office Max; Genuardi</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Feasterville,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Markets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Finley</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313,000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18,796,000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25,614,000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Downers Grove,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Service Merchandise;</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Sports Authority</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Flourtown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191,000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5,288,000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8,563,000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Genuardi Markets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Flourtown,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Fresh Meadows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410,000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49,880,000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63,875,000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Cineplex Odeon; Value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Queens, NY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City;</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Garden Market</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134,000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7,506,000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10,295,000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85%</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Dominick's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Western Springs,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Gratiot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1973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218,000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2,126,000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16,643,000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 Best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Roseville, MI</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Buy; Farmer Jack</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Greenlawn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6,158,000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10,524,000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78%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Waldbaum's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Greenlawn, NY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Hamilton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5,405,000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7,580,000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Shop-Rite; Steven's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Hamilton,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Furniture; A.C. Moore</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Hauppauge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131,000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24,053,000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26,130,000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Shop-Rite; Office Max;</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Hauppauge, NY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Dress Barn</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Huntington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16,008,000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22,491,000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 Toys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Huntington, NY(1)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 Us; Michaels; Barnes</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&amp; Noble; Buy Buy Baby</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Lancaster</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107,000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2,103,000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4,627,000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Giant Food; A.C. Moore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Lancaster, PA(1)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Langhorne Square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3,694,000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17,463,000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Redner's Market; Drug</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Levittown,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Emporium; Marshalls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Lawrence Park</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12,883,000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23,305,000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Acme Markets; TJ Maxx;</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Broomall,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Today's Man</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Northeast</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297,000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11,748,000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21,143,000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Marshalls; Tower Records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North Lake Commons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129,000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11,386,000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12,939,000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Dominick's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Lake Zurich,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Queen Anne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11,776,000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14,654,000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T.J. Maxx; Victory</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Norwell, MA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Markets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Rutgers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14,429,000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15,843,000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Edwards Super Food;</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Franklin,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Saugus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171,000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12,674,000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13,068,000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Kmart; Super Stop &amp; Shop</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Saugus, MA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Troy</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202,000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8,319,000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20,345,000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Comp USA; Pathmark;</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Parsippany-Troy,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Toys "R" Us</w:t>
            </w:r>
          </w:p>
        </w:tc>
      </w:tr>
    </w:tbl>
    <w:p>
      <w:pPr>
        <w:sectPr>
          <w:pgSz w:w="11900" w:h="16838" w:orient="portrait"/>
          <w:cols w:equalWidth="0" w:num="1">
            <w:col w:w="10580"/>
          </w:cols>
          <w:pgMar w:left="240" w:top="719" w:right="1079" w:bottom="0" w:gutter="0" w:footer="0" w:header="0"/>
        </w:sectPr>
      </w:pPr>
    </w:p>
    <w:bookmarkStart w:id="15" w:name="page16"/>
    <w:bookmarkEnd w:id="15"/>
    <w:p>
      <w:pPr>
        <w:ind w:left="278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9019"/>
          </w:cols>
          <w:pgMar w:left="1440" w:top="34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Total</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Occupancy</w:t>
            </w: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Cost as of</w:t>
            </w:r>
          </w:p>
        </w:tc>
        <w:tc>
          <w:tcPr>
            <w:tcW w:w="1040" w:type="dxa"/>
            <w:vAlign w:val="bottom"/>
          </w:tcPr>
          <w:p>
            <w:pPr>
              <w:ind w:left="260"/>
              <w:spacing w:after="0"/>
              <w:rPr>
                <w:sz w:val="20"/>
                <w:szCs w:val="20"/>
                <w:color w:val="auto"/>
              </w:rPr>
            </w:pPr>
            <w:r>
              <w:rPr>
                <w:rFonts w:ascii="Courier New" w:cs="Courier New" w:eastAsia="Courier New" w:hAnsi="Courier New"/>
                <w:sz w:val="17"/>
                <w:szCs w:val="17"/>
                <w:color w:val="auto"/>
              </w:rPr>
              <w:t>as of</w:t>
            </w: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Square</w:t>
            </w:r>
          </w:p>
        </w:tc>
        <w:tc>
          <w:tcPr>
            <w:tcW w:w="13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Acquisition</w:t>
            </w:r>
          </w:p>
        </w:tc>
        <w:tc>
          <w:tcPr>
            <w:tcW w:w="1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September</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September</w:t>
            </w:r>
          </w:p>
        </w:tc>
        <w:tc>
          <w:tcPr>
            <w:tcW w:w="2780" w:type="dxa"/>
            <w:vAlign w:val="bottom"/>
          </w:tcPr>
          <w:p>
            <w:pPr>
              <w:ind w:left="7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Acquired</w:t>
            </w:r>
          </w:p>
        </w:tc>
        <w:tc>
          <w:tcPr>
            <w:tcW w:w="10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Feet</w:t>
            </w:r>
          </w:p>
        </w:tc>
        <w:tc>
          <w:tcPr>
            <w:tcW w:w="140" w:type="dxa"/>
            <w:vAlign w:val="bottom"/>
          </w:tcPr>
          <w:p>
            <w:pPr>
              <w:spacing w:after="0"/>
              <w:rPr>
                <w:sz w:val="17"/>
                <w:szCs w:val="17"/>
                <w:color w:val="auto"/>
              </w:rPr>
            </w:pPr>
          </w:p>
        </w:tc>
        <w:tc>
          <w:tcPr>
            <w:tcW w:w="12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6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30, 2001</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30, 2001</w:t>
            </w:r>
          </w:p>
        </w:tc>
        <w:tc>
          <w:tcPr>
            <w:tcW w:w="2780" w:type="dxa"/>
            <w:vAlign w:val="bottom"/>
          </w:tcPr>
          <w:p>
            <w:pPr>
              <w:ind w:left="90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8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 --------- ------------</w:t>
            </w:r>
          </w:p>
        </w:tc>
        <w:tc>
          <w:tcPr>
            <w:tcW w:w="50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 --------- ------------------------</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Willow Grove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215,000</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8,142,000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25,638,000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Barnes &amp; Noble;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Willow Grove, PA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Marshalls; 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Wynnewood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257,000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21,814,000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34,825,000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Wynnewood, PA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Borders; Genuardi</w:t>
            </w: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7,097,000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445,130,000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667,968,000</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Properties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Central Avenue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2,203,000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3,259,000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Legg Mason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Westfield, NJ</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Coolidge Corner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13,000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3,757,000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3,980,000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92%</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Gourmet India II; AT&amp;T</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Brookline, MA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Wireless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Evanston (two buildings)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19,000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3,616,000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4,261,000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The Gap; Foodstuffs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Evanston, IL</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Forest Hills (four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91,000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15,453,000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26,496,000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Duane Reade; Midway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Theatre; The Gap</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Forest Hills, NY</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Greenwich Avenue (four</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1995-1996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81,000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27,650,000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29,103,000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Saks Fifth Avenue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Greenwich, CT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Oak Street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4,205,000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4,369,000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Kate Spade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Chicago, IL</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West Hartford (seven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126,000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15,492,000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16,009,000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82%</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Blockbuster Video;</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Kinko's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 Hartford, CT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Westport (two buildings)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26,000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9,658,000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10,062,000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Pottery Barn; Eddie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Westport, CT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Bauer</w:t>
            </w: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372,000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82,034,000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97,539,000</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Total Northeast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220"/>
              <w:spacing w:after="0"/>
              <w:rPr>
                <w:sz w:val="20"/>
                <w:szCs w:val="20"/>
                <w:color w:val="auto"/>
              </w:rPr>
            </w:pPr>
            <w:r>
              <w:rPr>
                <w:rFonts w:ascii="Courier New" w:cs="Courier New" w:eastAsia="Courier New" w:hAnsi="Courier New"/>
                <w:sz w:val="17"/>
                <w:szCs w:val="17"/>
                <w:color w:val="auto"/>
              </w:rPr>
              <w:t>operating properties</w:t>
            </w:r>
          </w:p>
        </w:tc>
        <w:tc>
          <w:tcPr>
            <w:tcW w:w="1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7,469,000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527,164,000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765,507,000</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3"/>
        </w:trPr>
        <w:tc>
          <w:tcPr>
            <w:tcW w:w="3720" w:type="dxa"/>
            <w:vAlign w:val="bottom"/>
            <w:gridSpan w:val="2"/>
          </w:tcPr>
          <w:p>
            <w:pPr>
              <w:spacing w:after="0"/>
              <w:rPr>
                <w:sz w:val="20"/>
                <w:szCs w:val="20"/>
                <w:color w:val="auto"/>
              </w:rPr>
            </w:pPr>
            <w:r>
              <w:rPr>
                <w:rFonts w:ascii="Courier New" w:cs="Courier New" w:eastAsia="Courier New" w:hAnsi="Courier New"/>
                <w:sz w:val="17"/>
                <w:szCs w:val="17"/>
                <w:color w:val="auto"/>
              </w:rPr>
              <w:t>Mid-Atlantic Operating Region</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Barracks Road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484,000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20,822,000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38,890,000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Harris Teeter; Kroger;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Charlottesville,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Congressional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1965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340,000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10,217,000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46,307,000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95%</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Buy Buy Baby; Fresh</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Fields; Tower Records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Courthouse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38,000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3,619,000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3,731,000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72%</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Rockville Interiors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Eastgate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159,000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7,383,000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12,510,000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Food Lion; Southern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Chapel Hill, NC</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Season</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Falls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1967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74,000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1,995,000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8,154,000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Falls Plaza--East Falls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71,000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1,073,000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3,347,000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CVS Pharmacy; Staples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Church,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Federal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28,111,000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61,006,000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98%</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Comp USA; T. J. Maxx;</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Ross Dress for Less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Gaithersburg Square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208,000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12,972,000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23,480,000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98%</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Borders Books &amp; Music;</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Gaithersburg,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Governor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6,973,000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17,134,000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Office Depot; Syms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Glen Burnie,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Idylwood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73,000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14,334,000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14,791,000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Laurel</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386,000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29,983,000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45,207,000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93%</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Giant Food; Marshalls;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Laurel,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Leesburg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247,000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18,906,000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19,803,000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Kmart; 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Leesburg,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Peebles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Loehmann's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16,333,000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24,914,000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Loehmann's Dress Shop;</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Fairfax,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Linens N Things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Magruder's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109,000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9,413,000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9,970,000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Magruder's; Tuesday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Morning</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Mid-Pike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312,000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10,335,000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16,732,000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Bally Total Fitness;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MD(1)</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Toys "R" Us; Frugal</w:t>
            </w: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Fannies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Old Keene Mill</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1,636,000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5,042,000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Springfield,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Pan Am</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218,000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21,623,000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24,349,000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87%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Micro Center; Safeway;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Fairfax,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Michaels</w:t>
            </w:r>
          </w:p>
        </w:tc>
      </w:tr>
    </w:tbl>
    <w:p>
      <w:pPr>
        <w:sectPr>
          <w:pgSz w:w="11900" w:h="16838" w:orient="portrait"/>
          <w:cols w:equalWidth="0" w:num="1">
            <w:col w:w="11320"/>
          </w:cols>
          <w:pgMar w:left="240" w:top="1122"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20"/>
                <w:szCs w:val="20"/>
                <w:color w:val="auto"/>
              </w:rPr>
            </w:pPr>
            <w:r>
              <w:rPr>
                <w:rFonts w:ascii="Courier New" w:cs="Courier New" w:eastAsia="Courier New" w:hAnsi="Courier New"/>
                <w:sz w:val="17"/>
                <w:szCs w:val="17"/>
                <w:color w:val="auto"/>
              </w:rPr>
              <w:t>Perring Plaza</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1985</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412,000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9,261,000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23,900,000</w:t>
            </w:r>
          </w:p>
        </w:tc>
        <w:tc>
          <w:tcPr>
            <w:tcW w:w="780" w:type="dxa"/>
            <w:vAlign w:val="bottom"/>
          </w:tcPr>
          <w:p>
            <w:pPr>
              <w:ind w:left="200"/>
              <w:spacing w:after="0"/>
              <w:rPr>
                <w:sz w:val="20"/>
                <w:szCs w:val="20"/>
                <w:color w:val="auto"/>
              </w:rPr>
            </w:pPr>
            <w:r>
              <w:rPr>
                <w:rFonts w:ascii="Courier New" w:cs="Courier New" w:eastAsia="Courier New" w:hAnsi="Courier New"/>
                <w:sz w:val="17"/>
                <w:szCs w:val="17"/>
                <w:color w:val="auto"/>
              </w:rPr>
              <w:t>100%</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Baltimore, MD</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Home Depot; Metro Foods</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Pike 7</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164,000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32,508,000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33,201,000</w:t>
            </w:r>
          </w:p>
        </w:tc>
        <w:tc>
          <w:tcPr>
            <w:tcW w:w="780" w:type="dxa"/>
            <w:vAlign w:val="bottom"/>
          </w:tcPr>
          <w:p>
            <w:pPr>
              <w:ind w:left="200"/>
              <w:spacing w:after="0"/>
              <w:rPr>
                <w:sz w:val="20"/>
                <w:szCs w:val="20"/>
                <w:color w:val="auto"/>
              </w:rPr>
            </w:pPr>
            <w:r>
              <w:rPr>
                <w:rFonts w:ascii="Courier New" w:cs="Courier New" w:eastAsia="Courier New" w:hAnsi="Courier New"/>
                <w:sz w:val="17"/>
                <w:szCs w:val="17"/>
                <w:color w:val="auto"/>
              </w:rPr>
              <w:t>100%</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Staples; T. J. Maxx</w:t>
            </w:r>
          </w:p>
        </w:tc>
      </w:tr>
      <w:tr>
        <w:trPr>
          <w:trHeight w:val="201"/>
        </w:trPr>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Tysons Corner, VA</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Quince Orchard</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237,000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11,146,000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18,256,000</w:t>
            </w:r>
          </w:p>
        </w:tc>
        <w:tc>
          <w:tcPr>
            <w:tcW w:w="780" w:type="dxa"/>
            <w:vAlign w:val="bottom"/>
          </w:tcPr>
          <w:p>
            <w:pPr>
              <w:ind w:left="200"/>
              <w:spacing w:after="0"/>
              <w:rPr>
                <w:sz w:val="20"/>
                <w:szCs w:val="20"/>
                <w:color w:val="auto"/>
              </w:rPr>
            </w:pPr>
            <w:r>
              <w:rPr>
                <w:rFonts w:ascii="Courier New" w:cs="Courier New" w:eastAsia="Courier New" w:hAnsi="Courier New"/>
                <w:sz w:val="17"/>
                <w:szCs w:val="17"/>
                <w:color w:val="auto"/>
              </w:rPr>
              <w:t>97%</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Circuit City; Dyncorp;</w:t>
            </w:r>
          </w:p>
        </w:tc>
      </w:tr>
      <w:tr>
        <w:trPr>
          <w:trHeight w:val="201"/>
        </w:trPr>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Gaithersburg, MD</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Staples</w:t>
            </w:r>
          </w:p>
        </w:tc>
      </w:tr>
      <w:tr>
        <w:trPr>
          <w:trHeight w:val="604"/>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S-12</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100"/>
          </w:cols>
          <w:pgMar w:left="240" w:top="142" w:right="5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Occupancy</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Cost as of</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as of</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Square</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Acquisition</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September</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September</w:t>
            </w:r>
          </w:p>
        </w:tc>
        <w:tc>
          <w:tcPr>
            <w:tcW w:w="2760" w:type="dxa"/>
            <w:vAlign w:val="bottom"/>
          </w:tcPr>
          <w:p>
            <w:pPr>
              <w:ind w:left="7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Acquired</w:t>
            </w:r>
          </w:p>
        </w:tc>
        <w:tc>
          <w:tcPr>
            <w:tcW w:w="13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Feet</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Cost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30, 2001</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30, 2001</w:t>
            </w:r>
          </w:p>
        </w:tc>
        <w:tc>
          <w:tcPr>
            <w:tcW w:w="2760" w:type="dxa"/>
            <w:vAlign w:val="bottom"/>
          </w:tcPr>
          <w:p>
            <w:pPr>
              <w:ind w:left="88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4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 ---------</w:t>
            </w:r>
          </w:p>
        </w:tc>
        <w:tc>
          <w:tcPr>
            <w:tcW w:w="6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r>
      <w:tr>
        <w:trPr>
          <w:trHeight w:val="403"/>
        </w:trPr>
        <w:tc>
          <w:tcPr>
            <w:tcW w:w="2520" w:type="dxa"/>
            <w:vAlign w:val="bottom"/>
          </w:tcPr>
          <w:p>
            <w:pPr>
              <w:spacing w:after="0"/>
              <w:rPr>
                <w:sz w:val="20"/>
                <w:szCs w:val="20"/>
                <w:color w:val="auto"/>
              </w:rPr>
            </w:pPr>
            <w:r>
              <w:rPr>
                <w:rFonts w:ascii="Courier New" w:cs="Courier New" w:eastAsia="Courier New" w:hAnsi="Courier New"/>
                <w:sz w:val="17"/>
                <w:szCs w:val="17"/>
                <w:color w:val="auto"/>
              </w:rPr>
              <w:t>Tower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17,688,000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17,855,000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Virginia Fine Wine;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Springfield,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Talbot's Outlet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Tysons Station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3,257,000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Trader Joe's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Wildwood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1969</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10,172,000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15,668,000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CVS Pharmacy; Sutton</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Bethesda, MD</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Place Gourmet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Willow Lawn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10,915,000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61,470,000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Old Navy; Virginia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Richmond,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Department of Health;</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Dillard's; Hannaford</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Brothers</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5,052,000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$308,259,000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$548,974,000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Properties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Bethesda Row</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1993-1998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$ 29,935,000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$ 75,408,000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Barnes &amp; Noble; Giant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Bethesda, MD (1)</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Food</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Friendship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2001</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33,417,000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33,417,000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Maggiano's; Eddie Bauer</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Washington, DC</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Rollingwood Apartments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1971</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282 units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6,678,000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N/A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Silver Spring, MD</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Sam's Park N Shop</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11,159,000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11,721,000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Petco; Pizzeria Uno</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Washington, D.C.</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Winter Park (two</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6,837,000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6,857,000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Express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Winter Park, FL</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The Village at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24,569,000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30,721,000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Carlyle Grand Cafe;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Shirlington</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Cineplex Odeon</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Shirlington,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$108,715,000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$164,802,000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Total Mid-Atlantic</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operating properties</w:t>
            </w: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5,893,000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$416,974,000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$713,776,000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403"/>
        </w:trPr>
        <w:tc>
          <w:tcPr>
            <w:tcW w:w="3620" w:type="dxa"/>
            <w:vAlign w:val="bottom"/>
            <w:gridSpan w:val="2"/>
          </w:tcPr>
          <w:p>
            <w:pPr>
              <w:spacing w:after="0"/>
              <w:rPr>
                <w:sz w:val="20"/>
                <w:szCs w:val="20"/>
                <w:color w:val="auto"/>
              </w:rPr>
            </w:pPr>
            <w:r>
              <w:rPr>
                <w:rFonts w:ascii="Courier New" w:cs="Courier New" w:eastAsia="Courier New" w:hAnsi="Courier New"/>
                <w:sz w:val="17"/>
                <w:szCs w:val="17"/>
                <w:color w:val="auto"/>
              </w:rPr>
              <w:t>West Coast Operating Region</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Escondido</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$23,652,000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$24,421,000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Toys "R" Us; TJ Maxx</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Escondido,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Kings Court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10,714,000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10,864,000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Lunardi's Supermarket;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Los Gatos, CA(1)</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Long's Drug</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$ 34,366,000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$ 35,285,000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Properties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Colorado Boulevard (two</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1996-1998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$9,386,000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$14,563,000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Pottery Barn; Banana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Republic</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Pasadena,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Fifth Avenue (five</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1996-1997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5,778,000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12,105,000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Urban Outfitters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Diego,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Hermosa Avenue/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1,396,000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3,926,000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Cold Stone Creamery</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Hermosa Beach,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Hollywood Boulevard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1999</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26,296,000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27,171,000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General Cinema;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(three 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Hollywood Entertainment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Hollywood,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Museum</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Houston Street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16,656,000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40,630,000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The Palm</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Antonio, TX</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Mill Avenue (two</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10,438,000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11,026,000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Gordon Biersch Brewing</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Tempe, Arizona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580 Market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2001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8,261,000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8,261,000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N/A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Francisco,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Old Town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6,185,000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32,704,000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95%</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Borders Books and Music;</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Los Gatos,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Gap Kids; Banana</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Republic</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Post Street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20,866,000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27,420,000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81%</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Williams Sonoma; Brooks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Francisco,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Brothers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Third Street Promenade</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1996-1998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40,660,000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69,771,000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Banana Republic; J.Crew;</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(eight 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Abercrombie &amp; Fitch</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Santa Monica,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bl>
    <w:p>
      <w:pPr>
        <w:sectPr>
          <w:pgSz w:w="11900" w:h="16838" w:orient="portrait"/>
          <w:cols w:equalWidth="0" w:num="1">
            <w:col w:w="11520"/>
          </w:cols>
          <w:pgMar w:left="240" w:top="1122" w:right="1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20"/>
                <w:szCs w:val="20"/>
                <w:color w:val="auto"/>
              </w:rPr>
            </w:pPr>
            <w:r>
              <w:rPr>
                <w:rFonts w:ascii="Courier New" w:cs="Courier New" w:eastAsia="Courier New" w:hAnsi="Courier New"/>
                <w:sz w:val="17"/>
                <w:szCs w:val="17"/>
                <w:color w:val="auto"/>
              </w:rPr>
              <w:t>Uptown</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16,103,000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16,416,000</w:t>
            </w:r>
          </w:p>
        </w:tc>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100%   Elephant's Delicatessen;</w:t>
            </w:r>
          </w:p>
        </w:tc>
      </w:tr>
      <w:tr>
        <w:trPr>
          <w:trHeight w:val="201"/>
        </w:trPr>
        <w:tc>
          <w:tcPr>
            <w:tcW w:w="2580" w:type="dxa"/>
            <w:vAlign w:val="bottom"/>
          </w:tcPr>
          <w:p>
            <w:pPr>
              <w:ind w:left="120"/>
              <w:spacing w:after="0"/>
              <w:rPr>
                <w:sz w:val="20"/>
                <w:szCs w:val="20"/>
                <w:color w:val="auto"/>
              </w:rPr>
            </w:pPr>
            <w:r>
              <w:rPr>
                <w:rFonts w:ascii="Courier New" w:cs="Courier New" w:eastAsia="Courier New" w:hAnsi="Courier New"/>
                <w:sz w:val="17"/>
                <w:szCs w:val="17"/>
                <w:color w:val="auto"/>
              </w:rPr>
              <w:t>Portland, OR</w:t>
            </w: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60" w:type="dxa"/>
            <w:vAlign w:val="bottom"/>
          </w:tcPr>
          <w:p>
            <w:pPr>
              <w:ind w:left="940"/>
              <w:spacing w:after="0"/>
              <w:rPr>
                <w:sz w:val="20"/>
                <w:szCs w:val="20"/>
                <w:color w:val="auto"/>
              </w:rPr>
            </w:pPr>
            <w:r>
              <w:rPr>
                <w:rFonts w:ascii="Courier New" w:cs="Courier New" w:eastAsia="Courier New" w:hAnsi="Courier New"/>
                <w:sz w:val="17"/>
                <w:szCs w:val="17"/>
                <w:color w:val="auto"/>
              </w:rPr>
              <w:t>Zupan's Market</w:t>
            </w: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346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892,000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$162,025,000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$263,993,000</w:t>
            </w:r>
          </w:p>
        </w:tc>
        <w:tc>
          <w:tcPr>
            <w:tcW w:w="346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3460" w:type="dxa"/>
            <w:vAlign w:val="bottom"/>
          </w:tcPr>
          <w:p>
            <w:pPr>
              <w:spacing w:after="0"/>
              <w:rPr>
                <w:sz w:val="17"/>
                <w:szCs w:val="17"/>
                <w:color w:val="auto"/>
              </w:rPr>
            </w:pPr>
          </w:p>
        </w:tc>
      </w:tr>
      <w:tr>
        <w:trPr>
          <w:trHeight w:val="201"/>
        </w:trPr>
        <w:tc>
          <w:tcPr>
            <w:tcW w:w="2580" w:type="dxa"/>
            <w:vAlign w:val="bottom"/>
          </w:tcPr>
          <w:p>
            <w:pPr>
              <w:ind w:left="120"/>
              <w:spacing w:after="0"/>
              <w:rPr>
                <w:sz w:val="20"/>
                <w:szCs w:val="20"/>
                <w:color w:val="auto"/>
              </w:rPr>
            </w:pPr>
            <w:r>
              <w:rPr>
                <w:rFonts w:ascii="Courier New" w:cs="Courier New" w:eastAsia="Courier New" w:hAnsi="Courier New"/>
                <w:sz w:val="17"/>
                <w:szCs w:val="17"/>
                <w:color w:val="auto"/>
              </w:rPr>
              <w:t>Total West Coast</w:t>
            </w: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operating properties</w:t>
            </w: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1,192,000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$196,391,000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$299,278,000</w:t>
            </w:r>
          </w:p>
        </w:tc>
        <w:tc>
          <w:tcPr>
            <w:tcW w:w="346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3460" w:type="dxa"/>
            <w:vAlign w:val="bottom"/>
          </w:tcPr>
          <w:p>
            <w:pPr>
              <w:spacing w:after="0"/>
              <w:rPr>
                <w:sz w:val="17"/>
                <w:szCs w:val="17"/>
                <w:color w:val="auto"/>
              </w:rPr>
            </w:pPr>
          </w:p>
        </w:tc>
      </w:tr>
      <w:tr>
        <w:trPr>
          <w:trHeight w:val="604"/>
        </w:trPr>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S-13</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320"/>
          </w:cols>
          <w:pgMar w:left="240" w:top="142"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60" w:type="dxa"/>
            <w:vAlign w:val="bottom"/>
          </w:tcPr>
          <w:p>
            <w:pPr>
              <w:spacing w:after="0"/>
              <w:rPr>
                <w:sz w:val="20"/>
                <w:szCs w:val="20"/>
                <w:color w:val="auto"/>
              </w:rPr>
            </w:pPr>
            <w:r>
              <w:rPr>
                <w:rFonts w:ascii="Courier New" w:cs="Courier New" w:eastAsia="Courier New" w:hAnsi="Courier New"/>
                <w:sz w:val="17"/>
                <w:szCs w:val="17"/>
                <w:color w:val="auto"/>
              </w:rPr>
              <w:t>Development</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04"/>
        </w:trPr>
        <w:tc>
          <w:tcPr>
            <w:tcW w:w="3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Cost as of</w:t>
            </w:r>
          </w:p>
        </w:tc>
      </w:tr>
      <w:tr>
        <w:trPr>
          <w:trHeight w:val="201"/>
        </w:trPr>
        <w:tc>
          <w:tcPr>
            <w:tcW w:w="3260" w:type="dxa"/>
            <w:vAlign w:val="bottom"/>
          </w:tcPr>
          <w:p>
            <w:pPr>
              <w:spacing w:after="0"/>
              <w:rPr>
                <w:sz w:val="17"/>
                <w:szCs w:val="17"/>
                <w:color w:val="auto"/>
              </w:rPr>
            </w:pPr>
          </w:p>
        </w:tc>
        <w:tc>
          <w:tcPr>
            <w:tcW w:w="1520" w:type="dxa"/>
            <w:vAlign w:val="bottom"/>
          </w:tcPr>
          <w:p>
            <w:pPr>
              <w:jc w:val="center"/>
              <w:ind w:right="413"/>
              <w:spacing w:after="0"/>
              <w:rPr>
                <w:sz w:val="20"/>
                <w:szCs w:val="20"/>
                <w:color w:val="auto"/>
              </w:rPr>
            </w:pPr>
            <w:r>
              <w:rPr>
                <w:rFonts w:ascii="Courier New" w:cs="Courier New" w:eastAsia="Courier New" w:hAnsi="Courier New"/>
                <w:sz w:val="17"/>
                <w:szCs w:val="17"/>
                <w:color w:val="auto"/>
              </w:rPr>
              <w:t>Year</w:t>
            </w:r>
          </w:p>
        </w:tc>
        <w:tc>
          <w:tcPr>
            <w:tcW w:w="20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September 30,</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Development in Progress</w:t>
            </w:r>
          </w:p>
        </w:tc>
        <w:tc>
          <w:tcPr>
            <w:tcW w:w="1520" w:type="dxa"/>
            <w:vAlign w:val="bottom"/>
          </w:tcPr>
          <w:p>
            <w:pPr>
              <w:jc w:val="center"/>
              <w:ind w:right="393"/>
              <w:spacing w:after="0"/>
              <w:rPr>
                <w:sz w:val="20"/>
                <w:szCs w:val="20"/>
                <w:color w:val="auto"/>
              </w:rPr>
            </w:pPr>
            <w:r>
              <w:rPr>
                <w:rFonts w:ascii="Courier New" w:cs="Courier New" w:eastAsia="Courier New" w:hAnsi="Courier New"/>
                <w:sz w:val="17"/>
                <w:szCs w:val="17"/>
                <w:color w:val="auto"/>
              </w:rPr>
              <w:t>Acquired</w:t>
            </w:r>
          </w:p>
        </w:tc>
        <w:tc>
          <w:tcPr>
            <w:tcW w:w="520" w:type="dxa"/>
            <w:vAlign w:val="bottom"/>
          </w:tcPr>
          <w:p>
            <w:pPr>
              <w:spacing w:after="0"/>
              <w:rPr>
                <w:sz w:val="17"/>
                <w:szCs w:val="17"/>
                <w:color w:val="auto"/>
              </w:rPr>
            </w:pPr>
          </w:p>
        </w:tc>
        <w:tc>
          <w:tcPr>
            <w:tcW w:w="15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2001(5)</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r>
      <w:tr>
        <w:trPr>
          <w:trHeight w:val="403"/>
        </w:trPr>
        <w:tc>
          <w:tcPr>
            <w:tcW w:w="3260" w:type="dxa"/>
            <w:vAlign w:val="bottom"/>
          </w:tcPr>
          <w:p>
            <w:pPr>
              <w:spacing w:after="0"/>
              <w:rPr>
                <w:sz w:val="20"/>
                <w:szCs w:val="20"/>
                <w:color w:val="auto"/>
              </w:rPr>
            </w:pPr>
            <w:r>
              <w:rPr>
                <w:rFonts w:ascii="Courier New" w:cs="Courier New" w:eastAsia="Courier New" w:hAnsi="Courier New"/>
                <w:sz w:val="17"/>
                <w:szCs w:val="17"/>
                <w:color w:val="auto"/>
              </w:rPr>
              <w:t>Pentagon Row, Arlington, VA</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69,313,000</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Santana Row, San Jose, CA</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spacing w:after="0"/>
              <w:rPr>
                <w:sz w:val="17"/>
                <w:szCs w:val="17"/>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201,937,000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Total development in progress</w:t>
            </w:r>
          </w:p>
        </w:tc>
        <w:tc>
          <w:tcPr>
            <w:tcW w:w="152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271,250,000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Property in Pre-Development</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Tanasbourne, Portland, OR</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15,591,000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Total Real Estate</w:t>
            </w: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$2,065,402,000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hanging="413"/>
        <w:spacing w:after="0"/>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a leasehold interest in certain buildings in this property.</w:t>
      </w:r>
    </w:p>
    <w:p>
      <w:pPr>
        <w:spacing w:after="0" w:line="8"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property is under redevelopment.</w:t>
      </w:r>
    </w:p>
    <w:p>
      <w:pPr>
        <w:spacing w:after="0" w:line="8" w:lineRule="exact"/>
        <w:rPr>
          <w:rFonts w:ascii="Courier New" w:cs="Courier New" w:eastAsia="Courier New" w:hAnsi="Courier New"/>
          <w:sz w:val="17"/>
          <w:szCs w:val="17"/>
          <w:color w:val="auto"/>
        </w:rPr>
      </w:pPr>
    </w:p>
    <w:p>
      <w:pPr>
        <w:ind w:left="420" w:right="1939" w:hanging="413"/>
        <w:spacing w:after="0" w:line="251" w:lineRule="auto"/>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of these buildings are under redevelopment. These buildings are not included in occupancy.</w:t>
      </w:r>
    </w:p>
    <w:p>
      <w:pPr>
        <w:ind w:left="420" w:right="2039" w:hanging="413"/>
        <w:spacing w:after="0" w:line="251" w:lineRule="auto"/>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building was purchased in connection with the buyout of the minority partner in Santana Row and will be exchanged for the partner's interest in Santana Row. It is not included in occupancy.</w:t>
      </w:r>
    </w:p>
    <w:p>
      <w:pPr>
        <w:ind w:left="420" w:hanging="413"/>
        <w:spacing w:after="0"/>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acquisition cost and construction in process.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719" w:right="1440" w:bottom="1440" w:gutter="0" w:footer="0" w:header="0"/>
        </w:sectPr>
      </w:pPr>
    </w:p>
    <w:bookmarkStart w:id="21" w:name="page22"/>
    <w:bookmarkEnd w:id="21"/>
    <w:p>
      <w:pPr>
        <w:jc w:val="center"/>
        <w:ind w:right="2039"/>
        <w:spacing w:after="0"/>
        <w:rPr>
          <w:sz w:val="20"/>
          <w:szCs w:val="20"/>
          <w:color w:val="auto"/>
        </w:rPr>
      </w:pPr>
      <w:r>
        <w:rPr>
          <w:rFonts w:ascii="Courier New" w:cs="Courier New" w:eastAsia="Courier New" w:hAnsi="Courier New"/>
          <w:sz w:val="17"/>
          <w:szCs w:val="17"/>
          <w:color w:val="auto"/>
        </w:rPr>
        <w:t>DESCRIPTION OF SERIES B PREFERRED SHARES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This description of the particular terms of the Series B Preferred Shares offered hereby supplements and to the extent inconsistent therewith replaces the description of the general terms of the preferred shares set forth in the accompanying prospectus, to which description reference is hereby made. The summary of the terms of the Series B Preferred Shares set forth below does not purport to be complete and is subject to and qualified in its entirety by reference to Federal Realty's Declaration of Trust, the Articles Supplementary relating to the Series B Preferred Shares ("Articles Supplementary") and the Federal Realty Bylaws. Copies of the Declaration of Trust, the Articles Supplementary and the Bylaws may be obtained from Federal Realty.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Declaration of Trust authorizes the Board of Trustees to issue 15 million preferred shares, to classify any unissued preferred shares and to reclassify any previously classified but unissued preferred shares of any series from time to time, in one or more series, as authorized by the Board of Trustees. Prior to issuance of preferred shares of each series, the Board of Trustees is required by the Maryland REIT law and the Declaration of Trust to set, subject to the provisions of the Declaration of Trust regarding the restriction on transfer of shares of beneficial interest, the terms, preferences, conversion or other rights, voting powers, restrictions, limitations as to distributions or other dividends, qualifications and terms or conditions of redemption for each such series. As of the date hereof, Federal Realty has 4,000,000 shares of 7.95% Series A Cumulative Redeemable Preferred Shares of Beneficial Interest, liquidation preference $25.00 per share (the "Series A Preferred Shares"), outstanding.</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The Board of Trustees will adopt the Articles Supplementary determining the</w:t>
      </w:r>
    </w:p>
    <w:p>
      <w:pPr>
        <w:spacing w:after="0" w:line="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terms of a series of preferred shares consisting of up to shares, designated % Series B Cumulative Redeemable Preferred Shares. The Series B Preferred Shares will rank on a parity with the Series A Preferred Shares as to dividends and amounts payable upon liquidation.</w:t>
      </w:r>
    </w:p>
    <w:p>
      <w:pPr>
        <w:spacing w:after="0" w:line="195" w:lineRule="exact"/>
        <w:rPr>
          <w:sz w:val="20"/>
          <w:szCs w:val="20"/>
          <w:color w:val="auto"/>
        </w:rPr>
      </w:pPr>
    </w:p>
    <w:p>
      <w:pPr>
        <w:ind w:right="2039" w:firstLine="314"/>
        <w:spacing w:after="0" w:line="257" w:lineRule="auto"/>
        <w:rPr>
          <w:sz w:val="20"/>
          <w:szCs w:val="20"/>
          <w:color w:val="auto"/>
        </w:rPr>
      </w:pPr>
      <w:r>
        <w:rPr>
          <w:rFonts w:ascii="Courier New" w:cs="Courier New" w:eastAsia="Courier New" w:hAnsi="Courier New"/>
          <w:sz w:val="17"/>
          <w:szCs w:val="17"/>
          <w:color w:val="auto"/>
        </w:rPr>
        <w:t>The registrar, transfer agent and dividends disbursing agent for the Series B Preferred Shares will be American Stock Transfer &amp; Trust Company.</w:t>
      </w:r>
    </w:p>
    <w:p>
      <w:pPr>
        <w:spacing w:after="0" w:line="192" w:lineRule="exact"/>
        <w:rPr>
          <w:sz w:val="20"/>
          <w:szCs w:val="20"/>
          <w:color w:val="auto"/>
        </w:rPr>
      </w:pPr>
    </w:p>
    <w:p>
      <w:pPr>
        <w:ind w:right="2039" w:firstLine="314"/>
        <w:spacing w:after="0" w:line="254" w:lineRule="auto"/>
        <w:rPr>
          <w:sz w:val="20"/>
          <w:szCs w:val="20"/>
          <w:color w:val="auto"/>
        </w:rPr>
      </w:pPr>
      <w:r>
        <w:rPr>
          <w:rFonts w:ascii="Courier New" w:cs="Courier New" w:eastAsia="Courier New" w:hAnsi="Courier New"/>
          <w:sz w:val="17"/>
          <w:szCs w:val="17"/>
          <w:color w:val="auto"/>
        </w:rPr>
        <w:t>We expect to list the Series B Preferred Shares on the NYSE and expect that trading will commence within 30 days after initial delivery of the Series B Preferred Shares.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We will pay dividends, and if we liquidate, dissolve or wind up our operations, we will make liquidating distributions, to holders of the Series B Preferred Shares and holders of our Series A Preferred Shares and any other outstanding series of our preferred shares ranking on an equal basis with them before we make any such payments to holders of our common shares.</w:t>
      </w:r>
    </w:p>
    <w:p>
      <w:pPr>
        <w:spacing w:after="0" w:line="197"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While any Series B Preferred Shares remain outstanding, we may not authorize, create or increase the authorized amount of any class of security that ranks senior to the Series B Preferred Shares with respect to the payment of dividends or amounts payable upon liquidation, dissolution or winding up, or any class of security convertible into shares of such a class, without the consent of the holders of two-thirds of the Series A Preferred Shares, Series B Preferred Shares and any other series of preferred shares ranking equally with them as to the payment of dividends or amounts payable upon liquidation, dissolution or winding up, voting as a single class. We may, however, create additional classes of other shares, increase the authorized number of preferred shares above 15 million or issue additional series of preferred shares ranking equally with the Series A Preferred Shares and Series B Preferred Shares as to the payment of dividends or amounts payable upon liquidation, dissolution or winding up without the consent of any holder of the Series A Preferred Shares or Series B Preferred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10" w:lineRule="exact"/>
        <w:rPr>
          <w:sz w:val="20"/>
          <w:szCs w:val="20"/>
          <w:color w:val="auto"/>
        </w:rPr>
      </w:pPr>
    </w:p>
    <w:p>
      <w:pPr>
        <w:jc w:val="both"/>
        <w:ind w:right="2039" w:firstLine="314"/>
        <w:spacing w:after="0" w:line="251" w:lineRule="auto"/>
        <w:rPr>
          <w:sz w:val="20"/>
          <w:szCs w:val="20"/>
          <w:color w:val="auto"/>
        </w:rPr>
      </w:pPr>
      <w:r>
        <w:rPr>
          <w:rFonts w:ascii="Courier New" w:cs="Courier New" w:eastAsia="Courier New" w:hAnsi="Courier New"/>
          <w:sz w:val="17"/>
          <w:szCs w:val="17"/>
          <w:color w:val="auto"/>
        </w:rPr>
        <w:t>Holders of the Series B Preferred Shares shall be entitled to receive, when and as authorized by the Board of Trustees, out of funds legally available for the payment of dividends, cumulative preferential cash dividends at the rate</w:t>
      </w:r>
    </w:p>
    <w:p>
      <w:pPr>
        <w:ind w:right="2039"/>
        <w:spacing w:after="0" w:line="252" w:lineRule="auto"/>
        <w:rPr>
          <w:sz w:val="20"/>
          <w:szCs w:val="20"/>
          <w:color w:val="auto"/>
        </w:rPr>
      </w:pPr>
      <w:r>
        <w:rPr>
          <w:rFonts w:ascii="Courier New" w:cs="Courier New" w:eastAsia="Courier New" w:hAnsi="Courier New"/>
          <w:sz w:val="17"/>
          <w:szCs w:val="17"/>
          <w:color w:val="auto"/>
        </w:rPr>
        <w:t>of % of the liquidation preference per year, or $ per Series B Preferred Share per year. Dividends on the Series B Preferred Shares shall be cumulative from the date of original issuance and shall be payable quarterly in arrears on the last day of February, May, August and November or, if not a business day, the next succeeding business day (each, a</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S-15</w:t>
      </w:r>
    </w:p>
    <w:p>
      <w:pPr>
        <w:sectPr>
          <w:pgSz w:w="11900" w:h="16838" w:orient="portrait"/>
          <w:cols w:equalWidth="0" w:num="1">
            <w:col w:w="10219"/>
          </w:cols>
          <w:pgMar w:left="240" w:top="719" w:right="1440" w:bottom="0" w:gutter="0" w:footer="0" w:header="0"/>
        </w:sectPr>
      </w:pPr>
    </w:p>
    <w:bookmarkStart w:id="22" w:name="page23"/>
    <w:bookmarkEnd w:id="22"/>
    <w:p>
      <w:pPr>
        <w:ind w:right="2039"/>
        <w:spacing w:after="0" w:line="251" w:lineRule="auto"/>
        <w:rPr>
          <w:sz w:val="20"/>
          <w:szCs w:val="20"/>
          <w:color w:val="auto"/>
        </w:rPr>
      </w:pPr>
      <w:r>
        <w:rPr>
          <w:rFonts w:ascii="Courier New" w:cs="Courier New" w:eastAsia="Courier New" w:hAnsi="Courier New"/>
          <w:sz w:val="17"/>
          <w:szCs w:val="17"/>
          <w:color w:val="auto"/>
        </w:rPr>
        <w:t>"Dividend Payment Date"). The initial dividend on the Series B Preferred Shares, which will be paid on February 28, 2002, if authorized by the Board of Trustees, will be for more than a full quarter. Such dividend and any dividends payable on the Series B Preferred Shares for any other partial dividend period will be computed on the basis of a 360-day year consisting of twelve 30-day months. Dividends will be payable to holders of record as they appear in the share records of Federal Realty at the close of business on the applicable record date, which shall be the 15th day of the calendar month in which the applicable Dividend Payment Date falls or such other date designated by the Board of Trustees of Federal Realty for the payment of distributions that is not more than 50 nor less than 10 days prior to such Dividend Payment Date (each, a "Dividend Record Date").</w:t>
      </w:r>
    </w:p>
    <w:p>
      <w:pPr>
        <w:spacing w:after="0" w:line="201"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No dividends on the Series B Preferred Shares will be authorized by the Board of Trustees or paid or set apart for payment if such authorization, payment or setting apart for payment would violate any agreement of Federal Realty or is restricted or prohibited by law. Dividends on the Series B Preferred Shares will, nonetheless, accumulate whether or not any of the foregoing restrictions exist, whether or not there are funds legally available for the payment thereof and whether or not they are declared, and accumulated but unpaid dividends will accumulate as of the Dividend Payment Date on which they first become payable.</w:t>
      </w:r>
    </w:p>
    <w:p>
      <w:pPr>
        <w:spacing w:after="0" w:line="200" w:lineRule="exact"/>
        <w:rPr>
          <w:sz w:val="20"/>
          <w:szCs w:val="20"/>
          <w:color w:val="auto"/>
        </w:rPr>
      </w:pPr>
    </w:p>
    <w:p>
      <w:pPr>
        <w:spacing w:after="0" w:line="203" w:lineRule="exact"/>
        <w:rPr>
          <w:sz w:val="20"/>
          <w:szCs w:val="20"/>
          <w:color w:val="auto"/>
        </w:rPr>
      </w:pPr>
    </w:p>
    <w:p>
      <w:pPr>
        <w:ind w:right="2039" w:firstLine="314"/>
        <w:spacing w:after="0" w:line="254" w:lineRule="auto"/>
        <w:rPr>
          <w:sz w:val="20"/>
          <w:szCs w:val="20"/>
          <w:color w:val="auto"/>
        </w:rPr>
      </w:pPr>
      <w:r>
        <w:rPr>
          <w:rFonts w:ascii="Courier New" w:cs="Courier New" w:eastAsia="Courier New" w:hAnsi="Courier New"/>
          <w:sz w:val="17"/>
          <w:szCs w:val="17"/>
          <w:color w:val="auto"/>
        </w:rPr>
        <w:t>Any dividend payment made on the Series B Preferred Shares shall first be credited against the earliest accumulated but unpaid dividend due with respect to such shares which remains payable.</w:t>
      </w:r>
    </w:p>
    <w:p>
      <w:pPr>
        <w:spacing w:after="0" w:line="194"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If for any taxable year, we elect to designate as "capital gain dividends," as defined in the Internal Revenue Code, any portion of the dividends paid or made available for the year to the holders of all classes and series of our shares of beneficial interest, then the portion of the dividends designated as capital gain dividends that will be allocable to the holders of the Series B Preferred Shares will be an amount equal to the total capital gain dividends multiplied by a fraction, the numerator of which will be the total dividends, within the meaning of the Internal Revenue Code, paid or made available to the holders of the Series B Preferred Shares for the year, and the denominator of which will be the total dividends paid or made available to holders of all classes and series of our shares of beneficial interests for that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In the event of any voluntary or involuntary liquidation, dissolution, or winding up of Federal Realty, the holders of any outstanding Series B Preferred Shares will be entitled to receive out of the assets of Federal Realty available for distribution to shareholders remaining after payment or provision for payment of all debts and other liabilities of Federal Realty, before any distribution is made in respect of Federal Realty's common shares or any preferred shares ranking junior to the Series B Preferred Shares as to such assets, a liquidation preference of $25.00 per share, plus an amount equal to any accumulated and unpaid dividends to the date of payment. If upon any voluntary or involuntary liquidation, dissolution or winding up of Federal Realty, the assets of Federal Realty are insufficient to make such full payments to holders of Series B Preferred Shares and other preferred shares ranking on a parity with the Series B Preferred Shares as to the distribution of assets upon liquidation, dissolution or winding up of Federal Realty, then holders of Series B Preferred Shares and such other preferred shares shall share ratably in any distribution of assets in proportion to the full liquidating distribution to which they would otherwise be respectively entitled. After payment of the full amount of the liquidating distributions to which they are entitled, the holders of Series B Preferred Shares will not be entitled to any further participation in any distribution of assets by Federal Realty. Neither a consolidation or merger of Federal Realty with or into another corporation nor a merger of another corporation with or into Federal Realty, nor a sale, lease or conveyance of all or substantially all of Federal Realty's property or business will be considered a liquidation, dissolution or winding up of Federal Realty.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Except in certain circumstances relating to the preservation of Federal Realty's status as a REIT for federal income tax purposes, the Series B Preferred Shares will not be redeemable prior to November , 2006. On or after November , 2006, Federal Realty, at its option upon not less than 30 nor more than 90 days' written notice, may redeem the Series B Preferred Shares, in whole or in part, at any time or from time to time, at a redemption price of $25.00 per share, plus all accumulated and unpaid dividends thereon to the date of redemption (except as provided below), without interest, to the extent Federal Realty will have funds legally available therefor. The redemption price of the Series B Preferred Shares (other than any portion thereof</w:t>
      </w:r>
    </w:p>
    <w:p>
      <w:pPr>
        <w:sectPr>
          <w:pgSz w:w="11900" w:h="16838" w:orient="portrait"/>
          <w:cols w:equalWidth="0" w:num="1">
            <w:col w:w="10219"/>
          </w:cols>
          <w:pgMar w:left="240" w:top="719" w:right="1440" w:bottom="0" w:gutter="0" w:footer="0" w:header="0"/>
        </w:sectPr>
      </w:pPr>
    </w:p>
    <w:bookmarkStart w:id="23" w:name="page24"/>
    <w:bookmarkEnd w:id="23"/>
    <w:p>
      <w:pPr>
        <w:ind w:right="2359"/>
        <w:spacing w:after="0" w:line="252" w:lineRule="auto"/>
        <w:rPr>
          <w:sz w:val="20"/>
          <w:szCs w:val="20"/>
          <w:color w:val="auto"/>
        </w:rPr>
      </w:pPr>
      <w:r>
        <w:rPr>
          <w:rFonts w:ascii="Courier New" w:cs="Courier New" w:eastAsia="Courier New" w:hAnsi="Courier New"/>
          <w:sz w:val="17"/>
          <w:szCs w:val="17"/>
          <w:color w:val="auto"/>
        </w:rPr>
        <w:t>consisting of accumulated and unpaid dividends) may be paid solely from the sale proceeds of other equity securities of Federal Realty and not from any other source. For purposes of the preceding sentence, "equity securities," means any equity securities (including common shares of beneficial interest and preferred shares of beneficial</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S-16</w:t>
      </w:r>
    </w:p>
    <w:p>
      <w:pPr>
        <w:sectPr>
          <w:pgSz w:w="11900" w:h="16838" w:orient="portrait"/>
          <w:cols w:equalWidth="0" w:num="1">
            <w:col w:w="10219"/>
          </w:cols>
          <w:pgMar w:left="240" w:top="142" w:right="1440" w:bottom="1440" w:gutter="0" w:footer="0" w:header="0"/>
        </w:sectPr>
      </w:pPr>
    </w:p>
    <w:bookmarkStart w:id="24" w:name="page25"/>
    <w:bookmarkEnd w:id="24"/>
    <w:p>
      <w:pPr>
        <w:ind w:right="2039"/>
        <w:spacing w:after="0" w:line="251" w:lineRule="auto"/>
        <w:rPr>
          <w:sz w:val="20"/>
          <w:szCs w:val="20"/>
          <w:color w:val="auto"/>
        </w:rPr>
      </w:pPr>
      <w:r>
        <w:rPr>
          <w:rFonts w:ascii="Courier New" w:cs="Courier New" w:eastAsia="Courier New" w:hAnsi="Courier New"/>
          <w:sz w:val="17"/>
          <w:szCs w:val="17"/>
          <w:color w:val="auto"/>
        </w:rPr>
        <w:t>interest), depositary shares, interests, participations, or other ownership interests (however designated) and any rights (other than debt securities convertible into or exchangeable for equity securities) or options to purchase any of the foregoing. Holders of certificates evidencing Series B Preferred Shares to be redeemed shall surrender such certificates at the place designated in such notice and shall be entitled to the redemption price and any accumulated and unpaid dividends payable upon such redemption following such surrender. If notice of redemption of any Series B Preferred Shares has been given and if the funds necessary for such redemption have been set aside by Federal Realty in trust for the benefit of the holders of any Series B Preferred Shares so called for redemption, then from and after the redemption date dividends will cease to accumulate on such Series B Preferred Shares, such Series B Preferred Shares shall no longer be deemed outstanding and all rights of the holders of such shares will terminate, except the right to receive the redemption price and all accumulated and unpaid dividends thereon. If fewer than all of the outstanding Series B Preferred Shares are to be redeemed, the Series B Preferred Shares to be redeemed shall be selected pro rata (as nearly as may be practicable without creating fractional Series B Preferred Shares) or by lot or by any other equitable method determined by Federal Realty.</w:t>
      </w:r>
    </w:p>
    <w:p>
      <w:pPr>
        <w:spacing w:after="0" w:line="200" w:lineRule="exact"/>
        <w:rPr>
          <w:sz w:val="20"/>
          <w:szCs w:val="20"/>
          <w:color w:val="auto"/>
        </w:rPr>
      </w:pPr>
    </w:p>
    <w:p>
      <w:pPr>
        <w:spacing w:after="0" w:line="203"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Notice of redemption will be mailed by Federal Realty, postage prepaid, not less than 30 nor more than 90 days prior to the redemption date, to the respective holders of record of the Series B Preferred Shares to be redeemed at their respective addresses as they appear on Federal Realty's share transfer records. No failure to give such notice or any defect thereto or in the mailing thereof shall affect the validity of the proceedings for the redemption of any Series B Preferred Shares except to the holder to whom notice was defective or not given. Each notice shall state: (i) the redemption date; (ii) the redemption price and all accumulated and unpaid dividends thereon; (iii) the number of Series B Preferred Shares to be redeemed; (iv) the place or places where the certificates evidencing the Series B Preferred Shares are to be surrendered for payment of the redemption price; and (v) that dividends on the shares to be redeemed will cease to accumulate on such redemption date. If fewer than all the Series B Preferred Shares held by any holder are to be redeemed, the notice mailed to such holder shall also specify the number of Series B Preferred Shares to be redeemed from such holder.</w:t>
      </w:r>
    </w:p>
    <w:p>
      <w:pPr>
        <w:spacing w:after="0" w:line="202"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holders of record of Series B Preferred Shares at the close of business on a Dividend Record Date will be entitled to receive the dividend payable with respect to the Series B Preferred Shares held by such holders on the corresponding Dividend Payment Date notwithstanding the redemption thereof between such Dividend Record Date and the corresponding Dividend Payment Date or Federal Realty's default in the payment of the dividends due. Except as provided above, Federal Realty will make no payment or allowance for unpaid dividends, whether or not in arrears, on Series B Preferred Shares to be redeemed.</w:t>
      </w:r>
    </w:p>
    <w:p>
      <w:pPr>
        <w:spacing w:after="0" w:line="200" w:lineRule="exact"/>
        <w:rPr>
          <w:sz w:val="20"/>
          <w:szCs w:val="20"/>
          <w:color w:val="auto"/>
        </w:rPr>
      </w:pPr>
    </w:p>
    <w:p>
      <w:pPr>
        <w:spacing w:after="0" w:line="203" w:lineRule="exact"/>
        <w:rPr>
          <w:sz w:val="20"/>
          <w:szCs w:val="20"/>
          <w:color w:val="auto"/>
        </w:rPr>
      </w:pPr>
    </w:p>
    <w:p>
      <w:pPr>
        <w:ind w:right="2139" w:firstLine="314"/>
        <w:spacing w:after="0" w:line="253" w:lineRule="auto"/>
        <w:rPr>
          <w:sz w:val="20"/>
          <w:szCs w:val="20"/>
          <w:color w:val="auto"/>
        </w:rPr>
      </w:pPr>
      <w:r>
        <w:rPr>
          <w:rFonts w:ascii="Courier New" w:cs="Courier New" w:eastAsia="Courier New" w:hAnsi="Courier New"/>
          <w:sz w:val="17"/>
          <w:szCs w:val="17"/>
          <w:color w:val="auto"/>
        </w:rPr>
        <w:t>The Series B Preferred Shares will not have a stated maturity and will not be subject to any sinking fund or mandatory redemption provisions (except as provided under "Description of Common Shares -- Restrictions on Ownership" in the accompanying prospectus).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On any matter on which the Series B Preferred Shares are entitled to vote (as expressly provided in the Articles Supplementary or as may be required by law), including any action by written consent, each Series B Preferred Share will be entitled to one vote except that when shares of any other series of preferred shares have the right to vote with the Series B Preferred Shares as a single class on any matter, the Series B Preferred Shares and the shares of the other series will have one vote for each $25.00 of liquidation preference.</w:t>
      </w:r>
    </w:p>
    <w:p>
      <w:pPr>
        <w:spacing w:after="0" w:line="196" w:lineRule="exact"/>
        <w:rPr>
          <w:sz w:val="20"/>
          <w:szCs w:val="20"/>
          <w:color w:val="auto"/>
        </w:rPr>
      </w:pPr>
    </w:p>
    <w:p>
      <w:pPr>
        <w:ind w:right="2259" w:firstLine="314"/>
        <w:spacing w:after="0" w:line="254" w:lineRule="auto"/>
        <w:rPr>
          <w:sz w:val="20"/>
          <w:szCs w:val="20"/>
          <w:color w:val="auto"/>
        </w:rPr>
      </w:pPr>
      <w:r>
        <w:rPr>
          <w:rFonts w:ascii="Courier New" w:cs="Courier New" w:eastAsia="Courier New" w:hAnsi="Courier New"/>
          <w:sz w:val="17"/>
          <w:szCs w:val="17"/>
          <w:color w:val="auto"/>
        </w:rPr>
        <w:t>For further information regarding the voting rights of the holders of the Series B Preferred Shares, see "Description of Preferred Shares -- Voting Rights" in the accompanying prospectus.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w:t>
      </w:r>
    </w:p>
    <w:p>
      <w:pPr>
        <w:spacing w:after="0" w:line="210" w:lineRule="exact"/>
        <w:rPr>
          <w:sz w:val="20"/>
          <w:szCs w:val="20"/>
          <w:color w:val="auto"/>
        </w:rPr>
      </w:pPr>
    </w:p>
    <w:p>
      <w:pPr>
        <w:ind w:right="2139" w:firstLine="314"/>
        <w:spacing w:after="0" w:line="258" w:lineRule="auto"/>
        <w:rPr>
          <w:sz w:val="20"/>
          <w:szCs w:val="20"/>
          <w:color w:val="auto"/>
        </w:rPr>
      </w:pPr>
      <w:r>
        <w:rPr>
          <w:rFonts w:ascii="Courier New" w:cs="Courier New" w:eastAsia="Courier New" w:hAnsi="Courier New"/>
          <w:sz w:val="17"/>
          <w:szCs w:val="17"/>
          <w:color w:val="auto"/>
        </w:rPr>
        <w:t>The Series B Preferred Shares are not convertible into or exchangeable for any other property or securities of Federal Realty at the option of the holder.</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 and Transfer</w:t>
      </w:r>
    </w:p>
    <w:p>
      <w:pPr>
        <w:spacing w:after="0" w:line="210" w:lineRule="exact"/>
        <w:rPr>
          <w:sz w:val="20"/>
          <w:szCs w:val="20"/>
          <w:color w:val="auto"/>
        </w:rPr>
      </w:pPr>
    </w:p>
    <w:p>
      <w:pPr>
        <w:ind w:right="2259" w:firstLine="314"/>
        <w:spacing w:after="0" w:line="254" w:lineRule="auto"/>
        <w:rPr>
          <w:sz w:val="20"/>
          <w:szCs w:val="20"/>
          <w:color w:val="auto"/>
        </w:rPr>
      </w:pPr>
      <w:r>
        <w:rPr>
          <w:rFonts w:ascii="Courier New" w:cs="Courier New" w:eastAsia="Courier New" w:hAnsi="Courier New"/>
          <w:sz w:val="17"/>
          <w:szCs w:val="17"/>
          <w:color w:val="auto"/>
        </w:rPr>
        <w:t>The general restrictions on ownership and transferability described under "Description of Common Shares -- Restrictions on Ownership" in the accompanying prospectus apply to the Series B Preferred Shares.</w:t>
      </w:r>
    </w:p>
    <w:p>
      <w:pPr>
        <w:sectPr>
          <w:pgSz w:w="11900" w:h="16838" w:orient="portrait"/>
          <w:cols w:equalWidth="0" w:num="1">
            <w:col w:w="10219"/>
          </w:cols>
          <w:pgMar w:left="240" w:top="719" w:right="1440" w:bottom="0" w:gutter="0" w:footer="0" w:header="0"/>
        </w:sectPr>
      </w:pPr>
    </w:p>
    <w:bookmarkStart w:id="25" w:name="page26"/>
    <w:bookmarkEnd w:id="25"/>
    <w:p>
      <w:pPr>
        <w:ind w:left="2680"/>
        <w:spacing w:after="0"/>
        <w:rPr>
          <w:sz w:val="20"/>
          <w:szCs w:val="20"/>
          <w:color w:val="auto"/>
        </w:rPr>
      </w:pPr>
      <w:r>
        <w:rPr>
          <w:rFonts w:ascii="Courier New" w:cs="Courier New" w:eastAsia="Courier New" w:hAnsi="Courier New"/>
          <w:sz w:val="17"/>
          <w:szCs w:val="17"/>
          <w:color w:val="auto"/>
        </w:rPr>
        <w:t>S-17</w:t>
      </w:r>
    </w:p>
    <w:p>
      <w:pPr>
        <w:sectPr>
          <w:pgSz w:w="11900" w:h="16838" w:orient="portrait"/>
          <w:cols w:equalWidth="0" w:num="1">
            <w:col w:w="9019"/>
          </w:cols>
          <w:pgMar w:left="1440" w:top="343" w:right="1440" w:bottom="1440" w:gutter="0" w:footer="0" w:header="0"/>
        </w:sectPr>
      </w:pPr>
    </w:p>
    <w:bookmarkStart w:id="26" w:name="page27"/>
    <w:bookmarkEnd w:id="26"/>
    <w:p>
      <w:pPr>
        <w:jc w:val="center"/>
        <w:ind w:right="1919"/>
        <w:spacing w:after="0"/>
        <w:rPr>
          <w:sz w:val="20"/>
          <w:szCs w:val="20"/>
          <w:color w:val="auto"/>
        </w:rPr>
      </w:pPr>
      <w:r>
        <w:rPr>
          <w:rFonts w:ascii="Courier New" w:cs="Courier New" w:eastAsia="Courier New" w:hAnsi="Courier New"/>
          <w:sz w:val="17"/>
          <w:szCs w:val="17"/>
          <w:color w:val="auto"/>
        </w:rPr>
        <w:t>FEDERAL INCOME TAX CONSEQUENCES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following discussion is a description of certain federal income tax considerations pertaining to the acquisition, ownership and disposition of the Series B Preferred Shares. The following description relates solely to the tax considerations relevant specifically to the acquisition, ownership and disposition of Series B Preferred Shares. This discussion is general in nature and not exhaustive of all possible tax considerations, nor does the discussion address any state, local, or foreign tax considerations. This discussion does not purport to deal with all aspects of federal income taxation that may be relevant to a prospective shareholder in light of its particular circumstances or to certain types of shareholders (including insurance companies, financial institutions, broker-dealers, tax exempt investors, foreign corporations and persons who are not citizens or residents of the United States) subject to special treatment under the federal income tax laws. For a discussion of the taxation of Federal Realty and the tax considerations relevant to shareholders generally, see "Federal Income Tax Consequences--Taxation of Federal Realty" and "--Taxation of Taxable Domestic Holders of Common Shares" in Federal Realty's Current Report on Form 8-K filed with the Securities and Exchange Commission on November 15, 2001 (hereinafter the "8-K"), which is incorporated by reference into the prospectus and which supercedes and replaces the discussion set forth in the accompanying prospectus under the caption "Federal Income Tax Considerations."</w:t>
      </w:r>
    </w:p>
    <w:p>
      <w:pPr>
        <w:spacing w:after="0" w:line="202"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supplement.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2"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Each prospective holder of a Series B Preferred Share is advised to consult with its own tax advisor regarding the specific federal income tax consequences to it in light of its specific or unique circumstances of the acquisition, ownership and sale of Series B Preferred Shares in an entity electing to be taxed as a REIT, and any state, local and foreign tax consequences and of potential changes in applicable tax laws.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and Other Distributions; Backup Withholding</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For a discussion of the taxation of Federal Realty, the treatment of dividends and other distributions with respect to the shares of beneficial interest in Federal Realty, and the backup withholding rules, see "Federal Income Tax Consequences--Taxation of Federal Realty," "--Taxation of Taxable Domestic Holders of Common Shares," and "--Backup Withholding Tax and Information Reporting" in our 8-K. Effective for dividend payments made after August 6, 2001, the backup withholding rate has been decreased from 31% to 30% for payments made in 2002 and 2003 and is scheduled to be further reduced through 2006 as federal ordinary income tax rates decrease.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 or Exchange of Series B Preferred Shares</w:t>
      </w:r>
    </w:p>
    <w:p>
      <w:pPr>
        <w:spacing w:after="0" w:line="210" w:lineRule="exact"/>
        <w:rPr>
          <w:sz w:val="20"/>
          <w:szCs w:val="20"/>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For a discussion of the tax considerations relevant to the sale, exchange or other disposition of the shares of beneficial interest in Federal Realty to a party other than Federal Realty, see "Federal Income Tax Consequences-- Taxation of Taxable Domestic Holders of Common Shares" in our 8-K.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of Series B Preferred Shares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treatment accorded to any redemption by Federal Realty (as distinguished from a sale, exchange or other disposition) of Series B Preferred Shares can only be determined on the basis of particular facts as to each holder of Series B Preferred Shares at the time of redemption. In general, a holder of Series B Preferred Shares will recognize capital gain or loss measured by the difference between the amount received upon the redemption and the holder's adjusted basis in the Series B Preferred Shares redeemed (provided the shares are held as a capital asset) if such redemption</w:t>
      </w:r>
    </w:p>
    <w:p>
      <w:pPr>
        <w:ind w:right="2039" w:firstLine="7"/>
        <w:spacing w:after="0" w:line="254" w:lineRule="auto"/>
        <w:tabs>
          <w:tab w:leader="none" w:pos="419"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in a "complete termination" of a holder's interest in all classes of shares of Federal Realty under Section 302(b)(3) of the Internal Revenue Code or (ii) is "not essentially equivalent to a dividend" with respect to the</w:t>
      </w:r>
    </w:p>
    <w:p>
      <w:pPr>
        <w:sectPr>
          <w:pgSz w:w="11900" w:h="16838" w:orient="portrait"/>
          <w:cols w:equalWidth="0" w:num="1">
            <w:col w:w="10219"/>
          </w:cols>
          <w:pgMar w:left="240" w:top="719" w:right="1440" w:bottom="0" w:gutter="0" w:footer="0" w:header="0"/>
        </w:sectPr>
      </w:pPr>
    </w:p>
    <w:bookmarkStart w:id="27" w:name="page28"/>
    <w:bookmarkEnd w:id="27"/>
    <w:p>
      <w:pPr>
        <w:ind w:right="2039"/>
        <w:spacing w:after="0" w:line="251" w:lineRule="auto"/>
        <w:rPr>
          <w:sz w:val="20"/>
          <w:szCs w:val="20"/>
          <w:color w:val="auto"/>
        </w:rPr>
      </w:pPr>
      <w:r>
        <w:rPr>
          <w:rFonts w:ascii="Courier New" w:cs="Courier New" w:eastAsia="Courier New" w:hAnsi="Courier New"/>
          <w:sz w:val="17"/>
          <w:szCs w:val="17"/>
          <w:color w:val="auto"/>
        </w:rPr>
        <w:t>holder under Section 302(b)(1) of the Internal Revenue Code. In applying these tests, there must be taken into account not only any Series B Preferred Shares owned by the holder, but also such holder's ownership of common shares, other series of preferred shares and any options (including stock purchase rights) to acquire any of the foregoing. The holder also must take into account any such securities (including options) which are considered to be owned by such holder by reason of the constructive ownership rules set forth in Sections 318 and 302(c) of the Internal Revenue Code.</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S-18</w:t>
      </w:r>
    </w:p>
    <w:p>
      <w:pPr>
        <w:sectPr>
          <w:pgSz w:w="11900" w:h="16838" w:orient="portrait"/>
          <w:cols w:equalWidth="0" w:num="1">
            <w:col w:w="10219"/>
          </w:cols>
          <w:pgMar w:left="240" w:top="142" w:right="1440" w:bottom="1440" w:gutter="0" w:footer="0" w:header="0"/>
        </w:sectPr>
      </w:pPr>
    </w:p>
    <w:bookmarkStart w:id="28" w:name="page29"/>
    <w:bookmarkEnd w:id="28"/>
    <w:p>
      <w:pPr>
        <w:ind w:right="2039" w:firstLine="314"/>
        <w:spacing w:after="0" w:line="251" w:lineRule="auto"/>
        <w:rPr>
          <w:sz w:val="20"/>
          <w:szCs w:val="20"/>
          <w:color w:val="auto"/>
        </w:rPr>
      </w:pPr>
      <w:r>
        <w:rPr>
          <w:rFonts w:ascii="Courier New" w:cs="Courier New" w:eastAsia="Courier New" w:hAnsi="Courier New"/>
          <w:sz w:val="17"/>
          <w:szCs w:val="17"/>
          <w:color w:val="auto"/>
        </w:rPr>
        <w:t>If a particular holder owns (actually or constructively) no common shares or an insubstantial percentage of common shares or preferred shares of Federal Realty, based upon current law, it is probable that the redemption of Series B Preferred Shares from such holder would be considered "not essentially equivalent to a dividend." However, whether a distribution is "not essentially equivalent to a dividend" depends on all of the facts and circumstances, and a holder of Series B Preferred Shares intending to rely on any of these tests at the time of redemption should consult its tax advisor to determine their application to its particular situation.</w:t>
      </w:r>
    </w:p>
    <w:p>
      <w:pPr>
        <w:spacing w:after="0" w:line="201"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If the redemption does not meet any of the tests under Section 302 of the Internal Revenue Code, then the redemption proceeds received from the Series B Preferred Shares will be treated as a distribution on the Series B Preferred Shares described under "Federal Income Tax Consequences--Taxation of Domestic Holders of Common Shares" or "--Taxation of Non-U.S. Shareholders" in our 8-K. If the redemption is taxed as a dividend, the holder's adjusted basis in the Series B Preferred Shares will be transferred to any other shareholdings of the holder of Series B Preferred Shares in Federal Realty. If the holder of Series B Preferred Shares owns no other shares of beneficial interest in Federal Realty, under certain circumstances, such basis may be transferred to a related person, or it may be lost entirely.</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S-19</w:t>
      </w:r>
    </w:p>
    <w:p>
      <w:pPr>
        <w:sectPr>
          <w:pgSz w:w="11900" w:h="16838" w:orient="portrait"/>
          <w:cols w:equalWidth="0" w:num="1">
            <w:col w:w="10219"/>
          </w:cols>
          <w:pgMar w:left="240" w:top="719" w:right="1440" w:bottom="1440" w:gutter="0" w:footer="0" w:header="0"/>
        </w:sectPr>
      </w:pPr>
    </w:p>
    <w:bookmarkStart w:id="29" w:name="page30"/>
    <w:bookmarkEnd w:id="29"/>
    <w:p>
      <w:pPr>
        <w:jc w:val="center"/>
        <w:ind w:right="2039"/>
        <w:spacing w:after="0"/>
        <w:rPr>
          <w:sz w:val="20"/>
          <w:szCs w:val="20"/>
          <w:color w:val="auto"/>
        </w:rPr>
      </w:pPr>
      <w:r>
        <w:rPr>
          <w:rFonts w:ascii="Courier New" w:cs="Courier New" w:eastAsia="Courier New" w:hAnsi="Courier New"/>
          <w:sz w:val="17"/>
          <w:szCs w:val="17"/>
          <w:color w:val="auto"/>
        </w:rPr>
        <w:t>UNDERWRITERS</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Under the terms and subject to the conditions contained in an underwriting agreement dated the date of this prospectus supplement, the underwriters named below, for whom Morgan Stanley &amp; Co. Incorporated, First Union Securities, Inc., Merrill Lynch, Pierce, Fenner &amp; Smith Incorporated and Salomon Smith Barney Inc. are acting as representatives, have severally agreed to purchase, and Federal Realty has agreed to sell to them, severally, the number of Series B Preferred Shares indicated below:</w:t>
      </w:r>
    </w:p>
    <w:p>
      <w:pPr>
        <w:sectPr>
          <w:pgSz w:w="11900" w:h="16838" w:orient="portrait"/>
          <w:cols w:equalWidth="0" w:num="1">
            <w:col w:w="10219"/>
          </w:cols>
          <w:pgMar w:left="240" w:top="7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820" w:space="720"/>
            <w:col w:w="2679"/>
          </w:cols>
          <w:pgMar w:left="240" w:top="719"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Morgan Stanley &amp; Co. 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Union Securities, Inc.(1)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Salomon Smith Barney Inc.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Total................................................................ $</w:t>
      </w:r>
    </w:p>
    <w:p>
      <w:pPr>
        <w:spacing w:after="0" w:line="9" w:lineRule="exact"/>
        <w:rPr>
          <w:sz w:val="20"/>
          <w:szCs w:val="20"/>
          <w:color w:val="auto"/>
        </w:rPr>
      </w:pPr>
    </w:p>
    <w:p>
      <w:pPr>
        <w:ind w:left="75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(1)First Union Securities, Inc. is acting under the trade name Wachovia.</w:t>
      </w:r>
    </w:p>
    <w:p>
      <w:pPr>
        <w:spacing w:after="0" w:line="210" w:lineRule="exact"/>
        <w:rPr>
          <w:sz w:val="20"/>
          <w:szCs w:val="20"/>
          <w:color w:val="auto"/>
        </w:rPr>
      </w:pPr>
    </w:p>
    <w:p>
      <w:pPr>
        <w:ind w:right="2139" w:firstLine="314"/>
        <w:spacing w:after="0" w:line="252" w:lineRule="auto"/>
        <w:rPr>
          <w:sz w:val="20"/>
          <w:szCs w:val="20"/>
          <w:color w:val="auto"/>
        </w:rPr>
      </w:pPr>
      <w:r>
        <w:rPr>
          <w:rFonts w:ascii="Courier New" w:cs="Courier New" w:eastAsia="Courier New" w:hAnsi="Courier New"/>
          <w:sz w:val="17"/>
          <w:szCs w:val="17"/>
          <w:color w:val="auto"/>
        </w:rPr>
        <w:t>The underwriting agreement provides that the obligations of the several underwriters to pay for and accept delivery of the Series B Preferred Shares offered hereby are subject to the approval of certain legal matters by their counsel and to certain other conditions. The underwriters are obligated to take and pay for all of the Series B Preferred Shares offered hereby (other than those covered by the underwriters' overallotment option described below) if any such shares are taken.</w:t>
      </w:r>
    </w:p>
    <w:p>
      <w:pPr>
        <w:spacing w:after="0" w:line="196"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The underwriters initially propose to offer part of the Series B Preferred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20"/>
                <w:szCs w:val="20"/>
                <w:color w:val="auto"/>
              </w:rPr>
            </w:pPr>
            <w:r>
              <w:rPr>
                <w:rFonts w:ascii="Courier New" w:cs="Courier New" w:eastAsia="Courier New" w:hAnsi="Courier New"/>
                <w:sz w:val="17"/>
                <w:szCs w:val="17"/>
                <w:color w:val="auto"/>
              </w:rPr>
              <w:t>Shares directly to</w:t>
            </w:r>
          </w:p>
        </w:tc>
        <w:tc>
          <w:tcPr>
            <w:tcW w:w="55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the public at the public offering price set forth on</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cover page of this</w:t>
            </w:r>
          </w:p>
        </w:tc>
        <w:tc>
          <w:tcPr>
            <w:tcW w:w="55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prospectus supplement and part to certain dealers at</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a</w:t>
            </w:r>
          </w:p>
        </w:tc>
      </w:tr>
      <w:tr>
        <w:trPr>
          <w:trHeight w:val="201"/>
        </w:trPr>
        <w:tc>
          <w:tcPr>
            <w:tcW w:w="6240" w:type="dxa"/>
            <w:vAlign w:val="bottom"/>
            <w:gridSpan w:val="3"/>
          </w:tcPr>
          <w:p>
            <w:pPr>
              <w:spacing w:after="0"/>
              <w:rPr>
                <w:sz w:val="20"/>
                <w:szCs w:val="20"/>
                <w:color w:val="auto"/>
              </w:rPr>
            </w:pPr>
            <w:r>
              <w:rPr>
                <w:rFonts w:ascii="Courier New" w:cs="Courier New" w:eastAsia="Courier New" w:hAnsi="Courier New"/>
                <w:sz w:val="17"/>
                <w:szCs w:val="17"/>
                <w:color w:val="auto"/>
              </w:rPr>
              <w:t>price that represents a concession not in excess of $   per</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share under</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201"/>
        </w:trPr>
        <w:tc>
          <w:tcPr>
            <w:tcW w:w="5300" w:type="dxa"/>
            <w:vAlign w:val="bottom"/>
            <w:gridSpan w:val="2"/>
          </w:tcPr>
          <w:p>
            <w:pPr>
              <w:spacing w:after="0"/>
              <w:rPr>
                <w:sz w:val="20"/>
                <w:szCs w:val="20"/>
                <w:color w:val="auto"/>
              </w:rPr>
            </w:pPr>
            <w:r>
              <w:rPr>
                <w:rFonts w:ascii="Courier New" w:cs="Courier New" w:eastAsia="Courier New" w:hAnsi="Courier New"/>
                <w:sz w:val="17"/>
                <w:szCs w:val="17"/>
                <w:color w:val="auto"/>
              </w:rPr>
              <w:t>public offering price. Any underwriters may allow,</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and such</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dealers may</w:t>
            </w:r>
          </w:p>
        </w:tc>
        <w:tc>
          <w:tcPr>
            <w:tcW w:w="680" w:type="dxa"/>
            <w:vAlign w:val="bottom"/>
          </w:tcPr>
          <w:p>
            <w:pPr>
              <w:spacing w:after="0"/>
              <w:rPr>
                <w:sz w:val="17"/>
                <w:szCs w:val="17"/>
                <w:color w:val="auto"/>
              </w:rPr>
            </w:pPr>
          </w:p>
        </w:tc>
      </w:tr>
      <w:tr>
        <w:trPr>
          <w:trHeight w:val="201"/>
        </w:trPr>
        <w:tc>
          <w:tcPr>
            <w:tcW w:w="5300" w:type="dxa"/>
            <w:vAlign w:val="bottom"/>
            <w:gridSpan w:val="2"/>
          </w:tcPr>
          <w:p>
            <w:pPr>
              <w:spacing w:after="0"/>
              <w:rPr>
                <w:sz w:val="20"/>
                <w:szCs w:val="20"/>
                <w:color w:val="auto"/>
              </w:rPr>
            </w:pPr>
            <w:r>
              <w:rPr>
                <w:rFonts w:ascii="Courier New" w:cs="Courier New" w:eastAsia="Courier New" w:hAnsi="Courier New"/>
                <w:sz w:val="17"/>
                <w:szCs w:val="17"/>
                <w:color w:val="auto"/>
              </w:rPr>
              <w:t>reallow, a concession not in excess of $   a share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to other</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underwriters or to</w:t>
            </w:r>
          </w:p>
        </w:tc>
      </w:tr>
      <w:tr>
        <w:trPr>
          <w:trHeight w:val="201"/>
        </w:trPr>
        <w:tc>
          <w:tcPr>
            <w:tcW w:w="5300" w:type="dxa"/>
            <w:vAlign w:val="bottom"/>
            <w:gridSpan w:val="2"/>
          </w:tcPr>
          <w:p>
            <w:pPr>
              <w:spacing w:after="0"/>
              <w:rPr>
                <w:sz w:val="20"/>
                <w:szCs w:val="20"/>
                <w:color w:val="auto"/>
              </w:rPr>
            </w:pPr>
            <w:r>
              <w:rPr>
                <w:rFonts w:ascii="Courier New" w:cs="Courier New" w:eastAsia="Courier New" w:hAnsi="Courier New"/>
                <w:sz w:val="17"/>
                <w:szCs w:val="17"/>
                <w:color w:val="auto"/>
              </w:rPr>
              <w:t>certain dealers. After the initial offering of the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Series B</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Preferred Shares,</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the offering price</w:t>
            </w:r>
          </w:p>
        </w:tc>
        <w:tc>
          <w:tcPr>
            <w:tcW w:w="4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other selling terms may from time to</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time be varied by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representatives.</w:t>
      </w:r>
    </w:p>
    <w:p>
      <w:pPr>
        <w:spacing w:after="0" w:line="210" w:lineRule="exact"/>
        <w:rPr>
          <w:sz w:val="20"/>
          <w:szCs w:val="20"/>
          <w:color w:val="auto"/>
        </w:rPr>
      </w:pPr>
    </w:p>
    <w:p>
      <w:pPr>
        <w:ind w:right="2259" w:firstLine="314"/>
        <w:spacing w:after="0" w:line="251" w:lineRule="auto"/>
        <w:rPr>
          <w:sz w:val="20"/>
          <w:szCs w:val="20"/>
          <w:color w:val="auto"/>
        </w:rPr>
      </w:pPr>
      <w:r>
        <w:rPr>
          <w:rFonts w:ascii="Courier New" w:cs="Courier New" w:eastAsia="Courier New" w:hAnsi="Courier New"/>
          <w:sz w:val="17"/>
          <w:szCs w:val="17"/>
          <w:color w:val="auto"/>
        </w:rPr>
        <w:t>Federal Realty has granted to the underwriters an option, exercisable for 30 days from the date of this prospectus supplement, to purchase up to an</w:t>
      </w:r>
    </w:p>
    <w:p>
      <w:pPr>
        <w:ind w:right="2039"/>
        <w:spacing w:after="0" w:line="251" w:lineRule="auto"/>
        <w:rPr>
          <w:sz w:val="20"/>
          <w:szCs w:val="20"/>
          <w:color w:val="auto"/>
        </w:rPr>
      </w:pPr>
      <w:r>
        <w:rPr>
          <w:rFonts w:ascii="Courier New" w:cs="Courier New" w:eastAsia="Courier New" w:hAnsi="Courier New"/>
          <w:sz w:val="17"/>
          <w:szCs w:val="17"/>
          <w:color w:val="auto"/>
        </w:rPr>
        <w:t>aggregate of additional Series B Preferred Shares at the public offering price set forth on the cover page hereof, less underwriting discounts and commissions. The underwriters may exercise such option solely for the purpose of covering overallotments, if any, made in connection with the offering of the Series B Preferred Shares offered hereby. To the extent such option is exercised, each underwriter will become obligated, subject to certain conditions, to purchase approximately the same percentage of such additional Series B Preferred Shares as the number set forth next to such underwriter's name in the preceding table bears to the total number of Series B Preferred Shares set forth next to the names of all underwriters in the preceding table.</w:t>
      </w:r>
    </w:p>
    <w:p>
      <w:pPr>
        <w:spacing w:after="0" w:line="201" w:lineRule="exact"/>
        <w:rPr>
          <w:sz w:val="20"/>
          <w:szCs w:val="20"/>
          <w:color w:val="auto"/>
        </w:rPr>
      </w:pPr>
    </w:p>
    <w:p>
      <w:pPr>
        <w:ind w:right="2139" w:firstLine="314"/>
        <w:spacing w:after="0" w:line="251" w:lineRule="auto"/>
        <w:rPr>
          <w:sz w:val="20"/>
          <w:szCs w:val="20"/>
          <w:color w:val="auto"/>
        </w:rPr>
      </w:pPr>
      <w:r>
        <w:rPr>
          <w:rFonts w:ascii="Courier New" w:cs="Courier New" w:eastAsia="Courier New" w:hAnsi="Courier New"/>
          <w:sz w:val="17"/>
          <w:szCs w:val="17"/>
          <w:color w:val="auto"/>
        </w:rPr>
        <w:t>Federal Realty expects to list the Series B Preferred Shares on the NYSE. Trading of the Series B Preferred Shares on the NYSE, if listing is approved, is expected to commence within 30 days after initial delivery of the Series B Preferred Shares. The underwriters have advised Federal Realty that they intend to make a market in the Series B Preferred Shares prior to the commencement of trading on the NYSE. The underwriters will have no obligation to make a market in the Series B Preferred Shares, however, and may cease market-making activities, if commenced, at any time.</w:t>
      </w:r>
    </w:p>
    <w:p>
      <w:pPr>
        <w:spacing w:after="0" w:line="201" w:lineRule="exact"/>
        <w:rPr>
          <w:sz w:val="20"/>
          <w:szCs w:val="20"/>
          <w:color w:val="auto"/>
        </w:rPr>
      </w:pPr>
    </w:p>
    <w:p>
      <w:pPr>
        <w:ind w:right="2139" w:firstLine="314"/>
        <w:spacing w:after="0" w:line="251" w:lineRule="auto"/>
        <w:rPr>
          <w:sz w:val="20"/>
          <w:szCs w:val="20"/>
          <w:color w:val="auto"/>
        </w:rPr>
      </w:pPr>
      <w:r>
        <w:rPr>
          <w:rFonts w:ascii="Courier New" w:cs="Courier New" w:eastAsia="Courier New" w:hAnsi="Courier New"/>
          <w:sz w:val="17"/>
          <w:szCs w:val="17"/>
          <w:color w:val="auto"/>
        </w:rPr>
        <w:t>In order to facilitate the offering of the Series B Preferred Shares, the underwriters may engage in transactions that stabilize, maintain or otherwise affect the price of the Series B Preferred Shares. Specifically, the underwriters may overallot in connection with the offering, creating a short position in the Series B Preferred Shares for their own account. In addition, to cover overallotments or to stabilize the price of the Series B Preferred Shares, the underwriters may bid for, and purchase, Series B Preferred Shares in the open market. Finally, the underwriting syndicate may reclaim selling concessions allowed to an underwriter or a dealer for distributing the Series B Preferred Shares in the offering, if the syndicate repurchases previously</w:t>
      </w:r>
    </w:p>
    <w:p>
      <w:pPr>
        <w:sectPr>
          <w:pgSz w:w="11900" w:h="16838" w:orient="portrait"/>
          <w:cols w:equalWidth="0" w:num="1">
            <w:col w:w="10219"/>
          </w:cols>
          <w:pgMar w:left="240" w:top="719" w:right="1440" w:bottom="0" w:gutter="0" w:footer="0" w:header="0"/>
          <w:type w:val="continuous"/>
        </w:sectPr>
      </w:pPr>
    </w:p>
    <w:bookmarkStart w:id="30" w:name="page31"/>
    <w:bookmarkEnd w:id="30"/>
    <w:p>
      <w:pPr>
        <w:ind w:right="2039"/>
        <w:spacing w:after="0" w:line="252" w:lineRule="auto"/>
        <w:rPr>
          <w:sz w:val="20"/>
          <w:szCs w:val="20"/>
          <w:color w:val="auto"/>
        </w:rPr>
      </w:pPr>
      <w:r>
        <w:rPr>
          <w:rFonts w:ascii="Courier New" w:cs="Courier New" w:eastAsia="Courier New" w:hAnsi="Courier New"/>
          <w:sz w:val="17"/>
          <w:szCs w:val="17"/>
          <w:color w:val="auto"/>
        </w:rPr>
        <w:t>distributed Series B Preferred Shares in transactions to cover syndicate short positions, in stabilization transactions or otherwise. Any of these activities may stabilize or maintain the market price of the Series B Preferred Shares above independent market levels. The underwriters are not required to engage in these activities, and may end any of these activities at any time.</w:t>
      </w:r>
    </w:p>
    <w:p>
      <w:pPr>
        <w:spacing w:after="0" w:line="197" w:lineRule="exact"/>
        <w:rPr>
          <w:sz w:val="20"/>
          <w:szCs w:val="20"/>
          <w:color w:val="auto"/>
        </w:rPr>
      </w:pPr>
    </w:p>
    <w:p>
      <w:pPr>
        <w:ind w:right="2459" w:firstLine="314"/>
        <w:spacing w:after="0" w:line="257" w:lineRule="auto"/>
        <w:rPr>
          <w:sz w:val="20"/>
          <w:szCs w:val="20"/>
          <w:color w:val="auto"/>
        </w:rPr>
      </w:pPr>
      <w:r>
        <w:rPr>
          <w:rFonts w:ascii="Courier New" w:cs="Courier New" w:eastAsia="Courier New" w:hAnsi="Courier New"/>
          <w:sz w:val="17"/>
          <w:szCs w:val="17"/>
          <w:color w:val="auto"/>
        </w:rPr>
        <w:t>Federal Realty has agreed to indemnify the underwriters against certain liabilities, including liabilities under the Securities Act.</w:t>
      </w: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S-20</w:t>
      </w:r>
    </w:p>
    <w:p>
      <w:pPr>
        <w:sectPr>
          <w:pgSz w:w="11900" w:h="16838" w:orient="portrait"/>
          <w:cols w:equalWidth="0" w:num="1">
            <w:col w:w="10219"/>
          </w:cols>
          <w:pgMar w:left="240" w:top="142" w:right="1440" w:bottom="1440" w:gutter="0" w:footer="0" w:header="0"/>
        </w:sectPr>
      </w:pPr>
    </w:p>
    <w:bookmarkStart w:id="31" w:name="page32"/>
    <w:bookmarkEnd w:id="31"/>
    <w:p>
      <w:pPr>
        <w:ind w:right="2039" w:firstLine="314"/>
        <w:spacing w:after="0" w:line="251" w:lineRule="auto"/>
        <w:rPr>
          <w:sz w:val="20"/>
          <w:szCs w:val="20"/>
          <w:color w:val="auto"/>
        </w:rPr>
      </w:pPr>
      <w:r>
        <w:rPr>
          <w:rFonts w:ascii="Courier New" w:cs="Courier New" w:eastAsia="Courier New" w:hAnsi="Courier New"/>
          <w:sz w:val="17"/>
          <w:szCs w:val="17"/>
          <w:color w:val="auto"/>
        </w:rPr>
        <w:t>Certain of the underwriters or their affiliates have provided banking and other financial services to Federal Realty or its affiliates from time to time for which they have received customary fees and expenses. Certain of the underwriters or their affiliates will in the future continue to provide banking and other financial services to Federal Realty or its affiliates for which they will receive customary compensation. First Union National Bank, an affiliate of First Union Securities, Inc., is a lender on our credit facility. First Union National Bank will receive its proportionate share of the amount of the credit facility to be repaid. Because the amount to be repaid to First Union National Bank will exceed 10% of the net proceeds from this offering, this offering is being made pursuant to the provisions of Rule 2710(c)(8) of the Conduct Rules of the National Association of Securities Dealers, Inc.</w:t>
      </w:r>
    </w:p>
    <w:p>
      <w:pPr>
        <w:spacing w:after="0" w:line="201"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LEGAL MATTERS</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The legality of the Series B Preferred Shares will be passed upon for Federal Realty by Hogan &amp; Hartson L.L.P., Washington, D.C. Certain tax matters will be passed upon by Hogan &amp; Hartson L.L.P., Washington D.C., special tax counsel for Federal Realty. Sidley Austin Brown &amp; Wood llp, New York, New York, will act as counsel to the underwriters.</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S-21</w:t>
      </w:r>
    </w:p>
    <w:p>
      <w:pPr>
        <w:sectPr>
          <w:pgSz w:w="11900" w:h="16838" w:orient="portrait"/>
          <w:cols w:equalWidth="0" w:num="1">
            <w:col w:w="10219"/>
          </w:cols>
          <w:pgMar w:left="240" w:top="719" w:right="1440" w:bottom="1440" w:gutter="0" w:footer="0" w:header="0"/>
        </w:sectPr>
      </w:pPr>
    </w:p>
    <w:bookmarkStart w:id="32" w:name="page33"/>
    <w:bookmarkEnd w:id="32"/>
    <w:p>
      <w:pPr>
        <w:jc w:val="center"/>
        <w:ind w:right="1919"/>
        <w:spacing w:after="0"/>
        <w:rPr>
          <w:sz w:val="20"/>
          <w:szCs w:val="20"/>
          <w:color w:val="auto"/>
        </w:rPr>
      </w:pPr>
      <w:r>
        <w:rPr>
          <w:rFonts w:ascii="Courier New" w:cs="Courier New" w:eastAsia="Courier New" w:hAnsi="Courier New"/>
          <w:sz w:val="17"/>
          <w:szCs w:val="17"/>
          <w:color w:val="auto"/>
        </w:rPr>
        <w:t>[LOGO OF FEDERAL REALTY INVESTMENT TRUST APPERS HERE]</w:t>
      </w:r>
    </w:p>
    <w:p>
      <w:pPr>
        <w:spacing w:after="0" w:line="21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$500,000,000</w:t>
      </w:r>
    </w:p>
    <w:p>
      <w:pPr>
        <w:spacing w:after="0" w:line="210"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Debt Securities, Preferred Shares and Common Shares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Federal Realty Investment Trust (the "Trust") may from time to time offer in one or more series (i) its unsecured debt securities (the "Debt Securities"),</w:t>
      </w:r>
    </w:p>
    <w:p>
      <w:pPr>
        <w:ind w:right="2259" w:firstLine="7"/>
        <w:spacing w:after="0" w:line="251" w:lineRule="auto"/>
        <w:tabs>
          <w:tab w:leader="none" w:pos="524"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398"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2" w:lineRule="exact"/>
        <w:rPr>
          <w:sz w:val="20"/>
          <w:szCs w:val="20"/>
          <w:color w:val="auto"/>
        </w:rPr>
      </w:pPr>
    </w:p>
    <w:p>
      <w:pPr>
        <w:ind w:right="2359" w:firstLine="209"/>
        <w:spacing w:after="0" w:line="253" w:lineRule="auto"/>
        <w:rPr>
          <w:sz w:val="20"/>
          <w:szCs w:val="20"/>
          <w:color w:val="auto"/>
        </w:rPr>
      </w:pPr>
      <w:r>
        <w:rPr>
          <w:rFonts w:ascii="Courier New" w:cs="Courier New" w:eastAsia="Courier New" w:hAnsi="Courier New"/>
          <w:sz w:val="17"/>
          <w:szCs w:val="17"/>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95"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2039"/>
        <w:spacing w:after="0"/>
        <w:tabs>
          <w:tab w:leader="none" w:pos="180" w:val="left"/>
          <w:tab w:leader="none" w:pos="180" w:val="left"/>
        </w:tabs>
        <w:rPr>
          <w:sz w:val="20"/>
          <w:szCs w:val="20"/>
          <w:color w:val="auto"/>
        </w:rPr>
      </w:pPr>
      <w:r>
        <w:rPr>
          <w:rFonts w:ascii="Courier New" w:cs="Courier New" w:eastAsia="Courier New" w:hAnsi="Courier New"/>
          <w:sz w:val="17"/>
          <w:szCs w:val="17"/>
          <w:color w:val="auto"/>
        </w:rPr>
        <w:t>THESE SECURITIES HAVE NOT</w:t>
        <w:tab/>
        <w:t>BEEN APPROVED OR</w:t>
        <w:tab/>
        <w:t>DISAPPROVED BY THE SECURITIES</w:t>
      </w:r>
    </w:p>
    <w:p>
      <w:pPr>
        <w:spacing w:after="0" w:line="9" w:lineRule="exact"/>
        <w:rPr>
          <w:sz w:val="20"/>
          <w:szCs w:val="20"/>
          <w:color w:val="auto"/>
        </w:rPr>
      </w:pPr>
    </w:p>
    <w:p>
      <w:pPr>
        <w:jc w:val="center"/>
        <w:ind w:right="2039"/>
        <w:spacing w:after="0" w:line="251" w:lineRule="auto"/>
        <w:rPr>
          <w:sz w:val="20"/>
          <w:szCs w:val="20"/>
          <w:color w:val="auto"/>
        </w:rPr>
      </w:pPr>
      <w:r>
        <w:rPr>
          <w:rFonts w:ascii="Courier New" w:cs="Courier New" w:eastAsia="Courier New" w:hAnsi="Courier New"/>
          <w:sz w:val="17"/>
          <w:szCs w:val="17"/>
          <w:color w:val="auto"/>
        </w:rPr>
        <w:t>AND EXCHANGE COMMISSION OR ANY STATE SECURITIES COMMISSION NOR HAS THE SECURITIES  AND  EXCHANGE  COMMISSION   OR  ANY  STATE  SECURITIES COMMISSION  PASSED  UPON  THE  ACCURACY OR  ADEQUACY  OF  THIS PROSPECTUS.  ANY  REPRESENTATION  TO  THE  CONTRARY  IS  A</w:t>
      </w:r>
    </w:p>
    <w:p>
      <w:pPr>
        <w:ind w:left="1360"/>
        <w:spacing w:after="0"/>
        <w:rPr>
          <w:sz w:val="20"/>
          <w:szCs w:val="20"/>
          <w:color w:val="auto"/>
        </w:rPr>
      </w:pPr>
      <w:r>
        <w:rPr>
          <w:rFonts w:ascii="Courier New" w:cs="Courier New" w:eastAsia="Courier New" w:hAnsi="Courier New"/>
          <w:sz w:val="17"/>
          <w:szCs w:val="17"/>
          <w:color w:val="auto"/>
        </w:rPr>
        <w:t>CRIMINAL OFFENSE.</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The date of this Prospectus is September 30, 1998.</w:t>
      </w:r>
    </w:p>
    <w:p>
      <w:pPr>
        <w:sectPr>
          <w:pgSz w:w="11900" w:h="16838" w:orient="portrait"/>
          <w:cols w:equalWidth="0" w:num="1">
            <w:col w:w="10219"/>
          </w:cols>
          <w:pgMar w:left="240" w:top="1122" w:right="1440" w:bottom="659" w:gutter="0" w:footer="0" w:header="0"/>
        </w:sectPr>
      </w:pPr>
    </w:p>
    <w:bookmarkStart w:id="33" w:name="page34"/>
    <w:bookmarkEnd w:id="33"/>
    <w:p>
      <w:pPr>
        <w:ind w:left="3040"/>
        <w:spacing w:after="0"/>
        <w:rPr>
          <w:sz w:val="20"/>
          <w:szCs w:val="20"/>
          <w:color w:val="auto"/>
        </w:rPr>
      </w:pPr>
      <w:r>
        <w:rPr>
          <w:rFonts w:ascii="Courier New" w:cs="Courier New" w:eastAsia="Courier New" w:hAnsi="Courier New"/>
          <w:sz w:val="17"/>
          <w:szCs w:val="17"/>
          <w:color w:val="auto"/>
        </w:rPr>
        <w:t>AVAILABLE INFORMATION</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202"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10" w:lineRule="exact"/>
        <w:rPr>
          <w:sz w:val="20"/>
          <w:szCs w:val="20"/>
          <w:color w:val="auto"/>
        </w:rPr>
      </w:pPr>
    </w:p>
    <w:p>
      <w:pPr>
        <w:ind w:right="2679" w:firstLine="209"/>
        <w:spacing w:after="0" w:line="257" w:lineRule="auto"/>
        <w:rPr>
          <w:sz w:val="20"/>
          <w:szCs w:val="20"/>
          <w:color w:val="auto"/>
        </w:rPr>
      </w:pPr>
      <w:r>
        <w:rPr>
          <w:rFonts w:ascii="Courier New" w:cs="Courier New" w:eastAsia="Courier New" w:hAnsi="Courier New"/>
          <w:sz w:val="17"/>
          <w:szCs w:val="17"/>
          <w:color w:val="auto"/>
        </w:rPr>
        <w:t>The following documents filed by the Trust with the Commission are incorporated in this Prospectus by reference and are made a part hereof:</w:t>
      </w:r>
    </w:p>
    <w:p>
      <w:pPr>
        <w:spacing w:after="0" w:line="192" w:lineRule="exact"/>
        <w:rPr>
          <w:sz w:val="20"/>
          <w:szCs w:val="20"/>
          <w:color w:val="auto"/>
        </w:rPr>
      </w:pPr>
    </w:p>
    <w:p>
      <w:pPr>
        <w:ind w:left="220" w:right="2779" w:firstLine="206"/>
        <w:spacing w:after="0" w:line="257" w:lineRule="auto"/>
        <w:tabs>
          <w:tab w:leader="none" w:pos="744"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Annual Report on Form 10-K for the fiscal year ended December 31, 1997.</w:t>
      </w:r>
    </w:p>
    <w:p>
      <w:pPr>
        <w:spacing w:after="0" w:line="191" w:lineRule="exact"/>
        <w:rPr>
          <w:rFonts w:ascii="Courier New" w:cs="Courier New" w:eastAsia="Courier New" w:hAnsi="Courier New"/>
          <w:sz w:val="17"/>
          <w:szCs w:val="17"/>
          <w:color w:val="auto"/>
        </w:rPr>
      </w:pPr>
    </w:p>
    <w:p>
      <w:pPr>
        <w:ind w:left="220" w:right="2679" w:firstLine="206"/>
        <w:spacing w:after="0" w:line="257" w:lineRule="auto"/>
        <w:tabs>
          <w:tab w:leader="none" w:pos="744"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Quarterly Reports on Form 10-Q for the quarters ended March 31, 1998 and June 30, 1998.</w:t>
      </w:r>
    </w:p>
    <w:p>
      <w:pPr>
        <w:spacing w:after="0" w:line="191" w:lineRule="exact"/>
        <w:rPr>
          <w:rFonts w:ascii="Courier New" w:cs="Courier New" w:eastAsia="Courier New" w:hAnsi="Courier New"/>
          <w:sz w:val="17"/>
          <w:szCs w:val="17"/>
          <w:color w:val="auto"/>
        </w:rPr>
      </w:pPr>
    </w:p>
    <w:p>
      <w:pPr>
        <w:ind w:left="220" w:right="2259" w:firstLine="206"/>
        <w:spacing w:after="0" w:line="254" w:lineRule="auto"/>
        <w:tabs>
          <w:tab w:leader="none" w:pos="744"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Current Reports on Form 8-K filed with the Commission on February 24, 1998, March 10, 1998, March 11, 1998, May 11, 1998 and August 7, 1998.</w:t>
      </w:r>
    </w:p>
    <w:p>
      <w:pPr>
        <w:spacing w:after="0" w:line="194"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197"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062" w:gutter="0" w:footer="0" w:header="0"/>
        </w:sectPr>
      </w:pPr>
    </w:p>
    <w:bookmarkStart w:id="34" w:name="page35"/>
    <w:bookmarkEnd w:id="34"/>
    <w:p>
      <w:pPr>
        <w:ind w:left="3680"/>
        <w:spacing w:after="0"/>
        <w:rPr>
          <w:sz w:val="20"/>
          <w:szCs w:val="20"/>
          <w:color w:val="auto"/>
        </w:rPr>
      </w:pPr>
      <w:r>
        <w:rPr>
          <w:rFonts w:ascii="Courier New" w:cs="Courier New" w:eastAsia="Courier New" w:hAnsi="Courier New"/>
          <w:sz w:val="17"/>
          <w:szCs w:val="17"/>
          <w:color w:val="auto"/>
        </w:rPr>
        <w:t>THE TRUST</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Trust's portfolio of properties has grown from 42 as of January 1, 1993 to 115 at June 30, 1998. During this period the Trust acquired 78 retail properties for approximately $675 million. During this same period five shopping centers were sold. Also during this period the Trust spent over $250 million to renovate, expand, improve and retenant its properties. The majority of the acquisitions were funded with cash. Of the properties not fully acquired by cash, one was acquired by means of capital and ground leases, one was acquired for Common Shares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201"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195"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95" w:lineRule="exact"/>
        <w:rPr>
          <w:sz w:val="20"/>
          <w:szCs w:val="20"/>
          <w:color w:val="auto"/>
        </w:rPr>
      </w:pPr>
    </w:p>
    <w:p>
      <w:pPr>
        <w:ind w:right="2359" w:firstLine="209"/>
        <w:spacing w:after="0" w:line="257" w:lineRule="auto"/>
        <w:rPr>
          <w:sz w:val="20"/>
          <w:szCs w:val="20"/>
          <w:color w:val="auto"/>
        </w:rPr>
      </w:pPr>
      <w:r>
        <w:rPr>
          <w:rFonts w:ascii="Courier New" w:cs="Courier New" w:eastAsia="Courier New" w:hAnsi="Courier New"/>
          <w:sz w:val="17"/>
          <w:szCs w:val="17"/>
          <w:color w:val="auto"/>
        </w:rPr>
        <w:t>The Trust maintains its offices at 1626 East Jefferson Street, Rockville, Maryland 20852-4041 (telephone 301/998-8100).</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35" w:name="page36"/>
    <w:bookmarkEnd w:id="35"/>
    <w:p>
      <w:pPr>
        <w:jc w:val="center"/>
        <w:ind w:right="1939"/>
        <w:spacing w:after="0"/>
        <w:rPr>
          <w:sz w:val="20"/>
          <w:szCs w:val="20"/>
          <w:color w:val="auto"/>
        </w:rPr>
      </w:pPr>
      <w:r>
        <w:rPr>
          <w:rFonts w:ascii="Courier New" w:cs="Courier New" w:eastAsia="Courier New" w:hAnsi="Courier New"/>
          <w:sz w:val="17"/>
          <w:szCs w:val="17"/>
          <w:color w:val="auto"/>
        </w:rPr>
        <w:t>USE OF PROCEEDS</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10" w:lineRule="exact"/>
        <w:rPr>
          <w:sz w:val="20"/>
          <w:szCs w:val="20"/>
          <w:color w:val="auto"/>
        </w:rPr>
      </w:pPr>
    </w:p>
    <w:p>
      <w:pPr>
        <w:ind w:right="2259" w:firstLine="209"/>
        <w:spacing w:after="0" w:line="257" w:lineRule="auto"/>
        <w:rPr>
          <w:sz w:val="20"/>
          <w:szCs w:val="20"/>
          <w:color w:val="auto"/>
        </w:rPr>
      </w:pPr>
      <w:r>
        <w:rPr>
          <w:rFonts w:ascii="Courier New" w:cs="Courier New" w:eastAsia="Courier New" w:hAnsi="Courier New"/>
          <w:sz w:val="17"/>
          <w:szCs w:val="17"/>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95"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SIX</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MONTHS</w:t>
            </w:r>
          </w:p>
        </w:tc>
      </w:tr>
      <w:tr>
        <w:trPr>
          <w:trHeight w:val="201"/>
        </w:trPr>
        <w:tc>
          <w:tcPr>
            <w:tcW w:w="1140" w:type="dxa"/>
            <w:vAlign w:val="bottom"/>
          </w:tcPr>
          <w:p>
            <w:pPr>
              <w:spacing w:after="0"/>
              <w:rPr>
                <w:sz w:val="17"/>
                <w:szCs w:val="17"/>
                <w:color w:val="auto"/>
              </w:rPr>
            </w:pPr>
          </w:p>
        </w:tc>
        <w:tc>
          <w:tcPr>
            <w:tcW w:w="28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YEARS ENDED DECEMBER 31,</w:t>
            </w: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ENDED</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214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1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14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880" w:type="dxa"/>
            <w:vAlign w:val="bottom"/>
          </w:tcPr>
          <w:p>
            <w:pPr>
              <w:ind w:left="46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1997</w:t>
            </w: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1998</w:t>
            </w:r>
          </w:p>
        </w:tc>
      </w:tr>
      <w:tr>
        <w:trPr>
          <w:trHeight w:val="201"/>
        </w:trPr>
        <w:tc>
          <w:tcPr>
            <w:tcW w:w="1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140" w:type="dxa"/>
            <w:vAlign w:val="bottom"/>
          </w:tcPr>
          <w:p>
            <w:pPr>
              <w:spacing w:after="0"/>
              <w:rPr>
                <w:sz w:val="20"/>
                <w:szCs w:val="20"/>
                <w:color w:val="auto"/>
              </w:rPr>
            </w:pPr>
            <w:r>
              <w:rPr>
                <w:rFonts w:ascii="Courier New" w:cs="Courier New" w:eastAsia="Courier New" w:hAnsi="Courier New"/>
                <w:sz w:val="17"/>
                <w:szCs w:val="17"/>
                <w:color w:val="auto"/>
              </w:rPr>
              <w:t>1.50x</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1.61x</w:t>
            </w:r>
          </w:p>
        </w:tc>
        <w:tc>
          <w:tcPr>
            <w:tcW w:w="1880" w:type="dxa"/>
            <w:vAlign w:val="bottom"/>
          </w:tcPr>
          <w:p>
            <w:pPr>
              <w:ind w:left="460"/>
              <w:spacing w:after="0"/>
              <w:rPr>
                <w:sz w:val="20"/>
                <w:szCs w:val="20"/>
                <w:color w:val="auto"/>
              </w:rPr>
            </w:pPr>
            <w:r>
              <w:rPr>
                <w:rFonts w:ascii="Courier New" w:cs="Courier New" w:eastAsia="Courier New" w:hAnsi="Courier New"/>
                <w:sz w:val="17"/>
                <w:szCs w:val="17"/>
                <w:color w:val="auto"/>
              </w:rPr>
              <w:t>1.55x</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1.59x</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1.70x</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1.70x</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1.74x</w:t>
            </w:r>
          </w:p>
        </w:tc>
      </w:tr>
    </w:tbl>
    <w:p>
      <w:pPr>
        <w:spacing w:after="0" w:line="200" w:lineRule="exact"/>
        <w:rPr>
          <w:sz w:val="20"/>
          <w:szCs w:val="20"/>
          <w:color w:val="auto"/>
        </w:rPr>
      </w:pPr>
    </w:p>
    <w:p>
      <w:pPr>
        <w:spacing w:after="0" w:line="20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DESCRIPTION OF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1062" w:gutter="0" w:footer="0" w:header="0"/>
        </w:sectPr>
      </w:pPr>
    </w:p>
    <w:bookmarkStart w:id="36" w:name="page37"/>
    <w:bookmarkEnd w:id="36"/>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Reference is made to the Prospectus Supplement relating to the series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Securities being offered for the specific terms thereof, including:</w:t>
      </w:r>
    </w:p>
    <w:p>
      <w:pPr>
        <w:spacing w:after="0" w:line="210" w:lineRule="exact"/>
        <w:rPr>
          <w:sz w:val="20"/>
          <w:szCs w:val="20"/>
          <w:color w:val="auto"/>
        </w:rPr>
      </w:pPr>
    </w:p>
    <w:p>
      <w:pPr>
        <w:ind w:left="220" w:right="2359" w:firstLine="311"/>
        <w:spacing w:after="0" w:line="257"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such Debt Securities and whether such Debt Securities are Senior Securities or Subordinated Securities;</w:t>
      </w:r>
    </w:p>
    <w:p>
      <w:pPr>
        <w:spacing w:after="0" w:line="191" w:lineRule="exact"/>
        <w:rPr>
          <w:rFonts w:ascii="Courier New" w:cs="Courier New" w:eastAsia="Courier New" w:hAnsi="Courier New"/>
          <w:sz w:val="17"/>
          <w:szCs w:val="17"/>
          <w:color w:val="auto"/>
        </w:rPr>
      </w:pPr>
    </w:p>
    <w:p>
      <w:pPr>
        <w:ind w:left="220" w:right="2139" w:firstLine="311"/>
        <w:spacing w:after="0" w:line="257"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such Debt Securities and any limit on such aggregate principal amount;</w:t>
      </w:r>
    </w:p>
    <w:p>
      <w:pPr>
        <w:spacing w:after="0" w:line="191"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398" w:lineRule="exact"/>
        <w:rPr>
          <w:rFonts w:ascii="Courier New" w:cs="Courier New" w:eastAsia="Courier New" w:hAnsi="Courier New"/>
          <w:sz w:val="17"/>
          <w:szCs w:val="17"/>
          <w:color w:val="auto"/>
        </w:rPr>
      </w:pPr>
    </w:p>
    <w:p>
      <w:pPr>
        <w:ind w:left="220" w:right="2359" w:firstLine="311"/>
        <w:spacing w:after="0" w:line="253"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95" w:lineRule="exact"/>
        <w:rPr>
          <w:rFonts w:ascii="Courier New" w:cs="Courier New" w:eastAsia="Courier New" w:hAnsi="Courier New"/>
          <w:sz w:val="17"/>
          <w:szCs w:val="17"/>
          <w:color w:val="auto"/>
        </w:rPr>
      </w:pPr>
    </w:p>
    <w:p>
      <w:pPr>
        <w:ind w:left="220" w:right="2139" w:firstLine="311"/>
        <w:spacing w:after="0" w:line="257"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on which the principal of such Debt Securities will be payable;</w:t>
      </w:r>
    </w:p>
    <w:p>
      <w:pPr>
        <w:spacing w:after="0" w:line="191" w:lineRule="exact"/>
        <w:rPr>
          <w:rFonts w:ascii="Courier New" w:cs="Courier New" w:eastAsia="Courier New" w:hAnsi="Courier New"/>
          <w:sz w:val="17"/>
          <w:szCs w:val="17"/>
          <w:color w:val="auto"/>
        </w:rPr>
      </w:pPr>
    </w:p>
    <w:p>
      <w:pPr>
        <w:jc w:val="both"/>
        <w:ind w:left="220" w:right="2139" w:firstLine="311"/>
        <w:spacing w:after="0" w:line="254"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or rates (which may be fixed or variable), or the method by which such rate or rates shall be determined, at which such Debt Securities will bear interest, if any;</w:t>
      </w:r>
    </w:p>
    <w:p>
      <w:pPr>
        <w:spacing w:after="0" w:line="194"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95"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97" w:lineRule="exact"/>
        <w:rPr>
          <w:rFonts w:ascii="Courier New" w:cs="Courier New" w:eastAsia="Courier New" w:hAnsi="Courier New"/>
          <w:sz w:val="17"/>
          <w:szCs w:val="17"/>
          <w:color w:val="auto"/>
        </w:rPr>
      </w:pPr>
    </w:p>
    <w:p>
      <w:pPr>
        <w:ind w:left="220" w:right="2139" w:firstLine="311"/>
        <w:spacing w:after="0" w:line="253"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1440" w:gutter="0" w:footer="0" w:header="0"/>
        </w:sectPr>
      </w:pPr>
    </w:p>
    <w:bookmarkStart w:id="37" w:name="page38"/>
    <w:bookmarkEnd w:id="37"/>
    <w:p>
      <w:pPr>
        <w:ind w:left="220" w:right="2139" w:firstLine="206"/>
        <w:spacing w:after="0" w:line="252"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96" w:lineRule="exact"/>
        <w:rPr>
          <w:rFonts w:ascii="Courier New" w:cs="Courier New" w:eastAsia="Courier New" w:hAnsi="Courier New"/>
          <w:sz w:val="17"/>
          <w:szCs w:val="17"/>
          <w:color w:val="auto"/>
        </w:rPr>
      </w:pPr>
    </w:p>
    <w:p>
      <w:pPr>
        <w:ind w:left="220" w:right="2139" w:firstLine="206"/>
        <w:spacing w:after="0" w:line="253"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96" w:lineRule="exact"/>
        <w:rPr>
          <w:rFonts w:ascii="Courier New" w:cs="Courier New" w:eastAsia="Courier New" w:hAnsi="Courier New"/>
          <w:sz w:val="17"/>
          <w:szCs w:val="17"/>
          <w:color w:val="auto"/>
        </w:rPr>
      </w:pPr>
    </w:p>
    <w:p>
      <w:pPr>
        <w:ind w:left="220" w:right="2139" w:firstLine="206"/>
        <w:spacing w:after="0" w:line="254"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additions to, modifications of or deletions from the terms of such Debt Securities with respect to the Events of Default or covenants set forth in the applicable Indenture;</w:t>
      </w:r>
    </w:p>
    <w:p>
      <w:pPr>
        <w:spacing w:after="0" w:line="194"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issued in certificated or book-entry form;</w:t>
      </w:r>
    </w:p>
    <w:p>
      <w:pPr>
        <w:spacing w:after="0" w:line="191" w:lineRule="exact"/>
        <w:rPr>
          <w:rFonts w:ascii="Courier New" w:cs="Courier New" w:eastAsia="Courier New" w:hAnsi="Courier New"/>
          <w:sz w:val="17"/>
          <w:szCs w:val="17"/>
          <w:color w:val="auto"/>
        </w:rPr>
      </w:pPr>
    </w:p>
    <w:p>
      <w:pPr>
        <w:ind w:left="220" w:right="2139" w:firstLine="206"/>
        <w:spacing w:after="0" w:line="253"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95"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applicability, if any, of the defeasance and covenant defeasance provisions of Article XIV of the applicable Indenture;</w:t>
      </w:r>
    </w:p>
    <w:p>
      <w:pPr>
        <w:spacing w:after="0" w:line="191"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if any, upon which such Debt Securities may be</w:t>
      </w:r>
    </w:p>
    <w:p>
      <w:pPr>
        <w:spacing w:after="0" w:line="8" w:lineRule="exact"/>
        <w:rPr>
          <w:rFonts w:ascii="Courier New" w:cs="Courier New" w:eastAsia="Courier New" w:hAnsi="Courier New"/>
          <w:sz w:val="17"/>
          <w:szCs w:val="17"/>
          <w:color w:val="auto"/>
        </w:rPr>
      </w:pPr>
    </w:p>
    <w:p>
      <w:pPr>
        <w:ind w:left="220" w:right="21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97" w:lineRule="exact"/>
        <w:rPr>
          <w:rFonts w:ascii="Courier New" w:cs="Courier New" w:eastAsia="Courier New" w:hAnsi="Courier New"/>
          <w:sz w:val="17"/>
          <w:szCs w:val="17"/>
          <w:color w:val="auto"/>
        </w:rPr>
      </w:pPr>
    </w:p>
    <w:p>
      <w:pPr>
        <w:ind w:left="220" w:right="2459" w:firstLine="206"/>
        <w:spacing w:after="0" w:line="257" w:lineRule="auto"/>
        <w:tabs>
          <w:tab w:leader="none" w:pos="95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such Debt Securities not inconsistent with the provisions of the applicable Indenture (Section 301 of each Indenture).</w:t>
      </w:r>
    </w:p>
    <w:p>
      <w:pPr>
        <w:spacing w:after="0" w:line="192"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Denominations, Interest, Registration and Transfer</w:t>
      </w:r>
    </w:p>
    <w:p>
      <w:pPr>
        <w:spacing w:after="0" w:line="210"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Unless otherwise described in the applicable Prospectus Supplement, the Debt Securities of any series will be issuable in denominations of $1,000 and integral multiples thereof (Section 302 of each Indenture).</w:t>
      </w:r>
    </w:p>
    <w:p>
      <w:pPr>
        <w:spacing w:after="0" w:line="194"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 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1"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Merger, Consolidation or Sale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01"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1440" w:gutter="0" w:footer="0" w:header="0"/>
        </w:sectPr>
      </w:pPr>
    </w:p>
    <w:bookmarkStart w:id="40" w:name="page41"/>
    <w:bookmarkEnd w:id="40"/>
    <w:p>
      <w:pPr>
        <w:ind w:right="2259"/>
        <w:spacing w:after="0" w:line="252" w:lineRule="auto"/>
        <w:rPr>
          <w:sz w:val="20"/>
          <w:szCs w:val="20"/>
          <w:color w:val="auto"/>
        </w:rPr>
      </w:pPr>
      <w:r>
        <w:rPr>
          <w:rFonts w:ascii="Courier New" w:cs="Courier New" w:eastAsia="Courier New" w:hAnsi="Courier New"/>
          <w:sz w:val="17"/>
          <w:szCs w:val="17"/>
          <w:color w:val="auto"/>
        </w:rPr>
        <w:t>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97"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Additional Covenants. Any additional covenants of the Trust with respect to any series of Debt Securities will be set forth in the Prospectus Supplement relating thereto.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 Notice and Waiver</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1440" w:gutter="0" w:footer="0" w:header="0"/>
        </w:sectPr>
      </w:pPr>
    </w:p>
    <w:bookmarkStart w:id="41" w:name="page42"/>
    <w:bookmarkEnd w:id="41"/>
    <w:p>
      <w:pPr>
        <w:ind w:right="2039"/>
        <w:spacing w:after="0" w:line="251" w:lineRule="auto"/>
        <w:rPr>
          <w:sz w:val="20"/>
          <w:szCs w:val="20"/>
          <w:color w:val="auto"/>
        </w:rPr>
      </w:pPr>
      <w:r>
        <w:rPr>
          <w:rFonts w:ascii="Courier New" w:cs="Courier New" w:eastAsia="Courier New" w:hAnsi="Courier New"/>
          <w:sz w:val="17"/>
          <w:szCs w:val="17"/>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202"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210"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42" w:name="page43"/>
    <w:bookmarkEnd w:id="42"/>
    <w:p>
      <w:pPr>
        <w:ind w:right="2039"/>
        <w:spacing w:after="0" w:line="251" w:lineRule="auto"/>
        <w:rPr>
          <w:sz w:val="20"/>
          <w:szCs w:val="20"/>
          <w:color w:val="auto"/>
        </w:rPr>
      </w:pPr>
      <w:r>
        <w:rPr>
          <w:rFonts w:ascii="Courier New" w:cs="Courier New" w:eastAsia="Courier New" w:hAnsi="Courier New"/>
          <w:sz w:val="17"/>
          <w:szCs w:val="17"/>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95" w:lineRule="exact"/>
        <w:rPr>
          <w:sz w:val="20"/>
          <w:szCs w:val="20"/>
          <w:color w:val="auto"/>
        </w:rPr>
      </w:pPr>
    </w:p>
    <w:p>
      <w:pPr>
        <w:ind w:right="2359" w:firstLine="209"/>
        <w:spacing w:after="0" w:line="251" w:lineRule="auto"/>
        <w:rPr>
          <w:sz w:val="20"/>
          <w:szCs w:val="20"/>
          <w:color w:val="auto"/>
        </w:rPr>
      </w:pPr>
      <w:r>
        <w:rPr>
          <w:rFonts w:ascii="Courier New" w:cs="Courier New" w:eastAsia="Courier New" w:hAnsi="Courier New"/>
          <w:sz w:val="17"/>
          <w:szCs w:val="17"/>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ind w:right="2039" w:firstLine="7"/>
        <w:spacing w:after="0" w:line="251" w:lineRule="auto"/>
        <w:tabs>
          <w:tab w:leader="none" w:pos="524"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ind w:right="2039" w:firstLine="7"/>
        <w:spacing w:after="0" w:line="252" w:lineRule="auto"/>
        <w:tabs>
          <w:tab w:leader="none" w:pos="419"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43" w:name="page44"/>
    <w:bookmarkEnd w:id="43"/>
    <w:p>
      <w:pPr>
        <w:ind w:right="2039"/>
        <w:spacing w:after="0" w:line="251" w:lineRule="auto"/>
        <w:rPr>
          <w:sz w:val="20"/>
          <w:szCs w:val="20"/>
          <w:color w:val="auto"/>
        </w:rPr>
      </w:pPr>
      <w:r>
        <w:rPr>
          <w:rFonts w:ascii="Courier New" w:cs="Courier New" w:eastAsia="Courier New" w:hAnsi="Courier New"/>
          <w:sz w:val="17"/>
          <w:szCs w:val="17"/>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1440" w:gutter="0" w:footer="0" w:header="0"/>
        </w:sectPr>
      </w:pPr>
    </w:p>
    <w:bookmarkStart w:id="44" w:name="page45"/>
    <w:bookmarkEnd w:id="44"/>
    <w:p>
      <w:pPr>
        <w:ind w:right="2039"/>
        <w:spacing w:after="0" w:line="251" w:lineRule="auto"/>
        <w:rPr>
          <w:sz w:val="20"/>
          <w:szCs w:val="20"/>
          <w:color w:val="auto"/>
        </w:rPr>
      </w:pPr>
      <w:r>
        <w:rPr>
          <w:rFonts w:ascii="Courier New" w:cs="Courier New" w:eastAsia="Courier New" w:hAnsi="Courier New"/>
          <w:sz w:val="17"/>
          <w:szCs w:val="17"/>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ind w:right="2039" w:firstLine="7"/>
        <w:spacing w:after="0" w:line="251" w:lineRule="auto"/>
        <w:tabs>
          <w:tab w:leader="none" w:pos="419"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ind w:right="2039" w:firstLine="7"/>
        <w:spacing w:after="0" w:line="251" w:lineRule="auto"/>
        <w:tabs>
          <w:tab w:leader="none" w:pos="419"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39" w:firstLine="7"/>
        <w:spacing w:after="0" w:line="251" w:lineRule="auto"/>
        <w:tabs>
          <w:tab w:leader="none" w:pos="419"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Discharge, Defeasance and Covenant Defeasance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sectPr>
      </w:pPr>
    </w:p>
    <w:bookmarkStart w:id="45" w:name="page46"/>
    <w:bookmarkEnd w:id="45"/>
    <w:p>
      <w:pPr>
        <w:ind w:right="2039"/>
        <w:spacing w:after="0" w:line="251" w:lineRule="auto"/>
        <w:rPr>
          <w:sz w:val="20"/>
          <w:szCs w:val="20"/>
          <w:color w:val="auto"/>
        </w:rPr>
      </w:pPr>
      <w:r>
        <w:rPr>
          <w:rFonts w:ascii="Courier New" w:cs="Courier New" w:eastAsia="Courier New" w:hAnsi="Courier New"/>
          <w:sz w:val="17"/>
          <w:szCs w:val="17"/>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0" w:lineRule="exact"/>
        <w:rPr>
          <w:sz w:val="20"/>
          <w:szCs w:val="20"/>
          <w:color w:val="auto"/>
        </w:rPr>
      </w:pPr>
    </w:p>
    <w:p>
      <w:pPr>
        <w:spacing w:after="0" w:line="203"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9" w:right="1440" w:bottom="1440" w:gutter="0" w:footer="0" w:header="0"/>
        </w:sectPr>
      </w:pPr>
    </w:p>
    <w:bookmarkStart w:id="46" w:name="page47"/>
    <w:bookmarkEnd w:id="46"/>
    <w:p>
      <w:pPr>
        <w:ind w:right="2039"/>
        <w:spacing w:after="0" w:line="251" w:lineRule="auto"/>
        <w:rPr>
          <w:sz w:val="20"/>
          <w:szCs w:val="20"/>
          <w:color w:val="auto"/>
        </w:rPr>
      </w:pPr>
      <w:r>
        <w:rPr>
          <w:rFonts w:ascii="Courier New" w:cs="Courier New" w:eastAsia="Courier New" w:hAnsi="Courier New"/>
          <w:sz w:val="17"/>
          <w:szCs w:val="17"/>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ind w:right="2039" w:firstLine="7"/>
        <w:spacing w:after="0" w:line="251" w:lineRule="auto"/>
        <w:tabs>
          <w:tab w:leader="none" w:pos="41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1"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10" w:lineRule="exact"/>
        <w:rPr>
          <w:sz w:val="20"/>
          <w:szCs w:val="20"/>
          <w:color w:val="auto"/>
        </w:rPr>
      </w:pPr>
    </w:p>
    <w:p>
      <w:pPr>
        <w:ind w:right="2259" w:firstLine="209"/>
        <w:spacing w:after="0" w:line="251" w:lineRule="auto"/>
        <w:rPr>
          <w:sz w:val="20"/>
          <w:szCs w:val="20"/>
          <w:color w:val="auto"/>
        </w:rPr>
      </w:pPr>
      <w:r>
        <w:rPr>
          <w:rFonts w:ascii="Courier New" w:cs="Courier New" w:eastAsia="Courier New" w:hAnsi="Courier New"/>
          <w:sz w:val="17"/>
          <w:szCs w:val="17"/>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Global Securities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9" w:right="1440" w:bottom="1440" w:gutter="0" w:footer="0" w:header="0"/>
        </w:sectPr>
      </w:pPr>
    </w:p>
    <w:bookmarkStart w:id="47" w:name="page48"/>
    <w:bookmarkEnd w:id="47"/>
    <w:p>
      <w:pPr>
        <w:ind w:left="2520"/>
        <w:spacing w:after="0"/>
        <w:rPr>
          <w:sz w:val="20"/>
          <w:szCs w:val="20"/>
          <w:color w:val="auto"/>
        </w:rPr>
      </w:pPr>
      <w:r>
        <w:rPr>
          <w:rFonts w:ascii="Courier New" w:cs="Courier New" w:eastAsia="Courier New" w:hAnsi="Courier New"/>
          <w:sz w:val="17"/>
          <w:szCs w:val="17"/>
          <w:color w:val="auto"/>
        </w:rPr>
        <w:t>DESCRIPTION OF PREFERRED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259" w:firstLine="209"/>
        <w:spacing w:after="0" w:line="253" w:lineRule="auto"/>
        <w:rPr>
          <w:sz w:val="20"/>
          <w:szCs w:val="20"/>
          <w:color w:val="auto"/>
        </w:rPr>
      </w:pPr>
      <w:r>
        <w:rPr>
          <w:rFonts w:ascii="Courier New" w:cs="Courier New" w:eastAsia="Courier New" w:hAnsi="Courier New"/>
          <w:sz w:val="17"/>
          <w:szCs w:val="17"/>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95"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00" w:lineRule="exact"/>
        <w:rPr>
          <w:sz w:val="20"/>
          <w:szCs w:val="20"/>
          <w:color w:val="auto"/>
        </w:rPr>
      </w:pPr>
    </w:p>
    <w:p>
      <w:pPr>
        <w:spacing w:after="0" w:line="203"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Reference is made to the Prospectus Supplement relating to the Preferred Shares offered thereby for specific terms, including:</w:t>
      </w:r>
    </w:p>
    <w:p>
      <w:pPr>
        <w:spacing w:after="0" w:line="192" w:lineRule="exact"/>
        <w:rPr>
          <w:sz w:val="20"/>
          <w:szCs w:val="20"/>
          <w:color w:val="auto"/>
        </w:rPr>
      </w:pPr>
    </w:p>
    <w:p>
      <w:pPr>
        <w:ind w:left="840" w:hanging="414"/>
        <w:spacing w:after="0"/>
        <w:tabs>
          <w:tab w:leader="none" w:pos="8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and stated value of such Preferred Shares;</w:t>
      </w:r>
    </w:p>
    <w:p>
      <w:pPr>
        <w:spacing w:after="0" w:line="210" w:lineRule="exact"/>
        <w:rPr>
          <w:rFonts w:ascii="Courier New" w:cs="Courier New" w:eastAsia="Courier New" w:hAnsi="Courier New"/>
          <w:sz w:val="17"/>
          <w:szCs w:val="17"/>
          <w:color w:val="auto"/>
        </w:rPr>
      </w:pPr>
    </w:p>
    <w:p>
      <w:pPr>
        <w:ind w:left="220" w:right="2779" w:firstLine="206"/>
        <w:spacing w:after="0" w:line="257" w:lineRule="auto"/>
        <w:tabs>
          <w:tab w:leader="none" w:pos="84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such Preferred Shares offered, the liquidation preference per share and the offering price of such Preferred Shares;</w:t>
      </w:r>
    </w:p>
    <w:p>
      <w:pPr>
        <w:spacing w:after="0" w:line="191" w:lineRule="exact"/>
        <w:rPr>
          <w:rFonts w:ascii="Courier New" w:cs="Courier New" w:eastAsia="Courier New" w:hAnsi="Courier New"/>
          <w:sz w:val="17"/>
          <w:szCs w:val="17"/>
          <w:color w:val="auto"/>
        </w:rPr>
      </w:pPr>
    </w:p>
    <w:p>
      <w:pPr>
        <w:ind w:left="220" w:right="2359" w:firstLine="206"/>
        <w:spacing w:after="0" w:line="257" w:lineRule="auto"/>
        <w:tabs>
          <w:tab w:leader="none" w:pos="84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dividend rate(s), period(s) and/or payment date(s) or method(s) of calculation thereof applicable to such Preferred Shares;</w:t>
      </w:r>
    </w:p>
    <w:p>
      <w:pPr>
        <w:spacing w:after="0" w:line="191" w:lineRule="exact"/>
        <w:rPr>
          <w:rFonts w:ascii="Courier New" w:cs="Courier New" w:eastAsia="Courier New" w:hAnsi="Courier New"/>
          <w:sz w:val="17"/>
          <w:szCs w:val="17"/>
          <w:color w:val="auto"/>
        </w:rPr>
      </w:pPr>
    </w:p>
    <w:p>
      <w:pPr>
        <w:ind w:left="220" w:right="3099" w:firstLine="206"/>
        <w:spacing w:after="0" w:line="257" w:lineRule="auto"/>
        <w:tabs>
          <w:tab w:leader="none" w:pos="84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from which dividends on such Preferred Shares shall accumulate, if applicable;</w:t>
      </w:r>
    </w:p>
    <w:p>
      <w:pPr>
        <w:spacing w:after="0" w:line="191" w:lineRule="exact"/>
        <w:rPr>
          <w:rFonts w:ascii="Courier New" w:cs="Courier New" w:eastAsia="Courier New" w:hAnsi="Courier New"/>
          <w:sz w:val="17"/>
          <w:szCs w:val="17"/>
          <w:color w:val="auto"/>
        </w:rPr>
      </w:pPr>
    </w:p>
    <w:p>
      <w:pPr>
        <w:ind w:left="220" w:right="2679" w:firstLine="206"/>
        <w:spacing w:after="0" w:line="257" w:lineRule="auto"/>
        <w:tabs>
          <w:tab w:leader="none" w:pos="84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for any auction and remarketing, if any, for such Preferred Shares;</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a sinking fund, if any, for such Preferred Shares;</w:t>
      </w:r>
    </w:p>
    <w:p>
      <w:pPr>
        <w:spacing w:after="0" w:line="210" w:lineRule="exact"/>
        <w:rPr>
          <w:rFonts w:ascii="Courier New" w:cs="Courier New" w:eastAsia="Courier New" w:hAnsi="Courier New"/>
          <w:sz w:val="17"/>
          <w:szCs w:val="17"/>
          <w:color w:val="auto"/>
        </w:rPr>
      </w:pPr>
    </w:p>
    <w:p>
      <w:pPr>
        <w:ind w:left="220" w:right="2879" w:firstLine="206"/>
        <w:spacing w:after="0" w:line="257" w:lineRule="auto"/>
        <w:tabs>
          <w:tab w:leader="none" w:pos="84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redemption, if applicable, of such Preferred Shares;</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listing of such Preferred Shares on any securities exchange;</w:t>
      </w:r>
    </w:p>
    <w:p>
      <w:pPr>
        <w:spacing w:after="0" w:line="210" w:lineRule="exact"/>
        <w:rPr>
          <w:rFonts w:ascii="Courier New" w:cs="Courier New" w:eastAsia="Courier New" w:hAnsi="Courier New"/>
          <w:sz w:val="17"/>
          <w:szCs w:val="17"/>
          <w:color w:val="auto"/>
        </w:rPr>
      </w:pPr>
    </w:p>
    <w:p>
      <w:pPr>
        <w:ind w:left="220" w:right="2359" w:firstLine="206"/>
        <w:spacing w:after="0" w:line="254" w:lineRule="auto"/>
        <w:tabs>
          <w:tab w:leader="none" w:pos="84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applicable, upon which such Preferred Shares will be convertible into Common Shares of the Trust, including the conversion price (or manner of calculation thereof);</w:t>
      </w:r>
    </w:p>
    <w:p>
      <w:pPr>
        <w:spacing w:after="0" w:line="194" w:lineRule="exact"/>
        <w:rPr>
          <w:rFonts w:ascii="Courier New" w:cs="Courier New" w:eastAsia="Courier New" w:hAnsi="Courier New"/>
          <w:sz w:val="17"/>
          <w:szCs w:val="17"/>
          <w:color w:val="auto"/>
        </w:rPr>
      </w:pPr>
    </w:p>
    <w:p>
      <w:pPr>
        <w:ind w:left="220" w:right="2879" w:firstLine="206"/>
        <w:spacing w:after="0" w:line="257" w:lineRule="auto"/>
        <w:tabs>
          <w:tab w:leader="none" w:pos="9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specific terms, preferences, rights, limitations or restrictions of such Preferred Shares;</w:t>
      </w:r>
    </w:p>
    <w:p>
      <w:pPr>
        <w:spacing w:after="0" w:line="191"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discussion of federal income tax considerations applicable to such Preferred Shares;</w:t>
      </w:r>
    </w:p>
    <w:p>
      <w:pPr>
        <w:spacing w:after="0" w:line="191" w:lineRule="exact"/>
        <w:rPr>
          <w:rFonts w:ascii="Courier New" w:cs="Courier New" w:eastAsia="Courier New" w:hAnsi="Courier New"/>
          <w:sz w:val="17"/>
          <w:szCs w:val="17"/>
          <w:color w:val="auto"/>
        </w:rPr>
      </w:pPr>
    </w:p>
    <w:p>
      <w:pPr>
        <w:ind w:left="220" w:right="2259" w:firstLine="206"/>
        <w:spacing w:after="0" w:line="254" w:lineRule="auto"/>
        <w:tabs>
          <w:tab w:leader="none" w:pos="9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ranking and preferences of such Preferred Shares as to dividend rights and rights upon liquidation, dissolution or winding up of the affairs of the Trust;</w:t>
      </w:r>
    </w:p>
    <w:p>
      <w:pPr>
        <w:spacing w:after="0" w:line="194"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issuance of any series of Preferred Shares</w:t>
      </w:r>
    </w:p>
    <w:p>
      <w:pPr>
        <w:spacing w:after="0" w:line="8" w:lineRule="exact"/>
        <w:rPr>
          <w:rFonts w:ascii="Courier New" w:cs="Courier New" w:eastAsia="Courier New" w:hAnsi="Courier New"/>
          <w:sz w:val="17"/>
          <w:szCs w:val="17"/>
          <w:color w:val="auto"/>
        </w:rPr>
      </w:pPr>
    </w:p>
    <w:p>
      <w:pPr>
        <w:ind w:left="220"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ranking senior to or on a parity with such series of Preferred Shares as to dividend rights and rights upon liquidation, dissolution or winding up of the affairs of the Trust; and</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457" w:gutter="0" w:footer="0" w:header="0"/>
        </w:sectPr>
      </w:pPr>
    </w:p>
    <w:bookmarkStart w:id="48" w:name="page49"/>
    <w:bookmarkEnd w:id="48"/>
    <w:p>
      <w:pPr>
        <w:jc w:val="both"/>
        <w:ind w:left="220" w:right="2359" w:firstLine="206"/>
        <w:spacing w:after="0" w:line="254" w:lineRule="auto"/>
        <w:tabs>
          <w:tab w:leader="none" w:pos="95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direct or beneficial ownership and restrictions on transfer, in each case as may be appropriate to preserve the status of the Trust as a REIT.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19" w:right="1440" w:bottom="1440" w:gutter="0" w:footer="0" w:header="0"/>
        </w:sectPr>
      </w:pPr>
    </w:p>
    <w:bookmarkStart w:id="49" w:name="page50"/>
    <w:bookmarkEnd w:id="49"/>
    <w:p>
      <w:pPr>
        <w:ind w:right="2039" w:firstLine="209"/>
        <w:spacing w:after="0" w:line="251" w:lineRule="auto"/>
        <w:rPr>
          <w:sz w:val="20"/>
          <w:szCs w:val="20"/>
          <w:color w:val="auto"/>
        </w:rPr>
      </w:pPr>
      <w:r>
        <w:rPr>
          <w:rFonts w:ascii="Courier New" w:cs="Courier New" w:eastAsia="Courier New" w:hAnsi="Courier New"/>
          <w:sz w:val="17"/>
          <w:szCs w:val="17"/>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00" w:lineRule="exact"/>
        <w:rPr>
          <w:sz w:val="20"/>
          <w:szCs w:val="20"/>
          <w:color w:val="auto"/>
        </w:rPr>
      </w:pPr>
    </w:p>
    <w:p>
      <w:pPr>
        <w:spacing w:after="0" w:line="203" w:lineRule="exact"/>
        <w:rPr>
          <w:sz w:val="20"/>
          <w:szCs w:val="20"/>
          <w:color w:val="auto"/>
        </w:rPr>
      </w:pPr>
    </w:p>
    <w:p>
      <w:pPr>
        <w:jc w:val="both"/>
        <w:ind w:right="2359" w:firstLine="209"/>
        <w:spacing w:after="0" w:line="254" w:lineRule="auto"/>
        <w:rPr>
          <w:sz w:val="20"/>
          <w:szCs w:val="20"/>
          <w:color w:val="auto"/>
        </w:rPr>
      </w:pPr>
      <w:r>
        <w:rPr>
          <w:rFonts w:ascii="Courier New" w:cs="Courier New" w:eastAsia="Courier New" w:hAnsi="Courier New"/>
          <w:sz w:val="17"/>
          <w:szCs w:val="17"/>
          <w:color w:val="auto"/>
        </w:rPr>
        <w:t>Any dividend payment made on shares of a series of Preferred Shares shall first be credited against the earliest accrued but unpaid dividend due with respect to shares of such series which remains payable.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95"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9" w:right="1440" w:bottom="1440" w:gutter="0" w:footer="0" w:header="0"/>
        </w:sectPr>
      </w:pPr>
    </w:p>
    <w:bookmarkStart w:id="50" w:name="page51"/>
    <w:bookmarkEnd w:id="50"/>
    <w:p>
      <w:pPr>
        <w:ind w:right="2039"/>
        <w:spacing w:after="0" w:line="251" w:lineRule="auto"/>
        <w:rPr>
          <w:sz w:val="20"/>
          <w:szCs w:val="20"/>
          <w:color w:val="auto"/>
        </w:rPr>
      </w:pPr>
      <w:r>
        <w:rPr>
          <w:rFonts w:ascii="Courier New" w:cs="Courier New" w:eastAsia="Courier New" w:hAnsi="Courier New"/>
          <w:sz w:val="17"/>
          <w:szCs w:val="17"/>
          <w:color w:val="auto"/>
        </w:rPr>
        <w:t>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2" w:lineRule="exact"/>
        <w:rPr>
          <w:sz w:val="20"/>
          <w:szCs w:val="20"/>
          <w:color w:val="auto"/>
        </w:rPr>
      </w:pPr>
    </w:p>
    <w:p>
      <w:pPr>
        <w:ind w:right="2359" w:firstLine="209"/>
        <w:spacing w:after="0" w:line="252" w:lineRule="auto"/>
        <w:rPr>
          <w:sz w:val="20"/>
          <w:szCs w:val="20"/>
          <w:color w:val="auto"/>
        </w:rPr>
      </w:pPr>
      <w:r>
        <w:rPr>
          <w:rFonts w:ascii="Courier New" w:cs="Courier New" w:eastAsia="Courier New" w:hAnsi="Courier New"/>
          <w:sz w:val="17"/>
          <w:szCs w:val="17"/>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97"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ind w:right="2039" w:firstLine="7"/>
        <w:spacing w:after="0" w:line="251" w:lineRule="auto"/>
        <w:tabs>
          <w:tab w:leader="none" w:pos="419"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9" w:right="1440" w:bottom="1440" w:gutter="0" w:footer="0" w:header="0"/>
        </w:sectPr>
      </w:pPr>
    </w:p>
    <w:bookmarkStart w:id="51" w:name="page52"/>
    <w:bookmarkEnd w:id="51"/>
    <w:p>
      <w:pPr>
        <w:ind w:right="2039"/>
        <w:spacing w:after="0" w:line="252" w:lineRule="auto"/>
        <w:rPr>
          <w:sz w:val="20"/>
          <w:szCs w:val="20"/>
          <w:color w:val="auto"/>
        </w:rPr>
      </w:pPr>
      <w:r>
        <w:rPr>
          <w:rFonts w:ascii="Courier New" w:cs="Courier New" w:eastAsia="Courier New" w:hAnsi="Courier New"/>
          <w:sz w:val="17"/>
          <w:szCs w:val="17"/>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Holders of the Preferred Shares will not have any voting rights, except as set forth below or as otherwise from time to time required by law or as indicated in the applicable Prospectus Supplement.</w:t>
      </w:r>
    </w:p>
    <w:p>
      <w:pPr>
        <w:spacing w:after="0" w:line="194"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ind w:right="2039" w:firstLine="7"/>
        <w:spacing w:after="0" w:line="251" w:lineRule="auto"/>
        <w:tabs>
          <w:tab w:leader="none" w:pos="41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19" w:right="1440" w:bottom="1440" w:gutter="0" w:footer="0" w:header="0"/>
        </w:sectPr>
      </w:pPr>
    </w:p>
    <w:bookmarkStart w:id="52" w:name="page53"/>
    <w:bookmarkEnd w:id="52"/>
    <w:p>
      <w:pPr>
        <w:ind w:right="2039" w:firstLine="209"/>
        <w:spacing w:after="0" w:line="252" w:lineRule="auto"/>
        <w:rPr>
          <w:sz w:val="20"/>
          <w:szCs w:val="20"/>
          <w:color w:val="auto"/>
        </w:rPr>
      </w:pPr>
      <w:r>
        <w:rPr>
          <w:rFonts w:ascii="Courier New" w:cs="Courier New" w:eastAsia="Courier New" w:hAnsi="Courier New"/>
          <w:sz w:val="17"/>
          <w:szCs w:val="17"/>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9" w:right="1440" w:bottom="1440" w:gutter="0" w:footer="0" w:header="0"/>
        </w:sectPr>
      </w:pPr>
    </w:p>
    <w:bookmarkStart w:id="53" w:name="page54"/>
    <w:bookmarkEnd w:id="53"/>
    <w:p>
      <w:pPr>
        <w:ind w:left="2620"/>
        <w:spacing w:after="0"/>
        <w:rPr>
          <w:sz w:val="20"/>
          <w:szCs w:val="20"/>
          <w:color w:val="auto"/>
        </w:rPr>
      </w:pPr>
      <w:r>
        <w:rPr>
          <w:rFonts w:ascii="Courier New" w:cs="Courier New" w:eastAsia="Courier New" w:hAnsi="Courier New"/>
          <w:sz w:val="17"/>
          <w:szCs w:val="17"/>
          <w:color w:val="auto"/>
        </w:rPr>
        <w:t>DESCRIPTION OF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2"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Without shareholder approval, the Trust may issue an unlimited number of securities, warrants, rights, or other options to purchase Common Shares and other securities convertible into Common Shares.</w:t>
      </w:r>
    </w:p>
    <w:p>
      <w:pPr>
        <w:spacing w:after="0" w:line="194"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202" w:lineRule="exact"/>
        <w:rPr>
          <w:sz w:val="20"/>
          <w:szCs w:val="20"/>
          <w:color w:val="auto"/>
        </w:rPr>
      </w:pPr>
    </w:p>
    <w:p>
      <w:pPr>
        <w:ind w:right="2259" w:firstLine="209"/>
        <w:spacing w:after="0" w:line="252" w:lineRule="auto"/>
        <w:rPr>
          <w:sz w:val="20"/>
          <w:szCs w:val="20"/>
          <w:color w:val="auto"/>
        </w:rPr>
      </w:pPr>
      <w:r>
        <w:rPr>
          <w:rFonts w:ascii="Courier New" w:cs="Courier New" w:eastAsia="Courier New" w:hAnsi="Courier New"/>
          <w:sz w:val="17"/>
          <w:szCs w:val="17"/>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196"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9" w:right="1440" w:bottom="1440" w:gutter="0" w:footer="0" w:header="0"/>
        </w:sectPr>
      </w:pPr>
    </w:p>
    <w:bookmarkStart w:id="54" w:name="page55"/>
    <w:bookmarkEnd w:id="54"/>
    <w:p>
      <w:pPr>
        <w:ind w:right="2039"/>
        <w:spacing w:after="0" w:line="251" w:lineRule="auto"/>
        <w:rPr>
          <w:sz w:val="20"/>
          <w:szCs w:val="20"/>
          <w:color w:val="auto"/>
        </w:rPr>
      </w:pPr>
      <w:r>
        <w:rPr>
          <w:rFonts w:ascii="Courier New" w:cs="Courier New" w:eastAsia="Courier New" w:hAnsi="Courier New"/>
          <w:sz w:val="17"/>
          <w:szCs w:val="17"/>
          <w:color w:val="auto"/>
        </w:rPr>
        <w:t>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Registrar and Transfer Agent</w:t>
      </w:r>
    </w:p>
    <w:p>
      <w:pPr>
        <w:spacing w:after="0" w:line="210"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The Registrar and Transfer Agent for the Common Shares is American Stock Transfer &amp; Trust Company, New York, New York.</w:t>
      </w:r>
    </w:p>
    <w:p>
      <w:pPr>
        <w:spacing w:after="0" w:line="192"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FEDERAL INCOME TAX CONSIDERATIONS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196" w:lineRule="exact"/>
        <w:rPr>
          <w:sz w:val="20"/>
          <w:szCs w:val="20"/>
          <w:color w:val="auto"/>
        </w:rPr>
      </w:pPr>
    </w:p>
    <w:p>
      <w:pPr>
        <w:ind w:right="2359" w:firstLine="209"/>
        <w:spacing w:after="0" w:line="252" w:lineRule="auto"/>
        <w:rPr>
          <w:sz w:val="20"/>
          <w:szCs w:val="20"/>
          <w:color w:val="auto"/>
        </w:rPr>
      </w:pPr>
      <w:r>
        <w:rPr>
          <w:rFonts w:ascii="Courier New" w:cs="Courier New" w:eastAsia="Courier New" w:hAnsi="Courier New"/>
          <w:sz w:val="17"/>
          <w:szCs w:val="17"/>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9" w:right="1440" w:bottom="1440" w:gutter="0" w:footer="0" w:header="0"/>
        </w:sectPr>
      </w:pPr>
    </w:p>
    <w:bookmarkStart w:id="55" w:name="page56"/>
    <w:bookmarkEnd w:id="55"/>
    <w:p>
      <w:pPr>
        <w:ind w:right="2039"/>
        <w:spacing w:after="0" w:line="251" w:lineRule="auto"/>
        <w:rPr>
          <w:sz w:val="20"/>
          <w:szCs w:val="20"/>
          <w:color w:val="auto"/>
        </w:rPr>
      </w:pPr>
      <w:r>
        <w:rPr>
          <w:rFonts w:ascii="Courier New" w:cs="Courier New" w:eastAsia="Courier New" w:hAnsi="Courier New"/>
          <w:sz w:val="17"/>
          <w:szCs w:val="17"/>
          <w:color w:val="auto"/>
        </w:rPr>
        <w:t>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 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201"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PLAN OF DISTRIBUTION</w:t>
      </w:r>
    </w:p>
    <w:p>
      <w:pPr>
        <w:spacing w:after="0" w:line="210" w:lineRule="exact"/>
        <w:rPr>
          <w:sz w:val="20"/>
          <w:szCs w:val="20"/>
          <w:color w:val="auto"/>
        </w:rPr>
      </w:pPr>
    </w:p>
    <w:p>
      <w:pPr>
        <w:ind w:right="2139" w:firstLine="209"/>
        <w:spacing w:after="0" w:line="257" w:lineRule="auto"/>
        <w:rPr>
          <w:sz w:val="20"/>
          <w:szCs w:val="20"/>
          <w:color w:val="auto"/>
        </w:rPr>
      </w:pPr>
      <w:r>
        <w:rPr>
          <w:rFonts w:ascii="Courier New" w:cs="Courier New" w:eastAsia="Courier New" w:hAnsi="Courier New"/>
          <w:sz w:val="17"/>
          <w:szCs w:val="17"/>
          <w:color w:val="auto"/>
        </w:rPr>
        <w:t>The Trust may sell Securities to or through underwriters, and also may sell Securities directly to other purchasers or through agents.</w:t>
      </w:r>
    </w:p>
    <w:p>
      <w:pPr>
        <w:spacing w:after="0" w:line="192"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5"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19" w:right="1440" w:bottom="1440" w:gutter="0" w:footer="0" w:header="0"/>
        </w:sectPr>
      </w:pPr>
    </w:p>
    <w:bookmarkStart w:id="56" w:name="page57"/>
    <w:bookmarkEnd w:id="56"/>
    <w:p>
      <w:pPr>
        <w:ind w:right="2039"/>
        <w:spacing w:after="0" w:line="253" w:lineRule="auto"/>
        <w:rPr>
          <w:sz w:val="20"/>
          <w:szCs w:val="20"/>
          <w:color w:val="auto"/>
        </w:rPr>
      </w:pPr>
      <w:r>
        <w:rPr>
          <w:rFonts w:ascii="Courier New" w:cs="Courier New" w:eastAsia="Courier New" w:hAnsi="Courier New"/>
          <w:sz w:val="17"/>
          <w:szCs w:val="17"/>
          <w:color w:val="auto"/>
        </w:rPr>
        <w:t>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195"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95" w:lineRule="exact"/>
        <w:rPr>
          <w:sz w:val="20"/>
          <w:szCs w:val="20"/>
          <w:color w:val="auto"/>
        </w:rPr>
      </w:pPr>
    </w:p>
    <w:p>
      <w:pPr>
        <w:ind w:right="2039" w:firstLine="209"/>
        <w:spacing w:after="0" w:line="258" w:lineRule="auto"/>
        <w:rPr>
          <w:sz w:val="20"/>
          <w:szCs w:val="20"/>
          <w:color w:val="auto"/>
        </w:rPr>
      </w:pPr>
      <w:r>
        <w:rPr>
          <w:rFonts w:ascii="Courier New" w:cs="Courier New" w:eastAsia="Courier New" w:hAnsi="Courier New"/>
          <w:sz w:val="17"/>
          <w:szCs w:val="17"/>
          <w:color w:val="auto"/>
        </w:rPr>
        <w:t>Underwriters, dealers and agents may engage in transactions with, or perform services for, or be customers of, the Trust in the ordinary course of business.</w:t>
      </w:r>
    </w:p>
    <w:p>
      <w:pPr>
        <w:spacing w:after="0" w:line="39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0" w:lineRule="exact"/>
        <w:rPr>
          <w:sz w:val="20"/>
          <w:szCs w:val="20"/>
          <w:color w:val="auto"/>
        </w:rPr>
      </w:pPr>
    </w:p>
    <w:p>
      <w:pPr>
        <w:spacing w:after="0" w:line="203"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LEGAL OPINIONS</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EXPERTS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398"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 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19" w:right="1440" w:bottom="1440" w:gutter="0" w:footer="0" w:header="0"/>
        </w:sectPr>
      </w:pPr>
    </w:p>
    <w:bookmarkStart w:id="57" w:name="page58"/>
    <w:bookmarkEnd w:id="57"/>
    <w:p>
      <w:pPr>
        <w:spacing w:after="0" w:line="28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[LOGO OF FEDERAL REALTY INVESTMENT TRUST]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lowerRoman"/>
      <w:start w:val="1"/>
    </w:lvl>
  </w:abstractNum>
  <w:abstractNum w:abstractNumId="27">
    <w:nsid w:val="419AC241"/>
    <w:multiLevelType w:val="hybridMultilevel"/>
    <w:lvl w:ilvl="0">
      <w:lvlJc w:val="left"/>
      <w:lvlText w:val="(%1)"/>
      <w:numFmt w:val="lowerRoman"/>
      <w:start w:val="2"/>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0"/>
    </w:lvl>
  </w:abstractNum>
  <w:abstractNum w:abstractNumId="31">
    <w:nsid w:val="3804823E"/>
    <w:multiLevelType w:val="hybridMultilevel"/>
    <w:lvl w:ilvl="0">
      <w:lvlJc w:val="left"/>
      <w:lvlText w:val="(%1)"/>
      <w:numFmt w:val="lowerRoman"/>
      <w:start w:val="2"/>
    </w:lvl>
  </w:abstractNum>
  <w:abstractNum w:abstractNumId="32">
    <w:nsid w:val="77465F01"/>
    <w:multiLevelType w:val="hybridMultilevel"/>
    <w:lvl w:ilvl="0">
      <w:lvlJc w:val="left"/>
      <w:lvlText w:val="(%1)"/>
      <w:numFmt w:val="lowerRoman"/>
      <w:start w:val="10"/>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4"/>
    </w:lvl>
  </w:abstractNum>
  <w:abstractNum w:abstractNumId="35">
    <w:nsid w:val="2463B9EA"/>
    <w:multiLevelType w:val="hybridMultilevel"/>
    <w:lvl w:ilvl="0">
      <w:lvlJc w:val="left"/>
      <w:lvlText w:val="(%1)"/>
      <w:numFmt w:val="lowerLetter"/>
      <w:start w:val="6"/>
    </w:lvl>
  </w:abstractNum>
  <w:abstractNum w:abstractNumId="36">
    <w:nsid w:val="5E884ADC"/>
    <w:multiLevelType w:val="hybridMultilevel"/>
    <w:lvl w:ilvl="0">
      <w:lvlJc w:val="left"/>
      <w:lvlText w:val="(%1)"/>
      <w:numFmt w:val="lowerLetter"/>
      <w:start w:val="7"/>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4"/>
    </w:lvl>
  </w:abstractNum>
  <w:abstractNum w:abstractNumId="39">
    <w:nsid w:val="580BD78F"/>
    <w:multiLevelType w:val="hybridMultilevel"/>
    <w:lvl w:ilvl="0">
      <w:lvlJc w:val="left"/>
      <w:lvlText w:val="(%1)"/>
      <w:numFmt w:val="lowerRoman"/>
      <w:start w:val="5"/>
    </w:lvl>
  </w:abstractNum>
  <w:abstractNum w:abstractNumId="40">
    <w:nsid w:val="153EA438"/>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2019-12-13T00:55:50Z</dcterms:created>
  <dcterms:modified xsi:type="dcterms:W3CDTF">2019-12-13T00:55:50Z</dcterms:modified>
</cp:coreProperties>
</file>