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Par Value $0.01</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Cornelius J. Dwyer, Jr., Esq.</w:t>
      </w:r>
    </w:p>
    <w:p>
      <w:pPr>
        <w:ind w:left="3280"/>
        <w:spacing w:after="0" w:line="238" w:lineRule="auto"/>
        <w:rPr>
          <w:sz w:val="20"/>
          <w:szCs w:val="20"/>
          <w:color w:val="auto"/>
        </w:rPr>
      </w:pPr>
      <w:r>
        <w:rPr>
          <w:rFonts w:ascii="Courier New" w:cs="Courier New" w:eastAsia="Courier New" w:hAnsi="Courier New"/>
          <w:sz w:val="18"/>
          <w:szCs w:val="18"/>
          <w:color w:val="auto"/>
        </w:rPr>
        <w:t>Shearman &amp; Sterling</w:t>
      </w:r>
    </w:p>
    <w:p>
      <w:pPr>
        <w:ind w:left="3160"/>
        <w:spacing w:after="0"/>
        <w:rPr>
          <w:sz w:val="20"/>
          <w:szCs w:val="20"/>
          <w:color w:val="auto"/>
        </w:rPr>
      </w:pPr>
      <w:r>
        <w:rPr>
          <w:rFonts w:ascii="Courier New" w:cs="Courier New" w:eastAsia="Courier New" w:hAnsi="Courier New"/>
          <w:sz w:val="18"/>
          <w:szCs w:val="18"/>
          <w:color w:val="auto"/>
        </w:rPr>
        <w:t>599 Lexington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2960"/>
        <w:spacing w:after="0" w:line="238" w:lineRule="auto"/>
        <w:rPr>
          <w:sz w:val="20"/>
          <w:szCs w:val="20"/>
          <w:color w:val="auto"/>
        </w:rPr>
      </w:pPr>
      <w:r>
        <w:rPr>
          <w:rFonts w:ascii="Courier New" w:cs="Courier New" w:eastAsia="Courier New" w:hAnsi="Courier New"/>
          <w:sz w:val="18"/>
          <w:szCs w:val="18"/>
          <w:color w:val="auto"/>
        </w:rPr>
        <w:t>Telephone: (212) 848-4000</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(Name, Address and Telephone Number</w:t>
      </w:r>
    </w:p>
    <w:p>
      <w:pPr>
        <w:ind w:left="2120"/>
        <w:spacing w:after="0" w:line="238" w:lineRule="auto"/>
        <w:rPr>
          <w:sz w:val="20"/>
          <w:szCs w:val="20"/>
          <w:color w:val="auto"/>
        </w:rPr>
      </w:pPr>
      <w:r>
        <w:rPr>
          <w:rFonts w:ascii="Courier New" w:cs="Courier New" w:eastAsia="Courier New" w:hAnsi="Courier New"/>
          <w:sz w:val="18"/>
          <w:szCs w:val="18"/>
          <w:color w:val="auto"/>
        </w:rPr>
        <w:t>of Person Authorized to Receive Notices)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November 9, 2000</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 240.13d-1(e), ss. 240.13d-1(f) or ss. 240.13d-1(g), check the following box |_|.</w:t>
      </w:r>
    </w:p>
    <w:p>
      <w:pPr>
        <w:spacing w:after="0" w:line="200" w:lineRule="exact"/>
        <w:rPr>
          <w:sz w:val="24"/>
          <w:szCs w:val="24"/>
          <w:color w:val="auto"/>
        </w:rPr>
      </w:pPr>
    </w:p>
    <w:p>
      <w:pPr>
        <w:spacing w:after="0" w:line="210" w:lineRule="exact"/>
        <w:rPr>
          <w:sz w:val="24"/>
          <w:szCs w:val="24"/>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ss. 240.13d-7(b) for other parties to whom copies are to be sent.</w:t>
      </w:r>
    </w:p>
    <w:p>
      <w:pPr>
        <w:spacing w:after="0" w:line="200" w:lineRule="exact"/>
        <w:rPr>
          <w:sz w:val="24"/>
          <w:szCs w:val="24"/>
          <w:color w:val="auto"/>
        </w:rPr>
      </w:pPr>
    </w:p>
    <w:p>
      <w:pPr>
        <w:spacing w:after="0" w:line="21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3060" w:hanging="840"/>
        <w:spacing w:after="0" w:line="238" w:lineRule="auto"/>
        <w:tabs>
          <w:tab w:leader="none" w:pos="3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3060" w:hanging="840"/>
        <w:spacing w:after="0" w:line="238" w:lineRule="auto"/>
        <w:tabs>
          <w:tab w:leader="none" w:pos="3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1040" w:val="left"/>
          <w:tab w:leader="none" w:pos="56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 (See Instructions)</w:t>
      </w:r>
      <w:r>
        <w:rPr>
          <w:sz w:val="20"/>
          <w:szCs w:val="20"/>
          <w:color w:val="auto"/>
        </w:rPr>
        <w:tab/>
      </w:r>
      <w:r>
        <w:rPr>
          <w:rFonts w:ascii="Courier New" w:cs="Courier New" w:eastAsia="Courier New" w:hAnsi="Courier New"/>
          <w:sz w:val="16"/>
          <w:szCs w:val="16"/>
          <w:color w:val="auto"/>
        </w:rPr>
        <w:t>OO</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if Disclosure of Legal Proceedings is Required Pursuant to</w:t>
      </w:r>
    </w:p>
    <w:p>
      <w:pPr>
        <w:sectPr>
          <w:pgSz w:w="11900" w:h="16838" w:orient="portrait"/>
          <w:cols w:equalWidth="0" w:num="1">
            <w:col w:w="10219"/>
          </w:cols>
          <w:pgMar w:left="240" w:top="649" w:right="1440" w:bottom="0" w:gutter="0" w:footer="0" w:header="0"/>
        </w:sectPr>
      </w:pPr>
    </w:p>
    <w:bookmarkStart w:id="1" w:name="page2"/>
    <w:bookmarkEnd w:id="1"/>
    <w:p>
      <w:pPr>
        <w:ind w:left="1060"/>
        <w:spacing w:after="0"/>
        <w:rPr>
          <w:sz w:val="20"/>
          <w:szCs w:val="20"/>
          <w:color w:val="auto"/>
        </w:rPr>
      </w:pPr>
      <w:r>
        <w:rPr>
          <w:rFonts w:ascii="Courier New" w:cs="Courier New" w:eastAsia="Courier New" w:hAnsi="Courier New"/>
          <w:sz w:val="18"/>
          <w:szCs w:val="18"/>
          <w:color w:val="auto"/>
        </w:rPr>
        <w:t>Items 2(d) or 2(e). |_|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The Kingdom of the Netherlands</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 shares of Common Stock</w:t>
      </w:r>
    </w:p>
    <w:tbl>
      <w:tblPr>
        <w:tblLayout w:type="fixed"/>
        <w:tblInd w:w="0" w:type="dxa"/>
        <w:tblCellMar>
          <w:top w:w="0" w:type="dxa"/>
          <w:left w:w="0" w:type="dxa"/>
          <w:bottom w:w="0" w:type="dxa"/>
          <w:right w:w="0" w:type="dxa"/>
        </w:tblCellMar>
      </w:tblPr>
      <w:tr>
        <w:trPr>
          <w:trHeight w:val="203"/>
        </w:trPr>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368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368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EACH</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0 shares of Common Stock</w:t>
            </w: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w:t>
            </w:r>
          </w:p>
        </w:tc>
        <w:tc>
          <w:tcPr>
            <w:tcW w:w="368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WITH</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231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if the Aggregate Amount in Row (11) Excludes Certain Shares (See Instructions). |_|</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040" w:val="left"/>
          <w:tab w:leader="none" w:pos="66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6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 (See Instructions)</w:t>
      </w:r>
      <w:r>
        <w:rPr>
          <w:sz w:val="20"/>
          <w:szCs w:val="20"/>
          <w:color w:val="auto"/>
        </w:rPr>
        <w:tab/>
      </w:r>
      <w:r>
        <w:rPr>
          <w:rFonts w:ascii="Courier New" w:cs="Courier New" w:eastAsia="Courier New" w:hAnsi="Courier New"/>
          <w:sz w:val="18"/>
          <w:szCs w:val="18"/>
          <w:color w:val="auto"/>
        </w:rPr>
        <w:t>EP</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20" w:firstLine="1896"/>
        <w:spacing w:after="0" w:line="237" w:lineRule="auto"/>
        <w:rPr>
          <w:sz w:val="20"/>
          <w:szCs w:val="20"/>
          <w:color w:val="auto"/>
        </w:rPr>
      </w:pPr>
      <w:r>
        <w:rPr>
          <w:rFonts w:ascii="Courier New" w:cs="Courier New" w:eastAsia="Courier New" w:hAnsi="Courier New"/>
          <w:sz w:val="18"/>
          <w:szCs w:val="18"/>
          <w:color w:val="auto"/>
        </w:rPr>
        <w:t>The class of equity securities to which this statement relates is the common stock, par value $0.01 (the "Common Stock") of Federal Realty Investment Trust, a Maryland corporation (the "Issuer"). The principal executive offices of the Issuer are located at 1626 East Jefferson Street, Rockville, MD 20852-4041.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20" w:firstLine="1896"/>
        <w:spacing w:after="0" w:line="237" w:lineRule="auto"/>
        <w:rPr>
          <w:sz w:val="20"/>
          <w:szCs w:val="20"/>
          <w:color w:val="auto"/>
        </w:rPr>
      </w:pPr>
      <w:r>
        <w:rPr>
          <w:rFonts w:ascii="Courier New" w:cs="Courier New" w:eastAsia="Courier New" w:hAnsi="Courier New"/>
          <w:sz w:val="18"/>
          <w:szCs w:val="18"/>
          <w:color w:val="auto"/>
        </w:rPr>
        <w:t>The name of the person filing this statement is Stichting Pensioenfonds ABP, an entity established under the laws of The Kingdom of the Netherlands (the "Fund"), whose principal business is investing funds held on behalf of public sector employees of The Kingdom of the Netherlands. The address of the Fund's principal executive office is Oude Lindestraat 70, Postbus 2889, 6401 DL Heerlen, The Netherlands. The name, citizenship, business address and present principal occupation or employment, as well as the name and address of any corporation or other organization in which such occupation or employment is conducted, of each of the directors and executive officers of the Fund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PRINCIPAL</w:t>
      </w:r>
    </w:p>
    <w:p>
      <w:pPr>
        <w:ind w:left="1280"/>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OCCUPATION</w:t>
      </w:r>
      <w:r>
        <w:rPr>
          <w:sz w:val="20"/>
          <w:szCs w:val="20"/>
          <w:color w:val="auto"/>
        </w:rPr>
        <w:tab/>
      </w:r>
      <w:r>
        <w:rPr>
          <w:rFonts w:ascii="Courier New" w:cs="Courier New" w:eastAsia="Courier New" w:hAnsi="Courier New"/>
          <w:sz w:val="16"/>
          <w:szCs w:val="16"/>
          <w:color w:val="auto"/>
        </w:rPr>
        <w:t>CITIZENSHIP</w:t>
      </w:r>
    </w:p>
    <w:p>
      <w:pPr>
        <w:ind w:left="1280"/>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B. de Vries</w:t>
            </w:r>
          </w:p>
        </w:tc>
        <w:tc>
          <w:tcPr>
            <w:tcW w:w="3600" w:type="dxa"/>
            <w:vAlign w:val="bottom"/>
            <w:gridSpan w:val="3"/>
          </w:tcPr>
          <w:p>
            <w:pPr>
              <w:ind w:left="700"/>
              <w:spacing w:after="0"/>
              <w:rPr>
                <w:sz w:val="20"/>
                <w:szCs w:val="20"/>
                <w:color w:val="auto"/>
              </w:rPr>
            </w:pPr>
            <w:r>
              <w:rPr>
                <w:rFonts w:ascii="Courier New" w:cs="Courier New" w:eastAsia="Courier New" w:hAnsi="Courier New"/>
                <w:sz w:val="18"/>
                <w:szCs w:val="18"/>
                <w:color w:val="auto"/>
              </w:rPr>
              <w:t>Independent Chairman of</w:t>
            </w:r>
          </w:p>
        </w:tc>
        <w:tc>
          <w:tcPr>
            <w:tcW w:w="1720" w:type="dxa"/>
            <w:vAlign w:val="bottom"/>
          </w:tcPr>
          <w:p>
            <w:pPr>
              <w:ind w:left="140"/>
              <w:spacing w:after="0"/>
              <w:rPr>
                <w:sz w:val="20"/>
                <w:szCs w:val="20"/>
                <w:color w:val="auto"/>
              </w:rPr>
            </w:pPr>
            <w:r>
              <w:rPr>
                <w:rFonts w:ascii="Courier New" w:cs="Courier New" w:eastAsia="Courier New" w:hAnsi="Courier New"/>
                <w:sz w:val="18"/>
                <w:szCs w:val="18"/>
                <w:color w:val="auto"/>
                <w:w w:val="96"/>
              </w:rPr>
              <w:t>The Netherlands</w:t>
            </w:r>
          </w:p>
        </w:tc>
      </w:tr>
      <w:tr>
        <w:trPr>
          <w:trHeight w:val="203"/>
        </w:trPr>
        <w:tc>
          <w:tcPr>
            <w:tcW w:w="2580" w:type="dxa"/>
            <w:vAlign w:val="bottom"/>
          </w:tcPr>
          <w:p>
            <w:pPr>
              <w:spacing w:after="0"/>
              <w:rPr>
                <w:sz w:val="17"/>
                <w:szCs w:val="17"/>
                <w:color w:val="auto"/>
              </w:rPr>
            </w:pPr>
          </w:p>
        </w:tc>
        <w:tc>
          <w:tcPr>
            <w:tcW w:w="274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w w:val="98"/>
              </w:rPr>
              <w:t>the Governing Board</w:t>
            </w: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P.M. Altenburg</w:t>
            </w:r>
          </w:p>
        </w:tc>
        <w:tc>
          <w:tcPr>
            <w:tcW w:w="2740" w:type="dxa"/>
            <w:vAlign w:val="bottom"/>
            <w:gridSpan w:val="2"/>
          </w:tcPr>
          <w:p>
            <w:pPr>
              <w:ind w:left="700"/>
              <w:spacing w:after="0"/>
              <w:rPr>
                <w:sz w:val="20"/>
                <w:szCs w:val="20"/>
                <w:color w:val="auto"/>
              </w:rPr>
            </w:pPr>
            <w:r>
              <w:rPr>
                <w:rFonts w:ascii="Courier New" w:cs="Courier New" w:eastAsia="Courier New" w:hAnsi="Courier New"/>
                <w:sz w:val="18"/>
                <w:szCs w:val="18"/>
                <w:color w:val="auto"/>
                <w:w w:val="98"/>
              </w:rPr>
              <w:t>First Vice Chairman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of the</w:t>
            </w:r>
          </w:p>
        </w:tc>
        <w:tc>
          <w:tcPr>
            <w:tcW w:w="1720" w:type="dxa"/>
            <w:vAlign w:val="bottom"/>
          </w:tcPr>
          <w:p>
            <w:pPr>
              <w:ind w:left="140"/>
              <w:spacing w:after="0"/>
              <w:rPr>
                <w:sz w:val="20"/>
                <w:szCs w:val="20"/>
                <w:color w:val="auto"/>
              </w:rPr>
            </w:pPr>
            <w:r>
              <w:rPr>
                <w:rFonts w:ascii="Courier New" w:cs="Courier New" w:eastAsia="Courier New" w:hAnsi="Courier New"/>
                <w:sz w:val="18"/>
                <w:szCs w:val="18"/>
                <w:color w:val="auto"/>
                <w:w w:val="96"/>
              </w:rPr>
              <w:t>The Netherlands</w:t>
            </w:r>
          </w:p>
        </w:tc>
      </w:tr>
      <w:tr>
        <w:trPr>
          <w:trHeight w:val="203"/>
        </w:trPr>
        <w:tc>
          <w:tcPr>
            <w:tcW w:w="2580" w:type="dxa"/>
            <w:vAlign w:val="bottom"/>
          </w:tcPr>
          <w:p>
            <w:pPr>
              <w:spacing w:after="0"/>
              <w:rPr>
                <w:sz w:val="17"/>
                <w:szCs w:val="17"/>
                <w:color w:val="auto"/>
              </w:rPr>
            </w:pPr>
          </w:p>
        </w:tc>
        <w:tc>
          <w:tcPr>
            <w:tcW w:w="17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Governing</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Board</w:t>
            </w: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B.H.J.J.M. Volkers</w:t>
            </w:r>
          </w:p>
        </w:tc>
        <w:tc>
          <w:tcPr>
            <w:tcW w:w="1700" w:type="dxa"/>
            <w:vAlign w:val="bottom"/>
          </w:tcPr>
          <w:p>
            <w:pPr>
              <w:ind w:left="700"/>
              <w:spacing w:after="0"/>
              <w:rPr>
                <w:sz w:val="20"/>
                <w:szCs w:val="20"/>
                <w:color w:val="auto"/>
              </w:rPr>
            </w:pPr>
            <w:r>
              <w:rPr>
                <w:rFonts w:ascii="Courier New" w:cs="Courier New" w:eastAsia="Courier New" w:hAnsi="Courier New"/>
                <w:sz w:val="18"/>
                <w:szCs w:val="18"/>
                <w:color w:val="auto"/>
              </w:rPr>
              <w:t>Secretary</w:t>
            </w:r>
          </w:p>
        </w:tc>
        <w:tc>
          <w:tcPr>
            <w:tcW w:w="1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the Governing</w:t>
            </w:r>
          </w:p>
        </w:tc>
        <w:tc>
          <w:tcPr>
            <w:tcW w:w="1720" w:type="dxa"/>
            <w:vAlign w:val="bottom"/>
          </w:tcPr>
          <w:p>
            <w:pPr>
              <w:ind w:left="140"/>
              <w:spacing w:after="0"/>
              <w:rPr>
                <w:sz w:val="20"/>
                <w:szCs w:val="20"/>
                <w:color w:val="auto"/>
              </w:rPr>
            </w:pPr>
            <w:r>
              <w:rPr>
                <w:rFonts w:ascii="Courier New" w:cs="Courier New" w:eastAsia="Courier New" w:hAnsi="Courier New"/>
                <w:sz w:val="18"/>
                <w:szCs w:val="18"/>
                <w:color w:val="auto"/>
                <w:w w:val="96"/>
              </w:rPr>
              <w:t>The Netherlands</w:t>
            </w:r>
          </w:p>
        </w:tc>
      </w:tr>
      <w:tr>
        <w:trPr>
          <w:trHeight w:val="203"/>
        </w:trPr>
        <w:tc>
          <w:tcPr>
            <w:tcW w:w="2580" w:type="dxa"/>
            <w:vAlign w:val="bottom"/>
          </w:tcPr>
          <w:p>
            <w:pPr>
              <w:spacing w:after="0"/>
              <w:rPr>
                <w:sz w:val="17"/>
                <w:szCs w:val="17"/>
                <w:color w:val="auto"/>
              </w:rPr>
            </w:pPr>
          </w:p>
        </w:tc>
        <w:tc>
          <w:tcPr>
            <w:tcW w:w="17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Board</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J.W.E. Neervens</w:t>
            </w:r>
          </w:p>
        </w:tc>
        <w:tc>
          <w:tcPr>
            <w:tcW w:w="3600" w:type="dxa"/>
            <w:vAlign w:val="bottom"/>
            <w:gridSpan w:val="3"/>
          </w:tcPr>
          <w:p>
            <w:pPr>
              <w:ind w:left="700"/>
              <w:spacing w:after="0"/>
              <w:rPr>
                <w:sz w:val="20"/>
                <w:szCs w:val="20"/>
                <w:color w:val="auto"/>
              </w:rPr>
            </w:pPr>
            <w:r>
              <w:rPr>
                <w:rFonts w:ascii="Courier New" w:cs="Courier New" w:eastAsia="Courier New" w:hAnsi="Courier New"/>
                <w:sz w:val="18"/>
                <w:szCs w:val="18"/>
                <w:color w:val="auto"/>
              </w:rPr>
              <w:t>Chairman of the Board of</w:t>
            </w:r>
          </w:p>
        </w:tc>
        <w:tc>
          <w:tcPr>
            <w:tcW w:w="1720" w:type="dxa"/>
            <w:vAlign w:val="bottom"/>
          </w:tcPr>
          <w:p>
            <w:pPr>
              <w:ind w:left="140"/>
              <w:spacing w:after="0"/>
              <w:rPr>
                <w:sz w:val="20"/>
                <w:szCs w:val="20"/>
                <w:color w:val="auto"/>
              </w:rPr>
            </w:pPr>
            <w:r>
              <w:rPr>
                <w:rFonts w:ascii="Courier New" w:cs="Courier New" w:eastAsia="Courier New" w:hAnsi="Courier New"/>
                <w:sz w:val="18"/>
                <w:szCs w:val="18"/>
                <w:color w:val="auto"/>
                <w:w w:val="96"/>
              </w:rPr>
              <w:t>The Netherlands</w:t>
            </w:r>
          </w:p>
        </w:tc>
      </w:tr>
      <w:tr>
        <w:trPr>
          <w:trHeight w:val="203"/>
        </w:trPr>
        <w:tc>
          <w:tcPr>
            <w:tcW w:w="2580" w:type="dxa"/>
            <w:vAlign w:val="bottom"/>
          </w:tcPr>
          <w:p>
            <w:pPr>
              <w:spacing w:after="0"/>
              <w:rPr>
                <w:sz w:val="17"/>
                <w:szCs w:val="17"/>
                <w:color w:val="auto"/>
              </w:rPr>
            </w:pPr>
          </w:p>
        </w:tc>
        <w:tc>
          <w:tcPr>
            <w:tcW w:w="17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Directors</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J.M.G. Frijns</w:t>
            </w:r>
          </w:p>
        </w:tc>
        <w:tc>
          <w:tcPr>
            <w:tcW w:w="1700" w:type="dxa"/>
            <w:vAlign w:val="bottom"/>
          </w:tcPr>
          <w:p>
            <w:pPr>
              <w:ind w:left="700"/>
              <w:spacing w:after="0"/>
              <w:rPr>
                <w:sz w:val="20"/>
                <w:szCs w:val="20"/>
                <w:color w:val="auto"/>
              </w:rPr>
            </w:pPr>
            <w:r>
              <w:rPr>
                <w:rFonts w:ascii="Courier New" w:cs="Courier New" w:eastAsia="Courier New" w:hAnsi="Courier New"/>
                <w:sz w:val="18"/>
                <w:szCs w:val="18"/>
                <w:color w:val="auto"/>
              </w:rPr>
              <w:t>Member of</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the Board</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720" w:type="dxa"/>
            <w:vAlign w:val="bottom"/>
          </w:tcPr>
          <w:p>
            <w:pPr>
              <w:ind w:left="140"/>
              <w:spacing w:after="0"/>
              <w:rPr>
                <w:sz w:val="20"/>
                <w:szCs w:val="20"/>
                <w:color w:val="auto"/>
              </w:rPr>
            </w:pPr>
            <w:r>
              <w:rPr>
                <w:rFonts w:ascii="Courier New" w:cs="Courier New" w:eastAsia="Courier New" w:hAnsi="Courier New"/>
                <w:sz w:val="18"/>
                <w:szCs w:val="18"/>
                <w:color w:val="auto"/>
                <w:w w:val="96"/>
              </w:rPr>
              <w:t>The Netherlands</w:t>
            </w:r>
          </w:p>
        </w:tc>
      </w:tr>
      <w:tr>
        <w:trPr>
          <w:trHeight w:val="203"/>
        </w:trPr>
        <w:tc>
          <w:tcPr>
            <w:tcW w:w="2580" w:type="dxa"/>
            <w:vAlign w:val="bottom"/>
          </w:tcPr>
          <w:p>
            <w:pPr>
              <w:spacing w:after="0"/>
              <w:rPr>
                <w:sz w:val="17"/>
                <w:szCs w:val="17"/>
                <w:color w:val="auto"/>
              </w:rPr>
            </w:pPr>
          </w:p>
        </w:tc>
        <w:tc>
          <w:tcPr>
            <w:tcW w:w="17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Directors</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J.F. Maassen</w:t>
            </w:r>
          </w:p>
        </w:tc>
        <w:tc>
          <w:tcPr>
            <w:tcW w:w="1700" w:type="dxa"/>
            <w:vAlign w:val="bottom"/>
          </w:tcPr>
          <w:p>
            <w:pPr>
              <w:ind w:left="700"/>
              <w:spacing w:after="0"/>
              <w:rPr>
                <w:sz w:val="20"/>
                <w:szCs w:val="20"/>
                <w:color w:val="auto"/>
              </w:rPr>
            </w:pPr>
            <w:r>
              <w:rPr>
                <w:rFonts w:ascii="Courier New" w:cs="Courier New" w:eastAsia="Courier New" w:hAnsi="Courier New"/>
                <w:sz w:val="18"/>
                <w:szCs w:val="18"/>
                <w:color w:val="auto"/>
              </w:rPr>
              <w:t>Member of</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the Board</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720" w:type="dxa"/>
            <w:vAlign w:val="bottom"/>
          </w:tcPr>
          <w:p>
            <w:pPr>
              <w:ind w:left="140"/>
              <w:spacing w:after="0"/>
              <w:rPr>
                <w:sz w:val="20"/>
                <w:szCs w:val="20"/>
                <w:color w:val="auto"/>
              </w:rPr>
            </w:pPr>
            <w:r>
              <w:rPr>
                <w:rFonts w:ascii="Courier New" w:cs="Courier New" w:eastAsia="Courier New" w:hAnsi="Courier New"/>
                <w:sz w:val="18"/>
                <w:szCs w:val="18"/>
                <w:color w:val="auto"/>
                <w:w w:val="96"/>
              </w:rPr>
              <w:t>The Netherlands</w:t>
            </w:r>
          </w:p>
        </w:tc>
      </w:tr>
      <w:tr>
        <w:trPr>
          <w:trHeight w:val="203"/>
        </w:trPr>
        <w:tc>
          <w:tcPr>
            <w:tcW w:w="2580" w:type="dxa"/>
            <w:vAlign w:val="bottom"/>
          </w:tcPr>
          <w:p>
            <w:pPr>
              <w:spacing w:after="0"/>
              <w:rPr>
                <w:sz w:val="17"/>
                <w:szCs w:val="17"/>
                <w:color w:val="auto"/>
              </w:rPr>
            </w:pPr>
          </w:p>
        </w:tc>
        <w:tc>
          <w:tcPr>
            <w:tcW w:w="17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Directors</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J.H.R. van de Poel</w:t>
            </w:r>
          </w:p>
        </w:tc>
        <w:tc>
          <w:tcPr>
            <w:tcW w:w="1700" w:type="dxa"/>
            <w:vAlign w:val="bottom"/>
          </w:tcPr>
          <w:p>
            <w:pPr>
              <w:ind w:left="700"/>
              <w:spacing w:after="0"/>
              <w:rPr>
                <w:sz w:val="20"/>
                <w:szCs w:val="20"/>
                <w:color w:val="auto"/>
              </w:rPr>
            </w:pPr>
            <w:r>
              <w:rPr>
                <w:rFonts w:ascii="Courier New" w:cs="Courier New" w:eastAsia="Courier New" w:hAnsi="Courier New"/>
                <w:sz w:val="18"/>
                <w:szCs w:val="18"/>
                <w:color w:val="auto"/>
              </w:rPr>
              <w:t>Member of</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the Board</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720" w:type="dxa"/>
            <w:vAlign w:val="bottom"/>
          </w:tcPr>
          <w:p>
            <w:pPr>
              <w:ind w:left="140"/>
              <w:spacing w:after="0"/>
              <w:rPr>
                <w:sz w:val="20"/>
                <w:szCs w:val="20"/>
                <w:color w:val="auto"/>
              </w:rPr>
            </w:pPr>
            <w:r>
              <w:rPr>
                <w:rFonts w:ascii="Courier New" w:cs="Courier New" w:eastAsia="Courier New" w:hAnsi="Courier New"/>
                <w:sz w:val="18"/>
                <w:szCs w:val="18"/>
                <w:color w:val="auto"/>
                <w:w w:val="96"/>
              </w:rPr>
              <w:t>The Netherlands</w:t>
            </w:r>
          </w:p>
        </w:tc>
      </w:tr>
      <w:tr>
        <w:trPr>
          <w:trHeight w:val="203"/>
        </w:trPr>
        <w:tc>
          <w:tcPr>
            <w:tcW w:w="2580" w:type="dxa"/>
            <w:vAlign w:val="bottom"/>
          </w:tcPr>
          <w:p>
            <w:pPr>
              <w:spacing w:after="0"/>
              <w:rPr>
                <w:sz w:val="17"/>
                <w:szCs w:val="17"/>
                <w:color w:val="auto"/>
              </w:rPr>
            </w:pPr>
          </w:p>
        </w:tc>
        <w:tc>
          <w:tcPr>
            <w:tcW w:w="17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Directors</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BUSINESS</w:t>
      </w:r>
    </w:p>
    <w:p>
      <w:pPr>
        <w:ind w:left="320"/>
        <w:spacing w:after="0" w:line="238" w:lineRule="auto"/>
        <w:rPr>
          <w:sz w:val="20"/>
          <w:szCs w:val="20"/>
          <w:color w:val="auto"/>
        </w:rPr>
      </w:pPr>
      <w:r>
        <w:rPr>
          <w:rFonts w:ascii="Courier New" w:cs="Courier New" w:eastAsia="Courier New" w:hAnsi="Courier New"/>
          <w:sz w:val="18"/>
          <w:szCs w:val="18"/>
          <w:color w:val="auto"/>
        </w:rPr>
        <w:t>ADDRESS</w:t>
      </w:r>
    </w:p>
    <w:p>
      <w:pPr>
        <w:ind w:left="32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Oude Lindestraat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 6411 EJ</w:t>
      </w:r>
    </w:p>
    <w:p>
      <w:pPr>
        <w:spacing w:after="0" w:line="238" w:lineRule="auto"/>
        <w:rPr>
          <w:sz w:val="20"/>
          <w:szCs w:val="20"/>
          <w:color w:val="auto"/>
        </w:rPr>
      </w:pPr>
      <w:r>
        <w:rPr>
          <w:rFonts w:ascii="Courier New" w:cs="Courier New" w:eastAsia="Courier New" w:hAnsi="Courier New"/>
          <w:sz w:val="18"/>
          <w:szCs w:val="18"/>
          <w:color w:val="auto"/>
        </w:rPr>
        <w:t>Heerlen</w:t>
      </w:r>
    </w:p>
    <w:p>
      <w:pPr>
        <w:spacing w:after="0"/>
        <w:rPr>
          <w:sz w:val="20"/>
          <w:szCs w:val="20"/>
          <w:color w:val="auto"/>
        </w:rPr>
      </w:pPr>
      <w:r>
        <w:rPr>
          <w:rFonts w:ascii="Courier New" w:cs="Courier New" w:eastAsia="Courier New" w:hAnsi="Courier New"/>
          <w:sz w:val="18"/>
          <w:szCs w:val="18"/>
          <w:color w:val="auto"/>
        </w:rPr>
        <w:t>The Netherlands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Oude Lindestraat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 6411 EJ</w:t>
      </w:r>
    </w:p>
    <w:p>
      <w:pPr>
        <w:spacing w:after="0" w:line="238" w:lineRule="auto"/>
        <w:rPr>
          <w:sz w:val="20"/>
          <w:szCs w:val="20"/>
          <w:color w:val="auto"/>
        </w:rPr>
      </w:pPr>
      <w:r>
        <w:rPr>
          <w:rFonts w:ascii="Courier New" w:cs="Courier New" w:eastAsia="Courier New" w:hAnsi="Courier New"/>
          <w:sz w:val="18"/>
          <w:szCs w:val="18"/>
          <w:color w:val="auto"/>
        </w:rPr>
        <w:t>Heerlen</w:t>
      </w:r>
    </w:p>
    <w:p>
      <w:pPr>
        <w:spacing w:after="0"/>
        <w:rPr>
          <w:sz w:val="20"/>
          <w:szCs w:val="20"/>
          <w:color w:val="auto"/>
        </w:rPr>
      </w:pPr>
      <w:r>
        <w:rPr>
          <w:rFonts w:ascii="Courier New" w:cs="Courier New" w:eastAsia="Courier New" w:hAnsi="Courier New"/>
          <w:sz w:val="18"/>
          <w:szCs w:val="18"/>
          <w:color w:val="auto"/>
        </w:rPr>
        <w:t>The Netherlands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Oude Lindestraat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 6411 EJ</w:t>
      </w:r>
    </w:p>
    <w:p>
      <w:pPr>
        <w:spacing w:after="0" w:line="238" w:lineRule="auto"/>
        <w:rPr>
          <w:sz w:val="20"/>
          <w:szCs w:val="20"/>
          <w:color w:val="auto"/>
        </w:rPr>
      </w:pPr>
      <w:r>
        <w:rPr>
          <w:rFonts w:ascii="Courier New" w:cs="Courier New" w:eastAsia="Courier New" w:hAnsi="Courier New"/>
          <w:sz w:val="18"/>
          <w:szCs w:val="18"/>
          <w:color w:val="auto"/>
        </w:rPr>
        <w:t>Heerlen</w:t>
      </w:r>
    </w:p>
    <w:p>
      <w:pPr>
        <w:spacing w:after="0"/>
        <w:rPr>
          <w:sz w:val="20"/>
          <w:szCs w:val="20"/>
          <w:color w:val="auto"/>
        </w:rPr>
      </w:pPr>
      <w:r>
        <w:rPr>
          <w:rFonts w:ascii="Courier New" w:cs="Courier New" w:eastAsia="Courier New" w:hAnsi="Courier New"/>
          <w:sz w:val="18"/>
          <w:szCs w:val="18"/>
          <w:color w:val="auto"/>
        </w:rPr>
        <w:t>The Netherlands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Oude Lindestraat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 6411 EJ</w:t>
      </w:r>
    </w:p>
    <w:p>
      <w:pPr>
        <w:spacing w:after="0" w:line="238" w:lineRule="auto"/>
        <w:rPr>
          <w:sz w:val="20"/>
          <w:szCs w:val="20"/>
          <w:color w:val="auto"/>
        </w:rPr>
      </w:pPr>
      <w:r>
        <w:rPr>
          <w:rFonts w:ascii="Courier New" w:cs="Courier New" w:eastAsia="Courier New" w:hAnsi="Courier New"/>
          <w:sz w:val="18"/>
          <w:szCs w:val="18"/>
          <w:color w:val="auto"/>
        </w:rPr>
        <w:t>Heerlen</w:t>
      </w:r>
    </w:p>
    <w:p>
      <w:pPr>
        <w:spacing w:after="0"/>
        <w:rPr>
          <w:sz w:val="20"/>
          <w:szCs w:val="20"/>
          <w:color w:val="auto"/>
        </w:rPr>
      </w:pPr>
      <w:r>
        <w:rPr>
          <w:rFonts w:ascii="Courier New" w:cs="Courier New" w:eastAsia="Courier New" w:hAnsi="Courier New"/>
          <w:sz w:val="18"/>
          <w:szCs w:val="18"/>
          <w:color w:val="auto"/>
        </w:rPr>
        <w:t>The Netherlands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Oude Lindestraat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 6411 EJ</w:t>
      </w:r>
    </w:p>
    <w:p>
      <w:pPr>
        <w:spacing w:after="0" w:line="238" w:lineRule="auto"/>
        <w:rPr>
          <w:sz w:val="20"/>
          <w:szCs w:val="20"/>
          <w:color w:val="auto"/>
        </w:rPr>
      </w:pPr>
      <w:r>
        <w:rPr>
          <w:rFonts w:ascii="Courier New" w:cs="Courier New" w:eastAsia="Courier New" w:hAnsi="Courier New"/>
          <w:sz w:val="18"/>
          <w:szCs w:val="18"/>
          <w:color w:val="auto"/>
        </w:rPr>
        <w:t>Heerlen</w:t>
      </w:r>
    </w:p>
    <w:p>
      <w:pPr>
        <w:spacing w:after="0"/>
        <w:rPr>
          <w:sz w:val="20"/>
          <w:szCs w:val="20"/>
          <w:color w:val="auto"/>
        </w:rPr>
      </w:pPr>
      <w:r>
        <w:rPr>
          <w:rFonts w:ascii="Courier New" w:cs="Courier New" w:eastAsia="Courier New" w:hAnsi="Courier New"/>
          <w:sz w:val="18"/>
          <w:szCs w:val="18"/>
          <w:color w:val="auto"/>
        </w:rPr>
        <w:t>The Netherlands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Oude Lindestraat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 6411 EJ</w:t>
      </w:r>
    </w:p>
    <w:p>
      <w:pPr>
        <w:spacing w:after="0" w:line="238" w:lineRule="auto"/>
        <w:rPr>
          <w:sz w:val="20"/>
          <w:szCs w:val="20"/>
          <w:color w:val="auto"/>
        </w:rPr>
      </w:pPr>
      <w:r>
        <w:rPr>
          <w:rFonts w:ascii="Courier New" w:cs="Courier New" w:eastAsia="Courier New" w:hAnsi="Courier New"/>
          <w:sz w:val="18"/>
          <w:szCs w:val="18"/>
          <w:color w:val="auto"/>
        </w:rPr>
        <w:t>Heerlen</w:t>
      </w:r>
    </w:p>
    <w:p>
      <w:pPr>
        <w:spacing w:after="0"/>
        <w:rPr>
          <w:sz w:val="20"/>
          <w:szCs w:val="20"/>
          <w:color w:val="auto"/>
        </w:rPr>
      </w:pPr>
      <w:r>
        <w:rPr>
          <w:rFonts w:ascii="Courier New" w:cs="Courier New" w:eastAsia="Courier New" w:hAnsi="Courier New"/>
          <w:sz w:val="18"/>
          <w:szCs w:val="18"/>
          <w:color w:val="auto"/>
        </w:rPr>
        <w:t>The Netherlands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Oude Lindestraat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 6411 EJ</w:t>
      </w:r>
    </w:p>
    <w:p>
      <w:pPr>
        <w:spacing w:after="0" w:line="238" w:lineRule="auto"/>
        <w:rPr>
          <w:sz w:val="20"/>
          <w:szCs w:val="20"/>
          <w:color w:val="auto"/>
        </w:rPr>
      </w:pPr>
      <w:r>
        <w:rPr>
          <w:rFonts w:ascii="Courier New" w:cs="Courier New" w:eastAsia="Courier New" w:hAnsi="Courier New"/>
          <w:sz w:val="18"/>
          <w:szCs w:val="18"/>
          <w:color w:val="auto"/>
        </w:rPr>
        <w:t>Heerlen</w:t>
      </w:r>
    </w:p>
    <w:p>
      <w:pPr>
        <w:spacing w:after="0"/>
        <w:rPr>
          <w:sz w:val="20"/>
          <w:szCs w:val="20"/>
          <w:color w:val="auto"/>
        </w:rPr>
      </w:pPr>
      <w:r>
        <w:rPr>
          <w:rFonts w:ascii="Courier New" w:cs="Courier New" w:eastAsia="Courier New" w:hAnsi="Courier New"/>
          <w:sz w:val="18"/>
          <w:szCs w:val="18"/>
          <w:color w:val="auto"/>
        </w:rPr>
        <w:t>The Netherlands</w:t>
      </w:r>
    </w:p>
    <w:p>
      <w:pPr>
        <w:sectPr>
          <w:pgSz w:w="11900" w:h="16838" w:orient="portrait"/>
          <w:cols w:equalWidth="0" w:num="2">
            <w:col w:w="8560" w:space="720"/>
            <w:col w:w="1680"/>
          </w:cols>
          <w:pgMar w:left="240" w:top="919"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3700" w:type="dxa"/>
            <w:vAlign w:val="bottom"/>
          </w:tcPr>
          <w:p>
            <w:pPr>
              <w:jc w:val="right"/>
              <w:ind w:right="1552"/>
              <w:spacing w:after="0"/>
              <w:rPr>
                <w:sz w:val="20"/>
                <w:szCs w:val="20"/>
                <w:color w:val="auto"/>
              </w:rPr>
            </w:pPr>
            <w:r>
              <w:rPr>
                <w:rFonts w:ascii="Courier New" w:cs="Courier New" w:eastAsia="Courier New" w:hAnsi="Courier New"/>
                <w:sz w:val="18"/>
                <w:szCs w:val="18"/>
                <w:color w:val="auto"/>
              </w:rPr>
              <w:t>PRINCIPAL</w:t>
            </w:r>
          </w:p>
        </w:tc>
        <w:tc>
          <w:tcPr>
            <w:tcW w:w="1720" w:type="dxa"/>
            <w:vAlign w:val="bottom"/>
          </w:tcPr>
          <w:p>
            <w:pPr>
              <w:spacing w:after="0"/>
              <w:rPr>
                <w:sz w:val="17"/>
                <w:szCs w:val="17"/>
                <w:color w:val="auto"/>
              </w:rPr>
            </w:pPr>
          </w:p>
        </w:tc>
      </w:tr>
      <w:tr>
        <w:trPr>
          <w:trHeight w:val="203"/>
        </w:trPr>
        <w:tc>
          <w:tcPr>
            <w:tcW w:w="24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NAME</w:t>
            </w:r>
          </w:p>
        </w:tc>
        <w:tc>
          <w:tcPr>
            <w:tcW w:w="370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OCCUPATION</w:t>
            </w:r>
          </w:p>
        </w:tc>
        <w:tc>
          <w:tcPr>
            <w:tcW w:w="17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CITIZENSHIP</w:t>
            </w:r>
          </w:p>
        </w:tc>
      </w:tr>
      <w:tr>
        <w:trPr>
          <w:trHeight w:val="203"/>
        </w:trPr>
        <w:tc>
          <w:tcPr>
            <w:tcW w:w="24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J.M.G. Frijns</w:t>
            </w:r>
          </w:p>
        </w:tc>
        <w:tc>
          <w:tcPr>
            <w:tcW w:w="3700" w:type="dxa"/>
            <w:vAlign w:val="bottom"/>
          </w:tcPr>
          <w:p>
            <w:pPr>
              <w:ind w:left="800"/>
              <w:spacing w:after="0"/>
              <w:rPr>
                <w:sz w:val="20"/>
                <w:szCs w:val="20"/>
                <w:color w:val="auto"/>
              </w:rPr>
            </w:pPr>
            <w:r>
              <w:rPr>
                <w:rFonts w:ascii="Courier New" w:cs="Courier New" w:eastAsia="Courier New" w:hAnsi="Courier New"/>
                <w:sz w:val="18"/>
                <w:szCs w:val="18"/>
                <w:color w:val="auto"/>
              </w:rPr>
              <w:t>Chief Investment Officer /</w:t>
            </w:r>
          </w:p>
        </w:tc>
        <w:tc>
          <w:tcPr>
            <w:tcW w:w="172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The Netherlands</w:t>
            </w:r>
          </w:p>
        </w:tc>
      </w:tr>
      <w:tr>
        <w:trPr>
          <w:trHeight w:val="203"/>
        </w:trPr>
        <w:tc>
          <w:tcPr>
            <w:tcW w:w="2480" w:type="dxa"/>
            <w:vAlign w:val="bottom"/>
          </w:tcPr>
          <w:p>
            <w:pPr>
              <w:spacing w:after="0"/>
              <w:rPr>
                <w:sz w:val="17"/>
                <w:szCs w:val="17"/>
                <w:color w:val="auto"/>
              </w:rPr>
            </w:pPr>
          </w:p>
        </w:tc>
        <w:tc>
          <w:tcPr>
            <w:tcW w:w="37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Managing Director</w:t>
            </w:r>
          </w:p>
        </w:tc>
        <w:tc>
          <w:tcPr>
            <w:tcW w:w="1720" w:type="dxa"/>
            <w:vAlign w:val="bottom"/>
          </w:tcPr>
          <w:p>
            <w:pPr>
              <w:spacing w:after="0"/>
              <w:rPr>
                <w:sz w:val="17"/>
                <w:szCs w:val="17"/>
                <w:color w:val="auto"/>
              </w:rPr>
            </w:pP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A.H. Berendsen</w:t>
            </w:r>
          </w:p>
        </w:tc>
        <w:tc>
          <w:tcPr>
            <w:tcW w:w="3700" w:type="dxa"/>
            <w:vAlign w:val="bottom"/>
          </w:tcPr>
          <w:p>
            <w:pPr>
              <w:ind w:left="800"/>
              <w:spacing w:after="0"/>
              <w:rPr>
                <w:sz w:val="20"/>
                <w:szCs w:val="20"/>
                <w:color w:val="auto"/>
              </w:rPr>
            </w:pPr>
            <w:r>
              <w:rPr>
                <w:rFonts w:ascii="Courier New" w:cs="Courier New" w:eastAsia="Courier New" w:hAnsi="Courier New"/>
                <w:sz w:val="18"/>
                <w:szCs w:val="18"/>
                <w:color w:val="auto"/>
              </w:rPr>
              <w:t>Managing Director</w:t>
            </w:r>
          </w:p>
        </w:tc>
        <w:tc>
          <w:tcPr>
            <w:tcW w:w="172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The Netherlands</w:t>
            </w:r>
          </w:p>
        </w:tc>
      </w:tr>
      <w:tr>
        <w:trPr>
          <w:trHeight w:val="810"/>
        </w:trPr>
        <w:tc>
          <w:tcPr>
            <w:tcW w:w="2480" w:type="dxa"/>
            <w:vAlign w:val="bottom"/>
          </w:tcPr>
          <w:p>
            <w:pPr>
              <w:spacing w:after="0"/>
              <w:rPr>
                <w:sz w:val="20"/>
                <w:szCs w:val="20"/>
                <w:color w:val="auto"/>
              </w:rPr>
            </w:pPr>
            <w:r>
              <w:rPr>
                <w:rFonts w:ascii="Courier New" w:cs="Courier New" w:eastAsia="Courier New" w:hAnsi="Courier New"/>
                <w:sz w:val="18"/>
                <w:szCs w:val="18"/>
                <w:color w:val="auto"/>
              </w:rPr>
              <w:t>J. Mensonides</w:t>
            </w:r>
          </w:p>
        </w:tc>
        <w:tc>
          <w:tcPr>
            <w:tcW w:w="3700" w:type="dxa"/>
            <w:vAlign w:val="bottom"/>
          </w:tcPr>
          <w:p>
            <w:pPr>
              <w:ind w:left="800"/>
              <w:spacing w:after="0"/>
              <w:rPr>
                <w:sz w:val="20"/>
                <w:szCs w:val="20"/>
                <w:color w:val="auto"/>
              </w:rPr>
            </w:pPr>
            <w:r>
              <w:rPr>
                <w:rFonts w:ascii="Courier New" w:cs="Courier New" w:eastAsia="Courier New" w:hAnsi="Courier New"/>
                <w:sz w:val="18"/>
                <w:szCs w:val="18"/>
                <w:color w:val="auto"/>
              </w:rPr>
              <w:t>Managing Director</w:t>
            </w:r>
          </w:p>
        </w:tc>
        <w:tc>
          <w:tcPr>
            <w:tcW w:w="172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The Netherlands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1896"/>
        <w:spacing w:after="0" w:line="271" w:lineRule="auto"/>
        <w:rPr>
          <w:sz w:val="20"/>
          <w:szCs w:val="20"/>
          <w:color w:val="auto"/>
        </w:rPr>
      </w:pPr>
      <w:r>
        <w:rPr>
          <w:rFonts w:ascii="Courier New" w:cs="Courier New" w:eastAsia="Courier New" w:hAnsi="Courier New"/>
          <w:sz w:val="16"/>
          <w:szCs w:val="16"/>
          <w:color w:val="auto"/>
        </w:rPr>
        <w:t>To the knowledge of the Fund, during the last five years, neither the Fund nor any of its executive officers or directors has been (i) convicted in any criminal proceeding (excluding traffic violations or similar misdemeanors) or (ii) a party to a civil proceeding of a judicial or administrative body of competent jurisdiction and as a result of such proceeding is or was subject to a judgment, decree or final order enjoining future violations of, or prohibiting or mandating activities subject to, federal or state securities laws or finding any violation with respect to such laws.</w:t>
      </w:r>
    </w:p>
    <w:p>
      <w:pPr>
        <w:spacing w:after="0" w:line="18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340" w:firstLine="1896"/>
        <w:spacing w:after="0" w:line="236" w:lineRule="auto"/>
        <w:rPr>
          <w:sz w:val="20"/>
          <w:szCs w:val="20"/>
          <w:color w:val="auto"/>
        </w:rPr>
      </w:pPr>
      <w:r>
        <w:rPr>
          <w:rFonts w:ascii="Courier New" w:cs="Courier New" w:eastAsia="Courier New" w:hAnsi="Courier New"/>
          <w:sz w:val="18"/>
          <w:szCs w:val="18"/>
          <w:color w:val="auto"/>
        </w:rPr>
        <w:t>The funds for the purchases of Common Stock made by the Fund on the open market were supplied from Dutch public sector pensioners' contributions to the Fund.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20" w:firstLine="1896"/>
        <w:spacing w:after="0" w:line="270" w:lineRule="auto"/>
        <w:rPr>
          <w:sz w:val="20"/>
          <w:szCs w:val="20"/>
          <w:color w:val="auto"/>
        </w:rPr>
      </w:pPr>
      <w:r>
        <w:rPr>
          <w:rFonts w:ascii="Courier New" w:cs="Courier New" w:eastAsia="Courier New" w:hAnsi="Courier New"/>
          <w:sz w:val="16"/>
          <w:szCs w:val="16"/>
          <w:color w:val="auto"/>
        </w:rPr>
        <w:t>The Fund from time to time intends to review its investment in the Issuer on the basis of various factors, including the Issuer's business, financial condition, results of operations and prospects, general economic and industry conditions, the securities markets in general and those for the Issuer's securities in particular, as well as other developments and other investment opportunities. Based on such review, the Fund will take such actions in the future as the Fund may deem appropriate in light of the circumstances existing from time to time. If the Fund believes that further investment in the Issuer is attractive, whether because of the market price of the Issuer's securities or otherwise, it may acquire additional securities of the Issuer either in the open market or in privately negotiated transactions. Similarly, depending on market and other factors, the Fund may determine to dispose of some or all of the Common Stock currently owned by the Fund or otherwise acquired by the Fund either in the open market or in privately negotiated transactions.</w:t>
      </w:r>
    </w:p>
    <w:p>
      <w:pPr>
        <w:spacing w:after="0" w:line="388" w:lineRule="exact"/>
        <w:rPr>
          <w:sz w:val="20"/>
          <w:szCs w:val="20"/>
          <w:color w:val="auto"/>
        </w:rPr>
      </w:pPr>
    </w:p>
    <w:p>
      <w:pPr>
        <w:ind w:right="120" w:firstLine="1896"/>
        <w:spacing w:after="0" w:line="268" w:lineRule="auto"/>
        <w:rPr>
          <w:sz w:val="20"/>
          <w:szCs w:val="20"/>
          <w:color w:val="auto"/>
        </w:rPr>
      </w:pPr>
      <w:r>
        <w:rPr>
          <w:rFonts w:ascii="Courier New" w:cs="Courier New" w:eastAsia="Courier New" w:hAnsi="Courier New"/>
          <w:sz w:val="16"/>
          <w:szCs w:val="16"/>
          <w:color w:val="auto"/>
        </w:rPr>
        <w:t>Except as set forth above, the Fund has not currently formulated any definitive plans or proposals which relate to or would result in:</w:t>
      </w:r>
    </w:p>
    <w:p>
      <w:pPr>
        <w:ind w:right="220"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the Issuer or the disposition of securities of the Issuer, (b) an extraordinary corporate transaction involving the Issuer or any of its subsidiaries, (c) a sale or transfer of a material amount of the assets of the Issuer or any of its subsidiaries, (d) any change in the present board of directors or management of the Issuer, (e) any material change in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BUSINESS</w:t>
      </w:r>
    </w:p>
    <w:p>
      <w:pPr>
        <w:ind w:left="320"/>
        <w:spacing w:after="0" w:line="238" w:lineRule="auto"/>
        <w:rPr>
          <w:sz w:val="20"/>
          <w:szCs w:val="20"/>
          <w:color w:val="auto"/>
        </w:rPr>
      </w:pPr>
      <w:r>
        <w:rPr>
          <w:rFonts w:ascii="Courier New" w:cs="Courier New" w:eastAsia="Courier New" w:hAnsi="Courier New"/>
          <w:sz w:val="18"/>
          <w:szCs w:val="18"/>
          <w:color w:val="auto"/>
        </w:rPr>
        <w:t>ADDRESS</w:t>
      </w:r>
    </w:p>
    <w:p>
      <w:pPr>
        <w:ind w:left="32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Oude Lindestraat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 6411 EJ</w:t>
      </w:r>
    </w:p>
    <w:p>
      <w:pPr>
        <w:spacing w:after="0" w:line="238" w:lineRule="auto"/>
        <w:rPr>
          <w:sz w:val="20"/>
          <w:szCs w:val="20"/>
          <w:color w:val="auto"/>
        </w:rPr>
      </w:pPr>
      <w:r>
        <w:rPr>
          <w:rFonts w:ascii="Courier New" w:cs="Courier New" w:eastAsia="Courier New" w:hAnsi="Courier New"/>
          <w:sz w:val="18"/>
          <w:szCs w:val="18"/>
          <w:color w:val="auto"/>
        </w:rPr>
        <w:t>Heerlen</w:t>
      </w:r>
    </w:p>
    <w:p>
      <w:pPr>
        <w:spacing w:after="0"/>
        <w:rPr>
          <w:sz w:val="20"/>
          <w:szCs w:val="20"/>
          <w:color w:val="auto"/>
        </w:rPr>
      </w:pPr>
      <w:r>
        <w:rPr>
          <w:rFonts w:ascii="Courier New" w:cs="Courier New" w:eastAsia="Courier New" w:hAnsi="Courier New"/>
          <w:sz w:val="18"/>
          <w:szCs w:val="18"/>
          <w:color w:val="auto"/>
        </w:rPr>
        <w:t>The Netherlands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Oude Lindestraat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 6411 EJ</w:t>
      </w:r>
    </w:p>
    <w:p>
      <w:pPr>
        <w:spacing w:after="0" w:line="238" w:lineRule="auto"/>
        <w:rPr>
          <w:sz w:val="20"/>
          <w:szCs w:val="20"/>
          <w:color w:val="auto"/>
        </w:rPr>
      </w:pPr>
      <w:r>
        <w:rPr>
          <w:rFonts w:ascii="Courier New" w:cs="Courier New" w:eastAsia="Courier New" w:hAnsi="Courier New"/>
          <w:sz w:val="18"/>
          <w:szCs w:val="18"/>
          <w:color w:val="auto"/>
        </w:rPr>
        <w:t>Heerlen</w:t>
      </w:r>
    </w:p>
    <w:p>
      <w:pPr>
        <w:spacing w:after="0"/>
        <w:rPr>
          <w:sz w:val="20"/>
          <w:szCs w:val="20"/>
          <w:color w:val="auto"/>
        </w:rPr>
      </w:pPr>
      <w:r>
        <w:rPr>
          <w:rFonts w:ascii="Courier New" w:cs="Courier New" w:eastAsia="Courier New" w:hAnsi="Courier New"/>
          <w:sz w:val="18"/>
          <w:szCs w:val="18"/>
          <w:color w:val="auto"/>
        </w:rPr>
        <w:t>The Netherlands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Oude Lindestraat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 6411 EJ</w:t>
      </w:r>
    </w:p>
    <w:p>
      <w:pPr>
        <w:spacing w:after="0" w:line="238" w:lineRule="auto"/>
        <w:rPr>
          <w:sz w:val="20"/>
          <w:szCs w:val="20"/>
          <w:color w:val="auto"/>
        </w:rPr>
      </w:pPr>
      <w:r>
        <w:rPr>
          <w:rFonts w:ascii="Courier New" w:cs="Courier New" w:eastAsia="Courier New" w:hAnsi="Courier New"/>
          <w:sz w:val="18"/>
          <w:szCs w:val="18"/>
          <w:color w:val="auto"/>
        </w:rPr>
        <w:t>Heerlen</w:t>
      </w:r>
    </w:p>
    <w:p>
      <w:pPr>
        <w:spacing w:after="0"/>
        <w:rPr>
          <w:sz w:val="20"/>
          <w:szCs w:val="20"/>
          <w:color w:val="auto"/>
        </w:rPr>
      </w:pPr>
      <w:r>
        <w:rPr>
          <w:rFonts w:ascii="Courier New" w:cs="Courier New" w:eastAsia="Courier New" w:hAnsi="Courier New"/>
          <w:sz w:val="18"/>
          <w:szCs w:val="18"/>
          <w:color w:val="auto"/>
        </w:rPr>
        <w:t>The Netherlands</w:t>
      </w:r>
    </w:p>
    <w:p>
      <w:pPr>
        <w:sectPr>
          <w:pgSz w:w="11900" w:h="16838" w:orient="portrait"/>
          <w:cols w:equalWidth="0" w:num="2">
            <w:col w:w="8560" w:space="720"/>
            <w:col w:w="1680"/>
          </w:cols>
          <w:pgMar w:left="240" w:top="1122" w:right="699" w:bottom="144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Issuer's capitalization or dividend policy, (f) any other material change in the Issuer's business or corporate structure, (g) any change in the Issuer's charter or bylaws or other or instrument corresponding thereto or other action which may impede the acquisition of control of the Issuer by any person, (h) causing a class of the Issuer's securities to be deregistered or delisted, (i) a class of equity securities of the Issuer becoming eligible for termination of registration or (j) any action similar to any of those enumerated above.</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879" w:firstLine="1904"/>
        <w:spacing w:after="0" w:line="237"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Fund is the sole beneficial owner of 0 shares of Common Stock representing 0.0% of the outstanding shares of the Issuer's Common Stock. The calculation of the foregoing percentage is based on the number of shares of Common Stock disclosed as outstanding by the Issuer in its Quarterly Report on Form 10-Q for the period ended September 30, 2000.</w:t>
      </w:r>
    </w:p>
    <w:p>
      <w:pPr>
        <w:spacing w:after="0" w:line="208"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Fund has the sole power to vote or to direct the vote or dispose or direct the disposition of 0 shares of Common Stock. To the knowledge of the Fund, there are no shares of Common Stock which are beneficially owned by any director or executive officer listed under Item 2.</w:t>
      </w:r>
    </w:p>
    <w:p>
      <w:pPr>
        <w:spacing w:after="0" w:line="207"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25, 2000, the Fund sold 61,200 shares of Common Stock at a price of $18.95. On October 26, 2000, the Fund sold 5,200 shares of Common Stock at a price of $18.99. On October 30, 2000, the Fund sold 3,000 shares of Common Stock at a price of $19.32. On October 31, 2000, the Fund sold 1,100 shares of Common Stock at a price of $19.32. On November 6, 2000, the Fund sold 6,700 shares of Common Stock at a price of $19.32. On November 7, 2000, the Fund sold 303,000 shares of Common Stock at a price of $18.95. On November 9, 2000, the Fund sold 277,502 shares of Common Stock at a price of $18.95.</w:t>
      </w:r>
    </w:p>
    <w:p>
      <w:pPr>
        <w:spacing w:after="0" w:line="186"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Except as disclosed herein, there were no transactions by the Fund in securities of the Issuer during the sixty days prior to November 9, 2000.</w:t>
      </w:r>
    </w:p>
    <w:p>
      <w:pPr>
        <w:spacing w:after="0" w:line="209" w:lineRule="exact"/>
        <w:rPr>
          <w:sz w:val="20"/>
          <w:szCs w:val="20"/>
          <w:color w:val="auto"/>
        </w:rPr>
      </w:pPr>
    </w:p>
    <w:p>
      <w:pPr>
        <w:ind w:right="2099" w:firstLine="1904"/>
        <w:spacing w:after="0" w:line="236"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Fund, no other person has the right to receive or the power to direct the receipt of dividends from, or the proceeds from the sale of, the Common Stock purchased by the Fund.</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November 9, 2000.</w:t>
      </w:r>
    </w:p>
    <w:p>
      <w:pPr>
        <w:spacing w:after="0" w:line="207"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 of Relationships with Respect to Securities of the Issuer</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Except as described herein,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 or calls, guarantors of profit, division of profit or loss or the giving or withholding of proxies.</w:t>
      </w: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5" w:name="page6"/>
    <w:bookmarkEnd w:id="5"/>
    <w:p>
      <w:pPr>
        <w:ind w:right="199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13, 2001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STICHTING PENSIOENFONDS ABP</w:t>
      </w:r>
    </w:p>
    <w:p>
      <w:pPr>
        <w:spacing w:after="0" w:line="200" w:lineRule="exact"/>
        <w:rPr>
          <w:sz w:val="20"/>
          <w:szCs w:val="20"/>
          <w:color w:val="auto"/>
        </w:rPr>
      </w:pPr>
    </w:p>
    <w:p>
      <w:pPr>
        <w:spacing w:after="0" w:line="204" w:lineRule="exact"/>
        <w:rPr>
          <w:sz w:val="20"/>
          <w:szCs w:val="20"/>
          <w:color w:val="auto"/>
        </w:rPr>
      </w:pP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 Coomans</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R. Coomans</w:t>
      </w:r>
    </w:p>
    <w:p>
      <w:pPr>
        <w:ind w:left="6020"/>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/s/R.M.M.J. Bauer</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R.M.M.J. Bauer</w:t>
      </w:r>
    </w:p>
    <w:p>
      <w:pPr>
        <w:ind w:left="6020"/>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1"/>
    </w:lvl>
  </w:abstractNum>
  <w:abstractNum w:abstractNumId="1">
    <w:nsid w:val="3D1B58BA"/>
    <w:multiLevelType w:val="hybridMultilevel"/>
    <w:lvl w:ilvl="0">
      <w:lvlJc w:val="left"/>
      <w:lvlText w:val="-"/>
      <w:numFmt w:val="bullet"/>
      <w:start w:val="1"/>
    </w:lvl>
    <w:lvl w:ilvl="1">
      <w:lvlJc w:val="left"/>
      <w:lvlText w:val="(%2)"/>
      <w:numFmt w:val="lowerLetter"/>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2019-12-13T00:45:11Z</dcterms:created>
  <dcterms:modified xsi:type="dcterms:W3CDTF">2019-12-13T00:45:11Z</dcterms:modified>
</cp:coreProperties>
</file>