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SCHEDULE 13G</w:t>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3866515</wp:posOffset>
            </wp:positionH>
            <wp:positionV relativeFrom="paragraph">
              <wp:posOffset>-10795</wp:posOffset>
            </wp:positionV>
            <wp:extent cx="31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57150</wp:posOffset>
            </wp:positionH>
            <wp:positionV relativeFrom="paragraph">
              <wp:posOffset>13970</wp:posOffset>
            </wp:positionV>
            <wp:extent cx="6875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57150</wp:posOffset>
            </wp:positionH>
            <wp:positionV relativeFrom="paragraph">
              <wp:posOffset>13970</wp:posOffset>
            </wp:positionV>
            <wp:extent cx="6875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313745101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57150</wp:posOffset>
            </wp:positionH>
            <wp:positionV relativeFrom="paragraph">
              <wp:posOffset>13970</wp:posOffset>
            </wp:positionV>
            <wp:extent cx="6875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57150</wp:posOffset>
            </wp:positionH>
            <wp:positionV relativeFrom="paragraph">
              <wp:posOffset>13970</wp:posOffset>
            </wp:positionV>
            <wp:extent cx="6875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980" w:hanging="366"/>
        <w:spacing w:after="0"/>
        <w:tabs>
          <w:tab w:leader="none" w:pos="98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13d-1(b)</w:t>
      </w:r>
    </w:p>
    <w:p>
      <w:pPr>
        <w:spacing w:after="0" w:line="20" w:lineRule="exact"/>
        <w:rPr>
          <w:rFonts w:ascii="Arial" w:cs="Arial" w:eastAsia="Arial" w:hAnsi="Arial"/>
          <w:sz w:val="20"/>
          <w:szCs w:val="20"/>
          <w:b w:val="1"/>
          <w:bCs w:val="1"/>
          <w:color w:val="auto"/>
        </w:rPr>
      </w:pPr>
    </w:p>
    <w:p>
      <w:pPr>
        <w:ind w:left="980" w:hanging="366"/>
        <w:spacing w:after="0"/>
        <w:tabs>
          <w:tab w:leader="none" w:pos="98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13d-1(c)</w:t>
      </w:r>
    </w:p>
    <w:p>
      <w:pPr>
        <w:ind w:left="980" w:hanging="366"/>
        <w:spacing w:after="0"/>
        <w:tabs>
          <w:tab w:leader="none" w:pos="98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(Page 1 of 5 Pages)</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6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940"/>
          </w:cols>
          <w:pgMar w:left="440" w:top="454"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6"/>
        </w:trPr>
        <w:tc>
          <w:tcPr>
            <w:tcW w:w="2940" w:type="dxa"/>
            <w:vAlign w:val="bottom"/>
          </w:tcPr>
          <w:p>
            <w:pPr>
              <w:jc w:val="right"/>
              <w:ind w:right="1861"/>
              <w:spacing w:after="0"/>
              <w:rPr>
                <w:sz w:val="20"/>
                <w:szCs w:val="20"/>
                <w:color w:val="auto"/>
              </w:rPr>
            </w:pPr>
            <w:r>
              <w:rPr>
                <w:rFonts w:ascii="Times New Roman" w:cs="Times New Roman" w:eastAsia="Times New Roman" w:hAnsi="Times New Roman"/>
                <w:sz w:val="22"/>
                <w:szCs w:val="22"/>
                <w:b w:val="1"/>
                <w:bCs w:val="1"/>
                <w:color w:val="auto"/>
                <w:w w:val="94"/>
              </w:rPr>
              <w:t>313745101</w:t>
            </w:r>
          </w:p>
        </w:tc>
        <w:tc>
          <w:tcPr>
            <w:tcW w:w="1240" w:type="dxa"/>
            <w:vAlign w:val="bottom"/>
          </w:tcPr>
          <w:p>
            <w:pPr>
              <w:spacing w:after="0"/>
              <w:rPr>
                <w:sz w:val="24"/>
                <w:szCs w:val="24"/>
                <w:color w:val="auto"/>
              </w:rPr>
            </w:pPr>
          </w:p>
        </w:tc>
        <w:tc>
          <w:tcPr>
            <w:tcW w:w="5240" w:type="dxa"/>
            <w:vAlign w:val="bottom"/>
          </w:tcPr>
          <w:p>
            <w:pPr>
              <w:ind w:left="1140"/>
              <w:spacing w:after="0"/>
              <w:rPr>
                <w:sz w:val="20"/>
                <w:szCs w:val="20"/>
                <w:color w:val="auto"/>
              </w:rPr>
            </w:pPr>
            <w:r>
              <w:rPr>
                <w:rFonts w:ascii="Times New Roman" w:cs="Times New Roman" w:eastAsia="Times New Roman" w:hAnsi="Times New Roman"/>
                <w:sz w:val="22"/>
                <w:szCs w:val="22"/>
                <w:b w:val="1"/>
                <w:bCs w:val="1"/>
                <w:color w:val="auto"/>
              </w:rPr>
              <w:t>13G</w:t>
            </w:r>
          </w:p>
        </w:tc>
        <w:tc>
          <w:tcPr>
            <w:tcW w:w="16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6"/>
              </w:rPr>
              <w:t>Page 2 of 5 Pages</w:t>
            </w:r>
          </w:p>
        </w:tc>
        <w:tc>
          <w:tcPr>
            <w:tcW w:w="0" w:type="dxa"/>
            <w:vAlign w:val="bottom"/>
          </w:tcPr>
          <w:p>
            <w:pPr>
              <w:spacing w:after="0"/>
              <w:rPr>
                <w:sz w:val="1"/>
                <w:szCs w:val="1"/>
                <w:color w:val="auto"/>
              </w:rPr>
            </w:pPr>
          </w:p>
        </w:tc>
      </w:tr>
      <w:tr>
        <w:trPr>
          <w:trHeight w:val="326"/>
        </w:trPr>
        <w:tc>
          <w:tcPr>
            <w:tcW w:w="29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940" w:type="dxa"/>
            <w:vAlign w:val="bottom"/>
            <w:tcBorders>
              <w:left w:val="single" w:sz="8" w:color="auto"/>
              <w:right w:val="single" w:sz="8" w:color="auto"/>
            </w:tcBorders>
            <w:vMerge w:val="continue"/>
          </w:tcPr>
          <w:p>
            <w:pPr>
              <w:spacing w:after="0"/>
              <w:rPr>
                <w:sz w:val="14"/>
                <w:szCs w:val="14"/>
                <w:color w:val="auto"/>
              </w:rPr>
            </w:pPr>
          </w:p>
        </w:tc>
        <w:tc>
          <w:tcPr>
            <w:tcW w:w="6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STATE STREET CORPORATION</w:t>
            </w: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940" w:type="dxa"/>
            <w:vAlign w:val="bottom"/>
            <w:tcBorders>
              <w:left w:val="single" w:sz="8" w:color="auto"/>
              <w:right w:val="single" w:sz="8" w:color="auto"/>
            </w:tcBorders>
          </w:tcPr>
          <w:p>
            <w:pPr>
              <w:spacing w:after="0"/>
              <w:rPr>
                <w:sz w:val="11"/>
                <w:szCs w:val="11"/>
                <w:color w:val="auto"/>
              </w:rPr>
            </w:pPr>
          </w:p>
        </w:tc>
        <w:tc>
          <w:tcPr>
            <w:tcW w:w="6480" w:type="dxa"/>
            <w:vAlign w:val="bottom"/>
            <w:gridSpan w:val="2"/>
            <w:vMerge w:val="continue"/>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6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I.R.S. IDENTIFICATION NO. OF ABOVE PERSON: 04-2456637</w:t>
            </w: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940" w:type="dxa"/>
            <w:vAlign w:val="bottom"/>
            <w:tcBorders>
              <w:left w:val="single" w:sz="8" w:color="auto"/>
              <w:right w:val="single" w:sz="8" w:color="auto"/>
            </w:tcBorders>
            <w:vMerge w:val="restart"/>
          </w:tcPr>
          <w:p>
            <w:pPr>
              <w:jc w:val="center"/>
              <w:spacing w:after="0" w:line="317" w:lineRule="exact"/>
              <w:rPr>
                <w:sz w:val="20"/>
                <w:szCs w:val="20"/>
                <w:color w:val="auto"/>
              </w:rPr>
            </w:pPr>
            <w:r>
              <w:rPr>
                <w:rFonts w:ascii="Times New Roman" w:cs="Times New Roman" w:eastAsia="Times New Roman" w:hAnsi="Times New Roman"/>
                <w:sz w:val="29"/>
                <w:szCs w:val="29"/>
                <w:b w:val="1"/>
                <w:bCs w:val="1"/>
                <w:color w:val="auto"/>
                <w:w w:val="96"/>
              </w:rPr>
              <w:t>2</w:t>
            </w:r>
          </w:p>
        </w:tc>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600" w:type="dxa"/>
            <w:vAlign w:val="bottom"/>
            <w:tcBorders>
              <w:right w:val="single" w:sz="8" w:color="auto"/>
            </w:tcBorders>
            <w:vMerge w:val="restart"/>
          </w:tcPr>
          <w:p>
            <w:pPr>
              <w:jc w:val="center"/>
              <w:spacing w:after="0" w:line="317" w:lineRule="exact"/>
              <w:rPr>
                <w:sz w:val="20"/>
                <w:szCs w:val="20"/>
                <w:color w:val="auto"/>
              </w:rPr>
            </w:pPr>
            <w:r>
              <w:rPr>
                <w:rFonts w:ascii="Times New Roman" w:cs="Times New Roman" w:eastAsia="Times New Roman" w:hAnsi="Times New Roman"/>
                <w:sz w:val="20"/>
                <w:szCs w:val="20"/>
                <w:color w:val="auto"/>
                <w:w w:val="97"/>
              </w:rPr>
              <w:t xml:space="preserve">(a) </w:t>
            </w:r>
            <w:r>
              <w:rPr>
                <w:rFonts w:ascii="MS PGothic" w:cs="MS PGothic" w:eastAsia="MS PGothic" w:hAnsi="MS PGothic"/>
                <w:sz w:val="28"/>
                <w:szCs w:val="28"/>
                <w:color w:val="auto"/>
                <w:w w:val="97"/>
              </w:rPr>
              <w:t>☐</w:t>
            </w:r>
          </w:p>
        </w:tc>
        <w:tc>
          <w:tcPr>
            <w:tcW w:w="0" w:type="dxa"/>
            <w:vAlign w:val="bottom"/>
          </w:tcPr>
          <w:p>
            <w:pPr>
              <w:spacing w:after="0"/>
              <w:rPr>
                <w:sz w:val="1"/>
                <w:szCs w:val="1"/>
                <w:color w:val="auto"/>
              </w:rPr>
            </w:pPr>
          </w:p>
        </w:tc>
      </w:tr>
      <w:tr>
        <w:trPr>
          <w:trHeight w:val="73"/>
        </w:trPr>
        <w:tc>
          <w:tcPr>
            <w:tcW w:w="2940" w:type="dxa"/>
            <w:vAlign w:val="bottom"/>
            <w:tcBorders>
              <w:left w:val="single" w:sz="8" w:color="auto"/>
              <w:right w:val="single" w:sz="8" w:color="auto"/>
            </w:tcBorders>
            <w:vMerge w:val="continue"/>
          </w:tcPr>
          <w:p>
            <w:pPr>
              <w:spacing w:after="0"/>
              <w:rPr>
                <w:sz w:val="6"/>
                <w:szCs w:val="6"/>
                <w:color w:val="auto"/>
              </w:rPr>
            </w:pPr>
          </w:p>
        </w:tc>
        <w:tc>
          <w:tcPr>
            <w:tcW w:w="1240" w:type="dxa"/>
            <w:vAlign w:val="bottom"/>
          </w:tcPr>
          <w:p>
            <w:pPr>
              <w:spacing w:after="0"/>
              <w:rPr>
                <w:sz w:val="6"/>
                <w:szCs w:val="6"/>
                <w:color w:val="auto"/>
              </w:rPr>
            </w:pPr>
          </w:p>
        </w:tc>
        <w:tc>
          <w:tcPr>
            <w:tcW w:w="5240" w:type="dxa"/>
            <w:vAlign w:val="bottom"/>
          </w:tcPr>
          <w:p>
            <w:pPr>
              <w:spacing w:after="0"/>
              <w:rPr>
                <w:sz w:val="6"/>
                <w:szCs w:val="6"/>
                <w:color w:val="auto"/>
              </w:rPr>
            </w:pPr>
          </w:p>
        </w:tc>
        <w:tc>
          <w:tcPr>
            <w:tcW w:w="16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5"/>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jc w:val="center"/>
              <w:spacing w:after="0" w:line="322" w:lineRule="exact"/>
              <w:rPr>
                <w:sz w:val="20"/>
                <w:szCs w:val="20"/>
                <w:color w:val="auto"/>
              </w:rPr>
            </w:pPr>
            <w:r>
              <w:rPr>
                <w:rFonts w:ascii="Times New Roman" w:cs="Times New Roman" w:eastAsia="Times New Roman" w:hAnsi="Times New Roman"/>
                <w:sz w:val="20"/>
                <w:szCs w:val="20"/>
                <w:color w:val="auto"/>
                <w:w w:val="95"/>
              </w:rPr>
              <w:t xml:space="preserve">(b) </w:t>
            </w:r>
            <w:r>
              <w:rPr>
                <w:rFonts w:ascii="MS PGothic" w:cs="MS PGothic" w:eastAsia="MS PGothic" w:hAnsi="MS PGothic"/>
                <w:sz w:val="28"/>
                <w:szCs w:val="28"/>
                <w:color w:val="auto"/>
                <w:w w:val="95"/>
              </w:rPr>
              <w:t>☐</w:t>
            </w:r>
          </w:p>
        </w:tc>
        <w:tc>
          <w:tcPr>
            <w:tcW w:w="0" w:type="dxa"/>
            <w:vAlign w:val="bottom"/>
          </w:tcPr>
          <w:p>
            <w:pPr>
              <w:spacing w:after="0"/>
              <w:rPr>
                <w:sz w:val="1"/>
                <w:szCs w:val="1"/>
                <w:color w:val="auto"/>
              </w:rPr>
            </w:pPr>
          </w:p>
        </w:tc>
      </w:tr>
      <w:tr>
        <w:trPr>
          <w:trHeight w:val="244"/>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3</w:t>
            </w:r>
          </w:p>
        </w:tc>
        <w:tc>
          <w:tcPr>
            <w:tcW w:w="12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8"/>
              </w:rPr>
              <w:t>SEC USE ONLY</w:t>
            </w:r>
          </w:p>
        </w:tc>
        <w:tc>
          <w:tcPr>
            <w:tcW w:w="524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940" w:type="dxa"/>
            <w:vAlign w:val="bottom"/>
            <w:tcBorders>
              <w:left w:val="single" w:sz="8" w:color="auto"/>
              <w:right w:val="single" w:sz="8" w:color="auto"/>
            </w:tcBorders>
            <w:vMerge w:val="continue"/>
          </w:tcPr>
          <w:p>
            <w:pPr>
              <w:spacing w:after="0"/>
              <w:rPr>
                <w:sz w:val="14"/>
                <w:szCs w:val="14"/>
                <w:color w:val="auto"/>
              </w:rPr>
            </w:pPr>
          </w:p>
        </w:tc>
        <w:tc>
          <w:tcPr>
            <w:tcW w:w="12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940" w:type="dxa"/>
            <w:vAlign w:val="bottom"/>
            <w:tcBorders>
              <w:left w:val="single" w:sz="8" w:color="auto"/>
              <w:bottom w:val="single" w:sz="8" w:color="auto"/>
              <w:right w:val="single" w:sz="8" w:color="auto"/>
            </w:tcBorders>
          </w:tcPr>
          <w:p>
            <w:pPr>
              <w:spacing w:after="0"/>
              <w:rPr>
                <w:sz w:val="8"/>
                <w:szCs w:val="8"/>
                <w:color w:val="auto"/>
              </w:rPr>
            </w:pPr>
          </w:p>
        </w:tc>
        <w:tc>
          <w:tcPr>
            <w:tcW w:w="6480" w:type="dxa"/>
            <w:vAlign w:val="bottom"/>
            <w:tcBorders>
              <w:bottom w:val="single" w:sz="8" w:color="auto"/>
            </w:tcBorders>
            <w:gridSpan w:val="2"/>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940" w:type="dxa"/>
            <w:vAlign w:val="bottom"/>
            <w:tcBorders>
              <w:left w:val="single" w:sz="8" w:color="auto"/>
              <w:right w:val="single" w:sz="8" w:color="auto"/>
            </w:tcBorders>
            <w:vMerge w:val="continue"/>
          </w:tcPr>
          <w:p>
            <w:pPr>
              <w:spacing w:after="0"/>
              <w:rPr>
                <w:sz w:val="14"/>
                <w:szCs w:val="14"/>
                <w:color w:val="auto"/>
              </w:rPr>
            </w:pPr>
          </w:p>
        </w:tc>
        <w:tc>
          <w:tcPr>
            <w:tcW w:w="1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MA</w:t>
            </w:r>
          </w:p>
        </w:tc>
        <w:tc>
          <w:tcPr>
            <w:tcW w:w="5240" w:type="dxa"/>
            <w:vAlign w:val="bottom"/>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40" w:type="dxa"/>
            <w:vAlign w:val="bottom"/>
            <w:tcBorders>
              <w:left w:val="single" w:sz="8" w:color="auto"/>
              <w:right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5240" w:type="dxa"/>
            <w:vAlign w:val="bottom"/>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940" w:type="dxa"/>
            <w:vAlign w:val="bottom"/>
            <w:tcBorders>
              <w:left w:val="single" w:sz="8" w:color="auto"/>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940" w:type="dxa"/>
            <w:vAlign w:val="bottom"/>
            <w:tcBorders>
              <w:left w:val="single" w:sz="8" w:color="auto"/>
              <w:right w:val="single" w:sz="8" w:color="auto"/>
            </w:tcBorders>
          </w:tcPr>
          <w:p>
            <w:pPr>
              <w:spacing w:after="0"/>
              <w:rPr>
                <w:sz w:val="19"/>
                <w:szCs w:val="19"/>
                <w:color w:val="auto"/>
              </w:rPr>
            </w:pPr>
          </w:p>
        </w:tc>
        <w:tc>
          <w:tcPr>
            <w:tcW w:w="1240" w:type="dxa"/>
            <w:vAlign w:val="bottom"/>
            <w:tcBorders>
              <w:right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29"/>
                <w:szCs w:val="29"/>
                <w:b w:val="1"/>
                <w:bCs w:val="1"/>
                <w:color w:val="auto"/>
              </w:rPr>
              <w:t>5</w:t>
            </w:r>
          </w:p>
        </w:tc>
        <w:tc>
          <w:tcPr>
            <w:tcW w:w="5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94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vMerge w:val="continue"/>
          </w:tcPr>
          <w:p>
            <w:pPr>
              <w:spacing w:after="0"/>
              <w:rPr>
                <w:sz w:val="15"/>
                <w:szCs w:val="15"/>
                <w:color w:val="auto"/>
              </w:rPr>
            </w:pPr>
          </w:p>
        </w:tc>
        <w:tc>
          <w:tcPr>
            <w:tcW w:w="52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940" w:type="dxa"/>
            <w:vAlign w:val="bottom"/>
            <w:tcBorders>
              <w:left w:val="single" w:sz="8" w:color="auto"/>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940" w:type="dxa"/>
            <w:vAlign w:val="bottom"/>
            <w:tcBorders>
              <w:left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1240" w:type="dxa"/>
            <w:vAlign w:val="bottom"/>
            <w:tcBorders>
              <w:right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29"/>
                <w:szCs w:val="29"/>
                <w:b w:val="1"/>
                <w:bCs w:val="1"/>
                <w:color w:val="auto"/>
              </w:rPr>
              <w:t>6</w:t>
            </w:r>
          </w:p>
        </w:tc>
        <w:tc>
          <w:tcPr>
            <w:tcW w:w="5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940" w:type="dxa"/>
            <w:vAlign w:val="bottom"/>
            <w:tcBorders>
              <w:left w:val="single" w:sz="8" w:color="auto"/>
              <w:right w:val="single" w:sz="8" w:color="auto"/>
            </w:tcBorders>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52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4,381,569</w:t>
            </w: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OF SHARES BENEFICIALLY OWNED</w:t>
            </w:r>
          </w:p>
        </w:tc>
        <w:tc>
          <w:tcPr>
            <w:tcW w:w="1240" w:type="dxa"/>
            <w:vAlign w:val="bottom"/>
            <w:tcBorders>
              <w:right w:val="single" w:sz="8" w:color="auto"/>
            </w:tcBorders>
          </w:tcPr>
          <w:p>
            <w:pPr>
              <w:spacing w:after="0"/>
              <w:rPr>
                <w:sz w:val="7"/>
                <w:szCs w:val="7"/>
                <w:color w:val="auto"/>
              </w:rPr>
            </w:pPr>
          </w:p>
        </w:tc>
        <w:tc>
          <w:tcPr>
            <w:tcW w:w="5240" w:type="dxa"/>
            <w:vAlign w:val="bottom"/>
            <w:vMerge w:val="continue"/>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94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BY EACH REPORTING PERSON</w:t>
            </w:r>
          </w:p>
        </w:tc>
        <w:tc>
          <w:tcPr>
            <w:tcW w:w="1240" w:type="dxa"/>
            <w:vAlign w:val="bottom"/>
            <w:tcBorders>
              <w:right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29"/>
                <w:szCs w:val="29"/>
                <w:b w:val="1"/>
                <w:bCs w:val="1"/>
                <w:color w:val="auto"/>
              </w:rPr>
              <w:t>7</w:t>
            </w:r>
          </w:p>
        </w:tc>
        <w:tc>
          <w:tcPr>
            <w:tcW w:w="5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1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WITH:</w:t>
            </w:r>
          </w:p>
        </w:tc>
        <w:tc>
          <w:tcPr>
            <w:tcW w:w="1240" w:type="dxa"/>
            <w:vAlign w:val="bottom"/>
            <w:tcBorders>
              <w:right w:val="single" w:sz="8" w:color="auto"/>
            </w:tcBorders>
            <w:vMerge w:val="continue"/>
          </w:tcPr>
          <w:p>
            <w:pPr>
              <w:spacing w:after="0"/>
              <w:rPr>
                <w:sz w:val="18"/>
                <w:szCs w:val="18"/>
                <w:color w:val="auto"/>
              </w:rPr>
            </w:pPr>
          </w:p>
        </w:tc>
        <w:tc>
          <w:tcPr>
            <w:tcW w:w="52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940" w:type="dxa"/>
            <w:vAlign w:val="bottom"/>
            <w:tcBorders>
              <w:left w:val="single" w:sz="8" w:color="auto"/>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940" w:type="dxa"/>
            <w:vAlign w:val="bottom"/>
            <w:tcBorders>
              <w:left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940" w:type="dxa"/>
            <w:vAlign w:val="bottom"/>
            <w:tcBorders>
              <w:left w:val="single" w:sz="8" w:color="auto"/>
              <w:right w:val="single" w:sz="8" w:color="auto"/>
            </w:tcBorders>
          </w:tcPr>
          <w:p>
            <w:pPr>
              <w:spacing w:after="0"/>
              <w:rPr>
                <w:sz w:val="19"/>
                <w:szCs w:val="19"/>
                <w:color w:val="auto"/>
              </w:rPr>
            </w:pPr>
          </w:p>
        </w:tc>
        <w:tc>
          <w:tcPr>
            <w:tcW w:w="1240" w:type="dxa"/>
            <w:vAlign w:val="bottom"/>
            <w:tcBorders>
              <w:right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29"/>
                <w:szCs w:val="29"/>
                <w:b w:val="1"/>
                <w:bCs w:val="1"/>
                <w:color w:val="auto"/>
              </w:rPr>
              <w:t>8</w:t>
            </w:r>
          </w:p>
        </w:tc>
        <w:tc>
          <w:tcPr>
            <w:tcW w:w="5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94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vMerge w:val="continue"/>
          </w:tcPr>
          <w:p>
            <w:pPr>
              <w:spacing w:after="0"/>
              <w:rPr>
                <w:sz w:val="15"/>
                <w:szCs w:val="15"/>
                <w:color w:val="auto"/>
              </w:rPr>
            </w:pPr>
          </w:p>
        </w:tc>
        <w:tc>
          <w:tcPr>
            <w:tcW w:w="52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6,112,938</w:t>
            </w:r>
          </w:p>
        </w:tc>
        <w:tc>
          <w:tcPr>
            <w:tcW w:w="1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940" w:type="dxa"/>
            <w:vAlign w:val="bottom"/>
            <w:tcBorders>
              <w:left w:val="single" w:sz="8" w:color="auto"/>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940" w:type="dxa"/>
            <w:vAlign w:val="bottom"/>
            <w:tcBorders>
              <w:left w:val="single" w:sz="8" w:color="auto"/>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940" w:type="dxa"/>
            <w:vAlign w:val="bottom"/>
            <w:tcBorders>
              <w:left w:val="single" w:sz="8" w:color="auto"/>
              <w:right w:val="single" w:sz="8" w:color="auto"/>
            </w:tcBorders>
            <w:vMerge w:val="continue"/>
          </w:tcPr>
          <w:p>
            <w:pPr>
              <w:spacing w:after="0"/>
              <w:rPr>
                <w:sz w:val="15"/>
                <w:szCs w:val="15"/>
                <w:color w:val="auto"/>
              </w:rPr>
            </w:pPr>
          </w:p>
        </w:tc>
        <w:tc>
          <w:tcPr>
            <w:tcW w:w="64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6,113,255.00</w:t>
            </w:r>
          </w:p>
        </w:tc>
        <w:tc>
          <w:tcPr>
            <w:tcW w:w="1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940" w:type="dxa"/>
            <w:vAlign w:val="bottom"/>
            <w:tcBorders>
              <w:left w:val="single" w:sz="8" w:color="auto"/>
              <w:right w:val="single" w:sz="8" w:color="auto"/>
            </w:tcBorders>
          </w:tcPr>
          <w:p>
            <w:pPr>
              <w:spacing w:after="0"/>
              <w:rPr>
                <w:sz w:val="6"/>
                <w:szCs w:val="6"/>
                <w:color w:val="auto"/>
              </w:rPr>
            </w:pPr>
          </w:p>
        </w:tc>
        <w:tc>
          <w:tcPr>
            <w:tcW w:w="6480" w:type="dxa"/>
            <w:vAlign w:val="bottom"/>
            <w:gridSpan w:val="2"/>
            <w:vMerge w:val="continue"/>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940" w:type="dxa"/>
            <w:vAlign w:val="bottom"/>
            <w:tcBorders>
              <w:left w:val="single" w:sz="8" w:color="auto"/>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9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6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1600" w:type="dxa"/>
            <w:vAlign w:val="bottom"/>
            <w:tcBorders>
              <w:right w:val="single" w:sz="8" w:color="auto"/>
            </w:tcBorders>
          </w:tcPr>
          <w:p>
            <w:pPr>
              <w:jc w:val="center"/>
              <w:ind w:right="31"/>
              <w:spacing w:after="0" w:line="196" w:lineRule="exact"/>
              <w:rPr>
                <w:sz w:val="20"/>
                <w:szCs w:val="20"/>
                <w:color w:val="auto"/>
              </w:rPr>
            </w:pPr>
            <w:r>
              <w:rPr>
                <w:rFonts w:ascii="MS PGothic" w:cs="MS PGothic" w:eastAsia="MS PGothic" w:hAnsi="MS PGothic"/>
                <w:sz w:val="26"/>
                <w:szCs w:val="26"/>
                <w:color w:val="auto"/>
                <w:w w:val="99"/>
              </w:rPr>
              <w:t>☐</w:t>
            </w:r>
          </w:p>
        </w:tc>
        <w:tc>
          <w:tcPr>
            <w:tcW w:w="0" w:type="dxa"/>
            <w:vAlign w:val="bottom"/>
          </w:tcPr>
          <w:p>
            <w:pPr>
              <w:spacing w:after="0"/>
              <w:rPr>
                <w:sz w:val="1"/>
                <w:szCs w:val="1"/>
                <w:color w:val="auto"/>
              </w:rPr>
            </w:pPr>
          </w:p>
        </w:tc>
      </w:tr>
      <w:tr>
        <w:trPr>
          <w:trHeight w:val="48"/>
        </w:trPr>
        <w:tc>
          <w:tcPr>
            <w:tcW w:w="2940" w:type="dxa"/>
            <w:vAlign w:val="bottom"/>
            <w:tcBorders>
              <w:left w:val="single" w:sz="8" w:color="auto"/>
              <w:right w:val="single" w:sz="8" w:color="auto"/>
            </w:tcBorders>
          </w:tcPr>
          <w:p>
            <w:pPr>
              <w:spacing w:after="0"/>
              <w:rPr>
                <w:sz w:val="4"/>
                <w:szCs w:val="4"/>
                <w:color w:val="auto"/>
              </w:rPr>
            </w:pPr>
          </w:p>
        </w:tc>
        <w:tc>
          <w:tcPr>
            <w:tcW w:w="6480" w:type="dxa"/>
            <w:vAlign w:val="bottom"/>
            <w:gridSpan w:val="2"/>
            <w:vMerge w:val="continue"/>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940" w:type="dxa"/>
            <w:vAlign w:val="bottom"/>
            <w:tcBorders>
              <w:left w:val="single" w:sz="8" w:color="auto"/>
              <w:bottom w:val="single" w:sz="8" w:color="auto"/>
              <w:right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240" w:type="dxa"/>
            <w:vAlign w:val="bottom"/>
            <w:tcBorders>
              <w:bottom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940" w:type="dxa"/>
            <w:vAlign w:val="bottom"/>
            <w:tcBorders>
              <w:left w:val="single" w:sz="8" w:color="auto"/>
              <w:right w:val="single" w:sz="8" w:color="auto"/>
            </w:tcBorders>
            <w:vMerge w:val="continue"/>
          </w:tcPr>
          <w:p>
            <w:pPr>
              <w:spacing w:after="0"/>
              <w:rPr>
                <w:sz w:val="15"/>
                <w:szCs w:val="15"/>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20"/>
                <w:szCs w:val="20"/>
                <w:color w:val="auto"/>
              </w:rPr>
              <w:t>7.3%</w:t>
            </w:r>
          </w:p>
        </w:tc>
        <w:tc>
          <w:tcPr>
            <w:tcW w:w="524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940" w:type="dxa"/>
            <w:vAlign w:val="bottom"/>
            <w:tcBorders>
              <w:left w:val="single" w:sz="8" w:color="auto"/>
              <w:right w:val="single" w:sz="8" w:color="auto"/>
            </w:tcBorders>
          </w:tcPr>
          <w:p>
            <w:pPr>
              <w:spacing w:after="0"/>
              <w:rPr>
                <w:sz w:val="6"/>
                <w:szCs w:val="6"/>
                <w:color w:val="auto"/>
              </w:rPr>
            </w:pPr>
          </w:p>
        </w:tc>
        <w:tc>
          <w:tcPr>
            <w:tcW w:w="1240" w:type="dxa"/>
            <w:vAlign w:val="bottom"/>
            <w:vMerge w:val="continue"/>
          </w:tcPr>
          <w:p>
            <w:pPr>
              <w:spacing w:after="0"/>
              <w:rPr>
                <w:sz w:val="6"/>
                <w:szCs w:val="6"/>
                <w:color w:val="auto"/>
              </w:rPr>
            </w:pPr>
          </w:p>
        </w:tc>
        <w:tc>
          <w:tcPr>
            <w:tcW w:w="5240" w:type="dxa"/>
            <w:vAlign w:val="bottom"/>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940" w:type="dxa"/>
            <w:vAlign w:val="bottom"/>
            <w:tcBorders>
              <w:left w:val="single" w:sz="8" w:color="auto"/>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940" w:type="dxa"/>
            <w:vAlign w:val="bottom"/>
            <w:tcBorders>
              <w:left w:val="single" w:sz="8" w:color="auto"/>
              <w:right w:val="single" w:sz="8" w:color="auto"/>
            </w:tcBorders>
            <w:vMerge w:val="continue"/>
          </w:tcPr>
          <w:p>
            <w:pPr>
              <w:spacing w:after="0"/>
              <w:rPr>
                <w:sz w:val="15"/>
                <w:szCs w:val="15"/>
                <w:color w:val="auto"/>
              </w:rPr>
            </w:pPr>
          </w:p>
        </w:tc>
        <w:tc>
          <w:tcPr>
            <w:tcW w:w="1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HC</w:t>
            </w:r>
          </w:p>
        </w:tc>
        <w:tc>
          <w:tcPr>
            <w:tcW w:w="524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940" w:type="dxa"/>
            <w:vAlign w:val="bottom"/>
            <w:tcBorders>
              <w:left w:val="single" w:sz="8" w:color="auto"/>
              <w:right w:val="single" w:sz="8" w:color="auto"/>
            </w:tcBorders>
          </w:tcPr>
          <w:p>
            <w:pPr>
              <w:spacing w:after="0"/>
              <w:rPr>
                <w:sz w:val="6"/>
                <w:szCs w:val="6"/>
                <w:color w:val="auto"/>
              </w:rPr>
            </w:pPr>
          </w:p>
        </w:tc>
        <w:tc>
          <w:tcPr>
            <w:tcW w:w="1240" w:type="dxa"/>
            <w:vAlign w:val="bottom"/>
            <w:vMerge w:val="continue"/>
          </w:tcPr>
          <w:p>
            <w:pPr>
              <w:spacing w:after="0"/>
              <w:rPr>
                <w:sz w:val="6"/>
                <w:szCs w:val="6"/>
                <w:color w:val="auto"/>
              </w:rPr>
            </w:pPr>
          </w:p>
        </w:tc>
        <w:tc>
          <w:tcPr>
            <w:tcW w:w="5240" w:type="dxa"/>
            <w:vAlign w:val="bottom"/>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940" w:type="dxa"/>
            <w:vAlign w:val="bottom"/>
            <w:tcBorders>
              <w:left w:val="single" w:sz="8" w:color="auto"/>
              <w:bottom w:val="single" w:sz="8" w:color="auto"/>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459" w:right="439" w:bottom="1440" w:gutter="0" w:footer="0" w:header="0"/>
        </w:sectPr>
      </w:pPr>
    </w:p>
    <w:bookmarkStart w:id="2" w:name="page3"/>
    <w:bookmarkEnd w:id="2"/>
    <w:p>
      <w:pPr>
        <w:spacing w:after="0"/>
        <w:tabs>
          <w:tab w:leader="none" w:pos="5300" w:val="left"/>
          <w:tab w:leader="none" w:pos="9400" w:val="left"/>
        </w:tabs>
        <w:rPr>
          <w:sz w:val="20"/>
          <w:szCs w:val="20"/>
          <w:color w:val="auto"/>
        </w:rPr>
      </w:pPr>
      <w:r>
        <w:rPr>
          <w:rFonts w:ascii="Times New Roman" w:cs="Times New Roman" w:eastAsia="Times New Roman" w:hAnsi="Times New Roman"/>
          <w:sz w:val="22"/>
          <w:szCs w:val="22"/>
          <w:b w:val="1"/>
          <w:bCs w:val="1"/>
          <w:color w:val="auto"/>
        </w:rPr>
        <w:t>313745101</w:t>
      </w:r>
      <w:r>
        <w:rPr>
          <w:sz w:val="20"/>
          <w:szCs w:val="20"/>
          <w:color w:val="auto"/>
        </w:rPr>
        <w:tab/>
      </w:r>
      <w:r>
        <w:rPr>
          <w:rFonts w:ascii="Times New Roman" w:cs="Times New Roman" w:eastAsia="Times New Roman" w:hAnsi="Times New Roman"/>
          <w:sz w:val="22"/>
          <w:szCs w:val="22"/>
          <w:b w:val="1"/>
          <w:bCs w:val="1"/>
          <w:color w:val="auto"/>
        </w:rPr>
        <w:t>13G</w:t>
      </w:r>
      <w:r>
        <w:rPr>
          <w:sz w:val="20"/>
          <w:szCs w:val="20"/>
          <w:color w:val="auto"/>
        </w:rPr>
        <w:tab/>
      </w:r>
      <w:r>
        <w:rPr>
          <w:rFonts w:ascii="Times New Roman" w:cs="Times New Roman" w:eastAsia="Times New Roman" w:hAnsi="Times New Roman"/>
          <w:sz w:val="21"/>
          <w:szCs w:val="21"/>
          <w:b w:val="1"/>
          <w:bCs w:val="1"/>
          <w:color w:val="auto"/>
        </w:rPr>
        <w:t>Page 3 of 5 Pages</w:t>
      </w:r>
    </w:p>
    <w:p>
      <w:pPr>
        <w:sectPr>
          <w:pgSz w:w="11900" w:h="16838" w:orient="portrait"/>
          <w:cols w:equalWidth="0" w:num="1">
            <w:col w:w="11020"/>
          </w:cols>
          <w:pgMar w:left="440" w:top="459" w:right="439" w:bottom="1440" w:gutter="0" w:footer="0" w:header="0"/>
        </w:sectPr>
      </w:pPr>
    </w:p>
    <w:p>
      <w:pPr>
        <w:spacing w:after="0" w:line="332"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33"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20"/>
          <w:szCs w:val="20"/>
          <w:color w:val="auto"/>
        </w:rPr>
        <w:t>FEDERAL REALTY INVESTMENT TRUST</w:t>
      </w:r>
    </w:p>
    <w:p>
      <w:pPr>
        <w:spacing w:after="0" w:line="225"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1626 EAST JEFFERSON STREET ROCKVILLE MD 20852 UNITED STATES</w:t>
      </w:r>
    </w:p>
    <w:p>
      <w:pPr>
        <w:spacing w:after="0" w:line="225"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STATE STREET CORPORATION</w:t>
      </w:r>
    </w:p>
    <w:p>
      <w:pPr>
        <w:spacing w:after="0" w:line="225"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 RESIDENCE</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ONE CONGRESS STREET, SUITE 1, BOSTON MA 02114, UNITED STATES</w:t>
      </w:r>
    </w:p>
    <w:p>
      <w:pPr>
        <w:spacing w:after="0" w:line="225"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2(c).</w:t>
      </w:r>
      <w:r>
        <w:rPr>
          <w:sz w:val="20"/>
          <w:szCs w:val="20"/>
          <w:color w:val="auto"/>
        </w:rPr>
        <w:tab/>
      </w:r>
      <w:r>
        <w:rPr>
          <w:rFonts w:ascii="Times New Roman" w:cs="Times New Roman" w:eastAsia="Times New Roman" w:hAnsi="Times New Roman"/>
          <w:sz w:val="19"/>
          <w:szCs w:val="19"/>
          <w:b w:val="1"/>
          <w:bCs w:val="1"/>
          <w:color w:val="auto"/>
        </w:rPr>
        <w:t>CITIZENSHIP</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MA</w:t>
      </w:r>
    </w:p>
    <w:p>
      <w:pPr>
        <w:spacing w:after="0" w:line="225"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2(d).</w:t>
      </w:r>
      <w:r>
        <w:rPr>
          <w:sz w:val="20"/>
          <w:szCs w:val="20"/>
          <w:color w:val="auto"/>
        </w:rPr>
        <w:tab/>
      </w:r>
      <w:r>
        <w:rPr>
          <w:rFonts w:ascii="Times New Roman" w:cs="Times New Roman" w:eastAsia="Times New Roman" w:hAnsi="Times New Roman"/>
          <w:sz w:val="19"/>
          <w:szCs w:val="19"/>
          <w:b w:val="1"/>
          <w:bCs w:val="1"/>
          <w:color w:val="auto"/>
        </w:rPr>
        <w:t>TITLE OF CLASS OF SECURITIES</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COMMON STOCK</w:t>
      </w:r>
    </w:p>
    <w:p>
      <w:pPr>
        <w:spacing w:after="0" w:line="225"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313745101</w:t>
      </w:r>
    </w:p>
    <w:p>
      <w:pPr>
        <w:spacing w:after="0" w:line="225"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§§240.13d-1(b), OR 13d-2(b) OR (c), CHECK</w:t>
      </w:r>
    </w:p>
    <w:p>
      <w:pPr>
        <w:spacing w:after="0" w:line="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ectPr>
          <w:pgSz w:w="11900" w:h="16838" w:orient="portrait"/>
          <w:cols w:equalWidth="0" w:num="1">
            <w:col w:w="11020"/>
          </w:cols>
          <w:pgMar w:left="440" w:top="459" w:right="439" w:bottom="1440" w:gutter="0" w:footer="0" w:header="0"/>
          <w:type w:val="continuous"/>
        </w:sectPr>
      </w:pPr>
    </w:p>
    <w:p>
      <w:pPr>
        <w:spacing w:after="0" w:line="207" w:lineRule="exact"/>
        <w:rPr>
          <w:sz w:val="20"/>
          <w:szCs w:val="20"/>
          <w:color w:val="auto"/>
        </w:rPr>
      </w:pPr>
    </w:p>
    <w:p>
      <w:pPr>
        <w:ind w:left="100"/>
        <w:spacing w:after="0" w:line="295" w:lineRule="auto"/>
        <w:rPr>
          <w:sz w:val="20"/>
          <w:szCs w:val="20"/>
          <w:color w:val="auto"/>
        </w:rPr>
      </w:pPr>
      <w:r>
        <w:rPr>
          <w:rFonts w:ascii="Times New Roman" w:cs="Times New Roman" w:eastAsia="Times New Roman" w:hAnsi="Times New Roman"/>
          <w:sz w:val="19"/>
          <w:szCs w:val="19"/>
          <w:color w:val="auto"/>
        </w:rPr>
        <w:t>STATE STREET CORPORATION</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1226" w:hanging="1226"/>
        <w:spacing w:after="0"/>
        <w:tabs>
          <w:tab w:leader="none" w:pos="122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Broker or dealer registered under Section 15 of the Act;</w:t>
      </w:r>
    </w:p>
    <w:p>
      <w:pPr>
        <w:spacing w:after="0" w:line="337" w:lineRule="exact"/>
        <w:rPr>
          <w:rFonts w:ascii="Times New Roman" w:cs="Times New Roman" w:eastAsia="Times New Roman" w:hAnsi="Times New Roman"/>
          <w:sz w:val="20"/>
          <w:szCs w:val="20"/>
          <w:color w:val="auto"/>
        </w:rPr>
      </w:pPr>
    </w:p>
    <w:p>
      <w:pPr>
        <w:ind w:left="1226" w:hanging="1226"/>
        <w:spacing w:after="0"/>
        <w:tabs>
          <w:tab w:leader="none" w:pos="122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as defined in Section 3(a)(6) of the Act;</w:t>
      </w:r>
    </w:p>
    <w:p>
      <w:pPr>
        <w:spacing w:after="0" w:line="215" w:lineRule="exact"/>
        <w:rPr>
          <w:rFonts w:ascii="Times New Roman" w:cs="Times New Roman" w:eastAsia="Times New Roman" w:hAnsi="Times New Roman"/>
          <w:sz w:val="20"/>
          <w:szCs w:val="20"/>
          <w:color w:val="auto"/>
        </w:rPr>
      </w:pPr>
    </w:p>
    <w:p>
      <w:pPr>
        <w:ind w:left="1226" w:hanging="1226"/>
        <w:spacing w:after="0"/>
        <w:tabs>
          <w:tab w:leader="none" w:pos="122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company as defined in Section 3(a)(19) of the Act;</w:t>
      </w:r>
    </w:p>
    <w:p>
      <w:pPr>
        <w:spacing w:after="0" w:line="215" w:lineRule="exact"/>
        <w:rPr>
          <w:rFonts w:ascii="Times New Roman" w:cs="Times New Roman" w:eastAsia="Times New Roman" w:hAnsi="Times New Roman"/>
          <w:sz w:val="20"/>
          <w:szCs w:val="20"/>
          <w:color w:val="auto"/>
        </w:rPr>
      </w:pPr>
    </w:p>
    <w:p>
      <w:pPr>
        <w:ind w:left="1226" w:hanging="1226"/>
        <w:spacing w:after="0"/>
        <w:tabs>
          <w:tab w:leader="none" w:pos="122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w:t>
      </w:r>
    </w:p>
    <w:p>
      <w:pPr>
        <w:spacing w:after="0" w:line="215" w:lineRule="exact"/>
        <w:rPr>
          <w:rFonts w:ascii="Times New Roman" w:cs="Times New Roman" w:eastAsia="Times New Roman" w:hAnsi="Times New Roman"/>
          <w:sz w:val="20"/>
          <w:szCs w:val="20"/>
          <w:color w:val="auto"/>
        </w:rPr>
      </w:pPr>
    </w:p>
    <w:p>
      <w:pPr>
        <w:ind w:left="1226" w:hanging="1226"/>
        <w:spacing w:after="0"/>
        <w:tabs>
          <w:tab w:leader="none" w:pos="122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investment adviser in accordance with §240.13d-1(b)(1)(ii)(E);</w:t>
      </w:r>
    </w:p>
    <w:p>
      <w:pPr>
        <w:spacing w:after="0" w:line="215" w:lineRule="exact"/>
        <w:rPr>
          <w:rFonts w:ascii="Times New Roman" w:cs="Times New Roman" w:eastAsia="Times New Roman" w:hAnsi="Times New Roman"/>
          <w:sz w:val="20"/>
          <w:szCs w:val="20"/>
          <w:color w:val="auto"/>
        </w:rPr>
      </w:pPr>
    </w:p>
    <w:p>
      <w:pPr>
        <w:ind w:left="1266" w:hanging="1266"/>
        <w:spacing w:after="0"/>
        <w:tabs>
          <w:tab w:leader="none" w:pos="126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benefit plan or endowment fund in accordance with §240.13d-1(b)(1)(ii)(F);</w:t>
      </w:r>
    </w:p>
    <w:p>
      <w:pPr>
        <w:spacing w:after="0" w:line="229" w:lineRule="exact"/>
        <w:rPr>
          <w:rFonts w:ascii="Times New Roman" w:cs="Times New Roman" w:eastAsia="Times New Roman" w:hAnsi="Times New Roman"/>
          <w:sz w:val="20"/>
          <w:szCs w:val="20"/>
          <w:color w:val="auto"/>
        </w:rPr>
      </w:pPr>
    </w:p>
    <w:p>
      <w:pPr>
        <w:ind w:left="786" w:hanging="786"/>
        <w:spacing w:after="0"/>
        <w:tabs>
          <w:tab w:leader="none" w:pos="78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 parent holding company or control person in accordance with §240.13d-1(b)(1)(ii)(G);</w:t>
      </w:r>
    </w:p>
    <w:p>
      <w:pPr>
        <w:spacing w:after="0" w:line="229" w:lineRule="exact"/>
        <w:rPr>
          <w:rFonts w:ascii="Times New Roman" w:cs="Times New Roman" w:eastAsia="Times New Roman" w:hAnsi="Times New Roman"/>
          <w:sz w:val="20"/>
          <w:szCs w:val="20"/>
          <w:color w:val="auto"/>
        </w:rPr>
      </w:pPr>
    </w:p>
    <w:p>
      <w:pPr>
        <w:ind w:left="1226" w:hanging="1226"/>
        <w:spacing w:after="0"/>
        <w:tabs>
          <w:tab w:leader="none" w:pos="122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w:t>
      </w:r>
    </w:p>
    <w:p>
      <w:pPr>
        <w:spacing w:after="0" w:line="229" w:lineRule="exact"/>
        <w:rPr>
          <w:rFonts w:ascii="Times New Roman" w:cs="Times New Roman" w:eastAsia="Times New Roman" w:hAnsi="Times New Roman"/>
          <w:sz w:val="20"/>
          <w:szCs w:val="20"/>
          <w:color w:val="auto"/>
        </w:rPr>
      </w:pPr>
    </w:p>
    <w:p>
      <w:pPr>
        <w:ind w:left="1226"/>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church plan that is excluded from the definition of an investment company under Section 3(c)</w:t>
      </w:r>
    </w:p>
    <w:p>
      <w:pPr>
        <w:spacing w:after="0" w:line="21" w:lineRule="exact"/>
        <w:rPr>
          <w:rFonts w:ascii="Times New Roman" w:cs="Times New Roman" w:eastAsia="Times New Roman" w:hAnsi="Times New Roman"/>
          <w:sz w:val="20"/>
          <w:szCs w:val="20"/>
          <w:color w:val="auto"/>
        </w:rPr>
      </w:pPr>
    </w:p>
    <w:p>
      <w:pPr>
        <w:ind w:left="1226" w:hanging="1226"/>
        <w:spacing w:after="0" w:line="182" w:lineRule="auto"/>
        <w:tabs>
          <w:tab w:leader="none" w:pos="1226"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(14) of the Investment Company Act;</w:t>
      </w:r>
    </w:p>
    <w:p>
      <w:pPr>
        <w:spacing w:after="0" w:line="157" w:lineRule="exact"/>
        <w:rPr>
          <w:rFonts w:ascii="Times New Roman" w:cs="Times New Roman" w:eastAsia="Times New Roman" w:hAnsi="Times New Roman"/>
          <w:sz w:val="27"/>
          <w:szCs w:val="27"/>
          <w:color w:val="auto"/>
          <w:vertAlign w:val="superscript"/>
        </w:rPr>
      </w:pPr>
    </w:p>
    <w:p>
      <w:pPr>
        <w:ind w:left="1226" w:hanging="1226"/>
        <w:spacing w:after="0" w:line="214" w:lineRule="auto"/>
        <w:tabs>
          <w:tab w:leader="none" w:pos="1226" w:val="left"/>
        </w:tabs>
        <w:numPr>
          <w:ilvl w:val="0"/>
          <w:numId w:val="2"/>
        </w:numPr>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20"/>
          <w:szCs w:val="20"/>
          <w:color w:val="auto"/>
        </w:rPr>
        <w:t>A non-U.S. institution in accordance with §240.13d-1(b)(1)(ii)(J);</w:t>
      </w:r>
    </w:p>
    <w:p>
      <w:pPr>
        <w:spacing w:after="0" w:line="101" w:lineRule="exact"/>
        <w:rPr>
          <w:rFonts w:ascii="Times New Roman" w:cs="Times New Roman" w:eastAsia="Times New Roman" w:hAnsi="Times New Roman"/>
          <w:sz w:val="40"/>
          <w:szCs w:val="40"/>
          <w:color w:val="auto"/>
          <w:vertAlign w:val="superscript"/>
        </w:rPr>
      </w:pPr>
    </w:p>
    <w:p>
      <w:pPr>
        <w:ind w:left="1226" w:hanging="1226"/>
        <w:spacing w:after="0"/>
        <w:tabs>
          <w:tab w:leader="none" w:pos="122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Group, in accordance with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-3299460</wp:posOffset>
            </wp:positionV>
            <wp:extent cx="360045" cy="344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045" cy="3446145"/>
                    </a:xfrm>
                    <a:prstGeom prst="rect">
                      <a:avLst/>
                    </a:prstGeom>
                    <a:noFill/>
                  </pic:spPr>
                </pic:pic>
              </a:graphicData>
            </a:graphic>
          </wp:anchor>
        </w:drawing>
      </w:r>
    </w:p>
    <w:p>
      <w:pPr>
        <w:spacing w:after="0" w:line="174" w:lineRule="exact"/>
        <w:rPr>
          <w:sz w:val="20"/>
          <w:szCs w:val="20"/>
          <w:color w:val="auto"/>
        </w:rPr>
      </w:pPr>
    </w:p>
    <w:p>
      <w:pPr>
        <w:jc w:val="center"/>
        <w:ind w:right="254"/>
        <w:spacing w:after="0"/>
        <w:rPr>
          <w:sz w:val="20"/>
          <w:szCs w:val="20"/>
          <w:color w:val="auto"/>
        </w:rPr>
      </w:pPr>
      <w:r>
        <w:rPr>
          <w:rFonts w:ascii="Times New Roman" w:cs="Times New Roman" w:eastAsia="Times New Roman" w:hAnsi="Times New Roman"/>
          <w:sz w:val="19"/>
          <w:szCs w:val="19"/>
          <w:color w:val="auto"/>
        </w:rPr>
        <w:t>If filing as a non-U.S. institution in accordance with §240.13d-1(b)(1)(ii)(J), please specify the type of institution:</w:t>
      </w:r>
    </w:p>
    <w:p>
      <w:pPr>
        <w:sectPr>
          <w:pgSz w:w="11900" w:h="16838" w:orient="portrait"/>
          <w:cols w:equalWidth="0" w:num="2">
            <w:col w:w="1480" w:space="274"/>
            <w:col w:w="9266"/>
          </w:cols>
          <w:pgMar w:left="440" w:top="459" w:right="439" w:bottom="1440" w:gutter="0" w:footer="0" w:header="0"/>
          <w:type w:val="continuous"/>
        </w:sectPr>
      </w:pPr>
    </w:p>
    <w:bookmarkStart w:id="3" w:name="page4"/>
    <w:bookmarkEnd w:id="3"/>
    <w:p>
      <w:pPr>
        <w:spacing w:after="0"/>
        <w:tabs>
          <w:tab w:leader="none" w:pos="5300" w:val="left"/>
          <w:tab w:leader="none" w:pos="9400" w:val="left"/>
        </w:tabs>
        <w:rPr>
          <w:sz w:val="20"/>
          <w:szCs w:val="20"/>
          <w:color w:val="auto"/>
        </w:rPr>
      </w:pPr>
      <w:r>
        <w:rPr>
          <w:rFonts w:ascii="Times New Roman" w:cs="Times New Roman" w:eastAsia="Times New Roman" w:hAnsi="Times New Roman"/>
          <w:sz w:val="22"/>
          <w:szCs w:val="22"/>
          <w:b w:val="1"/>
          <w:bCs w:val="1"/>
          <w:color w:val="auto"/>
        </w:rPr>
        <w:t>313745101</w:t>
      </w:r>
      <w:r>
        <w:rPr>
          <w:sz w:val="20"/>
          <w:szCs w:val="20"/>
          <w:color w:val="auto"/>
        </w:rPr>
        <w:tab/>
      </w:r>
      <w:r>
        <w:rPr>
          <w:rFonts w:ascii="Times New Roman" w:cs="Times New Roman" w:eastAsia="Times New Roman" w:hAnsi="Times New Roman"/>
          <w:sz w:val="22"/>
          <w:szCs w:val="22"/>
          <w:b w:val="1"/>
          <w:bCs w:val="1"/>
          <w:color w:val="auto"/>
        </w:rPr>
        <w:t>13G</w:t>
      </w:r>
      <w:r>
        <w:rPr>
          <w:sz w:val="20"/>
          <w:szCs w:val="20"/>
          <w:color w:val="auto"/>
        </w:rPr>
        <w:tab/>
      </w:r>
      <w:r>
        <w:rPr>
          <w:rFonts w:ascii="Times New Roman" w:cs="Times New Roman" w:eastAsia="Times New Roman" w:hAnsi="Times New Roman"/>
          <w:sz w:val="21"/>
          <w:szCs w:val="21"/>
          <w:b w:val="1"/>
          <w:bCs w:val="1"/>
          <w:color w:val="auto"/>
        </w:rPr>
        <w:t>Page 4 of 5 Pages</w:t>
      </w:r>
    </w:p>
    <w:p>
      <w:pPr>
        <w:sectPr>
          <w:pgSz w:w="11900" w:h="16838" w:orient="portrait"/>
          <w:cols w:equalWidth="0" w:num="1">
            <w:col w:w="11020"/>
          </w:cols>
          <w:pgMar w:left="440" w:top="459" w:right="439" w:bottom="0" w:gutter="0" w:footer="0" w:header="0"/>
        </w:sectPr>
      </w:pPr>
    </w:p>
    <w:p>
      <w:pPr>
        <w:spacing w:after="0" w:line="332" w:lineRule="exact"/>
        <w:rPr>
          <w:sz w:val="20"/>
          <w:szCs w:val="20"/>
          <w:color w:val="auto"/>
        </w:rPr>
      </w:pPr>
    </w:p>
    <w:p>
      <w:pPr>
        <w:ind w:left="10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60" w:right="280"/>
        <w:spacing w:after="0" w:line="269" w:lineRule="auto"/>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14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224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(a)</w:t>
            </w:r>
          </w:p>
        </w:tc>
        <w:tc>
          <w:tcPr>
            <w:tcW w:w="28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Amount beneficially</w:t>
            </w:r>
          </w:p>
        </w:tc>
        <w:tc>
          <w:tcPr>
            <w:tcW w:w="244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auto"/>
              </w:rPr>
              <w:t>6,113,255.</w:t>
            </w:r>
            <w:r>
              <w:rPr>
                <w:rFonts w:ascii="Times New Roman" w:cs="Times New Roman" w:eastAsia="Times New Roman" w:hAnsi="Times New Roman"/>
                <w:sz w:val="20"/>
                <w:szCs w:val="20"/>
                <w:u w:val="single" w:color="auto"/>
                <w:color w:val="auto"/>
              </w:rPr>
              <w:t>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8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owned:</w:t>
            </w:r>
          </w:p>
        </w:tc>
        <w:tc>
          <w:tcPr>
            <w:tcW w:w="3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224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(b)</w:t>
            </w:r>
          </w:p>
        </w:tc>
        <w:tc>
          <w:tcPr>
            <w:tcW w:w="28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Percent of class:</w:t>
            </w:r>
          </w:p>
        </w:tc>
        <w:tc>
          <w:tcPr>
            <w:tcW w:w="134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u w:val="single" w:color="auto"/>
                <w:color w:val="auto"/>
              </w:rPr>
              <w:t>3%</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160" w:type="dxa"/>
            <w:vAlign w:val="bottom"/>
          </w:tcPr>
          <w:p>
            <w:pPr>
              <w:spacing w:after="0"/>
              <w:rPr>
                <w:sz w:val="24"/>
                <w:szCs w:val="24"/>
                <w:color w:val="auto"/>
              </w:rPr>
            </w:pPr>
          </w:p>
        </w:tc>
        <w:tc>
          <w:tcPr>
            <w:tcW w:w="224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(c)</w:t>
            </w:r>
          </w:p>
        </w:tc>
        <w:tc>
          <w:tcPr>
            <w:tcW w:w="28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Number of shares as to</w:t>
            </w:r>
          </w:p>
        </w:tc>
        <w:tc>
          <w:tcPr>
            <w:tcW w:w="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8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which the person has:</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4"/>
        </w:trPr>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(i)</w:t>
            </w:r>
          </w:p>
        </w:tc>
        <w:tc>
          <w:tcPr>
            <w:tcW w:w="32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Sole power to vote or to</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direct the vote:</w:t>
            </w: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(ii)</w:t>
            </w:r>
          </w:p>
        </w:tc>
        <w:tc>
          <w:tcPr>
            <w:tcW w:w="32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Shared power to vote or</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w w:val="94"/>
              </w:rPr>
              <w:t>4,381,569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 direct the vote</w:t>
            </w: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(iii)</w:t>
            </w:r>
          </w:p>
        </w:tc>
        <w:tc>
          <w:tcPr>
            <w:tcW w:w="32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Sole power to dispose or</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to direct the disposition</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of</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8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(iv)</w:t>
            </w:r>
          </w:p>
        </w:tc>
        <w:tc>
          <w:tcPr>
            <w:tcW w:w="32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Shared power to dispose</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w w:val="94"/>
              </w:rPr>
              <w:t>6,112,938</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or to direct the</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disposition of</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2"/>
        </w:trPr>
        <w:tc>
          <w:tcPr>
            <w:tcW w:w="1160" w:type="dxa"/>
            <w:vAlign w:val="bottom"/>
          </w:tcPr>
          <w:p>
            <w:pPr>
              <w:spacing w:after="0"/>
              <w:rPr>
                <w:sz w:val="24"/>
                <w:szCs w:val="24"/>
                <w:color w:val="auto"/>
              </w:rPr>
            </w:pPr>
          </w:p>
        </w:tc>
        <w:tc>
          <w:tcPr>
            <w:tcW w:w="2240" w:type="dxa"/>
            <w:vAlign w:val="bottom"/>
          </w:tcPr>
          <w:p>
            <w:pPr>
              <w:ind w:left="1040"/>
              <w:spacing w:after="0"/>
              <w:rPr>
                <w:sz w:val="20"/>
                <w:szCs w:val="20"/>
                <w:color w:val="auto"/>
              </w:rPr>
            </w:pPr>
            <w:r>
              <w:rPr>
                <w:rFonts w:ascii="Times New Roman" w:cs="Times New Roman" w:eastAsia="Times New Roman" w:hAnsi="Times New Roman"/>
                <w:sz w:val="20"/>
                <w:szCs w:val="20"/>
                <w:i w:val="1"/>
                <w:iCs w:val="1"/>
                <w:color w:val="auto"/>
              </w:rPr>
              <w:t>Instruction.</w:t>
            </w:r>
          </w:p>
        </w:tc>
        <w:tc>
          <w:tcPr>
            <w:tcW w:w="7420" w:type="dxa"/>
            <w:vAlign w:val="bottom"/>
            <w:gridSpan w:val="9"/>
          </w:tcPr>
          <w:p>
            <w:pPr>
              <w:ind w:left="1000"/>
              <w:spacing w:after="0"/>
              <w:rPr>
                <w:sz w:val="20"/>
                <w:szCs w:val="20"/>
                <w:color w:val="auto"/>
              </w:rPr>
            </w:pPr>
            <w:r>
              <w:rPr>
                <w:rFonts w:ascii="Times New Roman" w:cs="Times New Roman" w:eastAsia="Times New Roman" w:hAnsi="Times New Roman"/>
                <w:sz w:val="20"/>
                <w:szCs w:val="20"/>
                <w:color w:val="auto"/>
              </w:rPr>
              <w:t>For computations regarding securities which represent a right to acquire an</w:t>
            </w: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320" w:type="dxa"/>
            <w:vAlign w:val="bottom"/>
            <w:gridSpan w:val="5"/>
          </w:tcPr>
          <w:p>
            <w:pPr>
              <w:ind w:left="1000"/>
              <w:spacing w:after="0"/>
              <w:rPr>
                <w:sz w:val="20"/>
                <w:szCs w:val="20"/>
                <w:color w:val="auto"/>
              </w:rPr>
            </w:pPr>
            <w:r>
              <w:rPr>
                <w:rFonts w:ascii="Times New Roman" w:cs="Times New Roman" w:eastAsia="Times New Roman" w:hAnsi="Times New Roman"/>
                <w:sz w:val="20"/>
                <w:szCs w:val="20"/>
                <w:color w:val="auto"/>
              </w:rPr>
              <w:t>underlying security see §240.13d-3(d)(1).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6"/>
        </w:trPr>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5.</w:t>
            </w:r>
          </w:p>
        </w:tc>
        <w:tc>
          <w:tcPr>
            <w:tcW w:w="7560" w:type="dxa"/>
            <w:vAlign w:val="bottom"/>
            <w:gridSpan w:val="6"/>
          </w:tcPr>
          <w:p>
            <w:pPr>
              <w:ind w:left="500"/>
              <w:spacing w:after="0"/>
              <w:rPr>
                <w:sz w:val="20"/>
                <w:szCs w:val="20"/>
                <w:color w:val="auto"/>
              </w:rPr>
            </w:pPr>
            <w:r>
              <w:rPr>
                <w:rFonts w:ascii="Times New Roman" w:cs="Times New Roman" w:eastAsia="Times New Roman" w:hAnsi="Times New Roman"/>
                <w:sz w:val="20"/>
                <w:szCs w:val="20"/>
                <w:b w:val="1"/>
                <w:bCs w:val="1"/>
                <w:color w:val="auto"/>
              </w:rPr>
              <w:t>OWNERSHIP OF FIVE PERCENT OR LESS OF A CLASS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9660" w:type="dxa"/>
            <w:vAlign w:val="bottom"/>
            <w:gridSpan w:val="10"/>
          </w:tcPr>
          <w:p>
            <w:pPr>
              <w:ind w:left="500"/>
              <w:spacing w:after="0"/>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w:t>
            </w: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2"/>
                <w:szCs w:val="22"/>
                <w:color w:val="auto"/>
              </w:rPr>
            </w:pPr>
          </w:p>
        </w:tc>
        <w:tc>
          <w:tcPr>
            <w:tcW w:w="7560" w:type="dxa"/>
            <w:vAlign w:val="bottom"/>
            <w:gridSpan w:val="6"/>
          </w:tcPr>
          <w:p>
            <w:pPr>
              <w:ind w:left="500"/>
              <w:spacing w:after="0"/>
              <w:rPr>
                <w:sz w:val="20"/>
                <w:szCs w:val="20"/>
                <w:color w:val="auto"/>
              </w:rPr>
            </w:pPr>
            <w:r>
              <w:rPr>
                <w:rFonts w:ascii="Times New Roman" w:cs="Times New Roman" w:eastAsia="Times New Roman" w:hAnsi="Times New Roman"/>
                <w:sz w:val="20"/>
                <w:szCs w:val="20"/>
                <w:color w:val="auto"/>
                <w:w w:val="99"/>
              </w:rPr>
              <w:t>beneficial owner of more than five percent of the class of securities, check the following</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vMerge w:val="restart"/>
          </w:tcPr>
          <w:p>
            <w:pPr>
              <w:ind w:left="10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3"/>
                <w:szCs w:val="23"/>
                <w:color w:val="auto"/>
              </w:rPr>
            </w:pPr>
          </w:p>
        </w:tc>
        <w:tc>
          <w:tcPr>
            <w:tcW w:w="7560" w:type="dxa"/>
            <w:vAlign w:val="bottom"/>
            <w:gridSpan w:val="6"/>
            <w:vMerge w:val="restart"/>
          </w:tcPr>
          <w:p>
            <w:pPr>
              <w:ind w:left="500"/>
              <w:spacing w:after="0"/>
              <w:rPr>
                <w:sz w:val="20"/>
                <w:szCs w:val="20"/>
                <w:color w:val="auto"/>
              </w:rPr>
            </w:pPr>
            <w:r>
              <w:rPr>
                <w:rFonts w:ascii="Times New Roman" w:cs="Times New Roman" w:eastAsia="Times New Roman" w:hAnsi="Times New Roman"/>
                <w:sz w:val="20"/>
                <w:szCs w:val="20"/>
                <w:i w:val="1"/>
                <w:iCs w:val="1"/>
                <w:color w:val="auto"/>
              </w:rPr>
              <w:t xml:space="preserve">Instruction: </w:t>
            </w:r>
            <w:r>
              <w:rPr>
                <w:rFonts w:ascii="Times New Roman" w:cs="Times New Roman" w:eastAsia="Times New Roman" w:hAnsi="Times New Roman"/>
                <w:sz w:val="20"/>
                <w:szCs w:val="20"/>
                <w:color w:val="auto"/>
              </w:rPr>
              <w:t>Dissolution of a group requires a response to this item.</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7560" w:type="dxa"/>
            <w:vAlign w:val="bottom"/>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6.</w:t>
            </w:r>
          </w:p>
        </w:tc>
        <w:tc>
          <w:tcPr>
            <w:tcW w:w="9660" w:type="dxa"/>
            <w:vAlign w:val="bottom"/>
            <w:gridSpan w:val="10"/>
          </w:tcPr>
          <w:p>
            <w:pPr>
              <w:ind w:left="500"/>
              <w:spacing w:after="0"/>
              <w:rPr>
                <w:sz w:val="20"/>
                <w:szCs w:val="20"/>
                <w:color w:val="auto"/>
              </w:rPr>
            </w:pPr>
            <w:r>
              <w:rPr>
                <w:rFonts w:ascii="Times New Roman" w:cs="Times New Roman" w:eastAsia="Times New Roman" w:hAnsi="Times New Roman"/>
                <w:sz w:val="20"/>
                <w:szCs w:val="20"/>
                <w:b w:val="1"/>
                <w:bCs w:val="1"/>
                <w:color w:val="auto"/>
              </w:rPr>
              <w:t>OWNERSHIP OF MORE THAN FIVE PERCENT ON BEHALF OF ANOTHER PERSON</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2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NOT APPLICABLE</w:t>
            </w: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7.</w:t>
            </w:r>
          </w:p>
        </w:tc>
        <w:tc>
          <w:tcPr>
            <w:tcW w:w="224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IDENTIFICATION</w:t>
            </w:r>
          </w:p>
        </w:tc>
        <w:tc>
          <w:tcPr>
            <w:tcW w:w="28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AND  CLASSIFICATION  OF</w:t>
            </w:r>
          </w:p>
        </w:tc>
        <w:tc>
          <w:tcPr>
            <w:tcW w:w="4540" w:type="dxa"/>
            <w:vAlign w:val="bottom"/>
            <w:gridSpan w:val="8"/>
          </w:tcPr>
          <w:p>
            <w:pPr>
              <w:ind w:left="60"/>
              <w:spacing w:after="0"/>
              <w:rPr>
                <w:sz w:val="20"/>
                <w:szCs w:val="20"/>
                <w:color w:val="auto"/>
              </w:rPr>
            </w:pPr>
            <w:r>
              <w:rPr>
                <w:rFonts w:ascii="Times New Roman" w:cs="Times New Roman" w:eastAsia="Times New Roman" w:hAnsi="Times New Roman"/>
                <w:sz w:val="20"/>
                <w:szCs w:val="20"/>
                <w:b w:val="1"/>
                <w:bCs w:val="1"/>
                <w:color w:val="auto"/>
              </w:rPr>
              <w:t>THE  SUBSIDIARY  WHICH  ACQUIRED  THE</w:t>
            </w:r>
          </w:p>
        </w:tc>
        <w:tc>
          <w:tcPr>
            <w:tcW w:w="0" w:type="dxa"/>
            <w:vAlign w:val="bottom"/>
          </w:tcPr>
          <w:p>
            <w:pPr>
              <w:spacing w:after="0"/>
              <w:rPr>
                <w:sz w:val="1"/>
                <w:szCs w:val="1"/>
                <w:color w:val="auto"/>
              </w:rPr>
            </w:pPr>
          </w:p>
        </w:tc>
      </w:tr>
      <w:tr>
        <w:trPr>
          <w:trHeight w:val="262"/>
        </w:trPr>
        <w:tc>
          <w:tcPr>
            <w:tcW w:w="1160" w:type="dxa"/>
            <w:vAlign w:val="bottom"/>
          </w:tcPr>
          <w:p>
            <w:pPr>
              <w:spacing w:after="0"/>
              <w:rPr>
                <w:sz w:val="22"/>
                <w:szCs w:val="22"/>
                <w:color w:val="auto"/>
              </w:rPr>
            </w:pPr>
          </w:p>
        </w:tc>
        <w:tc>
          <w:tcPr>
            <w:tcW w:w="9660" w:type="dxa"/>
            <w:vAlign w:val="bottom"/>
            <w:gridSpan w:val="10"/>
          </w:tcPr>
          <w:p>
            <w:pPr>
              <w:ind w:left="500"/>
              <w:spacing w:after="0"/>
              <w:rPr>
                <w:sz w:val="20"/>
                <w:szCs w:val="20"/>
                <w:color w:val="auto"/>
              </w:rPr>
            </w:pPr>
            <w:r>
              <w:rPr>
                <w:rFonts w:ascii="Times New Roman" w:cs="Times New Roman" w:eastAsia="Times New Roman" w:hAnsi="Times New Roman"/>
                <w:sz w:val="20"/>
                <w:szCs w:val="20"/>
                <w:b w:val="1"/>
                <w:bCs w:val="1"/>
                <w:color w:val="auto"/>
                <w:w w:val="98"/>
              </w:rPr>
              <w:t>SECURITY BEING REPORTED ON BY THE PARENT HOLDING COMPANY OR CONTROL PERSON</w:t>
            </w: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9660" w:type="dxa"/>
            <w:vAlign w:val="bottom"/>
            <w:gridSpan w:val="10"/>
          </w:tcPr>
          <w:p>
            <w:pPr>
              <w:ind w:left="500"/>
              <w:spacing w:after="0"/>
              <w:rPr>
                <w:sz w:val="20"/>
                <w:szCs w:val="20"/>
                <w:color w:val="auto"/>
              </w:rPr>
            </w:pPr>
            <w:r>
              <w:rPr>
                <w:rFonts w:ascii="Times New Roman" w:cs="Times New Roman" w:eastAsia="Times New Roman" w:hAnsi="Times New Roman"/>
                <w:sz w:val="20"/>
                <w:szCs w:val="20"/>
                <w:color w:val="auto"/>
              </w:rPr>
              <w:t>SSGA FUNDS MANAGEMENT, INC. (IA) STATE STREET GLOBAL ADVISORS (JAPAN) CO., LTD. (IA)</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9660" w:type="dxa"/>
            <w:vAlign w:val="bottom"/>
            <w:gridSpan w:val="10"/>
          </w:tcPr>
          <w:p>
            <w:pPr>
              <w:ind w:left="500"/>
              <w:spacing w:after="0"/>
              <w:rPr>
                <w:sz w:val="20"/>
                <w:szCs w:val="20"/>
                <w:color w:val="auto"/>
              </w:rPr>
            </w:pPr>
            <w:r>
              <w:rPr>
                <w:rFonts w:ascii="Times New Roman" w:cs="Times New Roman" w:eastAsia="Times New Roman" w:hAnsi="Times New Roman"/>
                <w:sz w:val="20"/>
                <w:szCs w:val="20"/>
                <w:color w:val="auto"/>
                <w:w w:val="98"/>
              </w:rPr>
              <w:t>STATE STREET GLOBAL ADVISORS ASIA LIMITED (IA) STATE STREET GLOBAL ADVISORS EUROPE</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9660" w:type="dxa"/>
            <w:vAlign w:val="bottom"/>
            <w:gridSpan w:val="10"/>
          </w:tcPr>
          <w:p>
            <w:pPr>
              <w:ind w:left="500"/>
              <w:spacing w:after="0"/>
              <w:rPr>
                <w:sz w:val="20"/>
                <w:szCs w:val="20"/>
                <w:color w:val="auto"/>
              </w:rPr>
            </w:pPr>
            <w:r>
              <w:rPr>
                <w:rFonts w:ascii="Times New Roman" w:cs="Times New Roman" w:eastAsia="Times New Roman" w:hAnsi="Times New Roman"/>
                <w:sz w:val="20"/>
                <w:szCs w:val="20"/>
                <w:color w:val="auto"/>
                <w:w w:val="99"/>
              </w:rPr>
              <w:t>LIMITED (IA) STATE STREET GLOBAL ADVISORS LIMITED (IA) STATE STREET GLOBAL ADVISORS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9660" w:type="dxa"/>
            <w:vAlign w:val="bottom"/>
            <w:gridSpan w:val="10"/>
          </w:tcPr>
          <w:p>
            <w:pPr>
              <w:ind w:left="500"/>
              <w:spacing w:after="0"/>
              <w:rPr>
                <w:sz w:val="20"/>
                <w:szCs w:val="20"/>
                <w:color w:val="auto"/>
              </w:rPr>
            </w:pPr>
            <w:r>
              <w:rPr>
                <w:rFonts w:ascii="Times New Roman" w:cs="Times New Roman" w:eastAsia="Times New Roman" w:hAnsi="Times New Roman"/>
                <w:sz w:val="20"/>
                <w:szCs w:val="20"/>
                <w:color w:val="auto"/>
              </w:rPr>
              <w:t>TRUST COMPANY (IA) STATE STREET GLOBAL ADVISORS, AUSTRALIA, LIMITED (IA) STATE</w:t>
            </w: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2"/>
                <w:szCs w:val="22"/>
                <w:color w:val="auto"/>
              </w:rPr>
            </w:pPr>
          </w:p>
        </w:tc>
        <w:tc>
          <w:tcPr>
            <w:tcW w:w="5120" w:type="dxa"/>
            <w:vAlign w:val="bottom"/>
            <w:gridSpan w:val="2"/>
          </w:tcPr>
          <w:p>
            <w:pPr>
              <w:ind w:left="500"/>
              <w:spacing w:after="0"/>
              <w:rPr>
                <w:sz w:val="20"/>
                <w:szCs w:val="20"/>
                <w:color w:val="auto"/>
              </w:rPr>
            </w:pPr>
            <w:r>
              <w:rPr>
                <w:rFonts w:ascii="Times New Roman" w:cs="Times New Roman" w:eastAsia="Times New Roman" w:hAnsi="Times New Roman"/>
                <w:sz w:val="20"/>
                <w:szCs w:val="20"/>
                <w:color w:val="auto"/>
              </w:rPr>
              <w:t>STREET GLOBAL ADVISORS, LTD. (IA)</w:t>
            </w: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w:t>
            </w:r>
          </w:p>
        </w:tc>
        <w:tc>
          <w:tcPr>
            <w:tcW w:w="7560" w:type="dxa"/>
            <w:vAlign w:val="bottom"/>
            <w:gridSpan w:val="6"/>
          </w:tcPr>
          <w:p>
            <w:pPr>
              <w:ind w:left="500"/>
              <w:spacing w:after="0"/>
              <w:rPr>
                <w:sz w:val="20"/>
                <w:szCs w:val="20"/>
                <w:color w:val="auto"/>
              </w:rPr>
            </w:pPr>
            <w:r>
              <w:rPr>
                <w:rFonts w:ascii="Times New Roman" w:cs="Times New Roman" w:eastAsia="Times New Roman" w:hAnsi="Times New Roman"/>
                <w:sz w:val="20"/>
                <w:szCs w:val="20"/>
                <w:b w:val="1"/>
                <w:bCs w:val="1"/>
                <w:color w:val="auto"/>
              </w:rPr>
              <w:t>IDENTIFICATION AND CLASSIFICATION OF MEMBERS OF THE GROUP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2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NOT APPLICABLE</w:t>
            </w: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9.</w:t>
            </w:r>
          </w:p>
        </w:tc>
        <w:tc>
          <w:tcPr>
            <w:tcW w:w="5120" w:type="dxa"/>
            <w:vAlign w:val="bottom"/>
            <w:gridSpan w:val="2"/>
          </w:tcPr>
          <w:p>
            <w:pPr>
              <w:ind w:left="500"/>
              <w:spacing w:after="0"/>
              <w:rPr>
                <w:sz w:val="20"/>
                <w:szCs w:val="20"/>
                <w:color w:val="auto"/>
              </w:rPr>
            </w:pPr>
            <w:r>
              <w:rPr>
                <w:rFonts w:ascii="Times New Roman" w:cs="Times New Roman" w:eastAsia="Times New Roman" w:hAnsi="Times New Roman"/>
                <w:sz w:val="20"/>
                <w:szCs w:val="20"/>
                <w:b w:val="1"/>
                <w:bCs w:val="1"/>
                <w:color w:val="auto"/>
              </w:rPr>
              <w:t>NOTICE OF DISSOLUTION OF GROUP</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2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NOT APPLICABLE</w:t>
            </w: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10.</w:t>
            </w:r>
          </w:p>
        </w:tc>
        <w:tc>
          <w:tcPr>
            <w:tcW w:w="224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CERTIFICATION</w:t>
            </w:r>
          </w:p>
        </w:tc>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9660" w:type="dxa"/>
            <w:vAlign w:val="bottom"/>
            <w:gridSpan w:val="10"/>
          </w:tcPr>
          <w:p>
            <w:pPr>
              <w:ind w:left="500"/>
              <w:spacing w:after="0"/>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w:t>
            </w: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2"/>
                <w:szCs w:val="22"/>
                <w:color w:val="auto"/>
              </w:rPr>
            </w:pPr>
          </w:p>
        </w:tc>
        <w:tc>
          <w:tcPr>
            <w:tcW w:w="9660" w:type="dxa"/>
            <w:vAlign w:val="bottom"/>
            <w:gridSpan w:val="10"/>
          </w:tcPr>
          <w:p>
            <w:pPr>
              <w:ind w:left="500"/>
              <w:spacing w:after="0"/>
              <w:rPr>
                <w:sz w:val="20"/>
                <w:szCs w:val="20"/>
                <w:color w:val="auto"/>
              </w:rPr>
            </w:pPr>
            <w:r>
              <w:rPr>
                <w:rFonts w:ascii="Times New Roman" w:cs="Times New Roman" w:eastAsia="Times New Roman" w:hAnsi="Times New Roman"/>
                <w:sz w:val="20"/>
                <w:szCs w:val="20"/>
                <w:color w:val="auto"/>
              </w:rPr>
              <w:t>acquired and are held in the ordinary course of business and were not acquired and are not held for the purpose of</w:t>
            </w:r>
          </w:p>
        </w:tc>
        <w:tc>
          <w:tcPr>
            <w:tcW w:w="0" w:type="dxa"/>
            <w:vAlign w:val="bottom"/>
          </w:tcPr>
          <w:p>
            <w:pPr>
              <w:spacing w:after="0"/>
              <w:rPr>
                <w:sz w:val="1"/>
                <w:szCs w:val="1"/>
                <w:color w:val="auto"/>
              </w:rPr>
            </w:pPr>
          </w:p>
        </w:tc>
      </w:tr>
    </w:tbl>
    <w:p>
      <w:pPr>
        <w:sectPr>
          <w:pgSz w:w="11900" w:h="16838" w:orient="portrait"/>
          <w:cols w:equalWidth="0" w:num="1">
            <w:col w:w="11020"/>
          </w:cols>
          <w:pgMar w:left="440" w:top="459" w:right="439" w:bottom="0" w:gutter="0" w:footer="0" w:header="0"/>
          <w:type w:val="continuous"/>
        </w:sectPr>
      </w:pPr>
    </w:p>
    <w:bookmarkStart w:id="4" w:name="page5"/>
    <w:bookmarkEnd w:id="4"/>
    <w:p>
      <w:pPr>
        <w:ind w:left="760"/>
        <w:spacing w:after="0" w:line="253" w:lineRule="auto"/>
        <w:rPr>
          <w:sz w:val="20"/>
          <w:szCs w:val="20"/>
          <w:color w:val="auto"/>
        </w:rPr>
      </w:pPr>
      <w:r>
        <w:rPr>
          <w:rFonts w:ascii="Times New Roman" w:cs="Times New Roman" w:eastAsia="Times New Roman" w:hAnsi="Times New Roman"/>
          <w:sz w:val="20"/>
          <w:szCs w:val="20"/>
          <w:color w:val="auto"/>
        </w:rPr>
        <w:t>or with the effect of changing or influencing the control of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9820"/>
          </w:cols>
          <w:pgMar w:left="1440" w:top="118" w:right="639" w:bottom="1440" w:gutter="0" w:footer="0" w:header="0"/>
        </w:sectPr>
      </w:pPr>
    </w:p>
    <w:bookmarkStart w:id="5" w:name="page6"/>
    <w:bookmarkEnd w:id="5"/>
    <w:p>
      <w:pPr>
        <w:spacing w:after="0"/>
        <w:tabs>
          <w:tab w:leader="none" w:pos="5300" w:val="left"/>
          <w:tab w:leader="none" w:pos="9400" w:val="left"/>
        </w:tabs>
        <w:rPr>
          <w:sz w:val="20"/>
          <w:szCs w:val="20"/>
          <w:color w:val="auto"/>
        </w:rPr>
      </w:pPr>
      <w:r>
        <w:rPr>
          <w:rFonts w:ascii="Times New Roman" w:cs="Times New Roman" w:eastAsia="Times New Roman" w:hAnsi="Times New Roman"/>
          <w:sz w:val="22"/>
          <w:szCs w:val="22"/>
          <w:b w:val="1"/>
          <w:bCs w:val="1"/>
          <w:color w:val="auto"/>
        </w:rPr>
        <w:t>313745101</w:t>
      </w:r>
      <w:r>
        <w:rPr>
          <w:sz w:val="20"/>
          <w:szCs w:val="20"/>
          <w:color w:val="auto"/>
        </w:rPr>
        <w:tab/>
      </w:r>
      <w:r>
        <w:rPr>
          <w:rFonts w:ascii="Times New Roman" w:cs="Times New Roman" w:eastAsia="Times New Roman" w:hAnsi="Times New Roman"/>
          <w:sz w:val="22"/>
          <w:szCs w:val="22"/>
          <w:b w:val="1"/>
          <w:bCs w:val="1"/>
          <w:color w:val="auto"/>
        </w:rPr>
        <w:t>13G</w:t>
      </w:r>
      <w:r>
        <w:rPr>
          <w:sz w:val="20"/>
          <w:szCs w:val="20"/>
          <w:color w:val="auto"/>
        </w:rPr>
        <w:tab/>
      </w:r>
      <w:r>
        <w:rPr>
          <w:rFonts w:ascii="Times New Roman" w:cs="Times New Roman" w:eastAsia="Times New Roman" w:hAnsi="Times New Roman"/>
          <w:sz w:val="21"/>
          <w:szCs w:val="21"/>
          <w:b w:val="1"/>
          <w:bCs w:val="1"/>
          <w:color w:val="auto"/>
        </w:rPr>
        <w:t>Page 5 of 5 Pages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0"/>
          <w:szCs w:val="20"/>
          <w:color w:val="auto"/>
        </w:rPr>
        <w:t>After reasonable inquiry and to the best of its knowledge and belief, the undersigned certifies that the information set forth in this statement is true, complete and correct.</w:t>
      </w:r>
    </w:p>
    <w:p>
      <w:pPr>
        <w:spacing w:after="0" w:line="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0"/>
          <w:szCs w:val="20"/>
          <w:color w:val="auto"/>
        </w:rPr>
        <w:t>DATE: October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0"/>
          <w:szCs w:val="20"/>
          <w:color w:val="auto"/>
        </w:rPr>
        <w:t>ELIZABETH SCHAEFER, SENIOR VICE</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0"/>
          <w:szCs w:val="20"/>
          <w:color w:val="auto"/>
        </w:rPr>
        <w:t>PRESIDENT, CHIEF ACCOUNTING</w:t>
      </w:r>
    </w:p>
    <w:p>
      <w:pPr>
        <w:ind w:left="7280"/>
        <w:spacing w:after="0"/>
        <w:rPr>
          <w:sz w:val="20"/>
          <w:szCs w:val="20"/>
          <w:color w:val="auto"/>
        </w:rPr>
      </w:pPr>
      <w:r>
        <w:rPr>
          <w:rFonts w:ascii="Times New Roman" w:cs="Times New Roman" w:eastAsia="Times New Roman" w:hAnsi="Times New Roman"/>
          <w:sz w:val="20"/>
          <w:szCs w:val="20"/>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NOTE: Schedules filed in paper format shall include a signed original and five copies of the schedule, including all exhibits. See §240.13d-7 for other parties for whom copies are to be sent.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Attention: Intentional misstatements or omissions of fact constitute Federal criminal violations (See 18 U.S.C. 1001)</w:t>
      </w:r>
    </w:p>
    <w:sectPr>
      <w:pgSz w:w="11900" w:h="16838" w:orient="portrait"/>
      <w:cols w:equalWidth="0" w:num="1">
        <w:col w:w="11020"/>
      </w:cols>
      <w:pgMar w:left="4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ý"/>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2024-10-16T09:15:21Z</dcterms:created>
  <dcterms:modified xsi:type="dcterms:W3CDTF">2024-10-16T09:15:21Z</dcterms:modified>
</cp:coreProperties>
</file>