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Washington, D.C. 20549</w:t>
      </w:r>
    </w:p>
    <w:p>
      <w:pPr>
        <w:spacing w:after="0" w:line="20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Schedule 13G</w:t>
      </w:r>
    </w:p>
    <w:p>
      <w:pPr>
        <w:spacing w:after="0" w:line="2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Under the Securities Exchange Act of 1934</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(Amendment No.:3 )*</w:t>
      </w:r>
    </w:p>
    <w:p>
      <w:pPr>
        <w:spacing w:after="0" w:line="200" w:lineRule="exact"/>
        <w:rPr>
          <w:sz w:val="24"/>
          <w:szCs w:val="24"/>
          <w:color w:val="auto"/>
        </w:rPr>
      </w:pP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8"/>
          <w:szCs w:val="18"/>
          <w:color w:val="auto"/>
        </w:rPr>
        <w:t>Name of issuer: Federal Realty Investment Trust</w:t>
      </w:r>
    </w:p>
    <w:p>
      <w:pPr>
        <w:spacing w:after="0" w:line="200" w:lineRule="exact"/>
        <w:rPr>
          <w:sz w:val="24"/>
          <w:szCs w:val="24"/>
          <w:color w:val="auto"/>
        </w:rPr>
      </w:pPr>
    </w:p>
    <w:p>
      <w:pPr>
        <w:spacing w:after="0" w:line="238" w:lineRule="exact"/>
        <w:rPr>
          <w:sz w:val="24"/>
          <w:szCs w:val="24"/>
          <w:color w:val="auto"/>
        </w:rPr>
      </w:pPr>
    </w:p>
    <w:p>
      <w:pPr>
        <w:spacing w:after="0"/>
        <w:rPr>
          <w:sz w:val="20"/>
          <w:szCs w:val="20"/>
          <w:color w:val="auto"/>
        </w:rPr>
      </w:pPr>
      <w:r>
        <w:rPr>
          <w:rFonts w:ascii="Arial" w:cs="Arial" w:eastAsia="Arial" w:hAnsi="Arial"/>
          <w:sz w:val="18"/>
          <w:szCs w:val="18"/>
          <w:color w:val="auto"/>
        </w:rPr>
        <w:t>Title of Class of Securities: REIT</w:t>
      </w:r>
    </w:p>
    <w:p>
      <w:pPr>
        <w:spacing w:after="0" w:line="200" w:lineRule="exact"/>
        <w:rPr>
          <w:sz w:val="24"/>
          <w:szCs w:val="24"/>
          <w:color w:val="auto"/>
        </w:rPr>
      </w:pPr>
    </w:p>
    <w:p>
      <w:pPr>
        <w:spacing w:after="0" w:line="238" w:lineRule="exact"/>
        <w:rPr>
          <w:sz w:val="24"/>
          <w:szCs w:val="24"/>
          <w:color w:val="auto"/>
        </w:rPr>
      </w:pPr>
    </w:p>
    <w:p>
      <w:pPr>
        <w:spacing w:after="0"/>
        <w:rPr>
          <w:sz w:val="20"/>
          <w:szCs w:val="20"/>
          <w:color w:val="auto"/>
        </w:rPr>
      </w:pPr>
      <w:r>
        <w:rPr>
          <w:rFonts w:ascii="Arial" w:cs="Arial" w:eastAsia="Arial" w:hAnsi="Arial"/>
          <w:sz w:val="18"/>
          <w:szCs w:val="18"/>
          <w:color w:val="auto"/>
        </w:rPr>
        <w:t>CUSIP Number: 313747206</w:t>
      </w:r>
    </w:p>
    <w:p>
      <w:pPr>
        <w:spacing w:after="0" w:line="200" w:lineRule="exact"/>
        <w:rPr>
          <w:sz w:val="24"/>
          <w:szCs w:val="24"/>
          <w:color w:val="auto"/>
        </w:rPr>
      </w:pPr>
    </w:p>
    <w:p>
      <w:pPr>
        <w:spacing w:after="0" w:line="234"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Date of Event Which Requires Filing of this Statement: </w:t>
      </w:r>
      <w:r>
        <w:rPr>
          <w:rFonts w:ascii="Arial" w:cs="Arial" w:eastAsia="Arial" w:hAnsi="Arial"/>
          <w:sz w:val="18"/>
          <w:szCs w:val="18"/>
          <w:b w:val="1"/>
          <w:bCs w:val="1"/>
          <w:color w:val="auto"/>
        </w:rPr>
        <w:t>December 31, 2012</w:t>
      </w:r>
    </w:p>
    <w:p>
      <w:pPr>
        <w:spacing w:after="0" w:line="227"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3" w:lineRule="exact"/>
        <w:rPr>
          <w:sz w:val="24"/>
          <w:szCs w:val="24"/>
          <w:color w:val="auto"/>
        </w:rPr>
      </w:pPr>
    </w:p>
    <w:p>
      <w:pPr>
        <w:jc w:val="both"/>
        <w:ind w:left="100" w:right="10020" w:hanging="3"/>
        <w:spacing w:after="0" w:line="300" w:lineRule="auto"/>
        <w:tabs>
          <w:tab w:leader="none" w:pos="393" w:val="left"/>
        </w:tabs>
        <w:numPr>
          <w:ilvl w:val="0"/>
          <w:numId w:val="1"/>
        </w:numPr>
        <w:rPr>
          <w:rFonts w:ascii="Arial" w:cs="Arial" w:eastAsia="Arial" w:hAnsi="Arial"/>
          <w:sz w:val="16"/>
          <w:szCs w:val="16"/>
          <w:color w:val="auto"/>
        </w:rPr>
      </w:pPr>
      <w:r>
        <w:rPr>
          <w:rFonts w:ascii="Arial" w:cs="Arial" w:eastAsia="Arial" w:hAnsi="Arial"/>
          <w:sz w:val="16"/>
          <w:szCs w:val="16"/>
          <w:color w:val="auto"/>
        </w:rPr>
        <w:t>Rule 13d-1(b) ( ) Rule 13d-1(c) ( ) Rule 13d-1(d)</w:t>
      </w:r>
    </w:p>
    <w:p>
      <w:pPr>
        <w:spacing w:after="0" w:line="156" w:lineRule="exact"/>
        <w:rPr>
          <w:sz w:val="24"/>
          <w:szCs w:val="24"/>
          <w:color w:val="auto"/>
        </w:rPr>
      </w:pPr>
    </w:p>
    <w:p>
      <w:pPr>
        <w:ind w:right="220" w:firstLine="90"/>
        <w:spacing w:after="0" w:line="275"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1" w:lineRule="exact"/>
        <w:rPr>
          <w:sz w:val="24"/>
          <w:szCs w:val="24"/>
          <w:color w:val="auto"/>
        </w:rPr>
      </w:pPr>
    </w:p>
    <w:p>
      <w:pPr>
        <w:ind w:firstLine="86"/>
        <w:spacing w:after="0" w:line="340"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39" w:lineRule="exact"/>
        <w:rPr>
          <w:sz w:val="24"/>
          <w:szCs w:val="24"/>
          <w:color w:val="auto"/>
        </w:rPr>
      </w:pPr>
    </w:p>
    <w:p>
      <w:pPr>
        <w:spacing w:after="0"/>
        <w:rPr>
          <w:sz w:val="20"/>
          <w:szCs w:val="20"/>
          <w:color w:val="auto"/>
        </w:rPr>
      </w:pPr>
      <w:r>
        <w:rPr>
          <w:rFonts w:ascii="Arial" w:cs="Arial" w:eastAsia="Arial" w:hAnsi="Arial"/>
          <w:sz w:val="18"/>
          <w:szCs w:val="18"/>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353695</wp:posOffset>
            </wp:positionV>
            <wp:extent cx="7268210" cy="209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ectPr>
          <w:pgSz w:w="11900" w:h="16838" w:orient="portrait"/>
          <w:cols w:equalWidth="0" w:num="1">
            <w:col w:w="11420"/>
          </w:cols>
          <w:pgMar w:left="240" w:top="448" w:right="239" w:bottom="1440" w:gutter="0" w:footer="0" w:header="0"/>
        </w:sectPr>
      </w:pPr>
    </w:p>
    <w:bookmarkStart w:id="1" w:name="page2"/>
    <w:bookmarkEnd w:id="1"/>
    <w:p>
      <w:pPr>
        <w:ind w:left="5560"/>
        <w:spacing w:after="0"/>
        <w:rPr>
          <w:sz w:val="20"/>
          <w:szCs w:val="20"/>
          <w:color w:val="auto"/>
        </w:rPr>
      </w:pPr>
      <w:r>
        <w:rPr>
          <w:rFonts w:ascii="Arial" w:cs="Arial" w:eastAsia="Arial" w:hAnsi="Arial"/>
          <w:sz w:val="18"/>
          <w:szCs w:val="18"/>
          <w:color w:val="auto"/>
        </w:rPr>
        <w:t>13G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CUSIP No.: 313747206</w:t>
      </w:r>
    </w:p>
    <w:p>
      <w:pPr>
        <w:spacing w:after="0" w:line="200" w:lineRule="exact"/>
        <w:rPr>
          <w:sz w:val="20"/>
          <w:szCs w:val="20"/>
          <w:color w:val="auto"/>
        </w:rPr>
      </w:pPr>
    </w:p>
    <w:p>
      <w:pPr>
        <w:spacing w:after="0" w:line="224" w:lineRule="exact"/>
        <w:rPr>
          <w:sz w:val="20"/>
          <w:szCs w:val="20"/>
          <w:color w:val="auto"/>
        </w:rPr>
      </w:pPr>
    </w:p>
    <w:p>
      <w:pPr>
        <w:ind w:left="240" w:hanging="232"/>
        <w:spacing w:after="0"/>
        <w:tabs>
          <w:tab w:leader="none" w:pos="240" w:val="left"/>
        </w:tabs>
        <w:numPr>
          <w:ilvl w:val="0"/>
          <w:numId w:val="2"/>
        </w:numPr>
        <w:rPr>
          <w:rFonts w:ascii="Arial" w:cs="Arial" w:eastAsia="Arial" w:hAnsi="Arial"/>
          <w:sz w:val="18"/>
          <w:szCs w:val="18"/>
          <w:color w:val="auto"/>
        </w:rPr>
      </w:pPr>
      <w:r>
        <w:rPr>
          <w:rFonts w:ascii="Arial" w:cs="Arial" w:eastAsia="Arial" w:hAnsi="Arial"/>
          <w:sz w:val="18"/>
          <w:szCs w:val="18"/>
          <w:color w:val="auto"/>
        </w:rPr>
        <w:t>NAME OF REPORTING PERSON</w:t>
      </w:r>
    </w:p>
    <w:p>
      <w:pPr>
        <w:spacing w:after="0" w:line="22" w:lineRule="exact"/>
        <w:rPr>
          <w:rFonts w:ascii="Arial" w:cs="Arial" w:eastAsia="Arial" w:hAnsi="Arial"/>
          <w:sz w:val="18"/>
          <w:szCs w:val="18"/>
          <w:color w:val="auto"/>
        </w:rPr>
      </w:pPr>
    </w:p>
    <w:p>
      <w:pPr>
        <w:ind w:left="100"/>
        <w:spacing w:after="0"/>
        <w:rPr>
          <w:rFonts w:ascii="Arial" w:cs="Arial" w:eastAsia="Arial" w:hAnsi="Arial"/>
          <w:sz w:val="18"/>
          <w:szCs w:val="18"/>
          <w:color w:val="auto"/>
        </w:rPr>
      </w:pPr>
      <w:r>
        <w:rPr>
          <w:rFonts w:ascii="Arial" w:cs="Arial" w:eastAsia="Arial" w:hAnsi="Arial"/>
          <w:sz w:val="18"/>
          <w:szCs w:val="18"/>
          <w:color w:val="auto"/>
        </w:rPr>
        <w:t>S.S. OR I.R.S. IDENTIFICATION NO. OF ABOVE PERSON</w:t>
      </w:r>
    </w:p>
    <w:p>
      <w:pPr>
        <w:spacing w:after="0" w:line="20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VANGUARD SPECIALIZED FUNDS - VANGUARD REIT INDEX FUND - 23-2834924</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80" w:type="dxa"/>
            <w:vAlign w:val="bottom"/>
          </w:tcPr>
          <w:p>
            <w:pPr>
              <w:jc w:val="right"/>
              <w:spacing w:after="0"/>
              <w:rPr>
                <w:sz w:val="20"/>
                <w:szCs w:val="20"/>
                <w:color w:val="auto"/>
              </w:rPr>
            </w:pPr>
            <w:r>
              <w:rPr>
                <w:rFonts w:ascii="Arial" w:cs="Arial" w:eastAsia="Arial" w:hAnsi="Arial"/>
                <w:sz w:val="18"/>
                <w:szCs w:val="18"/>
                <w:color w:val="auto"/>
                <w:w w:val="79"/>
              </w:rPr>
              <w:t>2.</w:t>
            </w:r>
          </w:p>
        </w:tc>
        <w:tc>
          <w:tcPr>
            <w:tcW w:w="5600" w:type="dxa"/>
            <w:vAlign w:val="bottom"/>
          </w:tcPr>
          <w:p>
            <w:pPr>
              <w:ind w:left="60"/>
              <w:spacing w:after="0"/>
              <w:rPr>
                <w:sz w:val="20"/>
                <w:szCs w:val="20"/>
                <w:color w:val="auto"/>
              </w:rPr>
            </w:pPr>
            <w:r>
              <w:rPr>
                <w:rFonts w:ascii="Arial" w:cs="Arial" w:eastAsia="Arial" w:hAnsi="Arial"/>
                <w:sz w:val="18"/>
                <w:szCs w:val="18"/>
                <w:color w:val="auto"/>
              </w:rPr>
              <w:t>CHECK THE APPROPRIATE [LINE] IF A MEMBER OF A GROUP</w:t>
            </w: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390"/>
        </w:trPr>
        <w:tc>
          <w:tcPr>
            <w:tcW w:w="180" w:type="dxa"/>
            <w:vAlign w:val="bottom"/>
          </w:tcPr>
          <w:p>
            <w:pPr>
              <w:spacing w:after="0"/>
              <w:rPr>
                <w:sz w:val="24"/>
                <w:szCs w:val="24"/>
                <w:color w:val="auto"/>
              </w:rPr>
            </w:pPr>
          </w:p>
        </w:tc>
        <w:tc>
          <w:tcPr>
            <w:tcW w:w="5600" w:type="dxa"/>
            <w:vAlign w:val="bottom"/>
          </w:tcPr>
          <w:p>
            <w:pPr>
              <w:ind w:left="1240"/>
              <w:spacing w:after="0"/>
              <w:rPr>
                <w:sz w:val="20"/>
                <w:szCs w:val="20"/>
                <w:color w:val="auto"/>
              </w:rPr>
            </w:pPr>
            <w:r>
              <w:rPr>
                <w:rFonts w:ascii="Arial" w:cs="Arial" w:eastAsia="Arial" w:hAnsi="Arial"/>
                <w:sz w:val="18"/>
                <w:szCs w:val="18"/>
                <w:color w:val="auto"/>
              </w:rPr>
              <w:t>A.</w:t>
            </w:r>
          </w:p>
        </w:tc>
        <w:tc>
          <w:tcPr>
            <w:tcW w:w="860" w:type="dxa"/>
            <w:vAlign w:val="bottom"/>
            <w:gridSpan w:val="2"/>
          </w:tcPr>
          <w:p>
            <w:pPr>
              <w:ind w:left="480"/>
              <w:spacing w:after="0"/>
              <w:rPr>
                <w:sz w:val="20"/>
                <w:szCs w:val="20"/>
                <w:color w:val="auto"/>
              </w:rPr>
            </w:pPr>
            <w:r>
              <w:rPr>
                <w:rFonts w:ascii="Arial" w:cs="Arial" w:eastAsia="Arial" w:hAnsi="Arial"/>
                <w:sz w:val="18"/>
                <w:szCs w:val="18"/>
                <w:color w:val="auto"/>
              </w:rPr>
              <w:t>B. X</w:t>
            </w:r>
          </w:p>
        </w:tc>
      </w:tr>
      <w:tr>
        <w:trPr>
          <w:trHeight w:val="451"/>
        </w:trPr>
        <w:tc>
          <w:tcPr>
            <w:tcW w:w="180" w:type="dxa"/>
            <w:vAlign w:val="bottom"/>
          </w:tcPr>
          <w:p>
            <w:pPr>
              <w:jc w:val="right"/>
              <w:spacing w:after="0"/>
              <w:rPr>
                <w:sz w:val="20"/>
                <w:szCs w:val="20"/>
                <w:color w:val="auto"/>
              </w:rPr>
            </w:pPr>
            <w:r>
              <w:rPr>
                <w:rFonts w:ascii="Arial" w:cs="Arial" w:eastAsia="Arial" w:hAnsi="Arial"/>
                <w:sz w:val="18"/>
                <w:szCs w:val="18"/>
                <w:color w:val="auto"/>
                <w:w w:val="79"/>
              </w:rPr>
              <w:t>3.</w:t>
            </w:r>
          </w:p>
        </w:tc>
        <w:tc>
          <w:tcPr>
            <w:tcW w:w="5600" w:type="dxa"/>
            <w:vAlign w:val="bottom"/>
          </w:tcPr>
          <w:p>
            <w:pPr>
              <w:ind w:left="60"/>
              <w:spacing w:after="0"/>
              <w:rPr>
                <w:sz w:val="20"/>
                <w:szCs w:val="20"/>
                <w:color w:val="auto"/>
              </w:rPr>
            </w:pPr>
            <w:r>
              <w:rPr>
                <w:rFonts w:ascii="Arial" w:cs="Arial" w:eastAsia="Arial" w:hAnsi="Arial"/>
                <w:sz w:val="18"/>
                <w:szCs w:val="18"/>
                <w:color w:val="auto"/>
              </w:rPr>
              <w:t>SEC USE ONLY</w:t>
            </w:r>
          </w:p>
        </w:tc>
        <w:tc>
          <w:tcPr>
            <w:tcW w:w="68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r>
      <w:tr>
        <w:trPr>
          <w:trHeight w:val="860"/>
        </w:trPr>
        <w:tc>
          <w:tcPr>
            <w:tcW w:w="180" w:type="dxa"/>
            <w:vAlign w:val="bottom"/>
          </w:tcPr>
          <w:p>
            <w:pPr>
              <w:jc w:val="right"/>
              <w:spacing w:after="0"/>
              <w:rPr>
                <w:sz w:val="20"/>
                <w:szCs w:val="20"/>
                <w:color w:val="auto"/>
              </w:rPr>
            </w:pPr>
            <w:r>
              <w:rPr>
                <w:rFonts w:ascii="Arial" w:cs="Arial" w:eastAsia="Arial" w:hAnsi="Arial"/>
                <w:sz w:val="18"/>
                <w:szCs w:val="18"/>
                <w:color w:val="auto"/>
                <w:w w:val="79"/>
              </w:rPr>
              <w:t>4.</w:t>
            </w:r>
          </w:p>
        </w:tc>
        <w:tc>
          <w:tcPr>
            <w:tcW w:w="5600" w:type="dxa"/>
            <w:vAlign w:val="bottom"/>
          </w:tcPr>
          <w:p>
            <w:pPr>
              <w:ind w:left="60"/>
              <w:spacing w:after="0"/>
              <w:rPr>
                <w:sz w:val="20"/>
                <w:szCs w:val="20"/>
                <w:color w:val="auto"/>
              </w:rPr>
            </w:pPr>
            <w:r>
              <w:rPr>
                <w:rFonts w:ascii="Arial" w:cs="Arial" w:eastAsia="Arial" w:hAnsi="Arial"/>
                <w:sz w:val="18"/>
                <w:szCs w:val="18"/>
                <w:color w:val="auto"/>
              </w:rPr>
              <w:t>CITIZENSHIP OF PLACE OF ORGANIZATION</w:t>
            </w: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(For questions 5-8, report the number of shares beneficially owned by each reporting person with:)</w:t>
      </w:r>
    </w:p>
    <w:p>
      <w:pPr>
        <w:spacing w:after="0" w:line="246" w:lineRule="exact"/>
        <w:rPr>
          <w:sz w:val="20"/>
          <w:szCs w:val="20"/>
          <w:color w:val="auto"/>
        </w:rPr>
      </w:pPr>
    </w:p>
    <w:p>
      <w:pPr>
        <w:ind w:left="100" w:right="8139" w:hanging="92"/>
        <w:spacing w:after="0" w:line="498" w:lineRule="auto"/>
        <w:tabs>
          <w:tab w:leader="none" w:pos="234" w:val="left"/>
        </w:tabs>
        <w:numPr>
          <w:ilvl w:val="0"/>
          <w:numId w:val="3"/>
        </w:numPr>
        <w:rPr>
          <w:rFonts w:ascii="Arial" w:cs="Arial" w:eastAsia="Arial" w:hAnsi="Arial"/>
          <w:sz w:val="18"/>
          <w:szCs w:val="18"/>
          <w:color w:val="auto"/>
        </w:rPr>
      </w:pPr>
      <w:r>
        <w:rPr>
          <w:rFonts w:ascii="Arial" w:cs="Arial" w:eastAsia="Arial" w:hAnsi="Arial"/>
          <w:sz w:val="18"/>
          <w:szCs w:val="18"/>
          <w:color w:val="auto"/>
        </w:rPr>
        <w:t>SOLE VOTING POWER 4,244,034</w:t>
      </w:r>
    </w:p>
    <w:p>
      <w:pPr>
        <w:spacing w:after="0" w:line="1" w:lineRule="exact"/>
        <w:rPr>
          <w:rFonts w:ascii="Arial" w:cs="Arial" w:eastAsia="Arial" w:hAnsi="Arial"/>
          <w:sz w:val="18"/>
          <w:szCs w:val="18"/>
          <w:color w:val="auto"/>
        </w:rPr>
      </w:pPr>
    </w:p>
    <w:p>
      <w:pPr>
        <w:ind w:left="240" w:hanging="232"/>
        <w:spacing w:after="0"/>
        <w:tabs>
          <w:tab w:leader="none" w:pos="240" w:val="left"/>
        </w:tabs>
        <w:numPr>
          <w:ilvl w:val="0"/>
          <w:numId w:val="3"/>
        </w:numPr>
        <w:rPr>
          <w:rFonts w:ascii="Arial" w:cs="Arial" w:eastAsia="Arial" w:hAnsi="Arial"/>
          <w:sz w:val="18"/>
          <w:szCs w:val="18"/>
          <w:color w:val="auto"/>
        </w:rPr>
      </w:pPr>
      <w:r>
        <w:rPr>
          <w:rFonts w:ascii="Arial" w:cs="Arial" w:eastAsia="Arial" w:hAnsi="Arial"/>
          <w:sz w:val="18"/>
          <w:szCs w:val="18"/>
          <w:color w:val="auto"/>
        </w:rPr>
        <w:t>SHARED VOTING POWER</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3" w:lineRule="exact"/>
        <w:rPr>
          <w:rFonts w:ascii="Arial" w:cs="Arial" w:eastAsia="Arial" w:hAnsi="Arial"/>
          <w:sz w:val="18"/>
          <w:szCs w:val="18"/>
          <w:color w:val="auto"/>
        </w:rPr>
      </w:pPr>
    </w:p>
    <w:p>
      <w:pPr>
        <w:ind w:left="240" w:hanging="232"/>
        <w:spacing w:after="0"/>
        <w:tabs>
          <w:tab w:leader="none" w:pos="240" w:val="left"/>
        </w:tabs>
        <w:numPr>
          <w:ilvl w:val="0"/>
          <w:numId w:val="3"/>
        </w:numPr>
        <w:rPr>
          <w:rFonts w:ascii="Arial" w:cs="Arial" w:eastAsia="Arial" w:hAnsi="Arial"/>
          <w:sz w:val="18"/>
          <w:szCs w:val="18"/>
          <w:color w:val="auto"/>
        </w:rPr>
      </w:pPr>
      <w:r>
        <w:rPr>
          <w:rFonts w:ascii="Arial" w:cs="Arial" w:eastAsia="Arial" w:hAnsi="Arial"/>
          <w:sz w:val="18"/>
          <w:szCs w:val="18"/>
          <w:color w:val="auto"/>
        </w:rPr>
        <w:t>SOLE DISPOSITIVE POWER</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3" w:lineRule="exact"/>
        <w:rPr>
          <w:rFonts w:ascii="Arial" w:cs="Arial" w:eastAsia="Arial" w:hAnsi="Arial"/>
          <w:sz w:val="18"/>
          <w:szCs w:val="18"/>
          <w:color w:val="auto"/>
        </w:rPr>
      </w:pPr>
    </w:p>
    <w:p>
      <w:pPr>
        <w:ind w:left="240" w:hanging="232"/>
        <w:spacing w:after="0"/>
        <w:tabs>
          <w:tab w:leader="none" w:pos="240" w:val="left"/>
        </w:tabs>
        <w:numPr>
          <w:ilvl w:val="0"/>
          <w:numId w:val="3"/>
        </w:numPr>
        <w:rPr>
          <w:rFonts w:ascii="Arial" w:cs="Arial" w:eastAsia="Arial" w:hAnsi="Arial"/>
          <w:sz w:val="18"/>
          <w:szCs w:val="18"/>
          <w:color w:val="auto"/>
        </w:rPr>
      </w:pPr>
      <w:r>
        <w:rPr>
          <w:rFonts w:ascii="Arial" w:cs="Arial" w:eastAsia="Arial" w:hAnsi="Arial"/>
          <w:sz w:val="18"/>
          <w:szCs w:val="18"/>
          <w:color w:val="auto"/>
        </w:rPr>
        <w:t>SHARED DISPOSITIVE POWER</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3" w:lineRule="exact"/>
        <w:rPr>
          <w:rFonts w:ascii="Arial" w:cs="Arial" w:eastAsia="Arial" w:hAnsi="Arial"/>
          <w:sz w:val="18"/>
          <w:szCs w:val="18"/>
          <w:color w:val="auto"/>
        </w:rPr>
      </w:pPr>
    </w:p>
    <w:p>
      <w:pPr>
        <w:ind w:left="100" w:right="3479" w:hanging="92"/>
        <w:spacing w:after="0" w:line="498" w:lineRule="auto"/>
        <w:tabs>
          <w:tab w:leader="none" w:pos="224" w:val="left"/>
        </w:tabs>
        <w:numPr>
          <w:ilvl w:val="0"/>
          <w:numId w:val="3"/>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4,244,034</w:t>
      </w:r>
    </w:p>
    <w:p>
      <w:pPr>
        <w:spacing w:after="0" w:line="1" w:lineRule="exact"/>
        <w:rPr>
          <w:rFonts w:ascii="Arial" w:cs="Arial" w:eastAsia="Arial" w:hAnsi="Arial"/>
          <w:sz w:val="18"/>
          <w:szCs w:val="18"/>
          <w:color w:val="auto"/>
        </w:rPr>
      </w:pPr>
    </w:p>
    <w:p>
      <w:pPr>
        <w:ind w:left="100" w:right="2859" w:hanging="92"/>
        <w:spacing w:after="0" w:line="498" w:lineRule="auto"/>
        <w:tabs>
          <w:tab w:leader="none" w:pos="324" w:val="left"/>
        </w:tabs>
        <w:numPr>
          <w:ilvl w:val="0"/>
          <w:numId w:val="3"/>
        </w:numPr>
        <w:rPr>
          <w:rFonts w:ascii="Arial" w:cs="Arial" w:eastAsia="Arial" w:hAnsi="Arial"/>
          <w:sz w:val="18"/>
          <w:szCs w:val="18"/>
          <w:color w:val="auto"/>
        </w:rPr>
      </w:pPr>
      <w:r>
        <w:rPr>
          <w:rFonts w:ascii="Arial" w:cs="Arial" w:eastAsia="Arial" w:hAnsi="Arial"/>
          <w:sz w:val="18"/>
          <w:szCs w:val="18"/>
          <w:color w:val="auto"/>
        </w:rPr>
        <w:t>CHECK BOX IF THE AGGREGATE AMOUNT IN ROW (9) EXCLUDES CERTAIN SHARES N/A</w:t>
      </w:r>
    </w:p>
    <w:p>
      <w:pPr>
        <w:spacing w:after="0" w:line="1"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6.56%</w:t>
      </w:r>
    </w:p>
    <w:p>
      <w:pPr>
        <w:spacing w:after="0" w:line="223" w:lineRule="exact"/>
        <w:rPr>
          <w:sz w:val="20"/>
          <w:szCs w:val="20"/>
          <w:color w:val="auto"/>
        </w:rPr>
      </w:pPr>
    </w:p>
    <w:p>
      <w:pPr>
        <w:ind w:left="320" w:hanging="312"/>
        <w:spacing w:after="0"/>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23" w:lineRule="exact"/>
        <w:rPr>
          <w:rFonts w:ascii="Arial" w:cs="Arial" w:eastAsia="Arial" w:hAnsi="Arial"/>
          <w:sz w:val="18"/>
          <w:szCs w:val="18"/>
          <w:color w:val="auto"/>
        </w:rPr>
      </w:pPr>
    </w:p>
    <w:p>
      <w:pPr>
        <w:ind w:left="100"/>
        <w:spacing w:after="0"/>
        <w:rPr>
          <w:rFonts w:ascii="Arial" w:cs="Arial" w:eastAsia="Arial" w:hAnsi="Arial"/>
          <w:sz w:val="18"/>
          <w:szCs w:val="18"/>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217170</wp:posOffset>
            </wp:positionV>
            <wp:extent cx="7268210" cy="209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ectPr>
          <w:pgSz w:w="11900" w:h="16838" w:orient="portrait"/>
          <w:cols w:equalWidth="0" w:num="1">
            <w:col w:w="10219"/>
          </w:cols>
          <w:pgMar w:left="240" w:top="582" w:right="1440"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Washington, D.C. 20549</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SCHEDULE 13G</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Under the Securities Act of 1934</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Check the following [line] if a fee is being paid with this statement  N/A</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1(a) - Name of Issuer:</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Federal Realty Investment Trust</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1(b) - Address of Issuer's Principal Executive Offices:</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1626 EAST JEFFERSON STREET</w:t>
      </w:r>
    </w:p>
    <w:p>
      <w:pPr>
        <w:spacing w:after="0" w:line="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ROCKVILLE MD 20852-4041</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2(a) - Name of Person Filing:</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VANGUARD SPECIALIZED FUNDS - VANGUARD REIT INDEX FUND - 23-2834924</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2(b) – Address of Principal Business Office or, if none, residence:</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100 Vanguard Blvd.</w:t>
      </w:r>
    </w:p>
    <w:p>
      <w:pPr>
        <w:spacing w:after="0" w:line="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Malvern, PA 19355</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2(c) – Citizenship:</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Delaware</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2(d) - Title of Class of Securities:</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REIT</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2(e) - CUSIP Number</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313747206</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3 - Type of Filing:</w:t>
      </w:r>
    </w:p>
    <w:p>
      <w:pPr>
        <w:spacing w:after="0" w:line="223" w:lineRule="exact"/>
        <w:rPr>
          <w:sz w:val="20"/>
          <w:szCs w:val="20"/>
          <w:color w:val="auto"/>
        </w:rPr>
      </w:pPr>
    </w:p>
    <w:p>
      <w:pPr>
        <w:ind w:firstLine="86"/>
        <w:spacing w:after="0" w:line="275" w:lineRule="auto"/>
        <w:rPr>
          <w:sz w:val="20"/>
          <w:szCs w:val="20"/>
          <w:color w:val="auto"/>
        </w:rPr>
      </w:pPr>
      <w:r>
        <w:rPr>
          <w:rFonts w:ascii="Arial" w:cs="Arial" w:eastAsia="Arial" w:hAnsi="Arial"/>
          <w:sz w:val="18"/>
          <w:szCs w:val="18"/>
          <w:color w:val="auto"/>
        </w:rPr>
        <w:t>This statement is being filed pursuant to Rule 13d-1. Investment company registered under section 8 of the Investment Company Act of 1940 (15 U.S.C 80a-8).</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4 - Ownership:</w:t>
      </w:r>
    </w:p>
    <w:p>
      <w:pPr>
        <w:spacing w:after="0" w:line="223" w:lineRule="exact"/>
        <w:rPr>
          <w:sz w:val="20"/>
          <w:szCs w:val="20"/>
          <w:color w:val="auto"/>
        </w:rPr>
      </w:pPr>
    </w:p>
    <w:p>
      <w:pPr>
        <w:ind w:left="100" w:right="8940" w:hanging="3"/>
        <w:spacing w:after="0" w:line="498" w:lineRule="auto"/>
        <w:tabs>
          <w:tab w:leader="none" w:pos="344" w:val="left"/>
        </w:tabs>
        <w:numPr>
          <w:ilvl w:val="0"/>
          <w:numId w:val="5"/>
        </w:numPr>
        <w:rPr>
          <w:rFonts w:ascii="Arial" w:cs="Arial" w:eastAsia="Arial" w:hAnsi="Arial"/>
          <w:sz w:val="18"/>
          <w:szCs w:val="18"/>
          <w:color w:val="auto"/>
        </w:rPr>
      </w:pPr>
      <w:r>
        <w:rPr>
          <w:rFonts w:ascii="Arial" w:cs="Arial" w:eastAsia="Arial" w:hAnsi="Arial"/>
          <w:sz w:val="18"/>
          <w:szCs w:val="18"/>
          <w:color w:val="auto"/>
        </w:rPr>
        <w:t>Amount Beneficially Owned: 4,244,034</w:t>
      </w:r>
    </w:p>
    <w:p>
      <w:pPr>
        <w:spacing w:after="0" w:line="1" w:lineRule="exact"/>
        <w:rPr>
          <w:rFonts w:ascii="Arial" w:cs="Arial" w:eastAsia="Arial" w:hAnsi="Arial"/>
          <w:sz w:val="18"/>
          <w:szCs w:val="18"/>
          <w:color w:val="auto"/>
        </w:rPr>
      </w:pPr>
    </w:p>
    <w:p>
      <w:pPr>
        <w:ind w:left="360" w:hanging="263"/>
        <w:spacing w:after="0"/>
        <w:tabs>
          <w:tab w:leader="none" w:pos="3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6.56%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217170</wp:posOffset>
            </wp:positionV>
            <wp:extent cx="7268210"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ectPr>
          <w:pgSz w:w="11900" w:h="16838" w:orient="portrait"/>
          <w:cols w:equalWidth="0" w:num="1">
            <w:col w:w="11400"/>
          </w:cols>
          <w:pgMar w:left="240" w:top="582" w:right="259" w:bottom="1440" w:gutter="0" w:footer="0" w:header="0"/>
        </w:sectPr>
      </w:pPr>
    </w:p>
    <w:bookmarkStart w:id="3" w:name="page4"/>
    <w:bookmarkEnd w:id="3"/>
    <w:p>
      <w:pPr>
        <w:ind w:left="380" w:hanging="283"/>
        <w:spacing w:after="0"/>
        <w:tabs>
          <w:tab w:leader="none" w:pos="380" w:val="left"/>
        </w:tabs>
        <w:numPr>
          <w:ilvl w:val="0"/>
          <w:numId w:val="6"/>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223" w:lineRule="exact"/>
        <w:rPr>
          <w:rFonts w:ascii="Arial" w:cs="Arial" w:eastAsia="Arial" w:hAnsi="Arial"/>
          <w:sz w:val="18"/>
          <w:szCs w:val="18"/>
          <w:color w:val="auto"/>
        </w:rPr>
      </w:pPr>
    </w:p>
    <w:p>
      <w:pPr>
        <w:ind w:left="360" w:hanging="263"/>
        <w:spacing w:after="0"/>
        <w:tabs>
          <w:tab w:leader="none" w:pos="3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sole power to vote or direct to vote: 4,244,034</w:t>
      </w:r>
    </w:p>
    <w:p>
      <w:pPr>
        <w:spacing w:after="0" w:line="223" w:lineRule="exact"/>
        <w:rPr>
          <w:rFonts w:ascii="Arial" w:cs="Arial" w:eastAsia="Arial" w:hAnsi="Arial"/>
          <w:sz w:val="18"/>
          <w:szCs w:val="18"/>
          <w:color w:val="auto"/>
        </w:rPr>
      </w:pPr>
    </w:p>
    <w:p>
      <w:pPr>
        <w:ind w:left="400" w:hanging="303"/>
        <w:spacing w:after="0"/>
        <w:tabs>
          <w:tab w:leader="none" w:pos="400" w:val="left"/>
        </w:tabs>
        <w:numPr>
          <w:ilvl w:val="0"/>
          <w:numId w:val="8"/>
        </w:numPr>
        <w:rPr>
          <w:rFonts w:ascii="Arial" w:cs="Arial" w:eastAsia="Arial" w:hAnsi="Arial"/>
          <w:sz w:val="18"/>
          <w:szCs w:val="18"/>
          <w:color w:val="auto"/>
        </w:rPr>
      </w:pPr>
      <w:r>
        <w:rPr>
          <w:rFonts w:ascii="Arial" w:cs="Arial" w:eastAsia="Arial" w:hAnsi="Arial"/>
          <w:sz w:val="18"/>
          <w:szCs w:val="18"/>
          <w:color w:val="auto"/>
        </w:rPr>
        <w:t>shared power to vote or direct to vote:</w:t>
      </w:r>
    </w:p>
    <w:p>
      <w:pPr>
        <w:spacing w:after="0" w:line="223" w:lineRule="exact"/>
        <w:rPr>
          <w:rFonts w:ascii="Arial" w:cs="Arial" w:eastAsia="Arial" w:hAnsi="Arial"/>
          <w:sz w:val="18"/>
          <w:szCs w:val="18"/>
          <w:color w:val="auto"/>
        </w:rPr>
      </w:pPr>
    </w:p>
    <w:p>
      <w:pPr>
        <w:jc w:val="both"/>
        <w:ind w:left="100" w:right="6940" w:hanging="3"/>
        <w:spacing w:after="0" w:line="620" w:lineRule="auto"/>
        <w:tabs>
          <w:tab w:leader="none" w:pos="458" w:val="left"/>
        </w:tabs>
        <w:numPr>
          <w:ilvl w:val="0"/>
          <w:numId w:val="9"/>
        </w:numPr>
        <w:rPr>
          <w:rFonts w:ascii="Arial" w:cs="Arial" w:eastAsia="Arial" w:hAnsi="Arial"/>
          <w:sz w:val="16"/>
          <w:szCs w:val="16"/>
          <w:color w:val="auto"/>
        </w:rPr>
      </w:pPr>
      <w:r>
        <w:rPr>
          <w:rFonts w:ascii="Arial" w:cs="Arial" w:eastAsia="Arial" w:hAnsi="Arial"/>
          <w:sz w:val="16"/>
          <w:szCs w:val="16"/>
          <w:color w:val="auto"/>
        </w:rPr>
        <w:t>sole power to dispose of or to direct the disposition of: (iv) shared power to dispose or to direct the disposition of:</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Comments:</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5 - Ownership of Five Percent or Less of a Class:</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6 - Ownership of More Than Five Percent on Behalf of Another Person:</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7 - Identification and Classification of the Subsidiary Which Acquired The Security Being Reported on by the Parent Holding Company</w:t>
      </w:r>
      <w:r>
        <w:rPr>
          <w:rFonts w:ascii="Arial" w:cs="Arial" w:eastAsia="Arial" w:hAnsi="Arial"/>
          <w:sz w:val="18"/>
          <w:szCs w:val="18"/>
          <w:color w:val="auto"/>
        </w:rPr>
        <w:t>:</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8 - Identification and Classification of Members of Group:</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9 - Notice of Dissolution of Group:</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10 - Certification:</w:t>
      </w:r>
    </w:p>
    <w:p>
      <w:pPr>
        <w:spacing w:after="0" w:line="223" w:lineRule="exact"/>
        <w:rPr>
          <w:sz w:val="20"/>
          <w:szCs w:val="20"/>
          <w:color w:val="auto"/>
        </w:rPr>
      </w:pPr>
    </w:p>
    <w:p>
      <w:pPr>
        <w:jc w:val="both"/>
        <w:ind w:firstLine="90"/>
        <w:spacing w:after="0" w:line="262"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Signature</w:t>
      </w:r>
    </w:p>
    <w:p>
      <w:pPr>
        <w:spacing w:after="0" w:line="223" w:lineRule="exact"/>
        <w:rPr>
          <w:sz w:val="20"/>
          <w:szCs w:val="20"/>
          <w:color w:val="auto"/>
        </w:rPr>
      </w:pPr>
    </w:p>
    <w:p>
      <w:pPr>
        <w:ind w:left="8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Date: 02/14/2013</w:t>
      </w:r>
    </w:p>
    <w:p>
      <w:pPr>
        <w:spacing w:after="0" w:line="2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By /s/ F. William McNabb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3032760</wp:posOffset>
            </wp:positionH>
            <wp:positionV relativeFrom="paragraph">
              <wp:posOffset>-10795</wp:posOffset>
            </wp:positionV>
            <wp:extent cx="126682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6825" cy="8255"/>
                    </a:xfrm>
                    <a:prstGeom prst="rect">
                      <a:avLst/>
                    </a:prstGeom>
                    <a:noFill/>
                  </pic:spPr>
                </pic:pic>
              </a:graphicData>
            </a:graphic>
          </wp:anchor>
        </w:drawing>
      </w:r>
    </w:p>
    <w:p>
      <w:pPr>
        <w:spacing w:after="0" w:line="2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 William McNabb III</w:t>
      </w:r>
    </w:p>
    <w:p>
      <w:pPr>
        <w:spacing w:after="0" w:line="22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President and Chief Executive Officer</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*By: /s/ Glenn Booraem</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Glenn Booraem, pursuant to a Power of Attorney filed January 29, 2010, see File Number 005-81485, Incorporated by Reference</w:t>
      </w:r>
    </w:p>
    <w:sectPr>
      <w:pgSz w:w="11900" w:h="16838" w:orient="portrait"/>
      <w:cols w:equalWidth="0" w:num="1">
        <w:col w:w="11300"/>
      </w:cols>
      <w:pgMar w:left="240" w:top="582"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upperLetter"/>
      <w:start w:val="24"/>
    </w:lvl>
  </w:abstractNum>
  <w:abstractNum w:abstractNumId="1">
    <w:nsid w:val="3D1B58BA"/>
    <w:multiLevelType w:val="hybridMultilevel"/>
    <w:lvl w:ilvl="0">
      <w:lvlJc w:val="left"/>
      <w:lvlText w:val="%1."/>
      <w:numFmt w:val="decimal"/>
      <w:start w:val="1"/>
    </w:lvl>
    <w:lvl w:ilvl="1">
      <w:lvlJc w:val="left"/>
      <w:lvlText w:val="%2"/>
      <w:numFmt w:val="upperLetter"/>
      <w:start w:val="1"/>
    </w:lvl>
  </w:abstractNum>
  <w:abstractNum w:abstractNumId="2">
    <w:nsid w:val="507ED7AB"/>
    <w:multiLevelType w:val="hybridMultilevel"/>
    <w:lvl w:ilvl="0">
      <w:lvlJc w:val="left"/>
      <w:lvlText w:val="%1."/>
      <w:numFmt w:val="decimal"/>
      <w:start w:val="5"/>
    </w:lvl>
  </w:abstractNum>
  <w:abstractNum w:abstractNumId="3">
    <w:nsid w:val="2EB141F2"/>
    <w:multiLevelType w:val="hybridMultilevel"/>
    <w:lvl w:ilvl="0">
      <w:lvlJc w:val="left"/>
      <w:lvlText w:val="%1."/>
      <w:numFmt w:val="decimal"/>
      <w:start w:val="12"/>
    </w:lvl>
  </w:abstractNum>
  <w:abstractNum w:abstractNumId="4">
    <w:nsid w:val="41B71EFB"/>
    <w:multiLevelType w:val="hybridMultilevel"/>
    <w:lvl w:ilvl="0">
      <w:lvlJc w:val="left"/>
      <w:lvlText w:val="(%1)"/>
      <w:numFmt w:val="lowerLetter"/>
      <w:start w:val="1"/>
    </w:lvl>
  </w:abstractNum>
  <w:abstractNum w:abstractNumId="5">
    <w:nsid w:val="79E2A9E3"/>
    <w:multiLevelType w:val="hybridMultilevel"/>
    <w:lvl w:ilvl="0">
      <w:lvlJc w:val="left"/>
      <w:lvlText w:val="(%1)"/>
      <w:numFmt w:val="lowerLetter"/>
      <w:start w:val="3"/>
    </w:lvl>
  </w:abstractNum>
  <w:abstractNum w:abstractNumId="6">
    <w:nsid w:val="7545E146"/>
    <w:multiLevelType w:val="hybridMultilevel"/>
    <w:lvl w:ilvl="0">
      <w:lvlJc w:val="left"/>
      <w:lvlText w:val="(%1)"/>
      <w:numFmt w:val="lowerLetter"/>
      <w:start w:val="9"/>
    </w:lvl>
  </w:abstractNum>
  <w:abstractNum w:abstractNumId="7">
    <w:nsid w:val="515F007C"/>
    <w:multiLevelType w:val="hybridMultilevel"/>
    <w:lvl w:ilvl="0">
      <w:lvlJc w:val="left"/>
      <w:lvlText w:val="(%1)"/>
      <w:numFmt w:val="lowerLetter"/>
      <w:start w:val="35"/>
    </w:lvl>
  </w:abstractNum>
  <w:abstractNum w:abstractNumId="8">
    <w:nsid w:val="5BD062C2"/>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2019-12-05T10:21:37Z</dcterms:created>
  <dcterms:modified xsi:type="dcterms:W3CDTF">2019-12-05T10:21:37Z</dcterms:modified>
</cp:coreProperties>
</file>