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April 11, 2016</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2200" w:type="dxa"/>
        <w:tblCellMar>
          <w:top w:w="0" w:type="dxa"/>
          <w:left w:w="0" w:type="dxa"/>
          <w:bottom w:w="0" w:type="dxa"/>
          <w:right w:w="0" w:type="dxa"/>
        </w:tblCellMar>
      </w:tblPr>
      <w:tr>
        <w:trPr>
          <w:trHeight w:val="234"/>
        </w:trPr>
        <w:tc>
          <w:tcPr>
            <w:tcW w:w="2340" w:type="dxa"/>
            <w:vAlign w:val="bottom"/>
          </w:tcPr>
          <w:p>
            <w:pPr>
              <w:jc w:val="center"/>
              <w:ind w:right="828"/>
              <w:spacing w:after="0"/>
              <w:rPr>
                <w:sz w:val="20"/>
                <w:szCs w:val="20"/>
                <w:color w:val="auto"/>
              </w:rPr>
            </w:pPr>
            <w:r>
              <w:rPr>
                <w:rFonts w:ascii="Arial" w:cs="Arial" w:eastAsia="Arial" w:hAnsi="Arial"/>
                <w:sz w:val="18"/>
                <w:szCs w:val="18"/>
                <w:b w:val="1"/>
                <w:bCs w:val="1"/>
                <w:color w:val="auto"/>
                <w:w w:val="96"/>
              </w:rPr>
              <w:t>Maryland</w:t>
            </w:r>
          </w:p>
        </w:tc>
        <w:tc>
          <w:tcPr>
            <w:tcW w:w="2580" w:type="dxa"/>
            <w:vAlign w:val="bottom"/>
          </w:tcPr>
          <w:p>
            <w:pPr>
              <w:jc w:val="center"/>
              <w:ind w:right="28"/>
              <w:spacing w:after="0"/>
              <w:rPr>
                <w:sz w:val="20"/>
                <w:szCs w:val="20"/>
                <w:color w:val="auto"/>
              </w:rPr>
            </w:pPr>
            <w:r>
              <w:rPr>
                <w:rFonts w:ascii="Arial" w:cs="Arial" w:eastAsia="Arial" w:hAnsi="Arial"/>
                <w:sz w:val="18"/>
                <w:szCs w:val="18"/>
                <w:b w:val="1"/>
                <w:bCs w:val="1"/>
                <w:color w:val="auto"/>
                <w:w w:val="90"/>
              </w:rPr>
              <w:t>1-07533</w:t>
            </w:r>
          </w:p>
        </w:tc>
        <w:tc>
          <w:tcPr>
            <w:tcW w:w="1960" w:type="dxa"/>
            <w:vAlign w:val="bottom"/>
          </w:tcPr>
          <w:p>
            <w:pPr>
              <w:jc w:val="center"/>
              <w:ind w:left="88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340" w:type="dxa"/>
            <w:vAlign w:val="bottom"/>
          </w:tcPr>
          <w:p>
            <w:pPr>
              <w:jc w:val="center"/>
              <w:ind w:right="828"/>
              <w:spacing w:after="0"/>
              <w:rPr>
                <w:sz w:val="20"/>
                <w:szCs w:val="20"/>
                <w:color w:val="auto"/>
              </w:rPr>
            </w:pPr>
            <w:r>
              <w:rPr>
                <w:rFonts w:ascii="Arial" w:cs="Arial" w:eastAsia="Arial" w:hAnsi="Arial"/>
                <w:sz w:val="13"/>
                <w:szCs w:val="13"/>
                <w:b w:val="1"/>
                <w:bCs w:val="1"/>
                <w:color w:val="auto"/>
                <w:w w:val="88"/>
              </w:rPr>
              <w:t>(State or other jurisdiction</w:t>
            </w:r>
          </w:p>
        </w:tc>
        <w:tc>
          <w:tcPr>
            <w:tcW w:w="258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1960" w:type="dxa"/>
            <w:vAlign w:val="bottom"/>
          </w:tcPr>
          <w:p>
            <w:pPr>
              <w:jc w:val="center"/>
              <w:ind w:left="908"/>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2340" w:type="dxa"/>
            <w:vAlign w:val="bottom"/>
          </w:tcPr>
          <w:p>
            <w:pPr>
              <w:jc w:val="center"/>
              <w:ind w:right="828"/>
              <w:spacing w:after="0"/>
              <w:rPr>
                <w:sz w:val="20"/>
                <w:szCs w:val="20"/>
                <w:color w:val="auto"/>
              </w:rPr>
            </w:pPr>
            <w:r>
              <w:rPr>
                <w:rFonts w:ascii="Arial" w:cs="Arial" w:eastAsia="Arial" w:hAnsi="Arial"/>
                <w:sz w:val="13"/>
                <w:szCs w:val="13"/>
                <w:b w:val="1"/>
                <w:bCs w:val="1"/>
                <w:color w:val="auto"/>
                <w:w w:val="88"/>
              </w:rPr>
              <w:t>of incorporation)</w:t>
            </w:r>
          </w:p>
        </w:tc>
        <w:tc>
          <w:tcPr>
            <w:tcW w:w="2580" w:type="dxa"/>
            <w:vAlign w:val="bottom"/>
          </w:tcPr>
          <w:p>
            <w:pPr>
              <w:jc w:val="center"/>
              <w:ind w:right="8"/>
              <w:spacing w:after="0"/>
              <w:rPr>
                <w:sz w:val="20"/>
                <w:szCs w:val="20"/>
                <w:color w:val="auto"/>
              </w:rPr>
            </w:pPr>
            <w:r>
              <w:rPr>
                <w:rFonts w:ascii="Arial" w:cs="Arial" w:eastAsia="Arial" w:hAnsi="Arial"/>
                <w:sz w:val="13"/>
                <w:szCs w:val="13"/>
                <w:b w:val="1"/>
                <w:bCs w:val="1"/>
                <w:color w:val="auto"/>
                <w:w w:val="93"/>
              </w:rPr>
              <w:t>File Number)</w:t>
            </w:r>
          </w:p>
        </w:tc>
        <w:tc>
          <w:tcPr>
            <w:tcW w:w="1960" w:type="dxa"/>
            <w:vAlign w:val="bottom"/>
          </w:tcPr>
          <w:p>
            <w:pPr>
              <w:jc w:val="center"/>
              <w:ind w:left="908"/>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6740" w:space="720"/>
            <w:col w:w="3520"/>
          </w:cols>
          <w:pgMar w:left="240" w:top="679" w:right="679" w:bottom="1440" w:gutter="0" w:footer="0" w:header="0"/>
          <w:type w:val="continuous"/>
        </w:sectPr>
      </w:pPr>
    </w:p>
    <w:p>
      <w:pPr>
        <w:ind w:left="25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80"/>
        <w:spacing w:after="0"/>
        <w:rPr>
          <w:sz w:val="20"/>
          <w:szCs w:val="20"/>
          <w:color w:val="auto"/>
        </w:rPr>
      </w:pPr>
      <w:r>
        <w:rPr>
          <w:rFonts w:ascii="Arial" w:cs="Arial" w:eastAsia="Arial" w:hAnsi="Arial"/>
          <w:sz w:val="12"/>
          <w:szCs w:val="12"/>
          <w:b w:val="1"/>
          <w:bCs w:val="1"/>
          <w:color w:val="auto"/>
        </w:rPr>
        <w:t>(Zip Code)</w:t>
      </w:r>
    </w:p>
    <w:p>
      <w:pPr>
        <w:spacing w:after="0" w:line="186" w:lineRule="exact"/>
        <w:rPr>
          <w:sz w:val="24"/>
          <w:szCs w:val="24"/>
          <w:color w:val="auto"/>
        </w:rPr>
      </w:pPr>
    </w:p>
    <w:p>
      <w:pPr>
        <w:sectPr>
          <w:pgSz w:w="11900" w:h="16838" w:orient="portrait"/>
          <w:cols w:equalWidth="0" w:num="2">
            <w:col w:w="6880" w:space="720"/>
            <w:col w:w="338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00" w:hanging="42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00" w:hanging="42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00" w:hanging="42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00" w:hanging="42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On April 11, 2016, James M. Taylor, Jr., the Trust’s Executive Vice President-Chief Financial Officer and Treasurer, resigned his position effective May 19, 2016 in order to assume the position of Chief Executive Officer and President of Brixmor Property Group Inc. in New York.</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FEDERAL REALTY INVESTMENT TRUST</w:t>
      </w:r>
    </w:p>
    <w:p>
      <w:pPr>
        <w:spacing w:after="0" w:line="333" w:lineRule="exact"/>
        <w:rPr>
          <w:sz w:val="20"/>
          <w:szCs w:val="20"/>
          <w:color w:val="auto"/>
        </w:rPr>
      </w:pPr>
    </w:p>
    <w:p>
      <w:pPr>
        <w:ind w:left="1120"/>
        <w:spacing w:after="0"/>
        <w:tabs>
          <w:tab w:leader="none" w:pos="6060" w:val="left"/>
          <w:tab w:leader="none" w:pos="6580" w:val="left"/>
        </w:tabs>
        <w:rPr>
          <w:sz w:val="20"/>
          <w:szCs w:val="20"/>
          <w:color w:val="auto"/>
        </w:rPr>
      </w:pPr>
      <w:r>
        <w:rPr>
          <w:rFonts w:ascii="Arial" w:cs="Arial" w:eastAsia="Arial" w:hAnsi="Arial"/>
          <w:sz w:val="18"/>
          <w:szCs w:val="18"/>
          <w:color w:val="auto"/>
        </w:rPr>
        <w:t>Date: April 12,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31750</wp:posOffset>
            </wp:positionV>
            <wp:extent cx="2383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Dawn M. Becker</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Executive Vice President-General Counsel and</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2019-12-05T05:32:00Z</dcterms:created>
  <dcterms:modified xsi:type="dcterms:W3CDTF">2019-12-05T05:32:00Z</dcterms:modified>
</cp:coreProperties>
</file>