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Washington, D.C. 20549</w:t>
      </w:r>
    </w:p>
    <w:p>
      <w:pPr>
        <w:spacing w:after="0" w:line="342"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FORM 8-K</w:t>
      </w:r>
    </w:p>
    <w:p>
      <w:pPr>
        <w:spacing w:after="0" w:line="175"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9" w:lineRule="exact"/>
        <w:rPr>
          <w:sz w:val="24"/>
          <w:szCs w:val="24"/>
          <w:color w:val="auto"/>
        </w:rPr>
      </w:pPr>
    </w:p>
    <w:p>
      <w:pPr>
        <w:ind w:left="520" w:right="3799" w:hanging="173"/>
        <w:spacing w:after="0" w:line="258"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September 30, 2000</w:t>
      </w:r>
    </w:p>
    <w:p>
      <w:pPr>
        <w:spacing w:after="0" w:line="200" w:lineRule="exact"/>
        <w:rPr>
          <w:sz w:val="24"/>
          <w:szCs w:val="24"/>
          <w:color w:val="auto"/>
        </w:rPr>
      </w:pPr>
    </w:p>
    <w:p>
      <w:pPr>
        <w:spacing w:after="0" w:line="294"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4" w:right="1440" w:bottom="1440" w:gutter="0" w:footer="0" w:header="0"/>
        </w:sectPr>
      </w:pPr>
    </w:p>
    <w:p>
      <w:pPr>
        <w:spacing w:after="0" w:line="200" w:lineRule="exact"/>
        <w:rPr>
          <w:sz w:val="24"/>
          <w:szCs w:val="24"/>
          <w:color w:val="auto"/>
        </w:rPr>
      </w:pPr>
    </w:p>
    <w:p>
      <w:pPr>
        <w:spacing w:after="0" w:line="309"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Maryland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1-7533</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52-0782497</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620" w:space="600"/>
            <w:col w:w="1120" w:space="520"/>
            <w:col w:w="5379"/>
          </w:cols>
          <w:pgMar w:left="220" w:top="564" w:right="1440" w:bottom="1440" w:gutter="0" w:footer="0" w:header="0"/>
          <w:type w:val="continuous"/>
        </w:sectPr>
      </w:pPr>
    </w:p>
    <w:p>
      <w:pPr>
        <w:spacing w:after="0" w:line="142" w:lineRule="exact"/>
        <w:rPr>
          <w:sz w:val="24"/>
          <w:szCs w:val="24"/>
          <w:color w:val="auto"/>
        </w:rPr>
      </w:pPr>
    </w:p>
    <w:p>
      <w:pPr>
        <w:spacing w:after="0"/>
        <w:tabs>
          <w:tab w:leader="none" w:pos="4840" w:val="left"/>
        </w:tabs>
        <w:rPr>
          <w:sz w:val="20"/>
          <w:szCs w:val="20"/>
          <w:color w:val="auto"/>
        </w:rPr>
      </w:pPr>
      <w:r>
        <w:rPr>
          <w:rFonts w:ascii="Courier New" w:cs="Courier New" w:eastAsia="Courier New" w:hAnsi="Courier New"/>
          <w:sz w:val="14"/>
          <w:szCs w:val="14"/>
          <w:color w:val="auto"/>
        </w:rPr>
        <w:t>1626 East Jefferson Street, Rockville, Maryland</w:t>
      </w:r>
      <w:r>
        <w:rPr>
          <w:sz w:val="20"/>
          <w:szCs w:val="20"/>
          <w:color w:val="auto"/>
        </w:rPr>
        <w:tab/>
      </w:r>
      <w:r>
        <w:rPr>
          <w:rFonts w:ascii="Courier New" w:cs="Courier New" w:eastAsia="Courier New" w:hAnsi="Courier New"/>
          <w:sz w:val="14"/>
          <w:szCs w:val="14"/>
          <w:color w:val="auto"/>
        </w:rPr>
        <w:t>20852-4041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tabs>
          <w:tab w:leader="none" w:pos="484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39"/>
          </w:cols>
          <w:pgMar w:left="220" w:top="564" w:right="1440" w:bottom="1440" w:gutter="0" w:footer="0" w:header="0"/>
          <w:type w:val="continuous"/>
        </w:sectPr>
      </w:pPr>
    </w:p>
    <w:p>
      <w:pPr>
        <w:spacing w:after="0" w:line="342" w:lineRule="exact"/>
        <w:rPr>
          <w:sz w:val="24"/>
          <w:szCs w:val="24"/>
          <w:color w:val="auto"/>
        </w:rPr>
      </w:pPr>
    </w:p>
    <w:p>
      <w:pPr>
        <w:ind w:left="700"/>
        <w:spacing w:after="0"/>
        <w:tabs>
          <w:tab w:leader="none" w:pos="5200" w:val="left"/>
        </w:tabs>
        <w:rPr>
          <w:sz w:val="20"/>
          <w:szCs w:val="20"/>
          <w:color w:val="auto"/>
        </w:rPr>
      </w:pPr>
      <w:r>
        <w:rPr>
          <w:rFonts w:ascii="Courier New" w:cs="Courier New" w:eastAsia="Courier New" w:hAnsi="Courier New"/>
          <w:sz w:val="14"/>
          <w:szCs w:val="14"/>
          <w:color w:val="auto"/>
        </w:rPr>
        <w:t>Registrant's telephone number including area code:</w:t>
        <w:tab/>
        <w:t>301/998-8100</w:t>
      </w:r>
    </w:p>
    <w:p>
      <w:pPr>
        <w:spacing w:after="0" w:line="8" w:lineRule="exact"/>
        <w:rPr>
          <w:sz w:val="24"/>
          <w:szCs w:val="24"/>
          <w:color w:val="auto"/>
        </w:rPr>
      </w:pPr>
    </w:p>
    <w:p>
      <w:pPr>
        <w:ind w:left="52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4" w:right="1440" w:bottom="1440" w:gutter="0" w:footer="0" w:header="0"/>
          <w:type w:val="continuous"/>
        </w:sectPr>
      </w:pPr>
    </w:p>
    <w:bookmarkStart w:id="1" w:name="page2"/>
    <w:bookmarkEnd w:id="1"/>
    <w:p>
      <w:pPr>
        <w:spacing w:after="0"/>
        <w:tabs>
          <w:tab w:leader="none" w:pos="860" w:val="left"/>
        </w:tabs>
        <w:rPr>
          <w:sz w:val="20"/>
          <w:szCs w:val="20"/>
          <w:color w:val="auto"/>
        </w:rPr>
      </w:pPr>
      <w:r>
        <w:rPr>
          <w:rFonts w:ascii="Courier New" w:cs="Courier New" w:eastAsia="Courier New" w:hAnsi="Courier New"/>
          <w:sz w:val="14"/>
          <w:szCs w:val="14"/>
          <w:color w:val="auto"/>
        </w:rPr>
        <w:t>Item 5.</w:t>
        <w:tab/>
        <w:t>Other Events</w:t>
      </w:r>
    </w:p>
    <w:p>
      <w:pPr>
        <w:spacing w:after="0" w:line="175" w:lineRule="exact"/>
        <w:rPr>
          <w:sz w:val="20"/>
          <w:szCs w:val="20"/>
          <w:color w:val="auto"/>
        </w:rPr>
      </w:pPr>
    </w:p>
    <w:p>
      <w:pPr>
        <w:jc w:val="both"/>
        <w:ind w:right="3979" w:firstLine="868"/>
        <w:spacing w:after="0" w:line="255"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September 30, 2000.</w:t>
      </w:r>
    </w:p>
    <w:p>
      <w:pPr>
        <w:spacing w:after="0" w:line="32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7.</w:t>
        <w:tab/>
        <w:t>Financial Statements and Exhibits</w:t>
      </w:r>
    </w:p>
    <w:p>
      <w:pPr>
        <w:spacing w:after="0" w:line="175" w:lineRule="exact"/>
        <w:rPr>
          <w:sz w:val="20"/>
          <w:szCs w:val="20"/>
          <w:color w:val="auto"/>
        </w:rPr>
      </w:pPr>
    </w:p>
    <w:p>
      <w:pPr>
        <w:ind w:left="880" w:hanging="524"/>
        <w:spacing w:after="0"/>
        <w:tabs>
          <w:tab w:leader="none" w:pos="8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342"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September 30, 2000</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3459" w:firstLine="868"/>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20"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3, 2000</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Chief Financial Officer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w:t>
      </w:r>
    </w:p>
    <w:p>
      <w:pPr>
        <w:spacing w:after="0" w:line="175" w:lineRule="exact"/>
        <w:rPr>
          <w:sz w:val="20"/>
          <w:szCs w:val="20"/>
          <w:color w:val="auto"/>
        </w:rPr>
      </w:pPr>
    </w:p>
    <w:p>
      <w:pPr>
        <w:sectPr>
          <w:pgSz w:w="11900" w:h="16838" w:orient="portrait"/>
          <w:cols w:equalWidth="0" w:num="3">
            <w:col w:w="440" w:space="180"/>
            <w:col w:w="1800" w:space="720"/>
            <w:col w:w="7099"/>
          </w:cols>
          <w:pgMar w:left="220" w:top="620" w:right="1440" w:bottom="1440" w:gutter="0" w:footer="0" w:header="0"/>
          <w:type w:val="continuous"/>
        </w:sect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type w:val="continuous"/>
        </w:sectPr>
      </w:pPr>
    </w:p>
    <w:bookmarkStart w:id="2" w:name="page3"/>
    <w:bookmarkEnd w:id="2"/>
    <w:p>
      <w:pPr>
        <w:ind w:left="28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20"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800" w:space="80"/>
            <w:col w:w="4480" w:space="720"/>
            <w:col w:w="4159"/>
          </w:cols>
          <w:pgMar w:left="220" w:top="620" w:right="1440" w:bottom="1440" w:gutter="0" w:footer="0" w:header="0"/>
          <w:type w:val="continuous"/>
        </w:sectPr>
      </w:pPr>
    </w:p>
    <w:p>
      <w:pPr>
        <w:ind w:left="180"/>
        <w:spacing w:after="0"/>
        <w:tabs>
          <w:tab w:leader="none" w:pos="86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September 30,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sectPr>
          <w:pgSz w:w="11900" w:h="16838" w:orient="portrait"/>
          <w:cols w:equalWidth="0" w:num="2">
            <w:col w:w="5740" w:space="600"/>
            <w:col w:w="3899"/>
          </w:cols>
          <w:pgMar w:left="220" w:top="620" w:right="1440" w:bottom="1440" w:gutter="0" w:footer="0" w:header="0"/>
          <w:type w:val="continuous"/>
        </w:sect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type w:val="continuous"/>
        </w:sectPr>
      </w:pPr>
    </w:p>
    <w:bookmarkStart w:id="3" w:name="page4"/>
    <w:bookmarkEnd w:id="3"/>
    <w:p>
      <w:pPr>
        <w:ind w:left="2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3160" w:type="dxa"/>
            <w:vAlign w:val="bottom"/>
          </w:tcPr>
          <w:p>
            <w:pPr>
              <w:jc w:val="right"/>
              <w:ind w:right="21"/>
              <w:spacing w:after="0"/>
              <w:rPr>
                <w:sz w:val="20"/>
                <w:szCs w:val="20"/>
                <w:color w:val="auto"/>
              </w:rPr>
            </w:pPr>
            <w:r>
              <w:rPr>
                <w:rFonts w:ascii="Courier New" w:cs="Courier New" w:eastAsia="Courier New" w:hAnsi="Courier New"/>
                <w:sz w:val="14"/>
                <w:szCs w:val="14"/>
                <w:color w:val="auto"/>
              </w:rPr>
              <w:t>Supplemental</w:t>
            </w:r>
          </w:p>
        </w:tc>
        <w:tc>
          <w:tcPr>
            <w:tcW w:w="5200" w:type="dxa"/>
            <w:vAlign w:val="bottom"/>
          </w:tcPr>
          <w:p>
            <w:pPr>
              <w:spacing w:after="0"/>
              <w:rPr>
                <w:sz w:val="20"/>
                <w:szCs w:val="20"/>
                <w:color w:val="auto"/>
              </w:rPr>
            </w:pPr>
            <w:r>
              <w:rPr>
                <w:rFonts w:ascii="Courier New" w:cs="Courier New" w:eastAsia="Courier New" w:hAnsi="Courier New"/>
                <w:sz w:val="14"/>
                <w:szCs w:val="14"/>
                <w:color w:val="auto"/>
              </w:rPr>
              <w:t>Information</w:t>
            </w:r>
          </w:p>
        </w:tc>
      </w:tr>
      <w:tr>
        <w:trPr>
          <w:trHeight w:val="167"/>
        </w:trPr>
        <w:tc>
          <w:tcPr>
            <w:tcW w:w="320" w:type="dxa"/>
            <w:vAlign w:val="bottom"/>
          </w:tcPr>
          <w:p>
            <w:pPr>
              <w:spacing w:after="0"/>
              <w:rPr>
                <w:sz w:val="14"/>
                <w:szCs w:val="14"/>
                <w:color w:val="auto"/>
              </w:rPr>
            </w:pPr>
          </w:p>
        </w:tc>
        <w:tc>
          <w:tcPr>
            <w:tcW w:w="3160" w:type="dxa"/>
            <w:vAlign w:val="bottom"/>
          </w:tcPr>
          <w:p>
            <w:pPr>
              <w:jc w:val="right"/>
              <w:ind w:right="21"/>
              <w:spacing w:after="0"/>
              <w:rPr>
                <w:sz w:val="20"/>
                <w:szCs w:val="20"/>
                <w:color w:val="auto"/>
              </w:rPr>
            </w:pPr>
            <w:r>
              <w:rPr>
                <w:rFonts w:ascii="Courier New" w:cs="Courier New" w:eastAsia="Courier New" w:hAnsi="Courier New"/>
                <w:sz w:val="14"/>
                <w:szCs w:val="14"/>
                <w:color w:val="auto"/>
              </w:rPr>
              <w:t>September</w:t>
            </w:r>
          </w:p>
        </w:tc>
        <w:tc>
          <w:tcPr>
            <w:tcW w:w="5200" w:type="dxa"/>
            <w:vAlign w:val="bottom"/>
          </w:tcPr>
          <w:p>
            <w:pPr>
              <w:spacing w:after="0"/>
              <w:rPr>
                <w:sz w:val="20"/>
                <w:szCs w:val="20"/>
                <w:color w:val="auto"/>
              </w:rPr>
            </w:pPr>
            <w:r>
              <w:rPr>
                <w:rFonts w:ascii="Courier New" w:cs="Courier New" w:eastAsia="Courier New" w:hAnsi="Courier New"/>
                <w:sz w:val="14"/>
                <w:szCs w:val="14"/>
                <w:color w:val="auto"/>
              </w:rPr>
              <w:t>30, 2000</w:t>
            </w:r>
          </w:p>
        </w:tc>
      </w:tr>
      <w:tr>
        <w:trPr>
          <w:trHeight w:val="501"/>
        </w:trPr>
        <w:tc>
          <w:tcPr>
            <w:tcW w:w="320" w:type="dxa"/>
            <w:vAlign w:val="bottom"/>
          </w:tcPr>
          <w:p>
            <w:pPr>
              <w:spacing w:after="0"/>
              <w:rPr>
                <w:sz w:val="24"/>
                <w:szCs w:val="24"/>
                <w:color w:val="auto"/>
              </w:rPr>
            </w:pPr>
          </w:p>
        </w:tc>
        <w:tc>
          <w:tcPr>
            <w:tcW w:w="3160" w:type="dxa"/>
            <w:vAlign w:val="bottom"/>
          </w:tcPr>
          <w:p>
            <w:pPr>
              <w:jc w:val="right"/>
              <w:ind w:right="21"/>
              <w:spacing w:after="0"/>
              <w:rPr>
                <w:sz w:val="20"/>
                <w:szCs w:val="20"/>
                <w:color w:val="auto"/>
              </w:rPr>
            </w:pPr>
            <w:r>
              <w:rPr>
                <w:rFonts w:ascii="Courier New" w:cs="Courier New" w:eastAsia="Courier New" w:hAnsi="Courier New"/>
                <w:sz w:val="14"/>
                <w:szCs w:val="14"/>
                <w:color w:val="auto"/>
              </w:rPr>
              <w:t>TABLE OF</w:t>
            </w:r>
          </w:p>
        </w:tc>
        <w:tc>
          <w:tcPr>
            <w:tcW w:w="5200" w:type="dxa"/>
            <w:vAlign w:val="bottom"/>
          </w:tcPr>
          <w:p>
            <w:pPr>
              <w:spacing w:after="0"/>
              <w:rPr>
                <w:sz w:val="20"/>
                <w:szCs w:val="20"/>
                <w:color w:val="auto"/>
              </w:rPr>
            </w:pPr>
            <w:r>
              <w:rPr>
                <w:rFonts w:ascii="Courier New" w:cs="Courier New" w:eastAsia="Courier New" w:hAnsi="Courier New"/>
                <w:sz w:val="14"/>
                <w:szCs w:val="14"/>
                <w:color w:val="auto"/>
              </w:rPr>
              <w:t>CONTENTS</w:t>
            </w:r>
          </w:p>
        </w:tc>
      </w:tr>
      <w:tr>
        <w:trPr>
          <w:trHeight w:val="835"/>
        </w:trPr>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4"/>
              </w:rPr>
              <w:t>1.</w:t>
            </w:r>
          </w:p>
        </w:tc>
        <w:tc>
          <w:tcPr>
            <w:tcW w:w="3160" w:type="dxa"/>
            <w:vAlign w:val="bottom"/>
          </w:tcPr>
          <w:p>
            <w:pPr>
              <w:jc w:val="right"/>
              <w:spacing w:after="0"/>
              <w:rPr>
                <w:sz w:val="20"/>
                <w:szCs w:val="20"/>
                <w:color w:val="auto"/>
              </w:rPr>
            </w:pPr>
            <w:r>
              <w:rPr>
                <w:rFonts w:ascii="Courier New" w:cs="Courier New" w:eastAsia="Courier New" w:hAnsi="Courier New"/>
                <w:sz w:val="8"/>
                <w:szCs w:val="8"/>
                <w:color w:val="auto"/>
                <w:w w:val="73"/>
              </w:rPr>
              <w:t>Debt Summary.............................................................................</w:t>
            </w:r>
          </w:p>
        </w:tc>
        <w:tc>
          <w:tcPr>
            <w:tcW w:w="5200" w:type="dxa"/>
            <w:vAlign w:val="bottom"/>
          </w:tcPr>
          <w:p>
            <w:pPr>
              <w:ind w:left="4940"/>
              <w:spacing w:after="0"/>
              <w:rPr>
                <w:sz w:val="20"/>
                <w:szCs w:val="20"/>
                <w:color w:val="auto"/>
              </w:rPr>
            </w:pPr>
            <w:r>
              <w:rPr>
                <w:rFonts w:ascii="Courier New" w:cs="Courier New" w:eastAsia="Courier New" w:hAnsi="Courier New"/>
                <w:sz w:val="14"/>
                <w:szCs w:val="14"/>
                <w:color w:val="auto"/>
                <w:w w:val="95"/>
              </w:rPr>
              <w:t>E-2</w:t>
            </w:r>
          </w:p>
        </w:tc>
      </w:tr>
      <w:tr>
        <w:trPr>
          <w:trHeight w:val="334"/>
        </w:trPr>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4"/>
              </w:rPr>
              <w:t>2.</w:t>
            </w:r>
          </w:p>
        </w:tc>
        <w:tc>
          <w:tcPr>
            <w:tcW w:w="3160" w:type="dxa"/>
            <w:vAlign w:val="bottom"/>
          </w:tcPr>
          <w:p>
            <w:pPr>
              <w:jc w:val="right"/>
              <w:ind w:right="2201"/>
              <w:spacing w:after="0"/>
              <w:rPr>
                <w:sz w:val="20"/>
                <w:szCs w:val="20"/>
                <w:color w:val="auto"/>
              </w:rPr>
            </w:pPr>
            <w:r>
              <w:rPr>
                <w:rFonts w:ascii="Courier New" w:cs="Courier New" w:eastAsia="Courier New" w:hAnsi="Courier New"/>
                <w:sz w:val="14"/>
                <w:szCs w:val="14"/>
                <w:color w:val="auto"/>
              </w:rPr>
              <w:t>Occupancy</w:t>
            </w:r>
          </w:p>
        </w:tc>
        <w:tc>
          <w:tcPr>
            <w:tcW w:w="5200" w:type="dxa"/>
            <w:vAlign w:val="bottom"/>
          </w:tcPr>
          <w:p>
            <w:pPr>
              <w:spacing w:after="0"/>
              <w:rPr>
                <w:sz w:val="24"/>
                <w:szCs w:val="24"/>
                <w:color w:val="auto"/>
              </w:rPr>
            </w:pPr>
          </w:p>
        </w:tc>
      </w:tr>
      <w:tr>
        <w:trPr>
          <w:trHeight w:val="167"/>
        </w:trPr>
        <w:tc>
          <w:tcPr>
            <w:tcW w:w="320" w:type="dxa"/>
            <w:vAlign w:val="bottom"/>
          </w:tcPr>
          <w:p>
            <w:pPr>
              <w:spacing w:after="0"/>
              <w:rPr>
                <w:sz w:val="14"/>
                <w:szCs w:val="14"/>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8"/>
                <w:szCs w:val="8"/>
                <w:color w:val="auto"/>
                <w:w w:val="77"/>
              </w:rPr>
              <w:t>Percentage Leased...................................................................</w:t>
            </w:r>
          </w:p>
        </w:tc>
        <w:tc>
          <w:tcPr>
            <w:tcW w:w="5200" w:type="dxa"/>
            <w:vAlign w:val="bottom"/>
          </w:tcPr>
          <w:p>
            <w:pPr>
              <w:ind w:left="4940"/>
              <w:spacing w:after="0"/>
              <w:rPr>
                <w:sz w:val="20"/>
                <w:szCs w:val="20"/>
                <w:color w:val="auto"/>
              </w:rPr>
            </w:pPr>
            <w:r>
              <w:rPr>
                <w:rFonts w:ascii="Courier New" w:cs="Courier New" w:eastAsia="Courier New" w:hAnsi="Courier New"/>
                <w:sz w:val="14"/>
                <w:szCs w:val="14"/>
                <w:color w:val="auto"/>
                <w:w w:val="95"/>
              </w:rPr>
              <w:t>E-3</w:t>
            </w:r>
          </w:p>
        </w:tc>
      </w:tr>
      <w:tr>
        <w:trPr>
          <w:trHeight w:val="167"/>
        </w:trPr>
        <w:tc>
          <w:tcPr>
            <w:tcW w:w="320" w:type="dxa"/>
            <w:vAlign w:val="bottom"/>
          </w:tcPr>
          <w:p>
            <w:pPr>
              <w:spacing w:after="0"/>
              <w:rPr>
                <w:sz w:val="14"/>
                <w:szCs w:val="14"/>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8"/>
                <w:szCs w:val="8"/>
                <w:color w:val="auto"/>
                <w:w w:val="77"/>
              </w:rPr>
              <w:t>Regional Breakdown..................................................................</w:t>
            </w:r>
          </w:p>
        </w:tc>
        <w:tc>
          <w:tcPr>
            <w:tcW w:w="5200" w:type="dxa"/>
            <w:vAlign w:val="bottom"/>
          </w:tcPr>
          <w:p>
            <w:pPr>
              <w:ind w:left="4940"/>
              <w:spacing w:after="0"/>
              <w:rPr>
                <w:sz w:val="20"/>
                <w:szCs w:val="20"/>
                <w:color w:val="auto"/>
              </w:rPr>
            </w:pPr>
            <w:r>
              <w:rPr>
                <w:rFonts w:ascii="Courier New" w:cs="Courier New" w:eastAsia="Courier New" w:hAnsi="Courier New"/>
                <w:sz w:val="14"/>
                <w:szCs w:val="14"/>
                <w:color w:val="auto"/>
                <w:w w:val="95"/>
              </w:rPr>
              <w:t>E-4</w:t>
            </w:r>
          </w:p>
        </w:tc>
      </w:tr>
    </w:tbl>
    <w:p>
      <w:pPr>
        <w:spacing w:after="0" w:line="171" w:lineRule="exact"/>
        <w:rPr>
          <w:sz w:val="20"/>
          <w:szCs w:val="20"/>
          <w:color w:val="auto"/>
        </w:rPr>
      </w:pPr>
    </w:p>
    <w:p>
      <w:pPr>
        <w:ind w:left="440" w:hanging="431"/>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spacing w:after="0"/>
              <w:rPr>
                <w:sz w:val="14"/>
                <w:szCs w:val="14"/>
                <w:color w:val="auto"/>
              </w:rPr>
            </w:pPr>
          </w:p>
        </w:tc>
        <w:tc>
          <w:tcPr>
            <w:tcW w:w="79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Comparable and Non-Comparable.......................................................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E-5</w:t>
            </w:r>
          </w:p>
        </w:tc>
      </w:tr>
      <w:tr>
        <w:trPr>
          <w:trHeight w:val="334"/>
        </w:trPr>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4"/>
              </w:rPr>
              <w:t>4.</w:t>
            </w:r>
          </w:p>
        </w:tc>
        <w:tc>
          <w:tcPr>
            <w:tcW w:w="680" w:type="dxa"/>
            <w:vAlign w:val="bottom"/>
          </w:tcPr>
          <w:p>
            <w:pPr>
              <w:ind w:left="120"/>
              <w:spacing w:after="0"/>
              <w:rPr>
                <w:sz w:val="20"/>
                <w:szCs w:val="20"/>
                <w:color w:val="auto"/>
              </w:rPr>
            </w:pPr>
            <w:r>
              <w:rPr>
                <w:rFonts w:ascii="Courier New" w:cs="Courier New" w:eastAsia="Courier New" w:hAnsi="Courier New"/>
                <w:sz w:val="14"/>
                <w:szCs w:val="14"/>
                <w:color w:val="auto"/>
              </w:rPr>
              <w:t>Street</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Retail Operating</w:t>
            </w:r>
          </w:p>
        </w:tc>
        <w:tc>
          <w:tcPr>
            <w:tcW w:w="5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&amp; Development Overview...........................................</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E-6</w:t>
            </w:r>
          </w:p>
        </w:tc>
      </w:tr>
      <w:tr>
        <w:trPr>
          <w:trHeight w:val="334"/>
        </w:trPr>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4"/>
              </w:rPr>
              <w:t>5.</w:t>
            </w:r>
          </w:p>
        </w:tc>
        <w:tc>
          <w:tcPr>
            <w:tcW w:w="79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Development Pipeline.....................................................................</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E-7</w:t>
            </w:r>
          </w:p>
        </w:tc>
      </w:tr>
      <w:tr>
        <w:trPr>
          <w:trHeight w:val="334"/>
        </w:trPr>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4"/>
              </w:rPr>
              <w:t>6.</w:t>
            </w:r>
          </w:p>
        </w:tc>
        <w:tc>
          <w:tcPr>
            <w:tcW w:w="680" w:type="dxa"/>
            <w:vAlign w:val="bottom"/>
          </w:tcPr>
          <w:p>
            <w:pPr>
              <w:ind w:left="120"/>
              <w:spacing w:after="0"/>
              <w:rPr>
                <w:sz w:val="20"/>
                <w:szCs w:val="20"/>
                <w:color w:val="auto"/>
              </w:rPr>
            </w:pPr>
            <w:r>
              <w:rPr>
                <w:rFonts w:ascii="Courier New" w:cs="Courier New" w:eastAsia="Courier New" w:hAnsi="Courier New"/>
                <w:sz w:val="14"/>
                <w:szCs w:val="14"/>
                <w:color w:val="auto"/>
              </w:rPr>
              <w:t>Second</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Quarter Earnings</w:t>
            </w:r>
          </w:p>
        </w:tc>
        <w:tc>
          <w:tcPr>
            <w:tcW w:w="5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Press Release, November 3, 2000..................................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E-8</w:t>
            </w:r>
          </w:p>
        </w:tc>
      </w:tr>
      <w:tr>
        <w:trPr>
          <w:trHeight w:val="334"/>
        </w:trPr>
        <w:tc>
          <w:tcPr>
            <w:tcW w:w="3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4"/>
              </w:rPr>
              <w:t>7.</w:t>
            </w:r>
          </w:p>
        </w:tc>
        <w:tc>
          <w:tcPr>
            <w:tcW w:w="79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Glossary of Terms........................................................................</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E-11</w:t>
            </w:r>
          </w:p>
        </w:tc>
      </w:tr>
    </w:tbl>
    <w:p>
      <w:pPr>
        <w:spacing w:after="0" w:line="200" w:lineRule="exact"/>
        <w:rPr>
          <w:sz w:val="20"/>
          <w:szCs w:val="20"/>
          <w:color w:val="auto"/>
        </w:rPr>
      </w:pPr>
    </w:p>
    <w:p>
      <w:pPr>
        <w:spacing w:after="0" w:line="30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Rockville, Maryland 20852-4041</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7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ANALYSIS (excluding capital leases and interest rate swaps)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Balance</w:t>
            </w: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Maturity</w:t>
            </w:r>
          </w:p>
        </w:tc>
        <w:tc>
          <w:tcPr>
            <w:tcW w:w="226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Rate</w:t>
            </w:r>
          </w:p>
        </w:tc>
        <w:tc>
          <w:tcPr>
            <w:tcW w:w="238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57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334"/>
        </w:trPr>
        <w:tc>
          <w:tcPr>
            <w:tcW w:w="574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8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Leesburg Plaza</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10/01/08</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6.10%</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$ 9,900</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Federal Plaza</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03/10/01</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8.95%</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26,805</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Tysons Station</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09/01/01</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9.875%</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4,009</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164 E Houston Street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10/06/08</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7.500%</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345</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Escondido (Municipal bonds)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10/01/16</w:t>
            </w:r>
          </w:p>
        </w:tc>
        <w:tc>
          <w:tcPr>
            <w:tcW w:w="226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Variable (a)</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9,400</w:t>
            </w: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$50,459</w:t>
            </w: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50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On October 23, 2000, the Trust placed a $152 million mortgage on five (5)</w:t>
            </w:r>
          </w:p>
        </w:tc>
        <w:tc>
          <w:tcPr>
            <w:tcW w:w="2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properties. The mortgage bears interest at 7.95% and matures on November 1,</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2015. The mortgage was placed as follows (in thousands):</w:t>
            </w: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Barracks Road</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$ 44,300</w:t>
            </w:r>
          </w:p>
        </w:tc>
        <w:tc>
          <w:tcPr>
            <w:tcW w:w="2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Hauppauge</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16,700</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Lawrence Park</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31,400</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Wildwood</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27,600</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Wynnewood</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32,000</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$152,000</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8"/>
        </w:trPr>
        <w:tc>
          <w:tcPr>
            <w:tcW w:w="574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8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Revolving credit facilities</w:t>
            </w:r>
          </w:p>
        </w:tc>
        <w:tc>
          <w:tcPr>
            <w:tcW w:w="820" w:type="dxa"/>
            <w:vAlign w:val="bottom"/>
          </w:tcPr>
          <w:p>
            <w:pPr>
              <w:spacing w:after="0"/>
              <w:rPr>
                <w:sz w:val="14"/>
                <w:szCs w:val="14"/>
                <w:color w:val="auto"/>
              </w:rPr>
            </w:pPr>
          </w:p>
        </w:tc>
        <w:tc>
          <w:tcPr>
            <w:tcW w:w="2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libor +.80%(b)</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$186,300</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Term note with banks</w:t>
            </w:r>
          </w:p>
        </w:tc>
        <w:tc>
          <w:tcPr>
            <w:tcW w:w="820" w:type="dxa"/>
            <w:vAlign w:val="bottom"/>
          </w:tcPr>
          <w:p>
            <w:pPr>
              <w:spacing w:after="0"/>
              <w:rPr>
                <w:sz w:val="14"/>
                <w:szCs w:val="14"/>
                <w:color w:val="auto"/>
              </w:rPr>
            </w:pPr>
          </w:p>
        </w:tc>
        <w:tc>
          <w:tcPr>
            <w:tcW w:w="2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libor +.95%(c)</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Construction loan on Woodmont East</w:t>
            </w: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{may be extended to 8/29/04}</w:t>
            </w:r>
          </w:p>
        </w:tc>
        <w:tc>
          <w:tcPr>
            <w:tcW w:w="308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08/29/02 libor + 1.35%</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12,747</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Note issued in connection with</w:t>
            </w: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renovation of Perring Plaza</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01/31/13</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2,528</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Note issued in connection with land purchase</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08/14/00</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libor + 1.5%</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3,400</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Other</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various</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various</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$330,091</w:t>
            </w: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5 1/4% Convertible subordinated</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04/30/02</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5.250%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289</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debentures</w:t>
            </w: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5 1/4% Convertible subordinated</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10/28/03</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5.250%</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debentures</w:t>
            </w: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8% Notes (fixed)</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04/21/02</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8.000%</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6.625% Notes (fixed)</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12/01/05</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6.625%</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7.48% Debentures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08/15/26</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7.480%</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6.82% Medium Term Notes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08/01/27</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6.820%</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6.74% Medium Term Notes (d)</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03/10/04</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6.370%</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39,500</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6.99% Medium Term Notes (d)</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03/10/06</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6.894%</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40,500</w:t>
            </w:r>
          </w:p>
        </w:tc>
        <w:tc>
          <w:tcPr>
            <w:tcW w:w="900" w:type="dxa"/>
            <w:vAlign w:val="bottom"/>
          </w:tcPr>
          <w:p>
            <w:pPr>
              <w:spacing w:after="0"/>
              <w:rPr>
                <w:sz w:val="14"/>
                <w:szCs w:val="14"/>
                <w:color w:val="auto"/>
              </w:rPr>
            </w:pPr>
          </w:p>
        </w:tc>
      </w:tr>
      <w:tr>
        <w:trPr>
          <w:trHeight w:val="167"/>
        </w:trPr>
        <w:tc>
          <w:tcPr>
            <w:tcW w:w="5740" w:type="dxa"/>
            <w:vAlign w:val="bottom"/>
          </w:tcPr>
          <w:p>
            <w:pPr>
              <w:ind w:left="1320"/>
              <w:spacing w:after="0"/>
              <w:rPr>
                <w:sz w:val="20"/>
                <w:szCs w:val="20"/>
                <w:color w:val="auto"/>
              </w:rPr>
            </w:pPr>
            <w:r>
              <w:rPr>
                <w:rFonts w:ascii="Courier New" w:cs="Courier New" w:eastAsia="Courier New" w:hAnsi="Courier New"/>
                <w:sz w:val="14"/>
                <w:szCs w:val="14"/>
                <w:color w:val="auto"/>
              </w:rPr>
              <w:t>8.75% Notes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12/01/09</w:t>
            </w:r>
          </w:p>
        </w:tc>
        <w:tc>
          <w:tcPr>
            <w:tcW w:w="226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8.750%</w:t>
            </w: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175,000</w:t>
            </w: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$485,289</w:t>
            </w:r>
          </w:p>
        </w:tc>
        <w:tc>
          <w:tcPr>
            <w:tcW w:w="900" w:type="dxa"/>
            <w:vAlign w:val="bottom"/>
          </w:tcPr>
          <w:p>
            <w:pPr>
              <w:spacing w:after="0"/>
              <w:rPr>
                <w:sz w:val="14"/>
                <w:szCs w:val="14"/>
                <w:color w:val="auto"/>
              </w:rPr>
            </w:pPr>
          </w:p>
        </w:tc>
      </w:tr>
      <w:tr>
        <w:trPr>
          <w:trHeight w:val="167"/>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334"/>
        </w:trPr>
        <w:tc>
          <w:tcPr>
            <w:tcW w:w="8820" w:type="dxa"/>
            <w:vAlign w:val="bottom"/>
            <w:gridSpan w:val="3"/>
          </w:tcPr>
          <w:p>
            <w:pPr>
              <w:ind w:left="4860"/>
              <w:spacing w:after="0"/>
              <w:rPr>
                <w:sz w:val="20"/>
                <w:szCs w:val="20"/>
                <w:color w:val="auto"/>
              </w:rPr>
            </w:pPr>
            <w:r>
              <w:rPr>
                <w:rFonts w:ascii="Courier New" w:cs="Courier New" w:eastAsia="Courier New" w:hAnsi="Courier New"/>
                <w:sz w:val="14"/>
                <w:szCs w:val="14"/>
                <w:color w:val="auto"/>
              </w:rPr>
              <w:t>Total fixed rate debt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$528,992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61.10%</w:t>
            </w:r>
          </w:p>
        </w:tc>
      </w:tr>
      <w:tr>
        <w:trPr>
          <w:trHeight w:val="334"/>
        </w:trPr>
        <w:tc>
          <w:tcPr>
            <w:tcW w:w="8820" w:type="dxa"/>
            <w:vAlign w:val="bottom"/>
            <w:gridSpan w:val="3"/>
          </w:tcPr>
          <w:p>
            <w:pPr>
              <w:ind w:left="4860"/>
              <w:spacing w:after="0"/>
              <w:rPr>
                <w:sz w:val="20"/>
                <w:szCs w:val="20"/>
                <w:color w:val="auto"/>
              </w:rPr>
            </w:pPr>
            <w:r>
              <w:rPr>
                <w:rFonts w:ascii="Courier New" w:cs="Courier New" w:eastAsia="Courier New" w:hAnsi="Courier New"/>
                <w:sz w:val="14"/>
                <w:szCs w:val="14"/>
                <w:color w:val="auto"/>
              </w:rPr>
              <w:t>Total variable rate debt</w:t>
            </w:r>
          </w:p>
        </w:tc>
        <w:tc>
          <w:tcPr>
            <w:tcW w:w="8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336,847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38.90%</w:t>
            </w:r>
          </w:p>
        </w:tc>
      </w:tr>
      <w:tr>
        <w:trPr>
          <w:trHeight w:val="167"/>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740" w:type="dxa"/>
            <w:vAlign w:val="bottom"/>
          </w:tcPr>
          <w:p>
            <w:pPr>
              <w:ind w:left="4860"/>
              <w:spacing w:after="0"/>
              <w:rPr>
                <w:sz w:val="20"/>
                <w:szCs w:val="20"/>
                <w:color w:val="auto"/>
              </w:rPr>
            </w:pPr>
            <w:r>
              <w:rPr>
                <w:rFonts w:ascii="Courier New" w:cs="Courier New" w:eastAsia="Courier New" w:hAnsi="Courier New"/>
                <w:sz w:val="14"/>
                <w:szCs w:val="14"/>
                <w:color w:val="auto"/>
              </w:rPr>
              <w:t>Total debt</w:t>
            </w:r>
          </w:p>
        </w:tc>
        <w:tc>
          <w:tcPr>
            <w:tcW w:w="8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$865,839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8820" w:type="dxa"/>
            <w:vAlign w:val="bottom"/>
            <w:gridSpan w:val="3"/>
          </w:tcPr>
          <w:p>
            <w:pPr>
              <w:ind w:left="4860"/>
              <w:spacing w:after="0"/>
              <w:rPr>
                <w:sz w:val="20"/>
                <w:szCs w:val="20"/>
                <w:color w:val="auto"/>
              </w:rPr>
            </w:pPr>
            <w:r>
              <w:rPr>
                <w:rFonts w:ascii="Courier New" w:cs="Courier New" w:eastAsia="Courier New" w:hAnsi="Courier New"/>
                <w:sz w:val="14"/>
                <w:szCs w:val="14"/>
                <w:color w:val="auto"/>
              </w:rPr>
              <w:t>Weighted average interest rate:</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8820" w:type="dxa"/>
            <w:vAlign w:val="bottom"/>
            <w:gridSpan w:val="3"/>
          </w:tcPr>
          <w:p>
            <w:pPr>
              <w:ind w:left="48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6560" w:type="dxa"/>
            <w:vAlign w:val="bottom"/>
            <w:gridSpan w:val="2"/>
          </w:tcPr>
          <w:p>
            <w:pPr>
              <w:ind w:left="5040"/>
              <w:spacing w:after="0"/>
              <w:rPr>
                <w:sz w:val="20"/>
                <w:szCs w:val="20"/>
                <w:color w:val="auto"/>
              </w:rPr>
            </w:pPr>
            <w:r>
              <w:rPr>
                <w:rFonts w:ascii="Courier New" w:cs="Courier New" w:eastAsia="Courier New" w:hAnsi="Courier New"/>
                <w:sz w:val="14"/>
                <w:szCs w:val="14"/>
                <w:color w:val="auto"/>
              </w:rPr>
              <w:t>Fixed rate debt</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7.44%</w:t>
            </w:r>
          </w:p>
        </w:tc>
        <w:tc>
          <w:tcPr>
            <w:tcW w:w="900" w:type="dxa"/>
            <w:vAlign w:val="bottom"/>
          </w:tcPr>
          <w:p>
            <w:pPr>
              <w:spacing w:after="0"/>
              <w:rPr>
                <w:sz w:val="14"/>
                <w:szCs w:val="14"/>
                <w:color w:val="auto"/>
              </w:rPr>
            </w:pPr>
          </w:p>
        </w:tc>
      </w:tr>
      <w:tr>
        <w:trPr>
          <w:trHeight w:val="167"/>
        </w:trPr>
        <w:tc>
          <w:tcPr>
            <w:tcW w:w="8820" w:type="dxa"/>
            <w:vAlign w:val="bottom"/>
            <w:gridSpan w:val="3"/>
          </w:tcPr>
          <w:p>
            <w:pPr>
              <w:ind w:left="5040"/>
              <w:spacing w:after="0"/>
              <w:rPr>
                <w:sz w:val="20"/>
                <w:szCs w:val="20"/>
                <w:color w:val="auto"/>
              </w:rPr>
            </w:pPr>
            <w:r>
              <w:rPr>
                <w:rFonts w:ascii="Courier New" w:cs="Courier New" w:eastAsia="Courier New" w:hAnsi="Courier New"/>
                <w:sz w:val="14"/>
                <w:szCs w:val="14"/>
                <w:color w:val="auto"/>
              </w:rPr>
              <w:t>Variable on revolving credit facilities</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6560" w:type="dxa"/>
            <w:vAlign w:val="bottom"/>
            <w:gridSpan w:val="2"/>
          </w:tcPr>
          <w:p>
            <w:pPr>
              <w:ind w:left="5040"/>
              <w:spacing w:after="0"/>
              <w:rPr>
                <w:sz w:val="20"/>
                <w:szCs w:val="20"/>
                <w:color w:val="auto"/>
              </w:rPr>
            </w:pPr>
            <w:r>
              <w:rPr>
                <w:rFonts w:ascii="Courier New" w:cs="Courier New" w:eastAsia="Courier New" w:hAnsi="Courier New"/>
                <w:sz w:val="14"/>
                <w:szCs w:val="14"/>
                <w:color w:val="auto"/>
              </w:rPr>
              <w:t>and term note</w:t>
            </w: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7.01%</w:t>
            </w:r>
          </w:p>
        </w:tc>
        <w:tc>
          <w:tcPr>
            <w:tcW w:w="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w:t>
            </w:r>
          </w:p>
        </w:tc>
      </w:tr>
      <w:tr>
        <w:trPr>
          <w:trHeight w:val="167"/>
        </w:trPr>
        <w:tc>
          <w:tcPr>
            <w:tcW w:w="8820" w:type="dxa"/>
            <w:vAlign w:val="bottom"/>
            <w:gridSpan w:val="3"/>
          </w:tcPr>
          <w:p>
            <w:pPr>
              <w:ind w:left="5040"/>
              <w:spacing w:after="0"/>
              <w:rPr>
                <w:sz w:val="20"/>
                <w:szCs w:val="20"/>
                <w:color w:val="auto"/>
              </w:rPr>
            </w:pPr>
            <w:r>
              <w:rPr>
                <w:rFonts w:ascii="Courier New" w:cs="Courier New" w:eastAsia="Courier New" w:hAnsi="Courier New"/>
                <w:sz w:val="14"/>
                <w:szCs w:val="14"/>
                <w:color w:val="auto"/>
              </w:rPr>
              <w:t>Variable on muncipal bonds</w:t>
            </w:r>
          </w:p>
        </w:tc>
        <w:tc>
          <w:tcPr>
            <w:tcW w:w="82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w:t>
            </w:r>
          </w:p>
        </w:tc>
        <w:tc>
          <w:tcPr>
            <w:tcW w:w="900" w:type="dxa"/>
            <w:vAlign w:val="bottom"/>
          </w:tcPr>
          <w:p>
            <w:pPr>
              <w:spacing w:after="0"/>
              <w:rPr>
                <w:sz w:val="14"/>
                <w:szCs w:val="14"/>
                <w:color w:val="auto"/>
              </w:rPr>
            </w:pPr>
          </w:p>
        </w:tc>
      </w:tr>
    </w:tbl>
    <w:p>
      <w:pPr>
        <w:spacing w:after="0" w:line="338" w:lineRule="exact"/>
        <w:rPr>
          <w:sz w:val="20"/>
          <w:szCs w:val="20"/>
          <w:color w:val="auto"/>
        </w:rPr>
      </w:pPr>
    </w:p>
    <w:p>
      <w:pPr>
        <w:jc w:val="both"/>
        <w:ind w:left="360" w:right="4760" w:hanging="351"/>
        <w:spacing w:after="0" w:line="252"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w:t>
      </w:r>
    </w:p>
    <w:p>
      <w:pPr>
        <w:spacing w:after="0" w:line="1" w:lineRule="exact"/>
        <w:rPr>
          <w:rFonts w:ascii="Courier New" w:cs="Courier New" w:eastAsia="Courier New" w:hAnsi="Courier New"/>
          <w:sz w:val="14"/>
          <w:szCs w:val="14"/>
          <w:color w:val="auto"/>
        </w:rPr>
      </w:pPr>
    </w:p>
    <w:p>
      <w:pPr>
        <w:ind w:left="360" w:right="4420" w:hanging="351"/>
        <w:spacing w:after="0" w:line="252"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July 17, 2000 interest rate increased to LIBOR + .80% from LIBOR +.65%</w:t>
      </w:r>
    </w:p>
    <w:p>
      <w:pPr>
        <w:ind w:left="360" w:right="4420" w:hanging="351"/>
        <w:spacing w:after="0" w:line="252"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July 17, 2000 interest rate increased to LIBOR + .95% from LIBOR +.75%</w:t>
      </w:r>
    </w:p>
    <w:p>
      <w:pPr>
        <w:ind w:left="360" w:right="4500" w:hanging="351"/>
        <w:spacing w:after="0" w:line="252"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or hedges on these notes, thereby decreasing the effective interest.</w:t>
      </w:r>
    </w:p>
    <w:p>
      <w:pPr>
        <w:ind w:left="360" w:right="4340" w:hanging="351"/>
        <w:spacing w:after="0" w:line="258"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and term note for nine months ended September 30, 2000.</w:t>
      </w:r>
    </w:p>
    <w:p>
      <w:pPr>
        <w:sectPr>
          <w:pgSz w:w="11900" w:h="16838" w:orient="portrait"/>
          <w:cols w:equalWidth="0" w:num="1">
            <w:col w:w="11200"/>
          </w:cols>
          <w:pgMar w:left="220" w:top="453" w:right="479" w:bottom="291"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Overall Operating Occupancy</w:t>
      </w:r>
    </w:p>
    <w:p>
      <w:pPr>
        <w:sectPr>
          <w:pgSz w:w="11900" w:h="16838" w:orient="portrait"/>
          <w:cols w:equalWidth="0" w:num="1">
            <w:col w:w="11120"/>
          </w:cols>
          <w:pgMar w:left="220" w:top="620" w:right="559" w:bottom="1440" w:gutter="0" w:footer="0" w:header="0"/>
        </w:sectPr>
      </w:pP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(Quarter to Quarter Analysis)</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Courier New" w:cs="Courier New" w:eastAsia="Courier New" w:hAnsi="Courier New"/>
          <w:sz w:val="14"/>
          <w:szCs w:val="14"/>
          <w:color w:val="auto"/>
        </w:rPr>
        <w:t>At September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At September 30,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3200" w:space="720"/>
            <w:col w:w="3460" w:space="260"/>
            <w:col w:w="3480"/>
          </w:cols>
          <w:pgMar w:left="220" w:top="620" w:right="559"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Type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Size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Courier New" w:cs="Courier New" w:eastAsia="Courier New" w:hAnsi="Courier New"/>
          <w:sz w:val="14"/>
          <w:szCs w:val="14"/>
          <w:color w:val="auto"/>
        </w:rPr>
        <w:t>Leased Occupancy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Size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1020" w:val="left"/>
        </w:tabs>
        <w:rPr>
          <w:sz w:val="20"/>
          <w:szCs w:val="20"/>
          <w:color w:val="auto"/>
        </w:rPr>
      </w:pP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8" w:lineRule="exact"/>
        <w:rPr>
          <w:sz w:val="20"/>
          <w:szCs w:val="20"/>
          <w:color w:val="auto"/>
        </w:rPr>
      </w:pPr>
    </w:p>
    <w:p>
      <w:pPr>
        <w:ind w:left="80"/>
        <w:spacing w:after="0"/>
        <w:tabs>
          <w:tab w:leader="none" w:pos="112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ectPr>
          <w:pgSz w:w="11900" w:h="16838" w:orient="portrait"/>
          <w:cols w:equalWidth="0" w:num="5">
            <w:col w:w="3360" w:space="720"/>
            <w:col w:w="880" w:space="440"/>
            <w:col w:w="2160" w:space="260"/>
            <w:col w:w="780" w:space="260"/>
            <w:col w:w="2260"/>
          </w:cols>
          <w:pgMar w:left="220" w:top="620"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13,929,402</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13,397,528</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14,348,626</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13,658,207</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38" w:orient="portrait"/>
          <w:cols w:equalWidth="0" w:num="7">
            <w:col w:w="3480" w:space="440"/>
            <w:col w:w="860" w:space="440"/>
            <w:col w:w="860" w:space="440"/>
            <w:col w:w="400" w:space="720"/>
            <w:col w:w="880" w:space="260"/>
            <w:col w:w="860" w:space="440"/>
            <w:col w:w="1040"/>
          </w:cols>
          <w:pgMar w:left="220" w:top="620"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Overall Operating Occupancy</w:t>
      </w:r>
    </w:p>
    <w:p>
      <w:pPr>
        <w:sectPr>
          <w:pgSz w:w="11900" w:h="16838" w:orient="portrait"/>
          <w:cols w:equalWidth="0" w:num="1">
            <w:col w:w="11120"/>
          </w:cols>
          <w:pgMar w:left="220" w:top="620" w:right="559" w:bottom="1440" w:gutter="0" w:footer="0" w:header="0"/>
          <w:type w:val="continuous"/>
        </w:sectPr>
      </w:pP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Courier New" w:cs="Courier New" w:eastAsia="Courier New" w:hAnsi="Courier New"/>
          <w:sz w:val="14"/>
          <w:szCs w:val="14"/>
          <w:color w:val="auto"/>
        </w:rPr>
        <w:t>At September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4"/>
          <w:szCs w:val="14"/>
          <w:color w:val="auto"/>
        </w:rPr>
        <w:t>At June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3200" w:space="720"/>
            <w:col w:w="3460" w:space="260"/>
            <w:col w:w="3480"/>
          </w:cols>
          <w:pgMar w:left="220" w:top="620" w:right="559"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Type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Size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Courier New" w:cs="Courier New" w:eastAsia="Courier New" w:hAnsi="Courier New"/>
          <w:sz w:val="14"/>
          <w:szCs w:val="14"/>
          <w:color w:val="auto"/>
        </w:rPr>
        <w:t>Leased Occupancy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Size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1020" w:val="left"/>
        </w:tabs>
        <w:rPr>
          <w:sz w:val="20"/>
          <w:szCs w:val="20"/>
          <w:color w:val="auto"/>
        </w:rPr>
      </w:pP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8" w:lineRule="exact"/>
        <w:rPr>
          <w:sz w:val="20"/>
          <w:szCs w:val="20"/>
          <w:color w:val="auto"/>
        </w:rPr>
      </w:pPr>
    </w:p>
    <w:p>
      <w:pPr>
        <w:ind w:left="80"/>
        <w:spacing w:after="0"/>
        <w:tabs>
          <w:tab w:leader="none" w:pos="112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ectPr>
          <w:pgSz w:w="11900" w:h="16838" w:orient="portrait"/>
          <w:cols w:equalWidth="0" w:num="5">
            <w:col w:w="3360" w:space="720"/>
            <w:col w:w="960" w:space="360"/>
            <w:col w:w="2160" w:space="260"/>
            <w:col w:w="780" w:space="260"/>
            <w:col w:w="2260"/>
          </w:cols>
          <w:pgMar w:left="220" w:top="620"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13,929,402</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13,397,528</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14,179,596</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13,619,718</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w:t>
      </w:r>
    </w:p>
    <w:p>
      <w:pPr>
        <w:spacing w:after="0" w:line="200" w:lineRule="exact"/>
        <w:rPr>
          <w:sz w:val="20"/>
          <w:szCs w:val="20"/>
          <w:color w:val="auto"/>
        </w:rPr>
      </w:pPr>
    </w:p>
    <w:p>
      <w:pPr>
        <w:sectPr>
          <w:pgSz w:w="11900" w:h="16838" w:orient="portrait"/>
          <w:cols w:equalWidth="0" w:num="7">
            <w:col w:w="3480" w:space="440"/>
            <w:col w:w="860" w:space="440"/>
            <w:col w:w="860" w:space="620"/>
            <w:col w:w="340" w:space="600"/>
            <w:col w:w="880" w:space="260"/>
            <w:col w:w="860" w:space="520"/>
            <w:col w:w="960"/>
          </w:cols>
          <w:pgMar w:left="220" w:top="620" w:right="559" w:bottom="1440" w:gutter="0" w:footer="0" w:header="0"/>
          <w:type w:val="continuous"/>
        </w:sectPr>
      </w:pPr>
    </w:p>
    <w:p>
      <w:pPr>
        <w:spacing w:after="0" w:line="1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Overall Operating Occupancy</w:t>
      </w:r>
    </w:p>
    <w:p>
      <w:pPr>
        <w:sectPr>
          <w:pgSz w:w="11900" w:h="16838" w:orient="portrait"/>
          <w:cols w:equalWidth="0" w:num="1">
            <w:col w:w="11120"/>
          </w:cols>
          <w:pgMar w:left="220" w:top="620" w:right="559" w:bottom="1440" w:gutter="0" w:footer="0" w:header="0"/>
          <w:type w:val="continuous"/>
        </w:sectPr>
      </w:pP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At March 31, 2000</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At December 31,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3280" w:space="720"/>
            <w:col w:w="3380" w:space="360"/>
            <w:col w:w="3380"/>
          </w:cols>
          <w:pgMar w:left="220" w:top="620" w:right="559"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Type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Size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hanging="86"/>
        <w:spacing w:after="0" w:line="258" w:lineRule="auto"/>
        <w:rPr>
          <w:sz w:val="20"/>
          <w:szCs w:val="20"/>
          <w:color w:val="auto"/>
        </w:rPr>
      </w:pPr>
      <w:r>
        <w:rPr>
          <w:rFonts w:ascii="Courier New" w:cs="Courier New" w:eastAsia="Courier New" w:hAnsi="Courier New"/>
          <w:sz w:val="14"/>
          <w:szCs w:val="14"/>
          <w:color w:val="auto"/>
        </w:rPr>
        <w:t>Leased</w:t>
      </w:r>
      <w:r>
        <w:rPr>
          <w:sz w:val="20"/>
          <w:szCs w:val="20"/>
          <w:color w:val="auto"/>
        </w:rPr>
        <w:t xml:space="preserve"> </w:t>
      </w:r>
      <w:r>
        <w:rPr>
          <w:rFonts w:ascii="Courier New" w:cs="Courier New" w:eastAsia="Courier New" w:hAnsi="Courier New"/>
          <w:sz w:val="14"/>
          <w:szCs w:val="14"/>
          <w:color w:val="auto"/>
        </w:rPr>
        <w:t>Occupancy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Size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8" w:lineRule="exact"/>
        <w:rPr>
          <w:sz w:val="20"/>
          <w:szCs w:val="20"/>
          <w:color w:val="auto"/>
        </w:rPr>
      </w:pPr>
    </w:p>
    <w:p>
      <w:pPr>
        <w:ind w:left="100"/>
        <w:spacing w:after="0"/>
        <w:tabs>
          <w:tab w:leader="none" w:pos="112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ectPr>
          <w:pgSz w:w="11900" w:h="16838" w:orient="portrait"/>
          <w:cols w:equalWidth="0" w:num="5">
            <w:col w:w="3360" w:space="720"/>
            <w:col w:w="960" w:space="360"/>
            <w:col w:w="2160" w:space="260"/>
            <w:col w:w="960" w:space="160"/>
            <w:col w:w="2180"/>
          </w:cols>
          <w:pgMar w:left="220" w:top="620"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14,171,079</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13,506,203</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14,037,093</w:t>
      </w:r>
    </w:p>
    <w:p>
      <w:pPr>
        <w:spacing w:after="0" w:line="8"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13,494,066</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7">
            <w:col w:w="3480" w:space="520"/>
            <w:col w:w="860" w:space="360"/>
            <w:col w:w="860" w:space="700"/>
            <w:col w:w="340" w:space="620"/>
            <w:col w:w="940" w:space="180"/>
            <w:col w:w="960" w:space="440"/>
            <w:col w:w="860"/>
          </w:cols>
          <w:pgMar w:left="220" w:top="620" w:right="55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120"/>
          </w:cols>
          <w:pgMar w:left="220" w:top="620" w:right="559" w:bottom="144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(Quarter to Quarter Comparison)</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At September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Courier New" w:cs="Courier New" w:eastAsia="Courier New" w:hAnsi="Courier New"/>
          <w:sz w:val="14"/>
          <w:szCs w:val="14"/>
          <w:color w:val="auto"/>
        </w:rPr>
        <w:t>At September 30,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3200" w:space="720"/>
            <w:col w:w="3120" w:space="340"/>
            <w:col w:w="3740"/>
          </w:cols>
          <w:pgMar w:left="220" w:top="620" w:right="559"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Type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Size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ind w:hanging="172"/>
        <w:spacing w:after="0" w:line="258"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Size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7">
            <w:col w:w="3360" w:space="720"/>
            <w:col w:w="880" w:space="260"/>
            <w:col w:w="860" w:space="260"/>
            <w:col w:w="960" w:space="260"/>
            <w:col w:w="860" w:space="360"/>
            <w:col w:w="860" w:space="180"/>
            <w:col w:w="1300"/>
          </w:cols>
          <w:pgMar w:left="220" w:top="620"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13,563,527</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13,038,704</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13,544,498</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13,010,974</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38" w:orient="portrait"/>
          <w:cols w:equalWidth="0" w:num="7">
            <w:col w:w="3480" w:space="440"/>
            <w:col w:w="860" w:space="260"/>
            <w:col w:w="880" w:space="520"/>
            <w:col w:w="340" w:space="600"/>
            <w:col w:w="880" w:space="340"/>
            <w:col w:w="860" w:space="620"/>
            <w:col w:w="1040"/>
          </w:cols>
          <w:pgMar w:left="220" w:top="620"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120"/>
          </w:cols>
          <w:pgMar w:left="220" w:top="620" w:right="559" w:bottom="1440" w:gutter="0" w:footer="0" w:header="0"/>
          <w:type w:val="continuous"/>
        </w:sectPr>
      </w:pP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At September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Courier New" w:cs="Courier New" w:eastAsia="Courier New" w:hAnsi="Courier New"/>
          <w:sz w:val="14"/>
          <w:szCs w:val="14"/>
          <w:color w:val="auto"/>
        </w:rPr>
        <w:t>At June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3200" w:space="720"/>
            <w:col w:w="3120" w:space="340"/>
            <w:col w:w="3740"/>
          </w:cols>
          <w:pgMar w:left="220" w:top="620" w:right="559" w:bottom="1440" w:gutter="0" w:footer="0" w:header="0"/>
          <w:type w:val="continuous"/>
        </w:sectPr>
      </w:pPr>
    </w:p>
    <w:p>
      <w:pPr>
        <w:ind w:left="1400"/>
        <w:spacing w:after="0"/>
        <w:rPr>
          <w:sz w:val="20"/>
          <w:szCs w:val="20"/>
          <w:color w:val="auto"/>
        </w:rPr>
      </w:pPr>
      <w:r>
        <w:rPr>
          <w:rFonts w:ascii="Courier New" w:cs="Courier New" w:eastAsia="Courier New" w:hAnsi="Courier New"/>
          <w:sz w:val="14"/>
          <w:szCs w:val="14"/>
          <w:color w:val="auto"/>
        </w:rPr>
        <w:t>Type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firstLine="87"/>
        <w:spacing w:after="0" w:line="258" w:lineRule="auto"/>
        <w:rPr>
          <w:sz w:val="20"/>
          <w:szCs w:val="20"/>
          <w:color w:val="auto"/>
        </w:rPr>
      </w:pPr>
      <w:r>
        <w:rPr>
          <w:rFonts w:ascii="Courier New" w:cs="Courier New" w:eastAsia="Courier New" w:hAnsi="Courier New"/>
          <w:sz w:val="14"/>
          <w:szCs w:val="14"/>
          <w:color w:val="auto"/>
        </w:rPr>
        <w:t>Size Leased ---------- ----------</w:t>
      </w:r>
    </w:p>
    <w:p>
      <w:pPr>
        <w:spacing w:after="0" w:line="20" w:lineRule="exact"/>
        <w:rPr>
          <w:sz w:val="20"/>
          <w:szCs w:val="20"/>
          <w:color w:val="auto"/>
        </w:rPr>
      </w:pPr>
      <w:r>
        <w:rPr>
          <w:sz w:val="20"/>
          <w:szCs w:val="20"/>
          <w:color w:val="auto"/>
        </w:rPr>
        <w:br w:type="column"/>
      </w:r>
    </w:p>
    <w:p>
      <w:pPr>
        <w:ind w:hanging="86"/>
        <w:spacing w:after="0" w:line="258"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Size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tabs>
          <w:tab w:leader="none" w:pos="1020" w:val="left"/>
        </w:tabs>
        <w:rPr>
          <w:sz w:val="20"/>
          <w:szCs w:val="20"/>
          <w:color w:val="auto"/>
        </w:rPr>
      </w:pP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8"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sectPr>
          <w:pgSz w:w="11900" w:h="16838" w:orient="portrait"/>
          <w:cols w:equalWidth="0" w:num="5">
            <w:col w:w="3400" w:space="680"/>
            <w:col w:w="1920" w:space="260"/>
            <w:col w:w="960" w:space="340"/>
            <w:col w:w="960" w:space="260"/>
            <w:col w:w="2340"/>
          </w:cols>
          <w:pgMar w:left="220" w:top="620"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both"/>
        <w:spacing w:after="0"/>
        <w:tabs>
          <w:tab w:leader="none" w:pos="1020" w:val="left"/>
        </w:tabs>
        <w:rPr>
          <w:sz w:val="20"/>
          <w:szCs w:val="20"/>
          <w:color w:val="auto"/>
        </w:rPr>
      </w:pPr>
      <w:r>
        <w:rPr>
          <w:rFonts w:ascii="Courier New" w:cs="Courier New" w:eastAsia="Courier New" w:hAnsi="Courier New"/>
          <w:sz w:val="14"/>
          <w:szCs w:val="14"/>
          <w:color w:val="auto"/>
        </w:rPr>
        <w:t>13,563,527</w:t>
        <w:tab/>
        <w:t>13,038,704</w:t>
      </w:r>
    </w:p>
    <w:p>
      <w:pPr>
        <w:spacing w:after="0" w:line="8" w:lineRule="exact"/>
        <w:rPr>
          <w:sz w:val="20"/>
          <w:szCs w:val="20"/>
          <w:color w:val="auto"/>
        </w:rPr>
      </w:pPr>
    </w:p>
    <w:p>
      <w:pPr>
        <w:jc w:val="both"/>
        <w:ind w:left="600"/>
        <w:spacing w:after="0"/>
        <w:tabs>
          <w:tab w:leader="none" w:pos="1620" w:val="left"/>
        </w:tabs>
        <w:rPr>
          <w:sz w:val="20"/>
          <w:szCs w:val="20"/>
          <w:color w:val="auto"/>
        </w:rPr>
      </w:pPr>
      <w:r>
        <w:rPr>
          <w:rFonts w:ascii="Courier New" w:cs="Courier New" w:eastAsia="Courier New" w:hAnsi="Courier New"/>
          <w:sz w:val="14"/>
          <w:szCs w:val="14"/>
          <w:color w:val="auto"/>
        </w:rPr>
        <w:t>282</w:t>
      </w:r>
      <w:r>
        <w:rPr>
          <w:sz w:val="20"/>
          <w:szCs w:val="20"/>
          <w:color w:val="auto"/>
        </w:rPr>
        <w:tab/>
      </w: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14,074,930</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13,521,971</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w:t>
      </w:r>
    </w:p>
    <w:p>
      <w:pPr>
        <w:spacing w:after="0" w:line="200" w:lineRule="exact"/>
        <w:rPr>
          <w:sz w:val="20"/>
          <w:szCs w:val="20"/>
          <w:color w:val="auto"/>
        </w:rPr>
      </w:pPr>
    </w:p>
    <w:p>
      <w:pPr>
        <w:sectPr>
          <w:pgSz w:w="11900" w:h="16838" w:orient="portrait"/>
          <w:cols w:equalWidth="0" w:num="6">
            <w:col w:w="3480" w:space="440"/>
            <w:col w:w="1900" w:space="520"/>
            <w:col w:w="420" w:space="720"/>
            <w:col w:w="860" w:space="340"/>
            <w:col w:w="880" w:space="600"/>
            <w:col w:w="960"/>
          </w:cols>
          <w:pgMar w:left="220" w:top="620" w:right="559" w:bottom="1440" w:gutter="0" w:footer="0" w:header="0"/>
          <w:type w:val="continuous"/>
        </w:sectPr>
      </w:pPr>
    </w:p>
    <w:p>
      <w:pPr>
        <w:spacing w:after="0" w:line="14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120"/>
          </w:cols>
          <w:pgMar w:left="220" w:top="620" w:right="559" w:bottom="1440" w:gutter="0" w:footer="0" w:header="0"/>
          <w:type w:val="continuous"/>
        </w:sectPr>
      </w:pP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4"/>
          <w:szCs w:val="14"/>
          <w:color w:val="auto"/>
        </w:rPr>
        <w:t>At March 31,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At December 31,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3200" w:space="720"/>
            <w:col w:w="2940" w:space="360"/>
            <w:col w:w="3900"/>
          </w:cols>
          <w:pgMar w:left="220" w:top="620" w:right="559" w:bottom="1440" w:gutter="0" w:footer="0" w:header="0"/>
          <w:type w:val="continuous"/>
        </w:sectPr>
      </w:pPr>
    </w:p>
    <w:p>
      <w:pPr>
        <w:ind w:left="1660"/>
        <w:spacing w:after="0"/>
        <w:rPr>
          <w:sz w:val="20"/>
          <w:szCs w:val="20"/>
          <w:color w:val="auto"/>
        </w:rPr>
      </w:pPr>
      <w:r>
        <w:rPr>
          <w:rFonts w:ascii="Courier New" w:cs="Courier New" w:eastAsia="Courier New" w:hAnsi="Courier New"/>
          <w:sz w:val="14"/>
          <w:szCs w:val="14"/>
          <w:color w:val="auto"/>
        </w:rPr>
        <w:t>Type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Size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Courier New" w:cs="Courier New" w:eastAsia="Courier New" w:hAnsi="Courier New"/>
          <w:sz w:val="14"/>
          <w:szCs w:val="14"/>
          <w:color w:val="auto"/>
        </w:rPr>
        <w:t>Leased Occupancy -----------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Size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520"/>
        <w:spacing w:after="0" w:line="258" w:lineRule="auto"/>
        <w:rPr>
          <w:sz w:val="20"/>
          <w:szCs w:val="20"/>
          <w:color w:val="auto"/>
        </w:rPr>
      </w:pPr>
      <w:r>
        <w:rPr>
          <w:rFonts w:ascii="Courier New" w:cs="Courier New" w:eastAsia="Courier New" w:hAnsi="Courier New"/>
          <w:sz w:val="14"/>
          <w:szCs w:val="14"/>
          <w:color w:val="auto"/>
        </w:rPr>
        <w:t>Leased Occupancy ---------- -------------</w:t>
      </w:r>
    </w:p>
    <w:p>
      <w:pPr>
        <w:spacing w:after="0" w:line="160" w:lineRule="exact"/>
        <w:rPr>
          <w:sz w:val="20"/>
          <w:szCs w:val="20"/>
          <w:color w:val="auto"/>
        </w:rPr>
      </w:pPr>
    </w:p>
    <w:p>
      <w:pPr>
        <w:sectPr>
          <w:pgSz w:w="11900" w:h="16838" w:orient="portrait"/>
          <w:cols w:equalWidth="0" w:num="5">
            <w:col w:w="3400" w:space="600"/>
            <w:col w:w="780" w:space="260"/>
            <w:col w:w="2000" w:space="340"/>
            <w:col w:w="780" w:space="260"/>
            <w:col w:w="2700"/>
          </w:cols>
          <w:pgMar w:left="220" w:top="620"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14,066,413</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13,418,914</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13,865,499</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13,345,911</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7">
            <w:col w:w="3480" w:space="440"/>
            <w:col w:w="860" w:space="260"/>
            <w:col w:w="880" w:space="340"/>
            <w:col w:w="340" w:space="520"/>
            <w:col w:w="880" w:space="260"/>
            <w:col w:w="860" w:space="600"/>
            <w:col w:w="1400"/>
          </w:cols>
          <w:pgMar w:left="220" w:top="620" w:right="559"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16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Total Square</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2000" w:type="dxa"/>
            <w:vAlign w:val="bottom"/>
          </w:tcPr>
          <w:p>
            <w:pPr>
              <w:ind w:left="520"/>
              <w:spacing w:after="0"/>
              <w:rPr>
                <w:sz w:val="20"/>
                <w:szCs w:val="20"/>
                <w:color w:val="auto"/>
              </w:rPr>
            </w:pPr>
            <w:r>
              <w:rPr>
                <w:rFonts w:ascii="Courier New" w:cs="Courier New" w:eastAsia="Courier New" w:hAnsi="Courier New"/>
                <w:sz w:val="14"/>
                <w:szCs w:val="14"/>
                <w:color w:val="auto"/>
              </w:rPr>
              <w:t>Region</w:t>
            </w:r>
          </w:p>
        </w:tc>
        <w:tc>
          <w:tcPr>
            <w:tcW w:w="16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Footage</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09/30/00</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7,058,808</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96%</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5,914,162</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96%</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956,432</w:t>
            </w:r>
          </w:p>
        </w:tc>
        <w:tc>
          <w:tcPr>
            <w:tcW w:w="1240" w:type="dxa"/>
            <w:vAlign w:val="bottom"/>
          </w:tcPr>
          <w:p>
            <w:pPr>
              <w:jc w:val="center"/>
              <w:spacing w:after="0"/>
              <w:rPr>
                <w:sz w:val="20"/>
                <w:szCs w:val="20"/>
                <w:color w:val="auto"/>
              </w:rPr>
            </w:pPr>
            <w:r>
              <w:rPr>
                <w:rFonts w:ascii="Courier New" w:cs="Courier New" w:eastAsia="Courier New" w:hAnsi="Courier New"/>
                <w:sz w:val="14"/>
                <w:szCs w:val="14"/>
                <w:color w:val="auto"/>
              </w:rPr>
              <w:t>97%</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Square</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Occupancy</w:t>
            </w:r>
          </w:p>
        </w:tc>
      </w:tr>
      <w:tr>
        <w:trPr>
          <w:trHeight w:val="167"/>
        </w:trPr>
        <w:tc>
          <w:tcPr>
            <w:tcW w:w="2000" w:type="dxa"/>
            <w:vAlign w:val="bottom"/>
          </w:tcPr>
          <w:p>
            <w:pPr>
              <w:ind w:left="520"/>
              <w:spacing w:after="0"/>
              <w:rPr>
                <w:sz w:val="20"/>
                <w:szCs w:val="20"/>
                <w:color w:val="auto"/>
              </w:rPr>
            </w:pPr>
            <w:r>
              <w:rPr>
                <w:rFonts w:ascii="Courier New" w:cs="Courier New" w:eastAsia="Courier New" w:hAnsi="Courier New"/>
                <w:sz w:val="14"/>
                <w:szCs w:val="14"/>
                <w:color w:val="auto"/>
              </w:rPr>
              <w:t>Region</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Footage</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09/30/00</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4,282,413</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w:t>
            </w:r>
          </w:p>
        </w:tc>
      </w:tr>
      <w:tr>
        <w:trPr>
          <w:trHeight w:val="167"/>
        </w:trPr>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Small Shops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2,776,395</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92%</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2,765,866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w:t>
            </w:r>
          </w:p>
        </w:tc>
      </w:tr>
      <w:tr>
        <w:trPr>
          <w:trHeight w:val="167"/>
        </w:trPr>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Small Shops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3,148,296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r>
      <w:tr>
        <w:trPr>
          <w:trHeight w:val="334"/>
        </w:trPr>
        <w:tc>
          <w:tcPr>
            <w:tcW w:w="2000" w:type="dxa"/>
            <w:vAlign w:val="bottom"/>
          </w:tcPr>
          <w:p>
            <w:pPr>
              <w:spacing w:after="0"/>
              <w:rPr>
                <w:sz w:val="20"/>
                <w:szCs w:val="20"/>
                <w:color w:val="auto"/>
              </w:rPr>
            </w:pPr>
            <w:r>
              <w:rPr>
                <w:rFonts w:ascii="Courier New" w:cs="Courier New" w:eastAsia="Courier New" w:hAnsi="Courier New"/>
                <w:sz w:val="14"/>
                <w:szCs w:val="14"/>
                <w:color w:val="auto"/>
              </w:rPr>
              <w:t>West</w:t>
            </w: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171,181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Small Shops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785,251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w:t>
            </w:r>
          </w:p>
        </w:tc>
      </w:tr>
    </w:tbl>
    <w:p>
      <w:pPr>
        <w:sectPr>
          <w:pgSz w:w="11900" w:h="16838" w:orient="portrait"/>
          <w:cols w:equalWidth="0" w:num="1">
            <w:col w:w="10239"/>
          </w:cols>
          <w:pgMar w:left="220" w:top="62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Activity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Average</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Estimated</w:t>
            </w:r>
          </w:p>
        </w:tc>
      </w:tr>
      <w:tr>
        <w:trPr>
          <w:trHeight w:val="167"/>
        </w:trPr>
        <w:tc>
          <w:tcPr>
            <w:tcW w:w="1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Weighted</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 Prior</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Current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4"/>
                <w:szCs w:val="14"/>
                <w:color w:val="auto"/>
              </w:rPr>
              <w:t>Percentage</w:t>
            </w:r>
          </w:p>
        </w:tc>
        <w:tc>
          <w:tcPr>
            <w:tcW w:w="22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Tenant</w:t>
            </w:r>
          </w:p>
        </w:tc>
      </w:tr>
      <w:tr>
        <w:trPr>
          <w:trHeight w:val="167"/>
        </w:trPr>
        <w:tc>
          <w:tcPr>
            <w:tcW w:w="174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Square</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Average Lease</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Rent Per</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Rent Per</w:t>
            </w:r>
          </w:p>
        </w:tc>
        <w:tc>
          <w:tcPr>
            <w:tcW w:w="15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Annualized</w:t>
            </w:r>
          </w:p>
        </w:tc>
        <w:tc>
          <w:tcPr>
            <w:tcW w:w="1360" w:type="dxa"/>
            <w:vAlign w:val="bottom"/>
          </w:tcPr>
          <w:p>
            <w:pPr>
              <w:ind w:left="260"/>
              <w:spacing w:after="0"/>
              <w:rPr>
                <w:sz w:val="20"/>
                <w:szCs w:val="20"/>
                <w:color w:val="auto"/>
              </w:rPr>
            </w:pPr>
            <w:r>
              <w:rPr>
                <w:rFonts w:ascii="Courier New" w:cs="Courier New" w:eastAsia="Courier New" w:hAnsi="Courier New"/>
                <w:sz w:val="14"/>
                <w:szCs w:val="14"/>
                <w:color w:val="auto"/>
              </w:rPr>
              <w:t>Increase</w:t>
            </w:r>
          </w:p>
        </w:tc>
        <w:tc>
          <w:tcPr>
            <w:tcW w:w="12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Improvement</w:t>
            </w:r>
          </w:p>
        </w:tc>
      </w:tr>
      <w:tr>
        <w:trPr>
          <w:trHeight w:val="167"/>
        </w:trPr>
        <w:tc>
          <w:tcPr>
            <w:tcW w:w="2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Rolling 12 Months Leases Signed</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Feet</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Term (Years)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Foot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Square Foot</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Increase in Rent</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over Prior Rent</w:t>
            </w:r>
          </w:p>
        </w:tc>
        <w:tc>
          <w:tcPr>
            <w:tcW w:w="22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Costs</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w:t>
            </w:r>
          </w:p>
        </w:tc>
      </w:tr>
      <w:tr>
        <w:trPr>
          <w:trHeight w:val="334"/>
        </w:trPr>
        <w:tc>
          <w:tcPr>
            <w:tcW w:w="1740" w:type="dxa"/>
            <w:vAlign w:val="bottom"/>
          </w:tcPr>
          <w:p>
            <w:pPr>
              <w:ind w:left="100"/>
              <w:spacing w:after="0"/>
              <w:rPr>
                <w:sz w:val="20"/>
                <w:szCs w:val="20"/>
                <w:color w:val="auto"/>
              </w:rPr>
            </w:pPr>
            <w:r>
              <w:rPr>
                <w:rFonts w:ascii="Courier New" w:cs="Courier New" w:eastAsia="Courier New" w:hAnsi="Courier New"/>
                <w:sz w:val="14"/>
                <w:szCs w:val="14"/>
                <w:color w:val="auto"/>
              </w:rPr>
              <w:t>3rd Quarter 2000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282,354</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$15.29</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687,804</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19%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1,727,000</w:t>
            </w:r>
          </w:p>
        </w:tc>
      </w:tr>
      <w:tr>
        <w:trPr>
          <w:trHeight w:val="167"/>
        </w:trPr>
        <w:tc>
          <w:tcPr>
            <w:tcW w:w="1740" w:type="dxa"/>
            <w:vAlign w:val="bottom"/>
          </w:tcPr>
          <w:p>
            <w:pPr>
              <w:ind w:left="100"/>
              <w:spacing w:after="0"/>
              <w:rPr>
                <w:sz w:val="20"/>
                <w:szCs w:val="20"/>
                <w:color w:val="auto"/>
              </w:rPr>
            </w:pPr>
            <w:r>
              <w:rPr>
                <w:rFonts w:ascii="Courier New" w:cs="Courier New" w:eastAsia="Courier New" w:hAnsi="Courier New"/>
                <w:sz w:val="14"/>
                <w:szCs w:val="14"/>
                <w:color w:val="auto"/>
              </w:rPr>
              <w:t>2nd Quarter 2000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214,111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$18.85</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402,991</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866,000</w:t>
            </w:r>
          </w:p>
        </w:tc>
      </w:tr>
      <w:tr>
        <w:trPr>
          <w:trHeight w:val="167"/>
        </w:trPr>
        <w:tc>
          <w:tcPr>
            <w:tcW w:w="1740" w:type="dxa"/>
            <w:vAlign w:val="bottom"/>
          </w:tcPr>
          <w:p>
            <w:pPr>
              <w:ind w:left="100"/>
              <w:spacing w:after="0"/>
              <w:rPr>
                <w:sz w:val="20"/>
                <w:szCs w:val="20"/>
                <w:color w:val="auto"/>
              </w:rPr>
            </w:pPr>
            <w:r>
              <w:rPr>
                <w:rFonts w:ascii="Courier New" w:cs="Courier New" w:eastAsia="Courier New" w:hAnsi="Courier New"/>
                <w:sz w:val="14"/>
                <w:szCs w:val="14"/>
                <w:color w:val="auto"/>
              </w:rPr>
              <w:t>1st Quarter 2000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297,054</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$16.38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$18.89</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746,945</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15%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5,128,000</w:t>
            </w:r>
          </w:p>
        </w:tc>
      </w:tr>
      <w:tr>
        <w:trPr>
          <w:trHeight w:val="167"/>
        </w:trPr>
        <w:tc>
          <w:tcPr>
            <w:tcW w:w="1740" w:type="dxa"/>
            <w:vAlign w:val="bottom"/>
          </w:tcPr>
          <w:p>
            <w:pPr>
              <w:ind w:left="100"/>
              <w:spacing w:after="0"/>
              <w:rPr>
                <w:sz w:val="20"/>
                <w:szCs w:val="20"/>
                <w:color w:val="auto"/>
              </w:rPr>
            </w:pPr>
            <w:r>
              <w:rPr>
                <w:rFonts w:ascii="Courier New" w:cs="Courier New" w:eastAsia="Courier New" w:hAnsi="Courier New"/>
                <w:sz w:val="14"/>
                <w:szCs w:val="14"/>
                <w:color w:val="auto"/>
              </w:rPr>
              <w:t>4th Quarter 1999</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270,278</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8.7</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$20.14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$24.32</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1,129,625</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21%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2,710,000</w:t>
            </w:r>
          </w:p>
        </w:tc>
      </w:tr>
      <w:tr>
        <w:trPr>
          <w:trHeight w:val="167"/>
        </w:trPr>
        <w:tc>
          <w:tcPr>
            <w:tcW w:w="174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262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1,063,797</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$16.52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$19.31</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2,967,365</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17%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10,431,000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Weighted</w:t>
            </w: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Estimated</w:t>
            </w:r>
          </w:p>
        </w:tc>
      </w:tr>
      <w:tr>
        <w:trPr>
          <w:trHeight w:val="167"/>
        </w:trPr>
        <w:tc>
          <w:tcPr>
            <w:tcW w:w="1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Average</w:t>
            </w:r>
          </w:p>
        </w:tc>
        <w:tc>
          <w:tcPr>
            <w:tcW w:w="1880" w:type="dxa"/>
            <w:vAlign w:val="bottom"/>
          </w:tcPr>
          <w:p>
            <w:pPr>
              <w:spacing w:after="0"/>
              <w:rPr>
                <w:sz w:val="14"/>
                <w:szCs w:val="14"/>
                <w:color w:val="auto"/>
              </w:rPr>
            </w:pPr>
          </w:p>
        </w:tc>
        <w:tc>
          <w:tcPr>
            <w:tcW w:w="14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Annualized</w:t>
            </w:r>
          </w:p>
        </w:tc>
        <w:tc>
          <w:tcPr>
            <w:tcW w:w="40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Tenant</w:t>
            </w:r>
          </w:p>
        </w:tc>
      </w:tr>
      <w:tr>
        <w:trPr>
          <w:trHeight w:val="167"/>
        </w:trPr>
        <w:tc>
          <w:tcPr>
            <w:tcW w:w="1960" w:type="dxa"/>
            <w:vAlign w:val="bottom"/>
          </w:tcPr>
          <w:p>
            <w:pPr>
              <w:spacing w:after="0"/>
              <w:rPr>
                <w:sz w:val="14"/>
                <w:szCs w:val="14"/>
                <w:color w:val="auto"/>
              </w:rPr>
            </w:pPr>
          </w:p>
        </w:tc>
        <w:tc>
          <w:tcPr>
            <w:tcW w:w="16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Number of</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Square</w:t>
            </w:r>
          </w:p>
        </w:tc>
        <w:tc>
          <w:tcPr>
            <w:tcW w:w="14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Lease</w:t>
            </w:r>
          </w:p>
        </w:tc>
        <w:tc>
          <w:tcPr>
            <w:tcW w:w="18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Average Rent</w:t>
            </w:r>
          </w:p>
        </w:tc>
        <w:tc>
          <w:tcPr>
            <w:tcW w:w="30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Current</w:t>
            </w:r>
          </w:p>
        </w:tc>
        <w:tc>
          <w:tcPr>
            <w:tcW w:w="13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Improvement</w:t>
            </w:r>
          </w:p>
        </w:tc>
      </w:tr>
      <w:tr>
        <w:trPr>
          <w:trHeight w:val="167"/>
        </w:trPr>
        <w:tc>
          <w:tcPr>
            <w:tcW w:w="1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Rolling 12 Months</w:t>
            </w:r>
          </w:p>
        </w:tc>
        <w:tc>
          <w:tcPr>
            <w:tcW w:w="1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Leases Signed</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Feet</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Term (Years)</w:t>
            </w:r>
          </w:p>
        </w:tc>
        <w:tc>
          <w:tcPr>
            <w:tcW w:w="1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Per Square Foot</w:t>
            </w:r>
          </w:p>
        </w:tc>
        <w:tc>
          <w:tcPr>
            <w:tcW w:w="30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Rent</w:t>
            </w:r>
          </w:p>
        </w:tc>
        <w:tc>
          <w:tcPr>
            <w:tcW w:w="40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Costs</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3rd Quarter 2000</w:t>
            </w:r>
          </w:p>
        </w:tc>
        <w:tc>
          <w:tcPr>
            <w:tcW w:w="166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26</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138,794</w:t>
            </w:r>
          </w:p>
        </w:tc>
        <w:tc>
          <w:tcPr>
            <w:tcW w:w="14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17.0</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$30.05</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4,170,745</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116,000</w:t>
            </w:r>
          </w:p>
        </w:tc>
      </w:tr>
      <w:tr>
        <w:trPr>
          <w:trHeight w:val="167"/>
        </w:trPr>
        <w:tc>
          <w:tcPr>
            <w:tcW w:w="1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2nd Quarter 2000</w:t>
            </w:r>
          </w:p>
        </w:tc>
        <w:tc>
          <w:tcPr>
            <w:tcW w:w="166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16</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84,287</w:t>
            </w:r>
          </w:p>
        </w:tc>
        <w:tc>
          <w:tcPr>
            <w:tcW w:w="14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11.7</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$29.37</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2,475,607</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248,000</w:t>
            </w:r>
          </w:p>
        </w:tc>
      </w:tr>
      <w:tr>
        <w:trPr>
          <w:trHeight w:val="167"/>
        </w:trPr>
        <w:tc>
          <w:tcPr>
            <w:tcW w:w="1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1st Quarter 2000</w:t>
            </w:r>
          </w:p>
        </w:tc>
        <w:tc>
          <w:tcPr>
            <w:tcW w:w="166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10</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50,126</w:t>
            </w:r>
          </w:p>
        </w:tc>
        <w:tc>
          <w:tcPr>
            <w:tcW w:w="14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12.8</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$24.07</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1,206,432</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1,026,000</w:t>
            </w:r>
          </w:p>
        </w:tc>
      </w:tr>
      <w:tr>
        <w:trPr>
          <w:trHeight w:val="167"/>
        </w:trPr>
        <w:tc>
          <w:tcPr>
            <w:tcW w:w="19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4th Quarter 1999</w:t>
            </w:r>
          </w:p>
        </w:tc>
        <w:tc>
          <w:tcPr>
            <w:tcW w:w="166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9</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39,545</w:t>
            </w:r>
          </w:p>
        </w:tc>
        <w:tc>
          <w:tcPr>
            <w:tcW w:w="14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8.7</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$18.13</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717,011</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389,000</w:t>
            </w:r>
          </w:p>
        </w:tc>
      </w:tr>
      <w:tr>
        <w:trPr>
          <w:trHeight w:val="167"/>
        </w:trPr>
        <w:tc>
          <w:tcPr>
            <w:tcW w:w="19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Total</w:t>
            </w:r>
          </w:p>
        </w:tc>
        <w:tc>
          <w:tcPr>
            <w:tcW w:w="166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61</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312,752</w:t>
            </w:r>
          </w:p>
        </w:tc>
        <w:tc>
          <w:tcPr>
            <w:tcW w:w="14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14.4</w:t>
            </w:r>
          </w:p>
        </w:tc>
        <w:tc>
          <w:tcPr>
            <w:tcW w:w="18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$27.40</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8,569,795</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1,779,000</w:t>
            </w:r>
          </w:p>
        </w:tc>
      </w:tr>
    </w:tbl>
    <w:p>
      <w:pPr>
        <w:sectPr>
          <w:pgSz w:w="11900" w:h="16838" w:orient="portrait"/>
          <w:cols w:equalWidth="0" w:num="1">
            <w:col w:w="11540"/>
          </w:cols>
          <w:pgMar w:left="220" w:top="620" w:right="1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Street Retail Operating &amp; Development Overview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2000</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For nine</w:t>
            </w: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months ended</w:t>
            </w:r>
          </w:p>
        </w:tc>
      </w:tr>
      <w:tr>
        <w:trPr>
          <w:trHeight w:val="167"/>
        </w:trPr>
        <w:tc>
          <w:tcPr>
            <w:tcW w:w="2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For</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the</w:t>
            </w:r>
          </w:p>
        </w:tc>
        <w:tc>
          <w:tcPr>
            <w:tcW w:w="278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year ended December 31,</w:t>
            </w:r>
          </w:p>
        </w:tc>
        <w:tc>
          <w:tcPr>
            <w:tcW w:w="18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(in thousands, except sf data)</w:t>
            </w:r>
          </w:p>
        </w:tc>
        <w:tc>
          <w:tcPr>
            <w:tcW w:w="340" w:type="dxa"/>
            <w:vAlign w:val="bottom"/>
          </w:tcPr>
          <w:p>
            <w:pPr>
              <w:spacing w:after="0"/>
              <w:rPr>
                <w:sz w:val="14"/>
                <w:szCs w:val="14"/>
                <w:color w:val="auto"/>
              </w:rPr>
            </w:pPr>
          </w:p>
        </w:tc>
        <w:tc>
          <w:tcPr>
            <w:tcW w:w="9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1998</w:t>
            </w: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1999</w:t>
            </w:r>
          </w:p>
        </w:tc>
        <w:tc>
          <w:tcPr>
            <w:tcW w:w="68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2880" w:type="dxa"/>
            <w:vAlign w:val="bottom"/>
          </w:tcPr>
          <w:p>
            <w:pPr>
              <w:spacing w:after="0"/>
              <w:rPr>
                <w:sz w:val="14"/>
                <w:szCs w:val="14"/>
                <w:color w:val="auto"/>
              </w:rPr>
            </w:pPr>
          </w:p>
        </w:tc>
        <w:tc>
          <w:tcPr>
            <w:tcW w:w="6160" w:type="dxa"/>
            <w:vAlign w:val="bottom"/>
            <w:gridSpan w:val="10"/>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Real Estate Assets (1)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164,931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288,020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365,874</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449,182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546,146</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20,555</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31,998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42,643</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50,288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41,728</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12,538</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20,345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28,660</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34,774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29,837</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Square Feet (2)</w:t>
            </w:r>
          </w:p>
        </w:tc>
        <w:tc>
          <w:tcPr>
            <w:tcW w:w="34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1,123,000</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1,503,000</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1,602,000</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1,692,000</w:t>
            </w:r>
          </w:p>
        </w:tc>
        <w:tc>
          <w:tcPr>
            <w:tcW w:w="680" w:type="dxa"/>
            <w:vAlign w:val="bottom"/>
          </w:tcPr>
          <w:p>
            <w:pPr>
              <w:spacing w:after="0"/>
              <w:rPr>
                <w:sz w:val="24"/>
                <w:szCs w:val="24"/>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1,781,000</w:t>
            </w:r>
          </w:p>
        </w:tc>
      </w:tr>
    </w:tbl>
    <w:p>
      <w:pPr>
        <w:spacing w:after="0" w:line="338" w:lineRule="exact"/>
        <w:rPr>
          <w:sz w:val="20"/>
          <w:szCs w:val="20"/>
          <w:color w:val="auto"/>
        </w:rPr>
      </w:pPr>
    </w:p>
    <w:p>
      <w:pPr>
        <w:ind w:left="440" w:right="3379" w:hanging="431"/>
        <w:spacing w:after="0" w:line="252"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September 30, 2000, includes $146 million related to new development in process. The balance is comprised of both stabilized assets and assets which are in various stages of redevelopment.</w:t>
      </w:r>
    </w:p>
    <w:p>
      <w:pPr>
        <w:spacing w:after="0" w:line="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Square Feet</w:t>
            </w:r>
          </w:p>
        </w:tc>
        <w:tc>
          <w:tcPr>
            <w:tcW w:w="360" w:type="dxa"/>
            <w:vAlign w:val="bottom"/>
          </w:tcPr>
          <w:p>
            <w:pPr>
              <w:spacing w:after="0"/>
              <w:rPr>
                <w:sz w:val="14"/>
                <w:szCs w:val="14"/>
                <w:color w:val="auto"/>
              </w:rPr>
            </w:pP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MID-ATLANTIC</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Feet</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Virginia</w:t>
            </w:r>
          </w:p>
        </w:tc>
        <w:tc>
          <w:tcPr>
            <w:tcW w:w="1180" w:type="dxa"/>
            <w:vAlign w:val="bottom"/>
          </w:tcPr>
          <w:p>
            <w:pPr>
              <w:spacing w:after="0"/>
              <w:rPr>
                <w:sz w:val="24"/>
                <w:szCs w:val="24"/>
                <w:color w:val="auto"/>
              </w:rPr>
            </w:pPr>
          </w:p>
        </w:tc>
      </w:tr>
      <w:tr>
        <w:trPr>
          <w:trHeight w:val="334"/>
        </w:trPr>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Greenwich Avenue/4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81,000</w:t>
            </w:r>
          </w:p>
        </w:tc>
        <w:tc>
          <w:tcPr>
            <w:tcW w:w="36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Pentagon Row</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N/A (2)</w:t>
            </w:r>
          </w:p>
        </w:tc>
      </w:tr>
      <w:tr>
        <w:trPr>
          <w:trHeight w:val="167"/>
        </w:trPr>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West Hartford/7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c>
          <w:tcPr>
            <w:tcW w:w="360" w:type="dxa"/>
            <w:vAlign w:val="bottom"/>
          </w:tcPr>
          <w:p>
            <w:pPr>
              <w:spacing w:after="0"/>
              <w:rPr>
                <w:sz w:val="14"/>
                <w:szCs w:val="1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Village at Shirlington</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203,000</w:t>
            </w:r>
          </w:p>
        </w:tc>
      </w:tr>
      <w:tr>
        <w:trPr>
          <w:trHeight w:val="167"/>
        </w:trPr>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Westport/2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26,000</w:t>
            </w:r>
          </w:p>
        </w:tc>
        <w:tc>
          <w:tcPr>
            <w:tcW w:w="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WESTERN</w:t>
            </w:r>
          </w:p>
        </w:tc>
        <w:tc>
          <w:tcPr>
            <w:tcW w:w="1180" w:type="dxa"/>
            <w:vAlign w:val="bottom"/>
          </w:tcPr>
          <w:p>
            <w:pPr>
              <w:spacing w:after="0"/>
              <w:rPr>
                <w:sz w:val="14"/>
                <w:szCs w:val="14"/>
                <w:color w:val="auto"/>
              </w:rPr>
            </w:pP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Arizona</w:t>
            </w:r>
          </w:p>
        </w:tc>
        <w:tc>
          <w:tcPr>
            <w:tcW w:w="1180" w:type="dxa"/>
            <w:vAlign w:val="bottom"/>
          </w:tcPr>
          <w:p>
            <w:pPr>
              <w:spacing w:after="0"/>
              <w:rPr>
                <w:sz w:val="24"/>
                <w:szCs w:val="24"/>
                <w:color w:val="auto"/>
              </w:rPr>
            </w:pPr>
          </w:p>
        </w:tc>
      </w:tr>
      <w:tr>
        <w:trPr>
          <w:trHeight w:val="167"/>
        </w:trPr>
        <w:tc>
          <w:tcPr>
            <w:tcW w:w="1960" w:type="dxa"/>
            <w:vAlign w:val="bottom"/>
          </w:tcPr>
          <w:p>
            <w:pPr>
              <w:ind w:left="440"/>
              <w:spacing w:after="0"/>
              <w:rPr>
                <w:sz w:val="20"/>
                <w:szCs w:val="20"/>
                <w:color w:val="auto"/>
              </w:rPr>
            </w:pPr>
            <w:r>
              <w:rPr>
                <w:rFonts w:ascii="Courier New" w:cs="Courier New" w:eastAsia="Courier New" w:hAnsi="Courier New"/>
                <w:sz w:val="14"/>
                <w:szCs w:val="14"/>
                <w:color w:val="auto"/>
              </w:rPr>
              <w:t>Coolidge Corner/1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13,000</w:t>
            </w:r>
          </w:p>
        </w:tc>
        <w:tc>
          <w:tcPr>
            <w:tcW w:w="360" w:type="dxa"/>
            <w:vAlign w:val="bottom"/>
          </w:tcPr>
          <w:p>
            <w:pPr>
              <w:spacing w:after="0"/>
              <w:rPr>
                <w:sz w:val="14"/>
                <w:szCs w:val="1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Mill Avenue/2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40,000</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California</w:t>
            </w:r>
          </w:p>
        </w:tc>
        <w:tc>
          <w:tcPr>
            <w:tcW w:w="1180" w:type="dxa"/>
            <w:vAlign w:val="bottom"/>
          </w:tcPr>
          <w:p>
            <w:pPr>
              <w:spacing w:after="0"/>
              <w:rPr>
                <w:sz w:val="24"/>
                <w:szCs w:val="24"/>
                <w:color w:val="auto"/>
              </w:rPr>
            </w:pPr>
          </w:p>
        </w:tc>
      </w:tr>
      <w:tr>
        <w:trPr>
          <w:trHeight w:val="167"/>
        </w:trPr>
        <w:tc>
          <w:tcPr>
            <w:tcW w:w="1960" w:type="dxa"/>
            <w:vAlign w:val="bottom"/>
          </w:tcPr>
          <w:p>
            <w:pPr>
              <w:ind w:left="440"/>
              <w:spacing w:after="0"/>
              <w:rPr>
                <w:sz w:val="20"/>
                <w:szCs w:val="20"/>
                <w:color w:val="auto"/>
              </w:rPr>
            </w:pPr>
            <w:r>
              <w:rPr>
                <w:rFonts w:ascii="Courier New" w:cs="Courier New" w:eastAsia="Courier New" w:hAnsi="Courier New"/>
                <w:sz w:val="14"/>
                <w:szCs w:val="14"/>
                <w:color w:val="auto"/>
              </w:rPr>
              <w:t>Central Avenue/1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11,000</w:t>
            </w:r>
          </w:p>
        </w:tc>
        <w:tc>
          <w:tcPr>
            <w:tcW w:w="360" w:type="dxa"/>
            <w:vAlign w:val="bottom"/>
          </w:tcPr>
          <w:p>
            <w:pPr>
              <w:spacing w:after="0"/>
              <w:rPr>
                <w:sz w:val="14"/>
                <w:szCs w:val="1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Colorado Boulevard/2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69,000</w:t>
            </w:r>
          </w:p>
        </w:tc>
      </w:tr>
      <w:tr>
        <w:trPr>
          <w:trHeight w:val="167"/>
        </w:trPr>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Fifth Avenue/5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67,000</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Hermosa Beach/1</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1960" w:type="dxa"/>
            <w:vAlign w:val="bottom"/>
          </w:tcPr>
          <w:p>
            <w:pPr>
              <w:ind w:left="440"/>
              <w:spacing w:after="0"/>
              <w:rPr>
                <w:sz w:val="20"/>
                <w:szCs w:val="20"/>
                <w:color w:val="auto"/>
              </w:rPr>
            </w:pPr>
            <w:r>
              <w:rPr>
                <w:rFonts w:ascii="Courier New" w:cs="Courier New" w:eastAsia="Courier New" w:hAnsi="Courier New"/>
                <w:sz w:val="14"/>
                <w:szCs w:val="14"/>
                <w:color w:val="auto"/>
              </w:rPr>
              <w:t>Forest Hills/4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91,000</w:t>
            </w:r>
          </w:p>
        </w:tc>
        <w:tc>
          <w:tcPr>
            <w:tcW w:w="360" w:type="dxa"/>
            <w:vAlign w:val="bottom"/>
          </w:tcPr>
          <w:p>
            <w:pPr>
              <w:spacing w:after="0"/>
              <w:rPr>
                <w:sz w:val="14"/>
                <w:szCs w:val="1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Post Street/1</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99,000</w:t>
            </w:r>
          </w:p>
        </w:tc>
      </w:tr>
      <w:tr>
        <w:trPr>
          <w:trHeight w:val="167"/>
        </w:trPr>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Old Town Center</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101,000</w:t>
            </w:r>
          </w:p>
        </w:tc>
      </w:tr>
      <w:tr>
        <w:trPr>
          <w:trHeight w:val="167"/>
        </w:trPr>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Santana Row</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N/A (2)</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Third Street Promenade/8</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169,000</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District of Columbia</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Hollywood Blvd./3</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199,000</w:t>
            </w:r>
          </w:p>
        </w:tc>
      </w:tr>
      <w:tr>
        <w:trPr>
          <w:trHeight w:val="167"/>
        </w:trPr>
        <w:tc>
          <w:tcPr>
            <w:tcW w:w="1960" w:type="dxa"/>
            <w:vAlign w:val="bottom"/>
          </w:tcPr>
          <w:p>
            <w:pPr>
              <w:ind w:left="360"/>
              <w:spacing w:after="0"/>
              <w:rPr>
                <w:sz w:val="20"/>
                <w:szCs w:val="20"/>
                <w:color w:val="auto"/>
              </w:rPr>
            </w:pPr>
            <w:r>
              <w:rPr>
                <w:rFonts w:ascii="Courier New" w:cs="Courier New" w:eastAsia="Courier New" w:hAnsi="Courier New"/>
                <w:sz w:val="14"/>
                <w:szCs w:val="14"/>
                <w:color w:val="auto"/>
              </w:rPr>
              <w:t>Sam's Park N Shop</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c>
          <w:tcPr>
            <w:tcW w:w="360" w:type="dxa"/>
            <w:vAlign w:val="bottom"/>
          </w:tcPr>
          <w:p>
            <w:pPr>
              <w:spacing w:after="0"/>
              <w:rPr>
                <w:sz w:val="14"/>
                <w:szCs w:val="1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214 Wilshire Blvd</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29,000</w:t>
            </w:r>
          </w:p>
        </w:tc>
      </w:tr>
      <w:tr>
        <w:trPr>
          <w:trHeight w:val="334"/>
        </w:trPr>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Illinois</w:t>
            </w:r>
          </w:p>
        </w:tc>
        <w:tc>
          <w:tcPr>
            <w:tcW w:w="1180" w:type="dxa"/>
            <w:vAlign w:val="bottom"/>
          </w:tcPr>
          <w:p>
            <w:pPr>
              <w:spacing w:after="0"/>
              <w:rPr>
                <w:sz w:val="24"/>
                <w:szCs w:val="24"/>
                <w:color w:val="auto"/>
              </w:rPr>
            </w:pP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Evanston/2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19,000</w:t>
            </w:r>
          </w:p>
        </w:tc>
      </w:tr>
      <w:tr>
        <w:trPr>
          <w:trHeight w:val="167"/>
        </w:trPr>
        <w:tc>
          <w:tcPr>
            <w:tcW w:w="1960" w:type="dxa"/>
            <w:vAlign w:val="bottom"/>
          </w:tcPr>
          <w:p>
            <w:pPr>
              <w:ind w:left="360"/>
              <w:spacing w:after="0"/>
              <w:rPr>
                <w:sz w:val="20"/>
                <w:szCs w:val="20"/>
                <w:color w:val="auto"/>
              </w:rPr>
            </w:pPr>
            <w:r>
              <w:rPr>
                <w:rFonts w:ascii="Courier New" w:cs="Courier New" w:eastAsia="Courier New" w:hAnsi="Courier New"/>
                <w:sz w:val="14"/>
                <w:szCs w:val="14"/>
                <w:color w:val="auto"/>
              </w:rPr>
              <w:t>Winter Park/2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28,000</w:t>
            </w:r>
          </w:p>
        </w:tc>
        <w:tc>
          <w:tcPr>
            <w:tcW w:w="360" w:type="dxa"/>
            <w:vAlign w:val="bottom"/>
          </w:tcPr>
          <w:p>
            <w:pPr>
              <w:spacing w:after="0"/>
              <w:rPr>
                <w:sz w:val="14"/>
                <w:szCs w:val="14"/>
                <w:color w:val="auto"/>
              </w:rPr>
            </w:pP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Oak Street/1</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5,000</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Maryland</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Texas</w:t>
            </w:r>
          </w:p>
        </w:tc>
        <w:tc>
          <w:tcPr>
            <w:tcW w:w="1180" w:type="dxa"/>
            <w:vAlign w:val="bottom"/>
          </w:tcPr>
          <w:p>
            <w:pPr>
              <w:spacing w:after="0"/>
              <w:rPr>
                <w:sz w:val="24"/>
                <w:szCs w:val="24"/>
                <w:color w:val="auto"/>
              </w:rPr>
            </w:pPr>
          </w:p>
        </w:tc>
      </w:tr>
      <w:tr>
        <w:trPr>
          <w:trHeight w:val="167"/>
        </w:trPr>
        <w:tc>
          <w:tcPr>
            <w:tcW w:w="1960" w:type="dxa"/>
            <w:vAlign w:val="bottom"/>
          </w:tcPr>
          <w:p>
            <w:pPr>
              <w:ind w:left="360"/>
              <w:spacing w:after="0"/>
              <w:rPr>
                <w:sz w:val="20"/>
                <w:szCs w:val="20"/>
                <w:color w:val="auto"/>
              </w:rPr>
            </w:pPr>
            <w:r>
              <w:rPr>
                <w:rFonts w:ascii="Courier New" w:cs="Courier New" w:eastAsia="Courier New" w:hAnsi="Courier New"/>
                <w:sz w:val="14"/>
                <w:szCs w:val="14"/>
                <w:color w:val="auto"/>
              </w:rPr>
              <w:t>Bethesda Row</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331,000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2420" w:type="dxa"/>
            <w:vAlign w:val="bottom"/>
          </w:tcPr>
          <w:p>
            <w:pPr>
              <w:ind w:left="300"/>
              <w:spacing w:after="0"/>
              <w:rPr>
                <w:sz w:val="20"/>
                <w:szCs w:val="20"/>
                <w:color w:val="auto"/>
              </w:rPr>
            </w:pPr>
            <w:r>
              <w:rPr>
                <w:rFonts w:ascii="Courier New" w:cs="Courier New" w:eastAsia="Courier New" w:hAnsi="Courier New"/>
                <w:sz w:val="14"/>
                <w:szCs w:val="14"/>
                <w:color w:val="auto"/>
              </w:rPr>
              <w:t>Houston Street/11</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N/A (2)</w:t>
            </w:r>
          </w:p>
        </w:tc>
      </w:tr>
    </w:tbl>
    <w:p>
      <w:pPr>
        <w:sectPr>
          <w:pgSz w:w="11900" w:h="16838" w:orient="portrait"/>
          <w:cols w:equalWidth="0" w:num="1">
            <w:col w:w="10239"/>
          </w:cols>
          <w:pgMar w:left="220" w:top="620" w:right="1440" w:bottom="1440" w:gutter="0" w:footer="0" w:header="0"/>
        </w:sectPr>
      </w:pPr>
    </w:p>
    <w:bookmarkStart w:id="9" w:name="page10"/>
    <w:bookmarkEnd w:id="9"/>
    <w:p>
      <w:pPr>
        <w:spacing w:after="0"/>
        <w:tabs>
          <w:tab w:leader="none" w:pos="780" w:val="left"/>
        </w:tabs>
        <w:rPr>
          <w:sz w:val="20"/>
          <w:szCs w:val="20"/>
          <w:color w:val="auto"/>
        </w:rPr>
      </w:pPr>
      <w:r>
        <w:rPr>
          <w:rFonts w:ascii="Courier New" w:cs="Courier New" w:eastAsia="Courier New" w:hAnsi="Courier New"/>
          <w:sz w:val="14"/>
          <w:szCs w:val="14"/>
          <w:color w:val="auto"/>
        </w:rPr>
        <w:t>FEDERAL</w:t>
        <w:tab/>
        <w:t>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Pipeline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2000</w:t>
      </w:r>
    </w:p>
    <w:p>
      <w:pPr>
        <w:spacing w:after="0" w:line="200" w:lineRule="exact"/>
        <w:rPr>
          <w:sz w:val="20"/>
          <w:szCs w:val="20"/>
          <w:color w:val="auto"/>
        </w:rPr>
      </w:pPr>
    </w:p>
    <w:p>
      <w:pPr>
        <w:spacing w:after="0" w:line="309" w:lineRule="exact"/>
        <w:rPr>
          <w:sz w:val="20"/>
          <w:szCs w:val="20"/>
          <w:color w:val="auto"/>
        </w:rPr>
      </w:pPr>
    </w:p>
    <w:p>
      <w:pPr>
        <w:ind w:left="7640"/>
        <w:spacing w:after="0"/>
        <w:tabs>
          <w:tab w:leader="none" w:pos="85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Expected</w:t>
      </w:r>
    </w:p>
    <w:p>
      <w:pPr>
        <w:spacing w:after="0" w:line="8" w:lineRule="exact"/>
        <w:rPr>
          <w:sz w:val="20"/>
          <w:szCs w:val="20"/>
          <w:color w:val="auto"/>
        </w:rPr>
      </w:pPr>
    </w:p>
    <w:p>
      <w:pPr>
        <w:ind w:left="4860"/>
        <w:spacing w:after="0"/>
        <w:tabs>
          <w:tab w:leader="none" w:pos="5540" w:val="left"/>
          <w:tab w:leader="none" w:pos="7460" w:val="left"/>
          <w:tab w:leader="none" w:pos="8500" w:val="left"/>
          <w:tab w:leader="none" w:pos="9800" w:val="left"/>
        </w:tabs>
        <w:rPr>
          <w:sz w:val="20"/>
          <w:szCs w:val="20"/>
          <w:color w:val="auto"/>
        </w:rPr>
      </w:pP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Estimate To Complete</w:t>
        <w:tab/>
        <w:t>Completed</w:t>
        <w:tab/>
        <w:t>Stabilized</w:t>
      </w:r>
      <w:r>
        <w:rPr>
          <w:sz w:val="20"/>
          <w:szCs w:val="20"/>
          <w:color w:val="auto"/>
        </w:rPr>
        <w:tab/>
      </w:r>
      <w:r>
        <w:rPr>
          <w:rFonts w:ascii="Courier New" w:cs="Courier New" w:eastAsia="Courier New" w:hAnsi="Courier New"/>
          <w:sz w:val="14"/>
          <w:szCs w:val="14"/>
          <w:color w:val="auto"/>
        </w:rPr>
        <w:t>Principal</w:t>
      </w:r>
    </w:p>
    <w:p>
      <w:pPr>
        <w:spacing w:after="0" w:line="8" w:lineRule="exact"/>
        <w:rPr>
          <w:sz w:val="20"/>
          <w:szCs w:val="20"/>
          <w:color w:val="auto"/>
        </w:rPr>
      </w:pPr>
    </w:p>
    <w:p>
      <w:pPr>
        <w:ind w:left="1060"/>
        <w:spacing w:after="0"/>
        <w:tabs>
          <w:tab w:leader="none" w:pos="2760" w:val="left"/>
          <w:tab w:leader="none" w:pos="4760" w:val="left"/>
          <w:tab w:leader="none" w:pos="5720" w:val="left"/>
          <w:tab w:leader="none" w:pos="6580" w:val="left"/>
          <w:tab w:leader="none" w:pos="7460" w:val="left"/>
          <w:tab w:leader="none" w:pos="8500" w:val="left"/>
          <w:tab w:leader="none" w:pos="9620" w:val="left"/>
        </w:tabs>
        <w:rPr>
          <w:sz w:val="20"/>
          <w:szCs w:val="20"/>
          <w:color w:val="auto"/>
        </w:rPr>
      </w:pPr>
      <w:r>
        <w:rPr>
          <w:rFonts w:ascii="Courier New" w:cs="Courier New" w:eastAsia="Courier New" w:hAnsi="Courier New"/>
          <w:sz w:val="14"/>
          <w:szCs w:val="14"/>
          <w:color w:val="auto"/>
        </w:rPr>
        <w:t>Project</w:t>
      </w:r>
      <w:r>
        <w:rPr>
          <w:sz w:val="20"/>
          <w:szCs w:val="20"/>
          <w:color w:val="auto"/>
        </w:rPr>
        <w:tab/>
      </w:r>
      <w:r>
        <w:rPr>
          <w:rFonts w:ascii="Courier New" w:cs="Courier New" w:eastAsia="Courier New" w:hAnsi="Courier New"/>
          <w:sz w:val="14"/>
          <w:szCs w:val="14"/>
          <w:color w:val="auto"/>
        </w:rPr>
        <w:t>Specifications</w:t>
      </w:r>
      <w:r>
        <w:rPr>
          <w:sz w:val="20"/>
          <w:szCs w:val="20"/>
          <w:color w:val="auto"/>
        </w:rPr>
        <w:tab/>
      </w:r>
      <w:r>
        <w:rPr>
          <w:rFonts w:ascii="Courier New" w:cs="Courier New" w:eastAsia="Courier New" w:hAnsi="Courier New"/>
          <w:sz w:val="14"/>
          <w:szCs w:val="14"/>
          <w:color w:val="auto"/>
        </w:rPr>
        <w:t>To Date</w:t>
      </w:r>
      <w:r>
        <w:rPr>
          <w:sz w:val="20"/>
          <w:szCs w:val="20"/>
          <w:color w:val="auto"/>
        </w:rPr>
        <w:tab/>
      </w: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Return</w:t>
      </w:r>
      <w:r>
        <w:rPr>
          <w:sz w:val="20"/>
          <w:szCs w:val="20"/>
          <w:color w:val="auto"/>
        </w:rPr>
        <w:tab/>
      </w:r>
      <w:r>
        <w:rPr>
          <w:rFonts w:ascii="Courier New" w:cs="Courier New" w:eastAsia="Courier New" w:hAnsi="Courier New"/>
          <w:sz w:val="14"/>
          <w:szCs w:val="14"/>
          <w:color w:val="auto"/>
        </w:rPr>
        <w:t>Tenants</w:t>
      </w:r>
    </w:p>
    <w:p>
      <w:pPr>
        <w:spacing w:after="0" w:line="8"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 n   m i l l i o n 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DEVELOPMENT IN PROGRESS</w:t>
            </w: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Bethesda Row - Woodmont East</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52,000 sf retail</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w:t>
            </w:r>
          </w:p>
        </w:tc>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Angelo &amp; Maxi</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Bethesda, Maryland</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78,000 sf office</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Landmark Theatres</w:t>
            </w:r>
          </w:p>
        </w:tc>
      </w:tr>
      <w:tr>
        <w:trPr>
          <w:trHeight w:val="167"/>
        </w:trPr>
        <w:tc>
          <w:tcPr>
            <w:tcW w:w="2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Jaleo Restaurant</w:t>
            </w:r>
          </w:p>
        </w:tc>
      </w:tr>
      <w:tr>
        <w:trPr>
          <w:trHeight w:val="167"/>
        </w:trPr>
        <w:tc>
          <w:tcPr>
            <w:tcW w:w="2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OpNet Technologies</w:t>
            </w: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300,000 sf retail  (1)</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w:t>
            </w:r>
          </w:p>
        </w:tc>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Harris Teeter</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Arlington, Virginia</w:t>
            </w:r>
          </w:p>
        </w:tc>
        <w:tc>
          <w:tcPr>
            <w:tcW w:w="2220" w:type="dxa"/>
            <w:vAlign w:val="bottom"/>
          </w:tcPr>
          <w:p>
            <w:pPr>
              <w:ind w:left="140"/>
              <w:spacing w:after="0"/>
              <w:rPr>
                <w:sz w:val="20"/>
                <w:szCs w:val="20"/>
                <w:color w:val="auto"/>
              </w:rPr>
            </w:pPr>
            <w:r>
              <w:rPr>
                <w:rFonts w:ascii="Courier New" w:cs="Courier New" w:eastAsia="Courier New" w:hAnsi="Courier New"/>
                <w:sz w:val="14"/>
                <w:szCs w:val="14"/>
                <w:color w:val="auto"/>
              </w:rPr>
              <w:t>500 apartment units</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Bed, Bath &amp; Beyond</w:t>
            </w:r>
          </w:p>
        </w:tc>
      </w:tr>
      <w:tr>
        <w:trPr>
          <w:trHeight w:val="167"/>
        </w:trPr>
        <w:tc>
          <w:tcPr>
            <w:tcW w:w="2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7"/>
        </w:trPr>
        <w:tc>
          <w:tcPr>
            <w:tcW w:w="2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Bally's Fitness</w:t>
            </w:r>
          </w:p>
        </w:tc>
      </w:tr>
      <w:tr>
        <w:trPr>
          <w:trHeight w:val="167"/>
        </w:trPr>
        <w:tc>
          <w:tcPr>
            <w:tcW w:w="2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$ 103</w:t>
            </w:r>
          </w:p>
        </w:tc>
        <w:tc>
          <w:tcPr>
            <w:tcW w:w="900" w:type="dxa"/>
            <w:vAlign w:val="bottom"/>
          </w:tcPr>
          <w:p>
            <w:pPr>
              <w:spacing w:after="0"/>
              <w:rPr>
                <w:sz w:val="14"/>
                <w:szCs w:val="14"/>
                <w:color w:val="auto"/>
              </w:rPr>
            </w:pPr>
          </w:p>
        </w:tc>
        <w:tc>
          <w:tcPr>
            <w:tcW w:w="2180" w:type="dxa"/>
            <w:vAlign w:val="bottom"/>
          </w:tcPr>
          <w:p>
            <w:pPr>
              <w:ind w:left="180"/>
              <w:spacing w:after="0"/>
              <w:rPr>
                <w:sz w:val="20"/>
                <w:szCs w:val="20"/>
                <w:color w:val="auto"/>
              </w:rPr>
            </w:pPr>
            <w:r>
              <w:rPr>
                <w:rFonts w:ascii="Courier New" w:cs="Courier New" w:eastAsia="Courier New" w:hAnsi="Courier New"/>
                <w:sz w:val="14"/>
                <w:szCs w:val="14"/>
                <w:color w:val="auto"/>
              </w:rPr>
              <w:t>Hudson Trail Outfitters</w:t>
            </w:r>
          </w:p>
        </w:tc>
      </w:tr>
    </w:tbl>
    <w:p>
      <w:pPr>
        <w:spacing w:after="0" w:line="338" w:lineRule="exact"/>
        <w:rPr>
          <w:sz w:val="20"/>
          <w:szCs w:val="20"/>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FUTURE DEVELOPMENT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Santana Row</w:t>
            </w:r>
          </w:p>
        </w:tc>
        <w:tc>
          <w:tcPr>
            <w:tcW w:w="1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710,000 sf retail</w:t>
            </w:r>
          </w:p>
        </w:tc>
        <w:tc>
          <w:tcPr>
            <w:tcW w:w="6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San Jose, California</w:t>
            </w:r>
          </w:p>
        </w:tc>
        <w:tc>
          <w:tcPr>
            <w:tcW w:w="1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1,300 residential</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units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200</w:t>
            </w: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hotel rooms (2)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24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(Full Entitlements)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The Shops at Tanasbourne</w:t>
            </w:r>
          </w:p>
        </w:tc>
        <w:tc>
          <w:tcPr>
            <w:tcW w:w="1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400,000 sf retail</w:t>
            </w:r>
          </w:p>
        </w:tc>
        <w:tc>
          <w:tcPr>
            <w:tcW w:w="6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Portland, Oregon</w:t>
            </w:r>
          </w:p>
        </w:tc>
        <w:tc>
          <w:tcPr>
            <w:tcW w:w="1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12,000 sf office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Lindbergh City Center</w:t>
            </w:r>
          </w:p>
        </w:tc>
        <w:tc>
          <w:tcPr>
            <w:tcW w:w="1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300,000 sf retail</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Atlanta, Georgia</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320</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apartments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120</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hotel rooms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290</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condominiums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7"/>
        </w:trPr>
        <w:tc>
          <w:tcPr>
            <w:tcW w:w="240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1.3</w:t>
            </w: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million sf office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5120" w:hanging="164"/>
        <w:spacing w:after="0"/>
        <w:tabs>
          <w:tab w:leader="none" w:pos="512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95</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380"/>
          </w:cols>
          <w:pgMar w:left="220" w:top="620" w:right="299" w:bottom="1440" w:gutter="0" w:footer="0" w:header="0"/>
        </w:sectPr>
      </w:pP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Total New Development and</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Construction in Progress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240" w:space="720"/>
            <w:col w:w="6420"/>
          </w:cols>
          <w:pgMar w:left="220" w:top="620" w:right="299" w:bottom="1440" w:gutter="0" w:footer="0" w:header="0"/>
          <w:type w:val="continuous"/>
        </w:sectPr>
      </w:pPr>
    </w:p>
    <w:p>
      <w:pPr>
        <w:ind w:left="360" w:hanging="351"/>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will develop only the retail component of this project.</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will not develop the hotel component of this project.</w:t>
      </w:r>
    </w:p>
    <w:p>
      <w:pPr>
        <w:spacing w:after="0" w:line="8"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redevelopment projects, such as Houston Street.</w:t>
      </w:r>
    </w:p>
    <w:p>
      <w:pPr>
        <w:sectPr>
          <w:pgSz w:w="11900" w:h="16838" w:orient="portrait"/>
          <w:cols w:equalWidth="0" w:num="1">
            <w:col w:w="11380"/>
          </w:cols>
          <w:pgMar w:left="220" w:top="620" w:right="299" w:bottom="1440" w:gutter="0" w:footer="0" w:header="0"/>
          <w:type w:val="continuous"/>
        </w:sectPr>
      </w:pPr>
    </w:p>
    <w:bookmarkStart w:id="10" w:name="page11"/>
    <w:bookmarkEnd w:id="10"/>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Contact: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Kris Warner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Director, Corporate Communications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301/998-8212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IMMEDIATE RELEASE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3, 2000</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THIRD QUARTER 2000 OPERATING RESULTS</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-Trust Shows an 8% increase in FFO per Share-</w:t>
      </w:r>
    </w:p>
    <w:p>
      <w:pPr>
        <w:spacing w:after="0" w:line="342" w:lineRule="exact"/>
        <w:rPr>
          <w:sz w:val="20"/>
          <w:szCs w:val="20"/>
          <w:color w:val="auto"/>
        </w:rPr>
      </w:pPr>
    </w:p>
    <w:p>
      <w:pPr>
        <w:jc w:val="both"/>
        <w:ind w:right="4059" w:firstLine="434"/>
        <w:spacing w:after="0" w:line="255" w:lineRule="auto"/>
        <w:rPr>
          <w:sz w:val="20"/>
          <w:szCs w:val="20"/>
          <w:color w:val="auto"/>
        </w:rPr>
      </w:pPr>
      <w:r>
        <w:rPr>
          <w:rFonts w:ascii="Courier New" w:cs="Courier New" w:eastAsia="Courier New" w:hAnsi="Courier New"/>
          <w:sz w:val="14"/>
          <w:szCs w:val="14"/>
          <w:color w:val="auto"/>
        </w:rPr>
        <w:t>Rockville, MD (November 3, 2000) - Federal Realty Investment Trust (NYSE:FRT) today reported operating results for the third quarter ended September 30, 2000.</w:t>
      </w:r>
    </w:p>
    <w:p>
      <w:pPr>
        <w:spacing w:after="0" w:line="162" w:lineRule="exact"/>
        <w:rPr>
          <w:sz w:val="20"/>
          <w:szCs w:val="20"/>
          <w:color w:val="auto"/>
        </w:rPr>
      </w:pPr>
    </w:p>
    <w:p>
      <w:pPr>
        <w:ind w:left="880" w:hanging="437"/>
        <w:spacing w:after="0"/>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Funds from operations increased 8% to $.65 per common share</w:t>
      </w:r>
    </w:p>
    <w:p>
      <w:pPr>
        <w:spacing w:after="0" w:line="8"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96% occupancy for overall portfolio</w:t>
      </w:r>
    </w:p>
    <w:p>
      <w:pPr>
        <w:spacing w:after="0" w:line="8"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$152 million raised in mortgage financing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For the quarter ended September 30, 2000 funds from operations increased 6% to $25.8 million from $24.4 million in the third quarter of 1999. On a per share basis, funds from operations rose 8% to $.65 in the third quarter of 2000 from $.60 in the third quarter of 1999. Funds from operations also improved for the first nine months of 2000 increasing 6% to $76.5 million from $72.3 million in the first nine months of 1999. On a per share basis, funds from operations advanced 7% to $1.91 per share for the first nine months of 2000 compared to $1.78 for the comparable period of 1999. Increases from the core operating portfolio, bolstered by recently redeveloped and re-tenanted properties, and a decrease in administrative expense more than offset increased interest costs.</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"Cash flow from our operating portfolio continues to improve with higher rents and improved occupancy driving results" said Steven J. Guttman, president and chief executive officer. "The strength and quality of our core portfolio continues to serve as an excellent foundation as we execute our mixed-use development strategy."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Portfolio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During the quarter, more than 470,000 square feet of retail, office and residential space was leased. On a comparable space basis, 282,000 square feet of retail leases were signed during the quarter at an average rental increase of 19% over the prior leases. The average rent on new retail leases was $15.29 per square foot compared to $12.85 for the previous leases. Overall occupancy increased to 96.2% at September 30, 2000 vs. 95.2% at September 30, 1999. On a same center basis, occupancy remained high at 96.1% at September 30, 2000 and 1999. Rental income increased 3% to $64.1 million in 2000 from $62.0 million in 1999 and net operating income increased 2% to $48.8 million in 2000 from $47.8 million in 1999. On a same center basis, which removes the effect of property dispositions, rental income increased 7% and net operating income including interest income, increased 5.8%, primarily due to recently re-developed and re-tenanted properties.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Activities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At Bethesda Row, the 130,000 square foot Woodmont East building, which is phase IV of a master plan development, is nearing completion on time and on budget. Grand opening is anticipated for spring 2001. In Arlington, Virginia, construction continues on Pentagon Row with the first buildings anticipated to open during the first quarter of 2001 with full retail occupancy by the end of 2001. Pentagon Row is presently 88% pre-leased, including leases out for signature. At Santana Row in San Jose, California, demolition of the existing structure is now complete. Site work is currently underway to prepare for construction as the Trust is working with a number of lenders to finalize construction financing for Santana Row. Leasing activity is proceeding as interest continues to be strong from national and local retailers.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Activities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October 23, 2000, Federal Realty closed a $152 million mortgage secured by five shopping center properties bearing interest at 7.95%. Proceeds from the financing were used to pay down the Trust's existing unsecured revolving credit facility, thereby providing additional funds for the Trust's development pipeline.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Conference Call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Federal Realty's third quarter conference call is scheduled for 11:00 a.m. Monday November 6, 2000. Please call 719/457-2661 5-10 minutes prior to the start time. Federal Realty will also provide an online Web Simulcast on the company's web site, www.federalrealty.com. For those interested parties who are</w:t>
      </w:r>
    </w:p>
    <w:p>
      <w:pPr>
        <w:spacing w:after="0" w:line="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unable to participate in the conference call, a re-broadcast will be available online at www.federalrealty.com beginning at 2:00 p.m. on November 6. A</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telephone recording of the call can also be heard by dialing 719/457-0820. The pass-code for this replay is 532591.</w:t>
      </w:r>
    </w:p>
    <w:p>
      <w:pPr>
        <w:sectPr>
          <w:pgSz w:w="11900" w:h="16851" w:orient="portrait"/>
          <w:cols w:equalWidth="0" w:num="1">
            <w:col w:w="10239"/>
          </w:cols>
          <w:pgMar w:left="220" w:top="620" w:right="1440" w:bottom="0" w:gutter="0" w:footer="0" w:header="0"/>
        </w:sectPr>
      </w:pPr>
    </w:p>
    <w:bookmarkStart w:id="11" w:name="page12"/>
    <w:bookmarkEnd w:id="11"/>
    <w:p>
      <w:pPr>
        <w:ind w:right="3279" w:firstLine="434"/>
        <w:spacing w:after="0" w:line="253"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development and redevelopment of prime retail and urban mixed-use districts. The Trust's real estate portfolio contains more than 120 properties consisting of community and neighborhood shopping centers, urban mixed-use main street retail and apartment properties located in strategic metropolitan markets across the United States. These markets include Boston, New York, Philadelphia, Washington D.C., Chicago, San Antonio, Portland, San Francisco, Los Angeles, San Jose and San Diego. The Trust is nationally recognized for both its main street revitalization and value-added urban development programs.</w:t>
      </w:r>
    </w:p>
    <w:p>
      <w:pPr>
        <w:spacing w:after="0" w:line="331"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33 consecutive years. Shares of the Trust are traded on the New York Stock Exchange under the symbol:FRT.</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of a general nature that could cause actual results to differ materially from Federal's expectations are detailed from time to time in the company's SEC reports and filings, including its annual report on Form 10-K. Federal assumes no obligation to update or supplement forward looking statements that become untrue because of subsequent events.</w:t>
      </w:r>
    </w:p>
    <w:p>
      <w:pPr>
        <w:sectPr>
          <w:pgSz w:w="11900" w:h="16838" w:orient="portrait"/>
          <w:cols w:equalWidth="0" w:num="1">
            <w:col w:w="10239"/>
          </w:cols>
          <w:pgMar w:left="220" w:top="308" w:right="1440" w:bottom="1440" w:gutter="0" w:footer="0" w:header="0"/>
        </w:sectPr>
      </w:pPr>
    </w:p>
    <w:bookmarkStart w:id="12" w:name="page13"/>
    <w:bookmarkEnd w:id="12"/>
    <w:p>
      <w:pPr>
        <w:ind w:left="2520"/>
        <w:spacing w:after="0"/>
        <w:rPr>
          <w:sz w:val="20"/>
          <w:szCs w:val="20"/>
          <w:color w:val="auto"/>
        </w:rPr>
      </w:pPr>
      <w:r>
        <w:rPr>
          <w:rFonts w:ascii="Courier New" w:cs="Courier New" w:eastAsia="Courier New" w:hAnsi="Courier New"/>
          <w:sz w:val="14"/>
          <w:szCs w:val="14"/>
          <w:color w:val="auto"/>
        </w:rPr>
        <w:t>Financial Highlights</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ind w:left="2880"/>
              <w:spacing w:after="0"/>
              <w:rPr>
                <w:sz w:val="20"/>
                <w:szCs w:val="20"/>
                <w:color w:val="auto"/>
              </w:rPr>
            </w:pPr>
            <w:r>
              <w:rPr>
                <w:rFonts w:ascii="Courier New" w:cs="Courier New" w:eastAsia="Courier New" w:hAnsi="Courier New"/>
                <w:sz w:val="14"/>
                <w:szCs w:val="14"/>
                <w:color w:val="auto"/>
              </w:rPr>
              <w:t>( unaudited)</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6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Three Months Ended</w:t>
            </w:r>
          </w:p>
        </w:tc>
        <w:tc>
          <w:tcPr>
            <w:tcW w:w="220" w:type="dxa"/>
            <w:vAlign w:val="bottom"/>
          </w:tcPr>
          <w:p>
            <w:pPr>
              <w:spacing w:after="0"/>
              <w:rPr>
                <w:sz w:val="24"/>
                <w:szCs w:val="24"/>
                <w:color w:val="auto"/>
              </w:rPr>
            </w:pPr>
          </w:p>
        </w:tc>
        <w:tc>
          <w:tcPr>
            <w:tcW w:w="21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Nine Months Ended</w:t>
            </w:r>
          </w:p>
        </w:tc>
      </w:tr>
      <w:tr>
        <w:trPr>
          <w:trHeight w:val="167"/>
        </w:trPr>
        <w:tc>
          <w:tcPr>
            <w:tcW w:w="6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4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September 30,</w:t>
            </w:r>
          </w:p>
        </w:tc>
        <w:tc>
          <w:tcPr>
            <w:tcW w:w="220" w:type="dxa"/>
            <w:vAlign w:val="bottom"/>
          </w:tcPr>
          <w:p>
            <w:pPr>
              <w:spacing w:after="0"/>
              <w:rPr>
                <w:sz w:val="14"/>
                <w:szCs w:val="14"/>
                <w:color w:val="auto"/>
              </w:rPr>
            </w:pPr>
          </w:p>
        </w:tc>
        <w:tc>
          <w:tcPr>
            <w:tcW w:w="21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September 30,</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560" w:type="dxa"/>
            <w:vAlign w:val="bottom"/>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65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Rental income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64,101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61,971</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$ 192,584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181,078</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Other property income</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2,683</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3,349</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8,148</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8,176</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Interest and other income</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1,797</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1,935</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5,759</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5,779</w:t>
            </w:r>
          </w:p>
        </w:tc>
      </w:tr>
      <w:tr>
        <w:trPr>
          <w:trHeight w:val="167"/>
        </w:trPr>
        <w:tc>
          <w:tcPr>
            <w:tcW w:w="652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68,581</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67,255</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206,491</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195,033</w:t>
            </w:r>
          </w:p>
        </w:tc>
      </w:tr>
      <w:tr>
        <w:trPr>
          <w:trHeight w:val="167"/>
        </w:trPr>
        <w:tc>
          <w:tcPr>
            <w:tcW w:w="65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Rental</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13,015</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12,950</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41,057</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39,054</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Real estate taxes</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6,741</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6,477</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19,720</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18,344</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15,992</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14,989</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49,521</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45,507</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Administrative</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3,245</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5,474</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9,035</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10,888</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13,440</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12,381</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39,433</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37,313</w:t>
            </w:r>
          </w:p>
        </w:tc>
      </w:tr>
      <w:tr>
        <w:trPr>
          <w:trHeight w:val="167"/>
        </w:trPr>
        <w:tc>
          <w:tcPr>
            <w:tcW w:w="652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52,433</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52,271</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158,766</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151,106</w:t>
            </w:r>
          </w:p>
        </w:tc>
      </w:tr>
      <w:tr>
        <w:trPr>
          <w:trHeight w:val="167"/>
        </w:trPr>
        <w:tc>
          <w:tcPr>
            <w:tcW w:w="652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 before investors' share of operations</w:t>
            </w:r>
          </w:p>
        </w:tc>
        <w:tc>
          <w:tcPr>
            <w:tcW w:w="560" w:type="dxa"/>
            <w:vAlign w:val="bottom"/>
          </w:tcPr>
          <w:p>
            <w:pPr>
              <w:spacing w:after="0"/>
              <w:rPr>
                <w:sz w:val="24"/>
                <w:szCs w:val="2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16,148</w:t>
            </w:r>
          </w:p>
        </w:tc>
        <w:tc>
          <w:tcPr>
            <w:tcW w:w="30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14,984</w:t>
            </w:r>
          </w:p>
        </w:tc>
        <w:tc>
          <w:tcPr>
            <w:tcW w:w="22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47,725</w:t>
            </w:r>
          </w:p>
        </w:tc>
        <w:tc>
          <w:tcPr>
            <w:tcW w:w="3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43,927</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Investor's share of operations</w:t>
            </w:r>
          </w:p>
        </w:tc>
        <w:tc>
          <w:tcPr>
            <w:tcW w:w="5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(1,727)</w:t>
            </w:r>
          </w:p>
        </w:tc>
        <w:tc>
          <w:tcPr>
            <w:tcW w:w="3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(798)</w:t>
            </w:r>
          </w:p>
        </w:tc>
        <w:tc>
          <w:tcPr>
            <w:tcW w:w="2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(4,772)</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(2,322)</w:t>
            </w:r>
          </w:p>
        </w:tc>
      </w:tr>
      <w:tr>
        <w:trPr>
          <w:trHeight w:val="167"/>
        </w:trPr>
        <w:tc>
          <w:tcPr>
            <w:tcW w:w="652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14,421</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14,186</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42,953</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41,605</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Gain (Loss) on sale of real estate</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3,681</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(7,050)</w:t>
            </w:r>
          </w:p>
        </w:tc>
      </w:tr>
      <w:tr>
        <w:trPr>
          <w:trHeight w:val="167"/>
        </w:trPr>
        <w:tc>
          <w:tcPr>
            <w:tcW w:w="652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14,421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14,186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46,634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34,555</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Dividends on preferred stock</w:t>
            </w:r>
          </w:p>
        </w:tc>
        <w:tc>
          <w:tcPr>
            <w:tcW w:w="5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(1,988)</w:t>
            </w:r>
          </w:p>
        </w:tc>
        <w:tc>
          <w:tcPr>
            <w:tcW w:w="3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(1,988)</w:t>
            </w:r>
          </w:p>
        </w:tc>
        <w:tc>
          <w:tcPr>
            <w:tcW w:w="2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(5,963)</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(5,963)</w:t>
            </w:r>
          </w:p>
        </w:tc>
      </w:tr>
      <w:tr>
        <w:trPr>
          <w:trHeight w:val="167"/>
        </w:trPr>
        <w:tc>
          <w:tcPr>
            <w:tcW w:w="652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12,433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12,198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40,671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28,592</w:t>
            </w:r>
          </w:p>
        </w:tc>
      </w:tr>
      <w:tr>
        <w:trPr>
          <w:trHeight w:val="167"/>
        </w:trPr>
        <w:tc>
          <w:tcPr>
            <w:tcW w:w="652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Earnings per common share, basic</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0.72</w:t>
            </w:r>
          </w:p>
        </w:tc>
      </w:tr>
      <w:tr>
        <w:trPr>
          <w:trHeight w:val="167"/>
        </w:trPr>
        <w:tc>
          <w:tcPr>
            <w:tcW w:w="652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Earnings per common share, diluted</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0.72</w:t>
            </w:r>
          </w:p>
        </w:tc>
      </w:tr>
      <w:tr>
        <w:trPr>
          <w:trHeight w:val="167"/>
        </w:trPr>
        <w:tc>
          <w:tcPr>
            <w:tcW w:w="652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shares outstanding, basic</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38,695</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39,634</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38,812</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39,534</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shares outstanding, diluted</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39,774</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40,701</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39,949</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40,639</w:t>
            </w:r>
          </w:p>
        </w:tc>
      </w:tr>
      <w:tr>
        <w:trPr>
          <w:trHeight w:val="334"/>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Funds from Operations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520" w:type="dxa"/>
            <w:vAlign w:val="bottom"/>
          </w:tcPr>
          <w:p>
            <w:pPr>
              <w:ind w:left="122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12,433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12,198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40,671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28,592</w:t>
            </w:r>
          </w:p>
        </w:tc>
      </w:tr>
      <w:tr>
        <w:trPr>
          <w:trHeight w:val="167"/>
        </w:trPr>
        <w:tc>
          <w:tcPr>
            <w:tcW w:w="6520" w:type="dxa"/>
            <w:vAlign w:val="bottom"/>
          </w:tcPr>
          <w:p>
            <w:pPr>
              <w:ind w:left="1220"/>
              <w:spacing w:after="0"/>
              <w:rPr>
                <w:sz w:val="20"/>
                <w:szCs w:val="20"/>
                <w:color w:val="auto"/>
              </w:rPr>
            </w:pPr>
            <w:r>
              <w:rPr>
                <w:rFonts w:ascii="Courier New" w:cs="Courier New" w:eastAsia="Courier New" w:hAnsi="Courier New"/>
                <w:sz w:val="14"/>
                <w:szCs w:val="14"/>
                <w:color w:val="auto"/>
              </w:rPr>
              <w:t>Add: (gain) loss on sale of real estate</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22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(3,681)</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7,050</w:t>
            </w:r>
          </w:p>
        </w:tc>
      </w:tr>
      <w:tr>
        <w:trPr>
          <w:trHeight w:val="167"/>
        </w:trPr>
        <w:tc>
          <w:tcPr>
            <w:tcW w:w="6520" w:type="dxa"/>
            <w:vAlign w:val="bottom"/>
          </w:tcPr>
          <w:p>
            <w:pPr>
              <w:ind w:left="1220"/>
              <w:spacing w:after="0"/>
              <w:rPr>
                <w:sz w:val="20"/>
                <w:szCs w:val="20"/>
                <w:color w:val="auto"/>
              </w:rPr>
            </w:pPr>
            <w:r>
              <w:rPr>
                <w:rFonts w:ascii="Courier New" w:cs="Courier New" w:eastAsia="Courier New" w:hAnsi="Courier New"/>
                <w:sz w:val="14"/>
                <w:szCs w:val="14"/>
                <w:color w:val="auto"/>
              </w:rPr>
              <w:t>Add: depreciation and amortization of real estate assets</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12,229</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11,232</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35,852</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33,849</w:t>
            </w:r>
          </w:p>
        </w:tc>
      </w:tr>
      <w:tr>
        <w:trPr>
          <w:trHeight w:val="167"/>
        </w:trPr>
        <w:tc>
          <w:tcPr>
            <w:tcW w:w="6520" w:type="dxa"/>
            <w:vAlign w:val="bottom"/>
          </w:tcPr>
          <w:p>
            <w:pPr>
              <w:ind w:left="1220"/>
              <w:spacing w:after="0"/>
              <w:rPr>
                <w:sz w:val="20"/>
                <w:szCs w:val="20"/>
                <w:color w:val="auto"/>
              </w:rPr>
            </w:pPr>
            <w:r>
              <w:rPr>
                <w:rFonts w:ascii="Courier New" w:cs="Courier New" w:eastAsia="Courier New" w:hAnsi="Courier New"/>
                <w:sz w:val="14"/>
                <w:szCs w:val="14"/>
                <w:color w:val="auto"/>
              </w:rPr>
              <w:t>Add: amortization of initial direct costs of leases</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897</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775</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2,597</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2,235</w:t>
            </w:r>
          </w:p>
        </w:tc>
      </w:tr>
      <w:tr>
        <w:trPr>
          <w:trHeight w:val="167"/>
        </w:trPr>
        <w:tc>
          <w:tcPr>
            <w:tcW w:w="6520" w:type="dxa"/>
            <w:vAlign w:val="bottom"/>
          </w:tcPr>
          <w:p>
            <w:pPr>
              <w:ind w:left="1220"/>
              <w:spacing w:after="0"/>
              <w:rPr>
                <w:sz w:val="20"/>
                <w:szCs w:val="20"/>
                <w:color w:val="auto"/>
              </w:rPr>
            </w:pPr>
            <w:r>
              <w:rPr>
                <w:rFonts w:ascii="Courier New" w:cs="Courier New" w:eastAsia="Courier New" w:hAnsi="Courier New"/>
                <w:sz w:val="14"/>
                <w:szCs w:val="14"/>
                <w:color w:val="auto"/>
              </w:rPr>
              <w:t>Add: income attributable to operating partnership units</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w:t>
            </w:r>
          </w:p>
        </w:tc>
        <w:tc>
          <w:tcPr>
            <w:tcW w:w="3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w:t>
            </w:r>
          </w:p>
        </w:tc>
        <w:tc>
          <w:tcPr>
            <w:tcW w:w="22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1,022</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w:t>
            </w:r>
          </w:p>
        </w:tc>
      </w:tr>
      <w:tr>
        <w:trPr>
          <w:trHeight w:val="167"/>
        </w:trPr>
        <w:tc>
          <w:tcPr>
            <w:tcW w:w="652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Funds from operations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25,837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76,461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72,278</w:t>
            </w:r>
          </w:p>
        </w:tc>
      </w:tr>
      <w:tr>
        <w:trPr>
          <w:trHeight w:val="167"/>
        </w:trPr>
        <w:tc>
          <w:tcPr>
            <w:tcW w:w="652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520" w:type="dxa"/>
            <w:vAlign w:val="bottom"/>
          </w:tcPr>
          <w:p>
            <w:pPr>
              <w:ind w:left="260"/>
              <w:spacing w:after="0"/>
              <w:rPr>
                <w:sz w:val="20"/>
                <w:szCs w:val="20"/>
                <w:color w:val="auto"/>
              </w:rPr>
            </w:pPr>
            <w:r>
              <w:rPr>
                <w:rFonts w:ascii="Courier New" w:cs="Courier New" w:eastAsia="Courier New" w:hAnsi="Courier New"/>
                <w:sz w:val="14"/>
                <w:szCs w:val="14"/>
                <w:color w:val="auto"/>
              </w:rPr>
              <w:t>Funds from operations per share, diluted</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r>
      <w:tr>
        <w:trPr>
          <w:trHeight w:val="167"/>
        </w:trPr>
        <w:tc>
          <w:tcPr>
            <w:tcW w:w="6520" w:type="dxa"/>
            <w:vAlign w:val="bottom"/>
          </w:tcPr>
          <w:p>
            <w:pPr>
              <w:spacing w:after="0"/>
              <w:rPr>
                <w:sz w:val="14"/>
                <w:szCs w:val="14"/>
                <w:color w:val="auto"/>
              </w:rPr>
            </w:pPr>
          </w:p>
        </w:tc>
        <w:tc>
          <w:tcPr>
            <w:tcW w:w="14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31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September 30,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6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6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4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6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6440" w:type="dxa"/>
            <w:vAlign w:val="bottom"/>
          </w:tcPr>
          <w:p>
            <w:pPr>
              <w:ind w:left="260"/>
              <w:spacing w:after="0"/>
              <w:rPr>
                <w:sz w:val="20"/>
                <w:szCs w:val="20"/>
                <w:color w:val="auto"/>
              </w:rPr>
            </w:pPr>
            <w:r>
              <w:rPr>
                <w:rFonts w:ascii="Courier New" w:cs="Courier New" w:eastAsia="Courier New" w:hAnsi="Courier New"/>
                <w:sz w:val="14"/>
                <w:szCs w:val="14"/>
                <w:color w:val="auto"/>
              </w:rPr>
              <w:t>Assets</w:t>
            </w:r>
          </w:p>
        </w:tc>
        <w:tc>
          <w:tcPr>
            <w:tcW w:w="2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6440" w:type="dxa"/>
            <w:vAlign w:val="bottom"/>
          </w:tcPr>
          <w:p>
            <w:pPr>
              <w:ind w:left="260"/>
              <w:spacing w:after="0"/>
              <w:rPr>
                <w:sz w:val="20"/>
                <w:szCs w:val="20"/>
                <w:color w:val="auto"/>
              </w:rPr>
            </w:pPr>
            <w:r>
              <w:rPr>
                <w:rFonts w:ascii="Courier New" w:cs="Courier New" w:eastAsia="Courier New" w:hAnsi="Courier New"/>
                <w:sz w:val="14"/>
                <w:szCs w:val="14"/>
                <w:color w:val="auto"/>
              </w:rPr>
              <w:t>Real estate, at cost</w:t>
            </w:r>
          </w:p>
        </w:tc>
        <w:tc>
          <w:tcPr>
            <w:tcW w:w="3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$ 1,804,186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$1,721,459</w:t>
            </w:r>
          </w:p>
        </w:tc>
      </w:tr>
      <w:tr>
        <w:trPr>
          <w:trHeight w:val="167"/>
        </w:trPr>
        <w:tc>
          <w:tcPr>
            <w:tcW w:w="6440" w:type="dxa"/>
            <w:vAlign w:val="bottom"/>
          </w:tcPr>
          <w:p>
            <w:pPr>
              <w:ind w:left="26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21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(349,822)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(317,921)</w:t>
            </w:r>
          </w:p>
        </w:tc>
      </w:tr>
      <w:tr>
        <w:trPr>
          <w:trHeight w:val="167"/>
        </w:trPr>
        <w:tc>
          <w:tcPr>
            <w:tcW w:w="6440" w:type="dxa"/>
            <w:vAlign w:val="bottom"/>
          </w:tcPr>
          <w:p>
            <w:pPr>
              <w:spacing w:after="0"/>
              <w:rPr>
                <w:sz w:val="14"/>
                <w:szCs w:val="14"/>
                <w:color w:val="auto"/>
              </w:rPr>
            </w:pPr>
          </w:p>
        </w:tc>
        <w:tc>
          <w:tcPr>
            <w:tcW w:w="3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6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1,454,364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1,403,538</w:t>
            </w:r>
          </w:p>
        </w:tc>
      </w:tr>
      <w:tr>
        <w:trPr>
          <w:trHeight w:val="167"/>
        </w:trPr>
        <w:tc>
          <w:tcPr>
            <w:tcW w:w="6440" w:type="dxa"/>
            <w:vAlign w:val="bottom"/>
          </w:tcPr>
          <w:p>
            <w:pPr>
              <w:ind w:left="260"/>
              <w:spacing w:after="0"/>
              <w:rPr>
                <w:sz w:val="20"/>
                <w:szCs w:val="20"/>
                <w:color w:val="auto"/>
              </w:rPr>
            </w:pPr>
            <w:r>
              <w:rPr>
                <w:rFonts w:ascii="Courier New" w:cs="Courier New" w:eastAsia="Courier New" w:hAnsi="Courier New"/>
                <w:sz w:val="14"/>
                <w:szCs w:val="14"/>
                <w:color w:val="auto"/>
              </w:rPr>
              <w:t>Mortgage notes receivable</w:t>
            </w:r>
          </w:p>
        </w:tc>
        <w:tc>
          <w:tcPr>
            <w:tcW w:w="21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46,089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53,495</w:t>
            </w:r>
          </w:p>
        </w:tc>
      </w:tr>
      <w:tr>
        <w:trPr>
          <w:trHeight w:val="167"/>
        </w:trPr>
        <w:tc>
          <w:tcPr>
            <w:tcW w:w="6440" w:type="dxa"/>
            <w:vAlign w:val="bottom"/>
          </w:tcPr>
          <w:p>
            <w:pPr>
              <w:ind w:left="260"/>
              <w:spacing w:after="0"/>
              <w:rPr>
                <w:sz w:val="20"/>
                <w:szCs w:val="20"/>
                <w:color w:val="auto"/>
              </w:rPr>
            </w:pPr>
            <w:r>
              <w:rPr>
                <w:rFonts w:ascii="Courier New" w:cs="Courier New" w:eastAsia="Courier New" w:hAnsi="Courier New"/>
                <w:sz w:val="14"/>
                <w:szCs w:val="14"/>
                <w:color w:val="auto"/>
              </w:rPr>
              <w:t>Cash and investments</w:t>
            </w:r>
          </w:p>
        </w:tc>
        <w:tc>
          <w:tcPr>
            <w:tcW w:w="21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13,726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11,738</w:t>
            </w:r>
          </w:p>
        </w:tc>
      </w:tr>
      <w:tr>
        <w:trPr>
          <w:trHeight w:val="167"/>
        </w:trPr>
        <w:tc>
          <w:tcPr>
            <w:tcW w:w="6440" w:type="dxa"/>
            <w:vAlign w:val="bottom"/>
          </w:tcPr>
          <w:p>
            <w:pPr>
              <w:ind w:left="260"/>
              <w:spacing w:after="0"/>
              <w:rPr>
                <w:sz w:val="20"/>
                <w:szCs w:val="20"/>
                <w:color w:val="auto"/>
              </w:rPr>
            </w:pPr>
            <w:r>
              <w:rPr>
                <w:rFonts w:ascii="Courier New" w:cs="Courier New" w:eastAsia="Courier New" w:hAnsi="Courier New"/>
                <w:sz w:val="14"/>
                <w:szCs w:val="14"/>
                <w:color w:val="auto"/>
              </w:rPr>
              <w:t>Receivables</w:t>
            </w:r>
          </w:p>
        </w:tc>
        <w:tc>
          <w:tcPr>
            <w:tcW w:w="21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20,585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23,130</w:t>
            </w:r>
          </w:p>
        </w:tc>
      </w:tr>
      <w:tr>
        <w:trPr>
          <w:trHeight w:val="167"/>
        </w:trPr>
        <w:tc>
          <w:tcPr>
            <w:tcW w:w="644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21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44,275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42,147</w:t>
            </w:r>
          </w:p>
        </w:tc>
      </w:tr>
      <w:tr>
        <w:trPr>
          <w:trHeight w:val="167"/>
        </w:trPr>
        <w:tc>
          <w:tcPr>
            <w:tcW w:w="6440" w:type="dxa"/>
            <w:vAlign w:val="bottom"/>
          </w:tcPr>
          <w:p>
            <w:pPr>
              <w:spacing w:after="0"/>
              <w:rPr>
                <w:sz w:val="14"/>
                <w:szCs w:val="14"/>
                <w:color w:val="auto"/>
              </w:rPr>
            </w:pPr>
          </w:p>
        </w:tc>
        <w:tc>
          <w:tcPr>
            <w:tcW w:w="3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64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$ 1,579,039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$1,534,048</w:t>
            </w:r>
          </w:p>
        </w:tc>
      </w:tr>
      <w:tr>
        <w:trPr>
          <w:trHeight w:val="167"/>
        </w:trPr>
        <w:tc>
          <w:tcPr>
            <w:tcW w:w="6440" w:type="dxa"/>
            <w:vAlign w:val="bottom"/>
          </w:tcPr>
          <w:p>
            <w:pPr>
              <w:spacing w:after="0"/>
              <w:rPr>
                <w:sz w:val="14"/>
                <w:szCs w:val="14"/>
                <w:color w:val="auto"/>
              </w:rPr>
            </w:pPr>
          </w:p>
        </w:tc>
        <w:tc>
          <w:tcPr>
            <w:tcW w:w="3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64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6440" w:type="dxa"/>
            <w:vAlign w:val="bottom"/>
          </w:tcPr>
          <w:p>
            <w:pPr>
              <w:ind w:left="260"/>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212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172,178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172,573</w:t>
            </w:r>
          </w:p>
        </w:tc>
      </w:tr>
      <w:tr>
        <w:trPr>
          <w:trHeight w:val="167"/>
        </w:trPr>
        <w:tc>
          <w:tcPr>
            <w:tcW w:w="6440" w:type="dxa"/>
            <w:vAlign w:val="bottom"/>
          </w:tcPr>
          <w:p>
            <w:pPr>
              <w:ind w:left="260"/>
              <w:spacing w:after="0"/>
              <w:rPr>
                <w:sz w:val="20"/>
                <w:szCs w:val="20"/>
                <w:color w:val="auto"/>
              </w:rPr>
            </w:pPr>
            <w:r>
              <w:rPr>
                <w:rFonts w:ascii="Courier New" w:cs="Courier New" w:eastAsia="Courier New" w:hAnsi="Courier New"/>
                <w:sz w:val="14"/>
                <w:szCs w:val="14"/>
                <w:color w:val="auto"/>
              </w:rPr>
              <w:t>Notes payable</w:t>
            </w:r>
          </w:p>
        </w:tc>
        <w:tc>
          <w:tcPr>
            <w:tcW w:w="21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330,091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162,768</w:t>
            </w:r>
          </w:p>
        </w:tc>
      </w:tr>
      <w:tr>
        <w:trPr>
          <w:trHeight w:val="167"/>
        </w:trPr>
        <w:tc>
          <w:tcPr>
            <w:tcW w:w="6440" w:type="dxa"/>
            <w:vAlign w:val="bottom"/>
          </w:tcPr>
          <w:p>
            <w:pPr>
              <w:ind w:left="260"/>
              <w:spacing w:after="0"/>
              <w:rPr>
                <w:sz w:val="20"/>
                <w:szCs w:val="20"/>
                <w:color w:val="auto"/>
              </w:rPr>
            </w:pPr>
            <w:r>
              <w:rPr>
                <w:rFonts w:ascii="Courier New" w:cs="Courier New" w:eastAsia="Courier New" w:hAnsi="Courier New"/>
                <w:sz w:val="14"/>
                <w:szCs w:val="14"/>
                <w:color w:val="auto"/>
              </w:rPr>
              <w:t>Senior Notes</w:t>
            </w:r>
          </w:p>
        </w:tc>
        <w:tc>
          <w:tcPr>
            <w:tcW w:w="21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510,000</w:t>
            </w:r>
          </w:p>
        </w:tc>
      </w:tr>
      <w:tr>
        <w:trPr>
          <w:trHeight w:val="167"/>
        </w:trPr>
        <w:tc>
          <w:tcPr>
            <w:tcW w:w="6440" w:type="dxa"/>
            <w:vAlign w:val="bottom"/>
          </w:tcPr>
          <w:p>
            <w:pPr>
              <w:ind w:left="260"/>
              <w:spacing w:after="0"/>
              <w:rPr>
                <w:sz w:val="20"/>
                <w:szCs w:val="20"/>
                <w:color w:val="auto"/>
              </w:rPr>
            </w:pPr>
            <w:r>
              <w:rPr>
                <w:rFonts w:ascii="Courier New" w:cs="Courier New" w:eastAsia="Courier New" w:hAnsi="Courier New"/>
                <w:sz w:val="14"/>
                <w:szCs w:val="14"/>
                <w:color w:val="auto"/>
              </w:rPr>
              <w:t>5 1/4% Convertible subordinated debentures</w:t>
            </w:r>
          </w:p>
        </w:tc>
        <w:tc>
          <w:tcPr>
            <w:tcW w:w="21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75,289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75,289</w:t>
            </w:r>
          </w:p>
        </w:tc>
      </w:tr>
      <w:tr>
        <w:trPr>
          <w:trHeight w:val="167"/>
        </w:trPr>
        <w:tc>
          <w:tcPr>
            <w:tcW w:w="6440" w:type="dxa"/>
            <w:vAlign w:val="bottom"/>
          </w:tcPr>
          <w:p>
            <w:pPr>
              <w:ind w:left="260"/>
              <w:spacing w:after="0"/>
              <w:rPr>
                <w:sz w:val="20"/>
                <w:szCs w:val="20"/>
                <w:color w:val="auto"/>
              </w:rPr>
            </w:pPr>
            <w:r>
              <w:rPr>
                <w:rFonts w:ascii="Courier New" w:cs="Courier New" w:eastAsia="Courier New" w:hAnsi="Courier New"/>
                <w:sz w:val="14"/>
                <w:szCs w:val="14"/>
                <w:color w:val="auto"/>
              </w:rPr>
              <w:t>Other liabilities</w:t>
            </w:r>
          </w:p>
        </w:tc>
        <w:tc>
          <w:tcPr>
            <w:tcW w:w="21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117,966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111,591</w:t>
            </w:r>
          </w:p>
        </w:tc>
      </w:tr>
      <w:tr>
        <w:trPr>
          <w:trHeight w:val="334"/>
        </w:trPr>
        <w:tc>
          <w:tcPr>
            <w:tcW w:w="6440" w:type="dxa"/>
            <w:vAlign w:val="bottom"/>
          </w:tcPr>
          <w:p>
            <w:pPr>
              <w:ind w:left="100"/>
              <w:spacing w:after="0"/>
              <w:rPr>
                <w:sz w:val="20"/>
                <w:szCs w:val="20"/>
                <w:color w:val="auto"/>
              </w:rPr>
            </w:pPr>
            <w:r>
              <w:rPr>
                <w:rFonts w:ascii="Courier New" w:cs="Courier New" w:eastAsia="Courier New" w:hAnsi="Courier New"/>
                <w:sz w:val="14"/>
                <w:szCs w:val="14"/>
                <w:color w:val="auto"/>
              </w:rPr>
              <w:t>Shareholders' Equity</w:t>
            </w:r>
          </w:p>
        </w:tc>
        <w:tc>
          <w:tcPr>
            <w:tcW w:w="212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473,515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501,827</w:t>
            </w:r>
          </w:p>
        </w:tc>
      </w:tr>
      <w:tr>
        <w:trPr>
          <w:trHeight w:val="167"/>
        </w:trPr>
        <w:tc>
          <w:tcPr>
            <w:tcW w:w="6440" w:type="dxa"/>
            <w:vAlign w:val="bottom"/>
          </w:tcPr>
          <w:p>
            <w:pPr>
              <w:spacing w:after="0"/>
              <w:rPr>
                <w:sz w:val="14"/>
                <w:szCs w:val="14"/>
                <w:color w:val="auto"/>
              </w:rPr>
            </w:pPr>
          </w:p>
        </w:tc>
        <w:tc>
          <w:tcPr>
            <w:tcW w:w="3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6440" w:type="dxa"/>
            <w:vAlign w:val="bottom"/>
          </w:tcPr>
          <w:p>
            <w:pPr>
              <w:spacing w:after="0"/>
              <w:rPr>
                <w:sz w:val="14"/>
                <w:szCs w:val="14"/>
                <w:color w:val="auto"/>
              </w:rPr>
            </w:pPr>
          </w:p>
        </w:tc>
        <w:tc>
          <w:tcPr>
            <w:tcW w:w="212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1,579,039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$ 1,534,048</w:t>
            </w:r>
          </w:p>
        </w:tc>
      </w:tr>
      <w:tr>
        <w:trPr>
          <w:trHeight w:val="167"/>
        </w:trPr>
        <w:tc>
          <w:tcPr>
            <w:tcW w:w="6440" w:type="dxa"/>
            <w:vAlign w:val="bottom"/>
          </w:tcPr>
          <w:p>
            <w:pPr>
              <w:spacing w:after="0"/>
              <w:rPr>
                <w:sz w:val="14"/>
                <w:szCs w:val="14"/>
                <w:color w:val="auto"/>
              </w:rPr>
            </w:pPr>
          </w:p>
        </w:tc>
        <w:tc>
          <w:tcPr>
            <w:tcW w:w="312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460"/>
          </w:cols>
          <w:pgMar w:left="220" w:top="453" w:right="219" w:bottom="469" w:gutter="0" w:footer="0" w:header="0"/>
        </w:sectPr>
      </w:pPr>
    </w:p>
    <w:bookmarkStart w:id="13" w:name="page14"/>
    <w:bookmarkEnd w:id="13"/>
    <w:p>
      <w:pPr>
        <w:ind w:left="2700"/>
        <w:spacing w:after="0"/>
        <w:rPr>
          <w:sz w:val="20"/>
          <w:szCs w:val="20"/>
          <w:color w:val="auto"/>
        </w:rPr>
      </w:pPr>
      <w:r>
        <w:rPr>
          <w:rFonts w:ascii="Courier New" w:cs="Courier New" w:eastAsia="Courier New" w:hAnsi="Courier New"/>
          <w:sz w:val="14"/>
          <w:szCs w:val="14"/>
          <w:color w:val="auto"/>
        </w:rPr>
        <w:t>Glossary of Terms</w:t>
      </w:r>
    </w:p>
    <w:p>
      <w:pPr>
        <w:spacing w:after="0" w:line="34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Net Operating Income: Gross revenues, including interest income, less rental expenses and real estate taxes.</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Overall occupancy: Occupancy for the entire portfolio -- includes all operating properties owned in reporting period.</w:t>
      </w:r>
    </w:p>
    <w:p>
      <w:pPr>
        <w:spacing w:after="0" w:line="16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Same center occupancy: Occupancy for only those properties owned and operating in the periods being compared. Excludes centers purchased or sold as well as properties under redevelopment and development.</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6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3"/>
    </w:lvl>
  </w:abstractNum>
  <w:abstractNum w:abstractNumId="1">
    <w:nsid w:val="3D1B58BA"/>
    <w:multiLevelType w:val="hybridMultilevel"/>
    <w:lvl w:ilvl="0">
      <w:lvlJc w:val="left"/>
      <w:lvlText w:val="%1."/>
      <w:numFmt w:val="decimal"/>
      <w:start w:val="3"/>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2019-12-13T00:55:54Z</dcterms:created>
  <dcterms:modified xsi:type="dcterms:W3CDTF">2019-12-13T00:55:54Z</dcterms:modified>
</cp:coreProperties>
</file>