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ind w:left="3700"/>
        <w:spacing w:after="0" w:line="238" w:lineRule="auto"/>
        <w:rPr>
          <w:sz w:val="20"/>
          <w:szCs w:val="20"/>
          <w:color w:val="auto"/>
        </w:rPr>
      </w:pPr>
      <w:r>
        <w:rPr>
          <w:rFonts w:ascii="Courier New" w:cs="Courier New" w:eastAsia="Courier New" w:hAnsi="Courier New"/>
          <w:sz w:val="18"/>
          <w:szCs w:val="18"/>
          <w:color w:val="auto"/>
        </w:rPr>
        <w:t>EXIT FILING</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2009</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7" w:lineRule="exact"/>
        <w:rPr>
          <w:sz w:val="24"/>
          <w:szCs w:val="24"/>
          <w:color w:val="auto"/>
        </w:rPr>
      </w:pPr>
    </w:p>
    <w:p>
      <w:pPr>
        <w:jc w:val="both"/>
        <w:ind w:right="1779" w:firstLine="8"/>
        <w:spacing w:after="0" w:line="237"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1,288,360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bl>
    <w:p>
      <w:pPr>
        <w:sectPr>
          <w:pgSz w:w="11900" w:h="16855" w:orient="portrait"/>
          <w:cols w:equalWidth="0" w:num="1">
            <w:col w:w="10219"/>
          </w:cols>
          <w:pgMar w:left="240" w:top="649" w:right="1440" w:bottom="0" w:gutter="0" w:footer="0" w:header="0"/>
        </w:sectPr>
      </w:pPr>
    </w:p>
    <w:bookmarkStart w:id="1" w:name="page2"/>
    <w:bookmarkEnd w:id="1"/>
    <w:p>
      <w:pPr>
        <w:spacing w:after="0" w:line="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WITH</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1,519,124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1180" w:space="720"/>
            <w:col w:w="8319"/>
          </w:cols>
          <w:pgMar w:left="240" w:top="136" w:right="1440" w:bottom="0" w:gutter="0" w:footer="0" w:header="0"/>
        </w:sectPr>
      </w:pPr>
    </w:p>
    <w:p>
      <w:pPr>
        <w:ind w:left="2440" w:hanging="536"/>
        <w:spacing w:after="0"/>
        <w:tabs>
          <w:tab w:leader="none" w:pos="24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1,519,124</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2.48%</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Cohen &amp; Steers Capital Management, Inc.</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13-3353336</w:t>
            </w:r>
          </w:p>
        </w:tc>
      </w:tr>
    </w:tbl>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960" w:hanging="526"/>
        <w:spacing w:after="0" w:line="238" w:lineRule="auto"/>
        <w:tabs>
          <w:tab w:leader="none" w:pos="6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1,288,360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1,478,261</w:t>
            </w:r>
          </w:p>
        </w:tc>
      </w:tr>
    </w:tbl>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2440" w:hanging="536"/>
        <w:spacing w:after="0"/>
        <w:tabs>
          <w:tab w:leader="none" w:pos="24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1,478,261</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2.42%</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Europe S.A.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40,863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bl>
    <w:p>
      <w:pPr>
        <w:ind w:left="2440" w:hanging="536"/>
        <w:spacing w:after="0" w:line="238" w:lineRule="auto"/>
        <w:tabs>
          <w:tab w:leader="none" w:pos="244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40,863</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0.07%</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138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Maryland 20852</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Europe S.A.</w:t>
      </w:r>
    </w:p>
    <w:p>
      <w:pPr>
        <w:spacing w:after="0" w:line="1" w:lineRule="exact"/>
        <w:rPr>
          <w:rFonts w:ascii="Courier New" w:cs="Courier New" w:eastAsia="Courier New" w:hAnsi="Courier New"/>
          <w:sz w:val="16"/>
          <w:szCs w:val="16"/>
          <w:color w:val="auto"/>
        </w:rPr>
      </w:pPr>
    </w:p>
    <w:p>
      <w:pPr>
        <w:ind w:left="1380" w:hanging="529"/>
        <w:spacing w:after="0" w:line="238" w:lineRule="auto"/>
        <w:tabs>
          <w:tab w:leader="none" w:pos="1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ind w:left="1580"/>
        <w:spacing w:after="0"/>
        <w:rPr>
          <w:sz w:val="20"/>
          <w:szCs w:val="20"/>
          <w:color w:val="auto"/>
        </w:rPr>
      </w:pPr>
      <w:r>
        <w:rPr>
          <w:rFonts w:ascii="Courier New" w:cs="Courier New" w:eastAsia="Courier New" w:hAnsi="Courier New"/>
          <w:sz w:val="18"/>
          <w:szCs w:val="18"/>
          <w:color w:val="auto"/>
        </w:rPr>
        <w:t>The principal address for Cohen &amp; Steers, Inc. and Cohen &amp;</w:t>
      </w:r>
    </w:p>
    <w:p>
      <w:pPr>
        <w:ind w:left="1580"/>
        <w:spacing w:after="0" w:line="237" w:lineRule="auto"/>
        <w:rPr>
          <w:sz w:val="20"/>
          <w:szCs w:val="20"/>
          <w:color w:val="auto"/>
        </w:rPr>
      </w:pPr>
      <w:r>
        <w:rPr>
          <w:rFonts w:ascii="Courier New" w:cs="Courier New" w:eastAsia="Courier New" w:hAnsi="Courier New"/>
          <w:sz w:val="18"/>
          <w:szCs w:val="18"/>
          <w:color w:val="auto"/>
        </w:rPr>
        <w:t>Steers Capital Management,Inc. is:</w:t>
      </w:r>
    </w:p>
    <w:p>
      <w:pPr>
        <w:ind w:left="1580"/>
        <w:spacing w:after="0" w:line="238" w:lineRule="auto"/>
        <w:rPr>
          <w:sz w:val="20"/>
          <w:szCs w:val="20"/>
          <w:color w:val="auto"/>
        </w:rPr>
      </w:pPr>
      <w:r>
        <w:rPr>
          <w:rFonts w:ascii="Courier New" w:cs="Courier New" w:eastAsia="Courier New" w:hAnsi="Courier New"/>
          <w:sz w:val="18"/>
          <w:szCs w:val="18"/>
          <w:color w:val="auto"/>
        </w:rPr>
        <w:t>280 Park Avenue</w:t>
      </w:r>
    </w:p>
    <w:p>
      <w:pPr>
        <w:ind w:left="1580"/>
        <w:spacing w:after="0"/>
        <w:rPr>
          <w:sz w:val="20"/>
          <w:szCs w:val="20"/>
          <w:color w:val="auto"/>
        </w:rPr>
      </w:pPr>
      <w:r>
        <w:rPr>
          <w:rFonts w:ascii="Courier New" w:cs="Courier New" w:eastAsia="Courier New" w:hAnsi="Courier New"/>
          <w:sz w:val="18"/>
          <w:szCs w:val="18"/>
          <w:color w:val="auto"/>
        </w:rPr>
        <w:t>10th Floor</w:t>
      </w:r>
    </w:p>
    <w:p>
      <w:pPr>
        <w:ind w:left="1580"/>
        <w:spacing w:after="0" w:line="237"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principal address for Cohen &amp; Steers Europe S.A. is:</w:t>
      </w:r>
    </w:p>
    <w:p>
      <w:pPr>
        <w:ind w:left="1580"/>
        <w:spacing w:after="0" w:line="238" w:lineRule="auto"/>
        <w:rPr>
          <w:sz w:val="20"/>
          <w:szCs w:val="20"/>
          <w:color w:val="auto"/>
        </w:rPr>
      </w:pPr>
      <w:r>
        <w:rPr>
          <w:rFonts w:ascii="Courier New" w:cs="Courier New" w:eastAsia="Courier New" w:hAnsi="Courier New"/>
          <w:sz w:val="18"/>
          <w:szCs w:val="18"/>
          <w:color w:val="auto"/>
        </w:rPr>
        <w:t>Chausee de la Hulpe 116,</w:t>
      </w:r>
    </w:p>
    <w:p>
      <w:pPr>
        <w:sectPr>
          <w:pgSz w:w="11900" w:h="16838" w:orient="portrait"/>
          <w:cols w:equalWidth="0" w:num="1">
            <w:col w:w="10219"/>
          </w:cols>
          <w:pgMar w:left="240" w:top="136" w:right="1440" w:bottom="0" w:gutter="0" w:footer="0" w:header="0"/>
        </w:sectPr>
      </w:pPr>
    </w:p>
    <w:bookmarkStart w:id="3" w:name="page4"/>
    <w:bookmarkEnd w:id="3"/>
    <w:p>
      <w:pPr>
        <w:ind w:left="1580"/>
        <w:spacing w:after="0"/>
        <w:rPr>
          <w:sz w:val="20"/>
          <w:szCs w:val="20"/>
          <w:color w:val="auto"/>
        </w:rPr>
      </w:pPr>
      <w:r>
        <w:rPr>
          <w:rFonts w:ascii="Courier New" w:cs="Courier New" w:eastAsia="Courier New" w:hAnsi="Courier New"/>
          <w:sz w:val="18"/>
          <w:szCs w:val="18"/>
          <w:color w:val="auto"/>
        </w:rPr>
        <w:t>1170 Brussels, Belgium</w:t>
      </w:r>
    </w:p>
    <w:p>
      <w:pPr>
        <w:ind w:left="1380" w:hanging="529"/>
        <w:spacing w:after="0" w:line="238" w:lineRule="auto"/>
        <w:tabs>
          <w:tab w:leader="none" w:pos="13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rPr>
          <w:sz w:val="20"/>
          <w:szCs w:val="20"/>
          <w:color w:val="auto"/>
        </w:rPr>
      </w:pPr>
      <w:r>
        <w:rPr>
          <w:rFonts w:ascii="Courier New" w:cs="Courier New" w:eastAsia="Courier New" w:hAnsi="Courier New"/>
          <w:sz w:val="18"/>
          <w:szCs w:val="18"/>
          <w:color w:val="auto"/>
        </w:rPr>
        <w:t>Cohen &amp; Steers, Inc: Delaware corporation</w:t>
      </w:r>
    </w:p>
    <w:p>
      <w:pPr>
        <w:ind w:left="1580"/>
        <w:spacing w:after="0" w:line="237" w:lineRule="auto"/>
        <w:rPr>
          <w:sz w:val="20"/>
          <w:szCs w:val="20"/>
          <w:color w:val="auto"/>
        </w:rPr>
      </w:pPr>
      <w:r>
        <w:rPr>
          <w:rFonts w:ascii="Courier New" w:cs="Courier New" w:eastAsia="Courier New" w:hAnsi="Courier New"/>
          <w:sz w:val="18"/>
          <w:szCs w:val="18"/>
          <w:color w:val="auto"/>
        </w:rPr>
        <w:t>Cohen &amp; Steers Capital Management, Inc: New York corporation</w:t>
      </w:r>
    </w:p>
    <w:p>
      <w:pPr>
        <w:ind w:left="1580"/>
        <w:spacing w:after="0" w:line="238" w:lineRule="auto"/>
        <w:rPr>
          <w:sz w:val="20"/>
          <w:szCs w:val="20"/>
          <w:color w:val="auto"/>
        </w:rPr>
      </w:pPr>
      <w:r>
        <w:rPr>
          <w:rFonts w:ascii="Courier New" w:cs="Courier New" w:eastAsia="Courier New" w:hAnsi="Courier New"/>
          <w:sz w:val="18"/>
          <w:szCs w:val="18"/>
          <w:color w:val="auto"/>
        </w:rPr>
        <w:t>Cohen &amp; Steers Europe S.A.: Belgium limited company</w:t>
      </w:r>
    </w:p>
    <w:p>
      <w:pPr>
        <w:spacing w:after="0" w:line="5" w:lineRule="exact"/>
        <w:rPr>
          <w:sz w:val="20"/>
          <w:szCs w:val="20"/>
          <w:color w:val="auto"/>
        </w:rPr>
      </w:pPr>
    </w:p>
    <w:p>
      <w:pPr>
        <w:ind w:left="1580" w:right="6099" w:hanging="729"/>
        <w:spacing w:after="0" w:line="235" w:lineRule="auto"/>
        <w:tabs>
          <w:tab w:leader="none" w:pos="1369"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2009: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none" w:pos="2100" w:val="left"/>
        </w:tabs>
        <w:rPr>
          <w:sz w:val="20"/>
          <w:szCs w:val="20"/>
          <w:color w:val="auto"/>
        </w:rPr>
      </w:pPr>
      <w:r>
        <w:rPr>
          <w:rFonts w:ascii="Courier New" w:cs="Courier New" w:eastAsia="Courier New" w:hAnsi="Courier New"/>
          <w:sz w:val="18"/>
          <w:szCs w:val="18"/>
          <w:color w:val="auto"/>
        </w:rPr>
        <w:t>Item 5.</w:t>
        <w:tab/>
        <w:t>OWNERSHIP</w:t>
      </w:r>
      <w:r>
        <w:rPr>
          <w:sz w:val="20"/>
          <w:szCs w:val="20"/>
          <w:color w:val="auto"/>
        </w:rPr>
        <w:tab/>
      </w:r>
      <w:r>
        <w:rPr>
          <w:rFonts w:ascii="Courier New" w:cs="Courier New" w:eastAsia="Courier New" w:hAnsi="Courier New"/>
          <w:sz w:val="16"/>
          <w:szCs w:val="16"/>
          <w:color w:val="auto"/>
        </w:rPr>
        <w:t>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Yes</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Cohen &amp; Steers, Inc. holds a 100% interest in Cohen &amp; Steers Capital</w:t>
      </w:r>
    </w:p>
    <w:p>
      <w:pPr>
        <w:ind w:left="960"/>
        <w:spacing w:after="0" w:line="238" w:lineRule="auto"/>
        <w:rPr>
          <w:sz w:val="20"/>
          <w:szCs w:val="20"/>
          <w:color w:val="auto"/>
        </w:rPr>
      </w:pPr>
      <w:r>
        <w:rPr>
          <w:rFonts w:ascii="Courier New" w:cs="Courier New" w:eastAsia="Courier New" w:hAnsi="Courier New"/>
          <w:sz w:val="18"/>
          <w:szCs w:val="18"/>
          <w:color w:val="auto"/>
        </w:rPr>
        <w:t>Management, Inc., an investment advisor registered under Section 203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of the Investment Advisers Act. Cohen &amp; Steers, Inc. and Cohen &amp; Steers</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Capital Management, Inc. together hold a 100% interest in</w:t>
      </w:r>
    </w:p>
    <w:p>
      <w:pPr>
        <w:spacing w:after="0" w:line="4" w:lineRule="exact"/>
        <w:rPr>
          <w:sz w:val="20"/>
          <w:szCs w:val="20"/>
          <w:color w:val="auto"/>
        </w:rPr>
      </w:pPr>
    </w:p>
    <w:p>
      <w:pPr>
        <w:ind w:left="960" w:right="2319"/>
        <w:spacing w:after="0" w:line="235" w:lineRule="auto"/>
        <w:rPr>
          <w:sz w:val="20"/>
          <w:szCs w:val="20"/>
          <w:color w:val="auto"/>
        </w:rPr>
      </w:pPr>
      <w:r>
        <w:rPr>
          <w:rFonts w:ascii="Courier New" w:cs="Courier New" w:eastAsia="Courier New" w:hAnsi="Courier New"/>
          <w:sz w:val="18"/>
          <w:szCs w:val="18"/>
          <w:color w:val="auto"/>
        </w:rPr>
        <w:t>Cohen &amp; Steers Europe S.A., an investment advisor registered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960" w:right="2099"/>
        <w:spacing w:after="0" w:line="237"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registered under Section 203 of the Investment Advisers Act. Cohen &amp; Steers, Inc. and Cohen &amp; Steers Capital Management, Inc. together hold a 100% interest in Cohen &amp; Steers Europe S.A., an investment advisor registered under Section 203 of the Investment Advisers Act.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NOTICE OF</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DISSOLUTION OF</w:t>
            </w:r>
          </w:p>
        </w:tc>
        <w:tc>
          <w:tcPr>
            <w:tcW w:w="680" w:type="dxa"/>
            <w:vAlign w:val="bottom"/>
          </w:tcPr>
          <w:p>
            <w:pPr>
              <w:ind w:left="100"/>
              <w:spacing w:after="0"/>
              <w:rPr>
                <w:sz w:val="20"/>
                <w:szCs w:val="20"/>
                <w:color w:val="auto"/>
              </w:rPr>
            </w:pPr>
            <w:r>
              <w:rPr>
                <w:rFonts w:ascii="Courier New" w:cs="Courier New" w:eastAsia="Courier New" w:hAnsi="Courier New"/>
                <w:sz w:val="18"/>
                <w:szCs w:val="18"/>
                <w:color w:val="auto"/>
              </w:rPr>
              <w:t>GROUP</w:t>
            </w:r>
          </w:p>
        </w:tc>
        <w:tc>
          <w:tcPr>
            <w:tcW w:w="40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8"/>
                <w:szCs w:val="18"/>
                <w:color w:val="auto"/>
              </w:rPr>
              <w:t>N/A</w:t>
            </w: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w w:val="97"/>
              </w:rPr>
              <w:t>Item 10.</w:t>
            </w:r>
          </w:p>
        </w:tc>
        <w:tc>
          <w:tcPr>
            <w:tcW w:w="26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Certification</w:t>
            </w:r>
          </w:p>
        </w:tc>
        <w:tc>
          <w:tcPr>
            <w:tcW w:w="68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05"/>
        </w:trPr>
        <w:tc>
          <w:tcPr>
            <w:tcW w:w="2000" w:type="dxa"/>
            <w:vAlign w:val="bottom"/>
            <w:gridSpan w:val="2"/>
          </w:tcPr>
          <w:p>
            <w:pPr>
              <w:spacing w:after="0"/>
              <w:rPr>
                <w:sz w:val="20"/>
                <w:szCs w:val="20"/>
                <w:color w:val="auto"/>
              </w:rPr>
            </w:pPr>
            <w:r>
              <w:rPr>
                <w:rFonts w:ascii="Courier New" w:cs="Courier New" w:eastAsia="Courier New" w:hAnsi="Courier New"/>
                <w:sz w:val="18"/>
                <w:szCs w:val="18"/>
                <w:color w:val="auto"/>
              </w:rPr>
              <w:t>By signing below I</w:t>
            </w:r>
          </w:p>
        </w:tc>
        <w:tc>
          <w:tcPr>
            <w:tcW w:w="1480" w:type="dxa"/>
            <w:vAlign w:val="bottom"/>
          </w:tcPr>
          <w:p>
            <w:pPr>
              <w:spacing w:after="0"/>
              <w:rPr>
                <w:sz w:val="20"/>
                <w:szCs w:val="20"/>
                <w:color w:val="auto"/>
              </w:rPr>
            </w:pPr>
            <w:r>
              <w:rPr>
                <w:rFonts w:ascii="Courier New" w:cs="Courier New" w:eastAsia="Courier New" w:hAnsi="Courier New"/>
                <w:sz w:val="18"/>
                <w:szCs w:val="18"/>
                <w:color w:val="auto"/>
                <w:w w:val="96"/>
              </w:rPr>
              <w:t>certify  that,</w:t>
            </w:r>
          </w:p>
        </w:tc>
        <w:tc>
          <w:tcPr>
            <w:tcW w:w="4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to the best of my knowledge  and belief,</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the securities  referred to above</w:t>
            </w:r>
          </w:p>
        </w:tc>
        <w:tc>
          <w:tcPr>
            <w:tcW w:w="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4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acquired and are held in the ordinary</w:t>
            </w:r>
          </w:p>
        </w:tc>
      </w:tr>
      <w:tr>
        <w:trPr>
          <w:trHeight w:val="203"/>
        </w:trPr>
        <w:tc>
          <w:tcPr>
            <w:tcW w:w="2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 not</w:t>
            </w:r>
          </w:p>
        </w:tc>
        <w:tc>
          <w:tcPr>
            <w:tcW w:w="4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acquired and are not held for the purpose of</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w:t>
            </w:r>
          </w:p>
        </w:tc>
        <w:tc>
          <w:tcPr>
            <w:tcW w:w="11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effect</w:t>
            </w:r>
          </w:p>
        </w:tc>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influencing  the  control  of the  issuer</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of such</w:t>
            </w: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securities</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and were not</w:t>
            </w: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acquired and are not held in connection with</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or as a</w:t>
            </w:r>
          </w:p>
        </w:tc>
        <w:tc>
          <w:tcPr>
            <w:tcW w:w="33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participant in any transaction</w:t>
            </w:r>
          </w:p>
        </w:tc>
        <w:tc>
          <w:tcPr>
            <w:tcW w:w="4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having that purposes or effect.</w:t>
            </w:r>
          </w:p>
        </w:tc>
      </w:tr>
    </w:tbl>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report is not an admission that Cohen &amp; Steers, Inc. or its subsidiaries are the beneficial owner of any securities covered by this report, and Cohen &amp; Steers, Inc. and its subsidiaries expressly disclaim beneficial ownership of all shares reported herein pursuant to Rule 13d-4.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2010</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the undersigned hereby agree to the joint filing with all other Reporting Persons (as such term is defined in the Schedule 13G referred to</w:t>
      </w:r>
    </w:p>
    <w:p>
      <w:pPr>
        <w:sectPr>
          <w:pgSz w:w="11900" w:h="16838" w:orient="portrait"/>
          <w:cols w:equalWidth="0" w:num="1">
            <w:col w:w="10219"/>
          </w:cols>
          <w:pgMar w:left="240" w:top="339" w:right="1440" w:bottom="0" w:gutter="0" w:footer="0" w:header="0"/>
        </w:sectPr>
      </w:pPr>
    </w:p>
    <w:bookmarkStart w:id="5" w:name="page6"/>
    <w:bookmarkEnd w:id="5"/>
    <w:p>
      <w:pPr>
        <w:ind w:right="1779"/>
        <w:spacing w:after="0" w:line="237" w:lineRule="auto"/>
        <w:rPr>
          <w:sz w:val="20"/>
          <w:szCs w:val="20"/>
          <w:color w:val="auto"/>
        </w:rPr>
      </w:pPr>
      <w:r>
        <w:rPr>
          <w:rFonts w:ascii="Courier New" w:cs="Courier New" w:eastAsia="Courier New" w:hAnsi="Courier New"/>
          <w:sz w:val="18"/>
          <w:szCs w:val="18"/>
          <w:color w:val="auto"/>
        </w:rPr>
        <w:t>below) on behalf of each of them of a Statement on Schedule 13G including amendments thereto) with respect to the Common Shares of Federal Realty Investment Trust and that this Agreement may be included as an Exhibit to such joint filing. This Agreement may be executed in any number of counterparts, all of which together shall constitute one and the same instrument.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12, 2010.</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43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Europe S.A.</w:t>
      </w:r>
    </w:p>
    <w:p>
      <w:pPr>
        <w:ind w:left="2540"/>
        <w:spacing w:after="0" w:line="238"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Joseph Houlihan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Joseph Houlihan, Managing Director</w:t>
      </w:r>
    </w:p>
    <w:p>
      <w:pPr>
        <w:ind w:left="2960"/>
        <w:spacing w:after="0" w:line="238" w:lineRule="auto"/>
        <w:rPr>
          <w:sz w:val="20"/>
          <w:szCs w:val="20"/>
          <w:color w:val="auto"/>
        </w:rPr>
      </w:pPr>
      <w:r>
        <w:rPr>
          <w:rFonts w:ascii="Courier New" w:cs="Courier New" w:eastAsia="Courier New" w:hAnsi="Courier New"/>
          <w:sz w:val="18"/>
          <w:szCs w:val="18"/>
          <w:color w:val="auto"/>
        </w:rPr>
        <w:t>Cohen &amp; Steers Europe S.A.</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lowerRoman"/>
      <w:start w:val="10"/>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
      <w:numFmt w:val="bullet"/>
      <w:start w:val="1"/>
    </w:lvl>
    <w:lvl w:ilvl="1">
      <w:lvlJc w:val="left"/>
      <w:lvlText w:val="(%2)"/>
      <w:numFmt w:val="lowerLetter"/>
      <w:start w:val="1"/>
    </w:lvl>
  </w:abstractNum>
  <w:abstractNum w:abstractNumId="4">
    <w:nsid w:val="4E6AFB66"/>
    <w:multiLevelType w:val="hybridMultilevel"/>
    <w:lvl w:ilvl="0">
      <w:lvlJc w:val="left"/>
      <w:lvlText w:val="-"/>
      <w:numFmt w:val="bullet"/>
      <w:start w:val="1"/>
    </w:lvl>
    <w:lvl w:ilvl="1">
      <w:lvlJc w:val="left"/>
      <w:lvlText w:val="8"/>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lvl w:ilvl="1">
      <w:lvlJc w:val="left"/>
      <w:lvlText w:val="%2"/>
      <w:numFmt w:val="decimal"/>
      <w:start w:val="1"/>
    </w:lvl>
  </w:abstractNum>
  <w:abstractNum w:abstractNumId="9">
    <w:nsid w:val="7C83E458"/>
    <w:multiLevelType w:val="hybridMultilevel"/>
    <w:lvl w:ilvl="0">
      <w:lvlJc w:val="left"/>
      <w:lvlText w:val="-"/>
      <w:numFmt w:val="bullet"/>
      <w:start w:val="1"/>
    </w:lvl>
    <w:lvl w:ilvl="1">
      <w:lvlJc w:val="left"/>
      <w:lvlText w:val="(%2)"/>
      <w:numFmt w:val="lowerLetter"/>
      <w:start w:val="1"/>
    </w:lvl>
  </w:abstractNum>
  <w:abstractNum w:abstractNumId="10">
    <w:nsid w:val="257130A3"/>
    <w:multiLevelType w:val="hybridMultilevel"/>
    <w:lvl w:ilvl="0">
      <w:lvlJc w:val="left"/>
      <w:lvlText w:val="-"/>
      <w:numFmt w:val="bullet"/>
      <w:start w:val="1"/>
    </w:lvl>
    <w:lvl w:ilvl="1">
      <w:lvlJc w:val="left"/>
      <w:lvlText w:val="8"/>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
      <w:numFmt w:val="bullet"/>
      <w:start w:val="1"/>
    </w:lvl>
    <w:lvl w:ilvl="1">
      <w:lvlJc w:val="left"/>
      <w:lvlText w:val="%2)"/>
      <w:numFmt w:val="decimal"/>
      <w:start w:val="8"/>
    </w:lvl>
  </w:abstractNum>
  <w:abstractNum w:abstractNumId="16">
    <w:nsid w:val="2443A858"/>
    <w:multiLevelType w:val="hybridMultilevel"/>
    <w:lvl w:ilvl="0">
      <w:lvlJc w:val="left"/>
      <w:lvlText w:val="%1)"/>
      <w:numFmt w:val="decimal"/>
      <w:start w:val="9"/>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lowerLetter"/>
      <w:start w:val="4"/>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6"/>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2019-12-09T23:55:29Z</dcterms:created>
  <dcterms:modified xsi:type="dcterms:W3CDTF">2019-12-09T23:55:29Z</dcterms:modified>
</cp:coreProperties>
</file>