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August 10, 2009</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82"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333-160009)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Underwriting Agreement, dated August 10, 2009, by and among the Registrant and J.P. Morgan Securities Inc., Wells Fargo Securities, LLC,</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Citigroup Global Markets Inc., PNC Capital Markets LLC, Morgan Keegan &amp; Company, Inc., SunTrust Robinson Humphrey, Inc., Capital One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Southcoast, Inc. and U.S. Bancorp Investments, Inc.</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Pricing Agreement, dated August 10, 2009, by and between the Registrant and certain underwriters named therein</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5.95% Note due 2014</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5.95% Notes due 2014</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U.S. Bank National Association</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FEDERAL REALTY INVESTMENT TRUST</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 August 14, 2009</w:t>
            </w: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By:  /s/ Andrew P. Blocher</w:t>
            </w:r>
          </w:p>
        </w:tc>
      </w:tr>
      <w:tr>
        <w:trPr>
          <w:trHeight w:val="202"/>
        </w:trPr>
        <w:tc>
          <w:tcPr>
            <w:tcW w:w="39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Andrew P. Blocher</w:t>
            </w:r>
          </w:p>
        </w:tc>
      </w:tr>
      <w:tr>
        <w:trPr>
          <w:trHeight w:val="216"/>
        </w:trPr>
        <w:tc>
          <w:tcPr>
            <w:tcW w:w="3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President-Chief Financial</w:t>
            </w:r>
          </w:p>
        </w:tc>
      </w:tr>
      <w:tr>
        <w:trPr>
          <w:trHeight w:val="222"/>
        </w:trPr>
        <w:tc>
          <w:tcPr>
            <w:tcW w:w="39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Underwriting Agreement, dated August 10, 2009, by and among the Registrant and J.P. Morgan Securities Inc., Wells Fargo Securities, LLC,</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Citigroup Global Markets Inc., PNC Capital Markets LLC, Morgan Keegan &amp; Company, Inc., SunTrust Robinson Humphrey, Inc., Capital One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Southcoast, Inc. and U.S. Bancorp Investments, Inc.</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Pricing Agreement, dated August 10, 2009, by and between the Registrant and certain underwriters named therein</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5.95% Note due 2014</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5.95% Notes due 2014</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r>
        <w:trPr>
          <w:trHeight w:val="324"/>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U.S. Bank National Association</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August 10,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28288-0613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40" w:lineRule="exact"/>
        <w:rPr>
          <w:sz w:val="20"/>
          <w:szCs w:val="20"/>
          <w:color w:val="auto"/>
        </w:rPr>
      </w:pPr>
    </w:p>
    <w:p>
      <w:pPr>
        <w:ind w:right="140" w:firstLine="464"/>
        <w:spacing w:after="0" w:line="256"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w:t>
      </w:r>
    </w:p>
    <w:p>
      <w:pPr>
        <w:sectPr>
          <w:pgSz w:w="11900" w:h="16838" w:orient="portrait"/>
          <w:cols w:equalWidth="0" w:num="1">
            <w:col w:w="11420"/>
          </w:cols>
          <w:pgMar w:left="240" w:top="125" w:right="239" w:bottom="1440" w:gutter="0" w:footer="0" w:header="0"/>
        </w:sectPr>
      </w:pPr>
    </w:p>
    <w:bookmarkStart w:id="5" w:name="page6"/>
    <w:bookmarkEnd w:id="5"/>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09" w:lineRule="exact"/>
        <w:rPr>
          <w:sz w:val="20"/>
          <w:szCs w:val="20"/>
          <w:color w:val="auto"/>
        </w:rPr>
      </w:pPr>
    </w:p>
    <w:p>
      <w:pPr>
        <w:ind w:firstLine="464"/>
        <w:spacing w:after="0" w:line="268"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60" w:firstLine="443"/>
        <w:spacing w:after="0" w:line="286"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333-160009),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80" w:firstLine="443"/>
        <w:spacing w:after="0" w:line="308" w:lineRule="auto"/>
        <w:tabs>
          <w:tab w:leader="none" w:pos="687" w:val="left"/>
        </w:tabs>
        <w:numPr>
          <w:ilvl w:val="0"/>
          <w:numId w:val="4"/>
        </w:numPr>
        <w:rPr>
          <w:rFonts w:ascii="Arial" w:cs="Arial" w:eastAsia="Arial" w:hAnsi="Arial"/>
          <w:sz w:val="15"/>
          <w:szCs w:val="15"/>
          <w:color w:val="auto"/>
        </w:rPr>
      </w:pPr>
      <w:r>
        <w:rPr>
          <w:rFonts w:ascii="Arial" w:cs="Arial" w:eastAsia="Arial" w:hAnsi="Arial"/>
          <w:sz w:val="15"/>
          <w:szCs w:val="15"/>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7" w:name="page8"/>
    <w:bookmarkEnd w:id="7"/>
    <w:p>
      <w:pPr>
        <w:ind w:right="80" w:firstLine="443"/>
        <w:spacing w:after="0" w:line="298"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Registration Statement became effective upon filing under Rule 462(e) under the Act (“Rule 462(e)”) on June 16, 2009,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160" w:firstLine="443"/>
        <w:spacing w:after="0" w:line="294" w:lineRule="auto"/>
        <w:tabs>
          <w:tab w:leader="none" w:pos="726"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and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8" w:name="page9"/>
    <w:bookmarkEnd w:id="8"/>
    <w:p>
      <w:pPr>
        <w:ind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Securities specified therein.</w:t>
      </w:r>
    </w:p>
    <w:p>
      <w:pPr>
        <w:spacing w:after="0" w:line="113"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jc w:val="both"/>
        <w:ind w:right="14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9" w:name="page10"/>
    <w:bookmarkEnd w:id="9"/>
    <w:p>
      <w:pPr>
        <w:ind w:right="100" w:firstLine="443"/>
        <w:spacing w:after="0" w:line="314" w:lineRule="auto"/>
        <w:tabs>
          <w:tab w:leader="none" w:pos="677" w:val="left"/>
        </w:tabs>
        <w:numPr>
          <w:ilvl w:val="0"/>
          <w:numId w:val="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285" w:lineRule="auto"/>
        <w:tabs>
          <w:tab w:leader="none" w:pos="65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D, which have been duly organized and are validly existing as corporations, partnerships, limited liability companies, trusts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D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other than contractual rights existing on the date of the applicable Pricing Agreement by the current and former holders of partnership or other interests in certain of the “DownREIT” and other Entities listed in Exhibit D hereto which may result in the issuance of common shares of beneficial interest of the Company (“Common Shares”);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45" w:lineRule="exact"/>
        <w:rPr>
          <w:rFonts w:ascii="Arial" w:cs="Arial" w:eastAsia="Arial" w:hAnsi="Arial"/>
          <w:sz w:val="16"/>
          <w:szCs w:val="16"/>
          <w:color w:val="auto"/>
        </w:rPr>
      </w:pPr>
    </w:p>
    <w:p>
      <w:pPr>
        <w:jc w:val="both"/>
        <w:ind w:right="300" w:firstLine="443"/>
        <w:spacing w:after="0" w:line="259"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0" w:name="page11"/>
    <w:bookmarkEnd w:id="10"/>
    <w:p>
      <w:pPr>
        <w:ind w:right="8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or employee inducement awards, including upon exercise of share options granted pursuant thereto, as such plans are in effect on the date of the applicable Pricing Agreement or consistent with past practice, or (z) 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1" w:lineRule="exact"/>
        <w:rPr>
          <w:sz w:val="20"/>
          <w:szCs w:val="20"/>
          <w:color w:val="auto"/>
        </w:rPr>
      </w:pPr>
    </w:p>
    <w:p>
      <w:pPr>
        <w:ind w:right="60" w:firstLine="443"/>
        <w:spacing w:after="0" w:line="256"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June 30, 2009 set forth in the Company’s Quarterly Report on Form 10-Q for the quarterly period ended June 30, 2009,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62" w:lineRule="exact"/>
        <w:rPr>
          <w:rFonts w:ascii="Arial" w:cs="Arial" w:eastAsia="Arial" w:hAnsi="Arial"/>
          <w:sz w:val="18"/>
          <w:szCs w:val="18"/>
          <w:color w:val="auto"/>
        </w:rPr>
      </w:pPr>
    </w:p>
    <w:p>
      <w:pPr>
        <w:ind w:firstLine="443"/>
        <w:spacing w:after="0" w:line="288"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1" w:name="page12"/>
    <w:bookmarkEnd w:id="11"/>
    <w:p>
      <w:pPr>
        <w:ind w:right="20" w:firstLine="443"/>
        <w:spacing w:after="0" w:line="289"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37" w:lineRule="exact"/>
        <w:rPr>
          <w:rFonts w:ascii="Arial" w:cs="Arial" w:eastAsia="Arial" w:hAnsi="Arial"/>
          <w:sz w:val="16"/>
          <w:szCs w:val="16"/>
          <w:color w:val="auto"/>
        </w:rPr>
      </w:pPr>
    </w:p>
    <w:p>
      <w:pPr>
        <w:ind w:firstLine="443"/>
        <w:spacing w:after="0" w:line="286"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39" w:lineRule="exact"/>
        <w:rPr>
          <w:rFonts w:ascii="Arial" w:cs="Arial" w:eastAsia="Arial" w:hAnsi="Arial"/>
          <w:sz w:val="16"/>
          <w:szCs w:val="16"/>
          <w:color w:val="auto"/>
        </w:rPr>
      </w:pPr>
    </w:p>
    <w:p>
      <w:pPr>
        <w:ind w:right="140" w:firstLine="443"/>
        <w:spacing w:after="0" w:line="294"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considered as one enterprise; and, to the best of the Company’s knowledge, no such proceedings are threatened or contemplated by governmental authorities or threatened by others.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 w:name="page13"/>
    <w:bookmarkEnd w:id="12"/>
    <w:p>
      <w:pPr>
        <w:ind w:firstLine="443"/>
        <w:spacing w:after="0" w:line="291" w:lineRule="auto"/>
        <w:tabs>
          <w:tab w:leader="none" w:pos="736"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100" w:firstLine="443"/>
        <w:spacing w:after="0" w:line="256"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80" w:firstLine="443"/>
        <w:spacing w:after="0" w:line="255"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2008 and the consolidated statements of operations, consolidated statements of common shareholders’ equity and consolidated statements of cash flows for the year ended December 31, 2008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3" w:name="page14"/>
    <w:bookmarkEnd w:id="13"/>
    <w:p>
      <w:pPr>
        <w:ind w:firstLine="443"/>
        <w:spacing w:after="0" w:line="282" w:lineRule="auto"/>
        <w:tabs>
          <w:tab w:leader="none" w:pos="657"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U.S. generally accepted accounting principles.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w:t>
      </w:r>
    </w:p>
    <w:p>
      <w:pPr>
        <w:spacing w:after="0" w:line="5" w:lineRule="exact"/>
        <w:rPr>
          <w:rFonts w:ascii="Arial" w:cs="Arial" w:eastAsia="Arial" w:hAnsi="Arial"/>
          <w:sz w:val="16"/>
          <w:szCs w:val="16"/>
          <w:color w:val="auto"/>
        </w:rPr>
      </w:pPr>
    </w:p>
    <w:p>
      <w:pPr>
        <w:ind w:right="180" w:firstLine="4"/>
        <w:spacing w:after="0" w:line="261"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over financial reporting.</w:t>
      </w:r>
    </w:p>
    <w:p>
      <w:pPr>
        <w:spacing w:after="0" w:line="56" w:lineRule="exact"/>
        <w:rPr>
          <w:rFonts w:ascii="Arial" w:cs="Arial" w:eastAsia="Arial" w:hAnsi="Arial"/>
          <w:sz w:val="18"/>
          <w:szCs w:val="18"/>
          <w:color w:val="auto"/>
        </w:rPr>
      </w:pPr>
    </w:p>
    <w:p>
      <w:pPr>
        <w:ind w:right="540" w:firstLine="443"/>
        <w:spacing w:after="0" w:line="332" w:lineRule="auto"/>
        <w:tabs>
          <w:tab w:leader="none" w:pos="66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firstLine="443"/>
        <w:spacing w:after="0" w:line="290" w:lineRule="auto"/>
        <w:tabs>
          <w:tab w:leader="none" w:pos="6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4" w:name="page15"/>
    <w:bookmarkEnd w:id="14"/>
    <w:p>
      <w:pPr>
        <w:ind w:firstLine="443"/>
        <w:spacing w:after="0" w:line="255" w:lineRule="auto"/>
        <w:tabs>
          <w:tab w:leader="none" w:pos="687"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61" w:lineRule="exact"/>
        <w:rPr>
          <w:rFonts w:ascii="Arial" w:cs="Arial" w:eastAsia="Arial" w:hAnsi="Arial"/>
          <w:sz w:val="18"/>
          <w:szCs w:val="18"/>
          <w:color w:val="auto"/>
        </w:rPr>
      </w:pPr>
    </w:p>
    <w:p>
      <w:pPr>
        <w:ind w:right="80" w:firstLine="443"/>
        <w:spacing w:after="0" w:line="291" w:lineRule="auto"/>
        <w:tabs>
          <w:tab w:leader="none" w:pos="687"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39" w:lineRule="exact"/>
        <w:rPr>
          <w:rFonts w:ascii="Arial" w:cs="Arial" w:eastAsia="Arial" w:hAnsi="Arial"/>
          <w:sz w:val="16"/>
          <w:szCs w:val="16"/>
          <w:color w:val="auto"/>
        </w:rPr>
      </w:pPr>
    </w:p>
    <w:p>
      <w:pPr>
        <w:ind w:right="40" w:firstLine="443"/>
        <w:spacing w:after="0" w:line="283" w:lineRule="auto"/>
        <w:tabs>
          <w:tab w:leader="none" w:pos="7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w:t>
      </w:r>
    </w:p>
    <w:p>
      <w:pPr>
        <w:spacing w:after="0" w:line="2" w:lineRule="exact"/>
        <w:rPr>
          <w:rFonts w:ascii="Arial" w:cs="Arial" w:eastAsia="Arial" w:hAnsi="Arial"/>
          <w:sz w:val="16"/>
          <w:szCs w:val="16"/>
          <w:color w:val="auto"/>
        </w:rPr>
      </w:pPr>
    </w:p>
    <w:p>
      <w:pPr>
        <w:ind w:left="300" w:hanging="296"/>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83" w:lineRule="exact"/>
        <w:rPr>
          <w:rFonts w:ascii="Arial" w:cs="Arial" w:eastAsia="Arial" w:hAnsi="Arial"/>
          <w:sz w:val="18"/>
          <w:szCs w:val="18"/>
          <w:color w:val="auto"/>
        </w:rPr>
      </w:pPr>
    </w:p>
    <w:p>
      <w:pPr>
        <w:ind w:right="100" w:firstLine="443"/>
        <w:spacing w:after="0" w:line="254" w:lineRule="auto"/>
        <w:tabs>
          <w:tab w:leader="none" w:pos="6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5" w:name="page16"/>
    <w:bookmarkEnd w:id="15"/>
    <w:p>
      <w:pPr>
        <w:ind w:left="420" w:right="120" w:firstLine="443"/>
        <w:spacing w:after="0" w:line="255" w:lineRule="auto"/>
        <w:tabs>
          <w:tab w:leader="none" w:pos="1107"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left="-40" w:right="180" w:firstLine="464"/>
        <w:spacing w:after="0" w:line="259" w:lineRule="auto"/>
        <w:tabs>
          <w:tab w:leader="none" w:pos="5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40" w:right="20" w:firstLine="464"/>
        <w:spacing w:after="0" w:line="290" w:lineRule="auto"/>
        <w:tabs>
          <w:tab w:leader="none" w:pos="59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00" w:hanging="17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20" w:firstLine="443"/>
        <w:spacing w:after="0" w:line="288" w:lineRule="auto"/>
        <w:tabs>
          <w:tab w:leader="none" w:pos="10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80" w:right="259" w:bottom="1440" w:gutter="0" w:footer="0" w:header="0"/>
        </w:sectPr>
      </w:pPr>
    </w:p>
    <w:bookmarkStart w:id="16" w:name="page17"/>
    <w:bookmarkEnd w:id="1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39" w:lineRule="exact"/>
        <w:rPr>
          <w:sz w:val="20"/>
          <w:szCs w:val="20"/>
          <w:color w:val="auto"/>
        </w:rPr>
      </w:pPr>
    </w:p>
    <w:p>
      <w:pPr>
        <w:ind w:firstLine="443"/>
        <w:spacing w:after="0" w:line="286"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262" w:lineRule="exact"/>
        <w:rPr>
          <w:rFonts w:ascii="Arial" w:cs="Arial" w:eastAsia="Arial" w:hAnsi="Arial"/>
          <w:sz w:val="16"/>
          <w:szCs w:val="16"/>
          <w:color w:val="auto"/>
        </w:rPr>
      </w:pPr>
    </w:p>
    <w:p>
      <w:pPr>
        <w:ind w:right="180" w:firstLine="443"/>
        <w:spacing w:after="0" w:line="298"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9" w:lineRule="exact"/>
        <w:rPr>
          <w:sz w:val="20"/>
          <w:szCs w:val="20"/>
          <w:color w:val="auto"/>
        </w:rPr>
      </w:pPr>
    </w:p>
    <w:p>
      <w:pPr>
        <w:ind w:firstLine="443"/>
        <w:spacing w:after="0" w:line="255"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60" w:firstLine="443"/>
        <w:spacing w:after="0" w:line="290"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right="40" w:firstLine="443"/>
        <w:spacing w:after="0" w:line="290" w:lineRule="auto"/>
        <w:tabs>
          <w:tab w:leader="none" w:pos="6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8" w:name="page19"/>
    <w:bookmarkEnd w:id="18"/>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26" w:lineRule="exact"/>
        <w:rPr>
          <w:sz w:val="20"/>
          <w:szCs w:val="20"/>
          <w:color w:val="auto"/>
        </w:rPr>
      </w:pPr>
    </w:p>
    <w:p>
      <w:pPr>
        <w:ind w:firstLine="443"/>
        <w:spacing w:after="0" w:line="304" w:lineRule="auto"/>
        <w:tabs>
          <w:tab w:leader="none" w:pos="6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9" w:name="page20"/>
    <w:bookmarkEnd w:id="19"/>
    <w:p>
      <w:pPr>
        <w:ind w:left="360" w:right="140" w:firstLine="443"/>
        <w:spacing w:after="0" w:line="259" w:lineRule="auto"/>
        <w:tabs>
          <w:tab w:leader="none" w:pos="1047"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left="360" w:right="280" w:firstLine="443"/>
        <w:spacing w:after="0" w:line="286" w:lineRule="auto"/>
        <w:tabs>
          <w:tab w:leader="none" w:pos="10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left="360" w:right="20" w:firstLine="4"/>
        <w:spacing w:after="0" w:line="302" w:lineRule="auto"/>
        <w:tabs>
          <w:tab w:leader="none" w:pos="6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8" w:lineRule="exact"/>
        <w:rPr>
          <w:rFonts w:ascii="Arial" w:cs="Arial" w:eastAsia="Arial" w:hAnsi="Arial"/>
          <w:sz w:val="16"/>
          <w:szCs w:val="16"/>
          <w:color w:val="auto"/>
        </w:rPr>
      </w:pPr>
    </w:p>
    <w:p>
      <w:pPr>
        <w:ind w:left="360" w:right="100" w:firstLine="443"/>
        <w:spacing w:after="0" w:line="268" w:lineRule="auto"/>
        <w:tabs>
          <w:tab w:leader="none" w:pos="10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left="360" w:right="60" w:firstLine="443"/>
        <w:spacing w:after="0" w:line="268" w:lineRule="auto"/>
        <w:tabs>
          <w:tab w:leader="none" w:pos="10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will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360" w:firstLine="443"/>
        <w:spacing w:after="0" w:line="310" w:lineRule="auto"/>
        <w:tabs>
          <w:tab w:leader="none" w:pos="1008"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8" w:lineRule="exact"/>
        <w:rPr>
          <w:sz w:val="20"/>
          <w:szCs w:val="20"/>
          <w:color w:val="auto"/>
        </w:rPr>
      </w:pPr>
    </w:p>
    <w:p>
      <w:pPr>
        <w:ind w:left="-100" w:right="80" w:firstLine="464"/>
        <w:spacing w:after="0" w:line="298" w:lineRule="auto"/>
        <w:tabs>
          <w:tab w:leader="none" w:pos="5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40" w:top="280" w:right="31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24" w:lineRule="exact"/>
        <w:rPr>
          <w:sz w:val="20"/>
          <w:szCs w:val="20"/>
          <w:color w:val="auto"/>
        </w:rPr>
      </w:pPr>
    </w:p>
    <w:p>
      <w:pPr>
        <w:ind w:right="40" w:firstLine="464"/>
        <w:spacing w:after="0" w:line="255"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60" w:right="80" w:firstLine="443"/>
        <w:spacing w:after="0" w:line="310" w:lineRule="auto"/>
        <w:tabs>
          <w:tab w:leader="none" w:pos="1137"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40" w:firstLine="443"/>
        <w:spacing w:after="0" w:line="294"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34" w:lineRule="exact"/>
        <w:rPr>
          <w:rFonts w:ascii="Arial" w:cs="Arial" w:eastAsia="Arial" w:hAnsi="Arial"/>
          <w:sz w:val="16"/>
          <w:szCs w:val="16"/>
          <w:color w:val="auto"/>
        </w:rPr>
      </w:pPr>
    </w:p>
    <w:p>
      <w:pPr>
        <w:ind w:firstLine="443"/>
        <w:spacing w:after="0" w:line="332" w:lineRule="auto"/>
        <w:tabs>
          <w:tab w:leader="none" w:pos="6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Exhibit C hereto;</w:t>
      </w:r>
    </w:p>
    <w:p>
      <w:pPr>
        <w:spacing w:after="0" w:line="4" w:lineRule="exact"/>
        <w:rPr>
          <w:rFonts w:ascii="Arial" w:cs="Arial" w:eastAsia="Arial" w:hAnsi="Arial"/>
          <w:sz w:val="16"/>
          <w:szCs w:val="16"/>
          <w:color w:val="auto"/>
        </w:rPr>
      </w:pPr>
    </w:p>
    <w:p>
      <w:pPr>
        <w:ind w:firstLine="443"/>
        <w:spacing w:after="0" w:line="283"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and including December 31 of the most recently preceding calendar year,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“Material Federal Income Tax Considerations,” (y) the Prospectus Supplement under the caption “Additional Material U.S. Federal Income Tax Considerations” and</w:t>
      </w:r>
    </w:p>
    <w:p>
      <w:pPr>
        <w:ind w:right="80" w:firstLine="4"/>
        <w:spacing w:after="0" w:line="290"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 “Material Federal Income Tax Considerations” are hereby confirmed;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2" w:name="page23"/>
    <w:bookmarkEnd w:id="22"/>
    <w:p>
      <w:pPr>
        <w:ind w:right="80" w:firstLine="443"/>
        <w:spacing w:after="0" w:line="259" w:lineRule="auto"/>
        <w:tabs>
          <w:tab w:leader="none" w:pos="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jc w:val="both"/>
        <w:ind w:right="100" w:firstLine="443"/>
        <w:spacing w:after="0" w:line="306" w:lineRule="auto"/>
        <w:tabs>
          <w:tab w:leader="none" w:pos="6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Baa1 by Moody’s Investor’s Service Inc. and BBB+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25" w:lineRule="exact"/>
        <w:rPr>
          <w:rFonts w:ascii="Arial" w:cs="Arial" w:eastAsia="Arial" w:hAnsi="Arial"/>
          <w:sz w:val="16"/>
          <w:szCs w:val="16"/>
          <w:color w:val="auto"/>
        </w:rPr>
      </w:pPr>
    </w:p>
    <w:p>
      <w:pPr>
        <w:ind w:firstLine="443"/>
        <w:spacing w:after="0" w:line="285" w:lineRule="auto"/>
        <w:tabs>
          <w:tab w:leader="none" w:pos="6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D hereto which may require or permit (in lieu of a payment in cash)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45" w:lineRule="exact"/>
        <w:rPr>
          <w:rFonts w:ascii="Arial" w:cs="Arial" w:eastAsia="Arial" w:hAnsi="Arial"/>
          <w:sz w:val="16"/>
          <w:szCs w:val="16"/>
          <w:color w:val="auto"/>
        </w:rPr>
      </w:pPr>
    </w:p>
    <w:p>
      <w:pPr>
        <w:jc w:val="both"/>
        <w:ind w:right="100" w:firstLine="443"/>
        <w:spacing w:after="0" w:line="298" w:lineRule="auto"/>
        <w:tabs>
          <w:tab w:leader="none" w:pos="6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23" w:name="page24"/>
    <w:bookmarkEnd w:id="23"/>
    <w:p>
      <w:pPr>
        <w:ind w:left="440" w:firstLine="443"/>
        <w:spacing w:after="0" w:line="290" w:lineRule="auto"/>
        <w:tabs>
          <w:tab w:leader="none" w:pos="1088"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left="440" w:right="580" w:firstLine="443"/>
        <w:spacing w:after="0" w:line="268"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left="440" w:right="20" w:firstLine="443"/>
        <w:spacing w:after="0" w:line="255" w:lineRule="auto"/>
        <w:tabs>
          <w:tab w:leader="none" w:pos="11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42" w:lineRule="exact"/>
        <w:rPr>
          <w:rFonts w:ascii="Arial" w:cs="Arial" w:eastAsia="Arial" w:hAnsi="Arial"/>
          <w:sz w:val="18"/>
          <w:szCs w:val="18"/>
          <w:color w:val="auto"/>
        </w:rPr>
      </w:pPr>
    </w:p>
    <w:p>
      <w:pPr>
        <w:ind w:left="-20" w:right="40" w:firstLine="464"/>
        <w:spacing w:after="0" w:line="288"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its affiliates, its directors, its officers and each person, if any, who controls such Underwriter within the meaning of Section 15 of the Securities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80" w:right="259" w:bottom="1440" w:gutter="0" w:footer="0" w:header="0"/>
        </w:sectPr>
      </w:pPr>
    </w:p>
    <w:bookmarkStart w:id="24" w:name="page25"/>
    <w:bookmarkEnd w:id="24"/>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16" w:lineRule="exact"/>
        <w:rPr>
          <w:sz w:val="20"/>
          <w:szCs w:val="20"/>
          <w:color w:val="auto"/>
        </w:rPr>
      </w:pPr>
    </w:p>
    <w:p>
      <w:pPr>
        <w:ind w:firstLine="464"/>
        <w:spacing w:after="0" w:line="286"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0" w:lineRule="exact"/>
        <w:rPr>
          <w:rFonts w:ascii="Arial" w:cs="Arial" w:eastAsia="Arial" w:hAnsi="Arial"/>
          <w:sz w:val="16"/>
          <w:szCs w:val="16"/>
          <w:color w:val="auto"/>
        </w:rPr>
      </w:pPr>
    </w:p>
    <w:p>
      <w:pPr>
        <w:ind w:right="120" w:firstLine="464"/>
        <w:spacing w:after="0" w:line="290"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8" w:lineRule="exact"/>
        <w:rPr>
          <w:sz w:val="20"/>
          <w:szCs w:val="20"/>
          <w:color w:val="auto"/>
        </w:rPr>
      </w:pPr>
    </w:p>
    <w:p>
      <w:pPr>
        <w:ind w:left="720" w:hanging="256"/>
        <w:spacing w:after="0"/>
        <w:tabs>
          <w:tab w:leader="none" w:pos="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8"/>
        <w:spacing w:after="0" w:line="284"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18" w:lineRule="exact"/>
        <w:rPr>
          <w:sz w:val="20"/>
          <w:szCs w:val="20"/>
          <w:color w:val="auto"/>
        </w:rPr>
      </w:pPr>
    </w:p>
    <w:p>
      <w:pPr>
        <w:ind w:firstLine="464"/>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right="40" w:firstLine="464"/>
        <w:spacing w:after="0" w:line="286"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ind w:left="-80" w:right="20" w:firstLine="464"/>
        <w:spacing w:after="0" w:line="289" w:lineRule="auto"/>
        <w:tabs>
          <w:tab w:leader="none" w:pos="625"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left="-80" w:firstLine="464"/>
        <w:spacing w:after="0" w:line="289" w:lineRule="auto"/>
        <w:tabs>
          <w:tab w:leader="none" w:pos="6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ind w:left="-80" w:right="20" w:firstLine="464"/>
        <w:spacing w:after="0" w:line="298"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12" w:lineRule="exact"/>
        <w:rPr>
          <w:rFonts w:ascii="Arial" w:cs="Arial" w:eastAsia="Arial" w:hAnsi="Arial"/>
          <w:sz w:val="16"/>
          <w:szCs w:val="16"/>
          <w:color w:val="auto"/>
        </w:rPr>
      </w:pPr>
    </w:p>
    <w:p>
      <w:pPr>
        <w:ind w:left="-80" w:right="120" w:firstLine="464"/>
        <w:spacing w:after="0" w:line="294" w:lineRule="auto"/>
        <w:tabs>
          <w:tab w:leader="none" w:pos="63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320" w:top="280" w:right="319" w:bottom="1440" w:gutter="0" w:footer="0" w:header="0"/>
        </w:sectPr>
      </w:pPr>
    </w:p>
    <w:bookmarkStart w:id="28" w:name="page29"/>
    <w:bookmarkEnd w:id="28"/>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85" w:lineRule="exact"/>
        <w:rPr>
          <w:sz w:val="20"/>
          <w:szCs w:val="20"/>
          <w:color w:val="auto"/>
        </w:rPr>
      </w:pPr>
    </w:p>
    <w:p>
      <w:pPr>
        <w:ind w:right="300" w:firstLine="464"/>
        <w:spacing w:after="0" w:line="306"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40" w:firstLine="464"/>
        <w:spacing w:after="0" w:line="294"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740" w:firstLine="464"/>
        <w:spacing w:after="0" w:line="268"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60" w:firstLine="464"/>
        <w:spacing w:after="0" w:line="332"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280"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Andrew P. Blocher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Andrew P. Blocher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President-Chief Financial Officer and</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Bottamedi</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C.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C. Hurley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the Pricing Agreement dated the date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28288-0613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5"/>
          <w:szCs w:val="15"/>
          <w:color w:val="auto"/>
        </w:rPr>
        <w:t>Federal Realty Investment Trust, a Maryland real estate investment trust (the “Company”), proposes, subject to the terms and conditions stated herein and in the Underwriting Agreement, dated August 10, 2009 (the “Underwriting Agreement”), between the Company on the one hand and J.P. Morgan Securities Inc.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32" w:name="page33"/>
    <w:bookmarkEnd w:id="3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20"/>
          </w:cols>
          <w:pgMar w:left="240" w:top="280" w:right="339" w:bottom="1440" w:gutter="0" w:footer="0" w:header="0"/>
        </w:sectPr>
      </w:pPr>
    </w:p>
    <w:bookmarkStart w:id="33" w:name="page34"/>
    <w:bookmarkEnd w:id="3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80"/>
          </w:cols>
          <w:pgMar w:left="240" w:top="280" w:right="5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40" w:type="dxa"/>
            <w:vAlign w:val="bottom"/>
            <w:gridSpan w:val="2"/>
          </w:tcPr>
          <w:p>
            <w:pPr>
              <w:jc w:val="right"/>
              <w:ind w:right="4280"/>
              <w:spacing w:after="0"/>
              <w:rPr>
                <w:sz w:val="20"/>
                <w:szCs w:val="20"/>
                <w:color w:val="auto"/>
              </w:rPr>
            </w:pPr>
            <w:r>
              <w:rPr>
                <w:rFonts w:ascii="Arial" w:cs="Arial" w:eastAsia="Arial" w:hAnsi="Arial"/>
                <w:sz w:val="18"/>
                <w:szCs w:val="18"/>
                <w:color w:val="auto"/>
              </w:rPr>
              <w:t>SCHEDULE I</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6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6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80" w:right="23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5.95% Notes due 2014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99.153% of the principal amount of the Designated Securities, plus accrued interest from August 13,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98.553%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15,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5.95%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and August 15, commencing February 15,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300"/>
          </w:cols>
          <w:pgMar w:left="240" w:top="28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a redemption price as described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p.m. (Eastern time) on August 10, 2009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13,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1280"/>
          </w:cols>
          <w:pgMar w:left="240" w:top="274"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ind w:right="2360" w:firstLine="1898"/>
        <w:spacing w:after="0" w:line="434" w:lineRule="auto"/>
        <w:rPr>
          <w:sz w:val="20"/>
          <w:szCs w:val="20"/>
          <w:color w:val="auto"/>
        </w:rPr>
      </w:pPr>
      <w:r>
        <w:rPr>
          <w:rFonts w:ascii="Arial" w:cs="Arial" w:eastAsia="Arial" w:hAnsi="Arial"/>
          <w:sz w:val="18"/>
          <w:szCs w:val="18"/>
          <w:b w:val="1"/>
          <w:bCs w:val="1"/>
          <w:color w:val="auto"/>
        </w:rPr>
        <w:t xml:space="preserve">Schedule of Issuer Free Writing Prospectuses Included in the General Disclosure Package </w:t>
      </w:r>
      <w:r>
        <w:rPr>
          <w:rFonts w:ascii="Arial" w:cs="Arial" w:eastAsia="Arial" w:hAnsi="Arial"/>
          <w:sz w:val="18"/>
          <w:szCs w:val="18"/>
          <w:color w:val="auto"/>
        </w:rPr>
        <w:t>1. Final Term Sheet, attached hereto as Schedule I to this Exhibit B</w:t>
      </w:r>
    </w:p>
    <w:p>
      <w:pPr>
        <w:jc w:val="center"/>
        <w:ind w:right="460"/>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0"/>
          </w:cols>
          <w:pgMar w:left="700" w:top="274" w:right="239" w:bottom="1440" w:gutter="0" w:footer="0" w:header="0"/>
        </w:sectPr>
      </w:pPr>
    </w:p>
    <w:bookmarkStart w:id="38" w:name="page39"/>
    <w:bookmarkEnd w:id="38"/>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Exhibit B</w:t>
      </w:r>
    </w:p>
    <w:p>
      <w:pPr>
        <w:spacing w:after="0" w:line="200"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Filed Pursuant to Rule 433</w:t>
      </w:r>
    </w:p>
    <w:p>
      <w:pPr>
        <w:spacing w:after="0" w:line="50" w:lineRule="exact"/>
        <w:rPr>
          <w:sz w:val="20"/>
          <w:szCs w:val="20"/>
          <w:color w:val="auto"/>
        </w:rPr>
      </w:pPr>
    </w:p>
    <w:p>
      <w:pPr>
        <w:ind w:left="9800"/>
        <w:spacing w:after="0"/>
        <w:rPr>
          <w:sz w:val="20"/>
          <w:szCs w:val="20"/>
          <w:color w:val="auto"/>
        </w:rPr>
      </w:pPr>
      <w:r>
        <w:rPr>
          <w:rFonts w:ascii="Arial" w:cs="Arial" w:eastAsia="Arial" w:hAnsi="Arial"/>
          <w:sz w:val="15"/>
          <w:szCs w:val="15"/>
          <w:color w:val="auto"/>
        </w:rPr>
        <w:t>Dated August 10, 2009</w:t>
      </w:r>
    </w:p>
    <w:p>
      <w:pPr>
        <w:spacing w:after="0" w:line="44" w:lineRule="exact"/>
        <w:rPr>
          <w:sz w:val="20"/>
          <w:szCs w:val="20"/>
          <w:color w:val="auto"/>
        </w:rPr>
      </w:pPr>
    </w:p>
    <w:p>
      <w:pPr>
        <w:ind w:left="8620"/>
        <w:spacing w:after="0"/>
        <w:rPr>
          <w:sz w:val="20"/>
          <w:szCs w:val="20"/>
          <w:color w:val="auto"/>
        </w:rPr>
      </w:pPr>
      <w:r>
        <w:rPr>
          <w:rFonts w:ascii="Arial" w:cs="Arial" w:eastAsia="Arial" w:hAnsi="Arial"/>
          <w:sz w:val="15"/>
          <w:szCs w:val="15"/>
          <w:color w:val="auto"/>
        </w:rPr>
        <w:t>Registration Statement No. 333-160009</w:t>
      </w:r>
    </w:p>
    <w:p>
      <w:pPr>
        <w:spacing w:after="0" w:line="44"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Relating to</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5"/>
          <w:szCs w:val="15"/>
          <w:color w:val="auto"/>
        </w:rPr>
        <w:t>Preliminary Prospectus Supplement Dated August 10, 2009 to</w:t>
      </w:r>
    </w:p>
    <w:p>
      <w:pPr>
        <w:spacing w:after="0" w:line="44"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Prospectus dated June 16, 2009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Federal Realty Investment Trust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5.95% Notes due 2014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sheet dated August 10, 2009</w:t>
      </w:r>
    </w:p>
    <w:p>
      <w:pPr>
        <w:sectPr>
          <w:pgSz w:w="11900" w:h="16838" w:orient="portrait"/>
          <w:cols w:equalWidth="0" w:num="1">
            <w:col w:w="11420"/>
          </w:cols>
          <w:pgMar w:left="240" w:top="274"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5.95% notes due August 15, 2014</w:t>
      </w:r>
    </w:p>
    <w:p>
      <w:pPr>
        <w:spacing w:after="0" w:line="211"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$150,000,000</w:t>
      </w:r>
    </w:p>
    <w:p>
      <w:pPr>
        <w:spacing w:after="0" w:line="211"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August 15, 2014</w:t>
      </w:r>
    </w:p>
    <w:p>
      <w:pPr>
        <w:spacing w:after="0" w:line="211"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February 15 and August 15, beginning February 15, 2010</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2.625% UST due July 31, 2014</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Yield and Price: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2.774%; 99-10</w:t>
      </w:r>
    </w:p>
    <w:p>
      <w:pPr>
        <w:spacing w:after="0" w:line="211"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920"/>
        <w:spacing w:after="0"/>
        <w:rPr>
          <w:sz w:val="20"/>
          <w:szCs w:val="20"/>
          <w:color w:val="auto"/>
        </w:rPr>
      </w:pPr>
      <w:r>
        <w:rPr>
          <w:rFonts w:ascii="Arial" w:cs="Arial" w:eastAsia="Arial" w:hAnsi="Arial"/>
          <w:sz w:val="15"/>
          <w:szCs w:val="15"/>
          <w:color w:val="auto"/>
        </w:rPr>
        <w:t>6.149%</w:t>
      </w:r>
    </w:p>
    <w:p>
      <w:pPr>
        <w:spacing w:after="0" w:line="211"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337.5 basis points</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400"/>
        <w:spacing w:after="0"/>
        <w:rPr>
          <w:sz w:val="20"/>
          <w:szCs w:val="20"/>
          <w:color w:val="auto"/>
        </w:rPr>
      </w:pPr>
      <w:r>
        <w:rPr>
          <w:rFonts w:ascii="Arial" w:cs="Arial" w:eastAsia="Arial" w:hAnsi="Arial"/>
          <w:sz w:val="15"/>
          <w:szCs w:val="15"/>
          <w:color w:val="auto"/>
        </w:rPr>
        <w:t>5.95% per year</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99.153% of principal amount, plus accrued interest, if any, from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August 10, 2009</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T+3; August 13, 2009</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Aggregate Price to Public: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500"/>
        <w:spacing w:after="0"/>
        <w:rPr>
          <w:sz w:val="20"/>
          <w:szCs w:val="20"/>
          <w:color w:val="auto"/>
        </w:rPr>
      </w:pPr>
      <w:r>
        <w:rPr>
          <w:rFonts w:ascii="Arial" w:cs="Arial" w:eastAsia="Arial" w:hAnsi="Arial"/>
          <w:sz w:val="15"/>
          <w:szCs w:val="15"/>
          <w:color w:val="auto"/>
        </w:rPr>
        <w:t>$148,729,500</w:t>
      </w:r>
    </w:p>
    <w:p>
      <w:pPr>
        <w:spacing w:after="0" w:line="192"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Sch. 1 to Exhibit B, Page 1</w:t>
      </w:r>
    </w:p>
    <w:p>
      <w:pPr>
        <w:sectPr>
          <w:pgSz w:w="11900" w:h="16838" w:orient="portrait"/>
          <w:cols w:equalWidth="0" w:num="1">
            <w:col w:w="11420"/>
          </w:cols>
          <w:pgMar w:left="240" w:top="274"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Redemption Provision:</w:t>
            </w:r>
          </w:p>
        </w:tc>
        <w:tc>
          <w:tcPr>
            <w:tcW w:w="6480" w:type="dxa"/>
            <w:vAlign w:val="bottom"/>
          </w:tcPr>
          <w:p>
            <w:pPr>
              <w:ind w:left="1580"/>
              <w:spacing w:after="0"/>
              <w:rPr>
                <w:sz w:val="20"/>
                <w:szCs w:val="20"/>
                <w:color w:val="auto"/>
              </w:rPr>
            </w:pPr>
            <w:r>
              <w:rPr>
                <w:rFonts w:ascii="Arial" w:cs="Arial" w:eastAsia="Arial" w:hAnsi="Arial"/>
                <w:sz w:val="18"/>
                <w:szCs w:val="18"/>
                <w:color w:val="auto"/>
                <w:w w:val="92"/>
              </w:rPr>
              <w:t>Make-whole call at any time based on U.S. Treasury plus 50 basis</w:t>
            </w:r>
          </w:p>
        </w:tc>
        <w:tc>
          <w:tcPr>
            <w:tcW w:w="1160" w:type="dxa"/>
            <w:vAlign w:val="bottom"/>
          </w:tcPr>
          <w:p>
            <w:pPr>
              <w:spacing w:after="0"/>
              <w:rPr>
                <w:sz w:val="18"/>
                <w:szCs w:val="18"/>
                <w:color w:val="auto"/>
              </w:rPr>
            </w:pPr>
          </w:p>
        </w:tc>
      </w:tr>
      <w:tr>
        <w:trPr>
          <w:trHeight w:val="222"/>
        </w:trPr>
        <w:tc>
          <w:tcPr>
            <w:tcW w:w="3780" w:type="dxa"/>
            <w:vAlign w:val="bottom"/>
          </w:tcPr>
          <w:p>
            <w:pPr>
              <w:spacing w:after="0"/>
              <w:rPr>
                <w:sz w:val="19"/>
                <w:szCs w:val="19"/>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points (0.50%)</w:t>
            </w:r>
          </w:p>
        </w:tc>
        <w:tc>
          <w:tcPr>
            <w:tcW w:w="1160" w:type="dxa"/>
            <w:vAlign w:val="bottom"/>
          </w:tcPr>
          <w:p>
            <w:pPr>
              <w:spacing w:after="0"/>
              <w:rPr>
                <w:sz w:val="19"/>
                <w:szCs w:val="19"/>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CUSIP/ISIN:</w:t>
            </w:r>
          </w:p>
        </w:tc>
        <w:tc>
          <w:tcPr>
            <w:tcW w:w="6480" w:type="dxa"/>
            <w:vAlign w:val="bottom"/>
          </w:tcPr>
          <w:p>
            <w:pPr>
              <w:ind w:left="1580"/>
              <w:spacing w:after="0"/>
              <w:rPr>
                <w:sz w:val="20"/>
                <w:szCs w:val="20"/>
                <w:color w:val="auto"/>
              </w:rPr>
            </w:pPr>
            <w:r>
              <w:rPr>
                <w:rFonts w:ascii="Arial" w:cs="Arial" w:eastAsia="Arial" w:hAnsi="Arial"/>
                <w:sz w:val="18"/>
                <w:szCs w:val="18"/>
                <w:color w:val="auto"/>
              </w:rPr>
              <w:t>313747AQ0/US313747AQ05</w:t>
            </w:r>
          </w:p>
        </w:tc>
        <w:tc>
          <w:tcPr>
            <w:tcW w:w="1160" w:type="dxa"/>
            <w:vAlign w:val="bottom"/>
          </w:tcPr>
          <w:p>
            <w:pPr>
              <w:spacing w:after="0"/>
              <w:rPr>
                <w:sz w:val="24"/>
                <w:szCs w:val="24"/>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6480" w:type="dxa"/>
            <w:vAlign w:val="bottom"/>
          </w:tcPr>
          <w:p>
            <w:pPr>
              <w:ind w:left="1580"/>
              <w:spacing w:after="0"/>
              <w:rPr>
                <w:sz w:val="20"/>
                <w:szCs w:val="20"/>
                <w:color w:val="auto"/>
              </w:rPr>
            </w:pPr>
            <w:r>
              <w:rPr>
                <w:rFonts w:ascii="Arial" w:cs="Arial" w:eastAsia="Arial" w:hAnsi="Arial"/>
                <w:sz w:val="18"/>
                <w:szCs w:val="18"/>
                <w:color w:val="auto"/>
              </w:rPr>
              <w:t>J.P. Morgan Securities Inc.</w:t>
            </w:r>
          </w:p>
        </w:tc>
        <w:tc>
          <w:tcPr>
            <w:tcW w:w="1160" w:type="dxa"/>
            <w:vAlign w:val="bottom"/>
          </w:tcPr>
          <w:p>
            <w:pPr>
              <w:jc w:val="right"/>
              <w:spacing w:after="0"/>
              <w:rPr>
                <w:sz w:val="20"/>
                <w:szCs w:val="20"/>
                <w:color w:val="auto"/>
              </w:rPr>
            </w:pPr>
            <w:r>
              <w:rPr>
                <w:rFonts w:ascii="Arial" w:cs="Arial" w:eastAsia="Arial" w:hAnsi="Arial"/>
                <w:sz w:val="18"/>
                <w:szCs w:val="18"/>
                <w:color w:val="auto"/>
              </w:rPr>
              <w:t>$52,500,000</w:t>
            </w:r>
          </w:p>
        </w:tc>
      </w:tr>
      <w:tr>
        <w:trPr>
          <w:trHeight w:val="222"/>
        </w:trPr>
        <w:tc>
          <w:tcPr>
            <w:tcW w:w="3780" w:type="dxa"/>
            <w:vAlign w:val="bottom"/>
          </w:tcPr>
          <w:p>
            <w:pPr>
              <w:spacing w:after="0"/>
              <w:rPr>
                <w:sz w:val="19"/>
                <w:szCs w:val="19"/>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Wells Fargo Securities, LLC</w:t>
            </w:r>
          </w:p>
        </w:tc>
        <w:tc>
          <w:tcPr>
            <w:tcW w:w="1160" w:type="dxa"/>
            <w:vAlign w:val="bottom"/>
          </w:tcPr>
          <w:p>
            <w:pPr>
              <w:jc w:val="right"/>
              <w:spacing w:after="0"/>
              <w:rPr>
                <w:sz w:val="20"/>
                <w:szCs w:val="20"/>
                <w:color w:val="auto"/>
              </w:rPr>
            </w:pPr>
            <w:r>
              <w:rPr>
                <w:rFonts w:ascii="Arial" w:cs="Arial" w:eastAsia="Arial" w:hAnsi="Arial"/>
                <w:sz w:val="18"/>
                <w:szCs w:val="18"/>
                <w:color w:val="auto"/>
              </w:rPr>
              <w:t>$52,500,000</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Co-Managers:</w:t>
            </w:r>
          </w:p>
        </w:tc>
        <w:tc>
          <w:tcPr>
            <w:tcW w:w="6480" w:type="dxa"/>
            <w:vAlign w:val="bottom"/>
          </w:tcPr>
          <w:p>
            <w:pPr>
              <w:ind w:left="1580"/>
              <w:spacing w:after="0"/>
              <w:rPr>
                <w:sz w:val="20"/>
                <w:szCs w:val="20"/>
                <w:color w:val="auto"/>
              </w:rPr>
            </w:pPr>
            <w:r>
              <w:rPr>
                <w:rFonts w:ascii="Arial" w:cs="Arial" w:eastAsia="Arial" w:hAnsi="Arial"/>
                <w:sz w:val="18"/>
                <w:szCs w:val="18"/>
                <w:color w:val="auto"/>
              </w:rPr>
              <w:t>Citigroup Global Markets Inc.</w:t>
            </w:r>
          </w:p>
        </w:tc>
        <w:tc>
          <w:tcPr>
            <w:tcW w:w="1160" w:type="dxa"/>
            <w:vAlign w:val="bottom"/>
          </w:tcPr>
          <w:p>
            <w:pPr>
              <w:jc w:val="right"/>
              <w:spacing w:after="0"/>
              <w:rPr>
                <w:sz w:val="20"/>
                <w:szCs w:val="20"/>
                <w:color w:val="auto"/>
              </w:rPr>
            </w:pPr>
            <w:r>
              <w:rPr>
                <w:rFonts w:ascii="Arial" w:cs="Arial" w:eastAsia="Arial" w:hAnsi="Arial"/>
                <w:sz w:val="18"/>
                <w:szCs w:val="18"/>
                <w:color w:val="auto"/>
              </w:rPr>
              <w:t>$11,250,000</w:t>
            </w:r>
          </w:p>
        </w:tc>
      </w:tr>
      <w:tr>
        <w:trPr>
          <w:trHeight w:val="216"/>
        </w:trPr>
        <w:tc>
          <w:tcPr>
            <w:tcW w:w="3780" w:type="dxa"/>
            <w:vAlign w:val="bottom"/>
          </w:tcPr>
          <w:p>
            <w:pPr>
              <w:spacing w:after="0"/>
              <w:rPr>
                <w:sz w:val="18"/>
                <w:szCs w:val="18"/>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PNC Capital Markets LLC</w:t>
            </w:r>
          </w:p>
        </w:tc>
        <w:tc>
          <w:tcPr>
            <w:tcW w:w="1160" w:type="dxa"/>
            <w:vAlign w:val="bottom"/>
          </w:tcPr>
          <w:p>
            <w:pPr>
              <w:jc w:val="right"/>
              <w:spacing w:after="0"/>
              <w:rPr>
                <w:sz w:val="20"/>
                <w:szCs w:val="20"/>
                <w:color w:val="auto"/>
              </w:rPr>
            </w:pPr>
            <w:r>
              <w:rPr>
                <w:rFonts w:ascii="Arial" w:cs="Arial" w:eastAsia="Arial" w:hAnsi="Arial"/>
                <w:sz w:val="18"/>
                <w:szCs w:val="18"/>
                <w:color w:val="auto"/>
              </w:rPr>
              <w:t>$11,250,000</w:t>
            </w:r>
          </w:p>
        </w:tc>
      </w:tr>
      <w:tr>
        <w:trPr>
          <w:trHeight w:val="216"/>
        </w:trPr>
        <w:tc>
          <w:tcPr>
            <w:tcW w:w="3780" w:type="dxa"/>
            <w:vAlign w:val="bottom"/>
          </w:tcPr>
          <w:p>
            <w:pPr>
              <w:spacing w:after="0"/>
              <w:rPr>
                <w:sz w:val="18"/>
                <w:szCs w:val="18"/>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Morgan Keegan &amp; Company, Inc.</w:t>
            </w:r>
          </w:p>
        </w:tc>
        <w:tc>
          <w:tcPr>
            <w:tcW w:w="116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3780" w:type="dxa"/>
            <w:vAlign w:val="bottom"/>
          </w:tcPr>
          <w:p>
            <w:pPr>
              <w:spacing w:after="0"/>
              <w:rPr>
                <w:sz w:val="18"/>
                <w:szCs w:val="18"/>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SunTrust Robinson Humphrey, Inc.</w:t>
            </w:r>
          </w:p>
        </w:tc>
        <w:tc>
          <w:tcPr>
            <w:tcW w:w="116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3780" w:type="dxa"/>
            <w:vAlign w:val="bottom"/>
          </w:tcPr>
          <w:p>
            <w:pPr>
              <w:spacing w:after="0"/>
              <w:rPr>
                <w:sz w:val="18"/>
                <w:szCs w:val="18"/>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Capital One Southcoast, Inc.</w:t>
            </w: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r>
      <w:tr>
        <w:trPr>
          <w:trHeight w:val="222"/>
        </w:trPr>
        <w:tc>
          <w:tcPr>
            <w:tcW w:w="3780" w:type="dxa"/>
            <w:vAlign w:val="bottom"/>
          </w:tcPr>
          <w:p>
            <w:pPr>
              <w:spacing w:after="0"/>
              <w:rPr>
                <w:sz w:val="19"/>
                <w:szCs w:val="19"/>
                <w:color w:val="auto"/>
              </w:rPr>
            </w:pPr>
          </w:p>
        </w:tc>
        <w:tc>
          <w:tcPr>
            <w:tcW w:w="6480" w:type="dxa"/>
            <w:vAlign w:val="bottom"/>
          </w:tcPr>
          <w:p>
            <w:pPr>
              <w:ind w:left="1580"/>
              <w:spacing w:after="0"/>
              <w:rPr>
                <w:sz w:val="20"/>
                <w:szCs w:val="20"/>
                <w:color w:val="auto"/>
              </w:rPr>
            </w:pPr>
            <w:r>
              <w:rPr>
                <w:rFonts w:ascii="Arial" w:cs="Arial" w:eastAsia="Arial" w:hAnsi="Arial"/>
                <w:sz w:val="18"/>
                <w:szCs w:val="18"/>
                <w:color w:val="auto"/>
              </w:rPr>
              <w:t>U.S. Bancorp Investments, Inc.</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293"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preliminary prospectus supplement and the prospectus if you request it by calling J.P. Morgan Securities Inc. collect at 1-212-834-4533 or Wells Fargo Securities, LLC toll-free at 1-800-326-5897.</w:t>
      </w:r>
    </w:p>
    <w:p>
      <w:pPr>
        <w:spacing w:after="0" w:line="111"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 to Exhibit B, Page 2</w:t>
      </w:r>
    </w:p>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Filed with this Current Report]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220"/>
          </w:cols>
          <w:pgMar w:left="1440" w:top="274" w:right="239" w:bottom="1440" w:gutter="0" w:footer="0" w:header="0"/>
        </w:sectPr>
      </w:pPr>
    </w:p>
    <w:bookmarkStart w:id="41" w:name="page42"/>
    <w:bookmarkEnd w:id="41"/>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C-1</w:t>
      </w:r>
    </w:p>
    <w:p>
      <w:pPr>
        <w:spacing w:after="0" w:line="2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 and amended on Form S-3 (File No. 33-63687).</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8.75% Notes due December 1, 2009, 4.50% Notes due 2011, 5.65% Notes due 2016, 6.00% Notes due 2012, 6.20% Notes due 2017, and 5.40% Notes due 2013 filed with the Commission on September 17, 1998 as Exhibit 4(a) to the Company’s Registration Statement on Form S-3 (File No. 333-63619).</w:t>
      </w:r>
    </w:p>
    <w:p>
      <w:pPr>
        <w:spacing w:after="0" w:line="18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Credit Agreement dated as of May 4, 2009 by and among the Company, as Borrower, Wachovia Capital Markets, LLC, PNC Capital Markets LLC, Wachovia Bank, National Association, PNC Bank, National Association, and various other financial institutions.</w:t>
      </w:r>
    </w:p>
    <w:p>
      <w:pPr>
        <w:sectPr>
          <w:pgSz w:w="11900" w:h="16838" w:orient="portrait"/>
          <w:cols w:equalWidth="0" w:num="1">
            <w:col w:w="11420"/>
          </w:cols>
          <w:pgMar w:left="240" w:top="27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gridSpan w:val="2"/>
          </w:tcPr>
          <w:p>
            <w:pPr>
              <w:ind w:left="1500"/>
              <w:spacing w:after="0"/>
              <w:rPr>
                <w:sz w:val="20"/>
                <w:szCs w:val="20"/>
                <w:color w:val="auto"/>
              </w:rPr>
            </w:pPr>
            <w:r>
              <w:rPr>
                <w:rFonts w:ascii="Arial" w:cs="Arial" w:eastAsia="Arial" w:hAnsi="Arial"/>
                <w:sz w:val="18"/>
                <w:szCs w:val="18"/>
                <w:b w:val="1"/>
                <w:bCs w:val="1"/>
                <w:color w:val="auto"/>
              </w:rPr>
              <w:t>EXHIBIT D</w:t>
            </w:r>
          </w:p>
        </w:tc>
      </w:tr>
      <w:tr>
        <w:trPr>
          <w:trHeight w:val="340"/>
        </w:trPr>
        <w:tc>
          <w:tcPr>
            <w:tcW w:w="28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Company’s Direct or Indirect</w:t>
            </w:r>
          </w:p>
        </w:tc>
      </w:tr>
      <w:tr>
        <w:trPr>
          <w:trHeight w:val="17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FEDERAL REALTY INVESTMENT TRUST</w:t>
            </w:r>
          </w:p>
        </w:tc>
        <w:tc>
          <w:tcPr>
            <w:tcW w:w="57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8"/>
              </w:rPr>
              <w:t>Ownership Interest</w:t>
            </w:r>
          </w:p>
        </w:tc>
        <w:tc>
          <w:tcPr>
            <w:tcW w:w="20" w:type="dxa"/>
            <w:vAlign w:val="bottom"/>
          </w:tcPr>
          <w:p>
            <w:pPr>
              <w:spacing w:after="0"/>
              <w:rPr>
                <w:sz w:val="15"/>
                <w:szCs w:val="15"/>
                <w:color w:val="auto"/>
              </w:rPr>
            </w:pPr>
          </w:p>
        </w:tc>
      </w:tr>
      <w:tr>
        <w:trPr>
          <w:trHeight w:val="201"/>
        </w:trPr>
        <w:tc>
          <w:tcPr>
            <w:tcW w:w="8580" w:type="dxa"/>
            <w:vAlign w:val="bottom"/>
            <w:gridSpan w:val="2"/>
          </w:tcPr>
          <w:p>
            <w:pPr>
              <w:spacing w:after="0" w:line="201" w:lineRule="exact"/>
              <w:rPr>
                <w:sz w:val="20"/>
                <w:szCs w:val="20"/>
                <w:color w:val="auto"/>
              </w:rPr>
            </w:pPr>
            <w:r>
              <w:rPr>
                <w:rFonts w:ascii="Arial" w:cs="Arial" w:eastAsia="Arial" w:hAnsi="Arial"/>
                <w:sz w:val="18"/>
                <w:szCs w:val="18"/>
                <w:color w:val="auto"/>
              </w:rPr>
              <w:t>FR Associates Limited Partnership (“FR”)</w:t>
            </w:r>
          </w:p>
        </w:tc>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98.97% (1.03% SRI)</w:t>
            </w:r>
          </w:p>
        </w:tc>
        <w:tc>
          <w:tcPr>
            <w:tcW w:w="20" w:type="dxa"/>
            <w:vAlign w:val="bottom"/>
          </w:tcPr>
          <w:p>
            <w:pPr>
              <w:spacing w:after="0"/>
              <w:rPr>
                <w:sz w:val="17"/>
                <w:szCs w:val="17"/>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Andorra Associates</w:t>
            </w:r>
          </w:p>
        </w:tc>
        <w:tc>
          <w:tcPr>
            <w:tcW w:w="286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Governor Plaza Associates</w:t>
            </w:r>
          </w:p>
        </w:tc>
        <w:tc>
          <w:tcPr>
            <w:tcW w:w="286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Shopping Center Associates</w:t>
            </w:r>
          </w:p>
        </w:tc>
        <w:tc>
          <w:tcPr>
            <w:tcW w:w="286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2860" w:type="dxa"/>
            <w:vAlign w:val="bottom"/>
            <w:gridSpan w:val="3"/>
          </w:tcPr>
          <w:p>
            <w:pPr>
              <w:spacing w:after="0"/>
              <w:rPr>
                <w:sz w:val="20"/>
                <w:szCs w:val="20"/>
                <w:color w:val="auto"/>
              </w:rPr>
            </w:pPr>
            <w:r>
              <w:rPr>
                <w:rFonts w:ascii="Arial" w:cs="Arial" w:eastAsia="Arial" w:hAnsi="Arial"/>
                <w:sz w:val="18"/>
                <w:szCs w:val="18"/>
                <w:color w:val="auto"/>
              </w:rPr>
              <w:t>99% (1% FR)</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FRIT Escondido Promenade, LLC</w:t>
            </w:r>
          </w:p>
        </w:tc>
        <w:tc>
          <w:tcPr>
            <w:tcW w:w="420" w:type="dxa"/>
            <w:vAlign w:val="bottom"/>
          </w:tcPr>
          <w:p>
            <w:pPr>
              <w:spacing w:after="0"/>
              <w:rPr>
                <w:sz w:val="20"/>
                <w:szCs w:val="20"/>
                <w:color w:val="auto"/>
              </w:rPr>
            </w:pPr>
            <w:r>
              <w:rPr>
                <w:rFonts w:ascii="Arial" w:cs="Arial" w:eastAsia="Arial" w:hAnsi="Arial"/>
                <w:sz w:val="18"/>
                <w:szCs w:val="18"/>
                <w:color w:val="auto"/>
              </w:rPr>
              <w:t>70%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FRIT Santana Row TRS,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(FRIT L&amp;D)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Congressional Plaza Associates,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64.1030%</w:t>
            </w:r>
          </w:p>
        </w:tc>
        <w:tc>
          <w:tcPr>
            <w:tcW w:w="2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2840" w:type="dxa"/>
            <w:vAlign w:val="bottom"/>
            <w:gridSpan w:val="2"/>
          </w:tcPr>
          <w:p>
            <w:pPr>
              <w:spacing w:after="0"/>
              <w:rPr>
                <w:sz w:val="20"/>
                <w:szCs w:val="20"/>
                <w:color w:val="auto"/>
              </w:rPr>
            </w:pPr>
            <w:r>
              <w:rPr>
                <w:rFonts w:ascii="Arial" w:cs="Arial" w:eastAsia="Arial" w:hAnsi="Arial"/>
                <w:sz w:val="18"/>
                <w:szCs w:val="18"/>
                <w:color w:val="auto"/>
              </w:rPr>
              <w:t>99.3143%</w:t>
            </w:r>
          </w:p>
        </w:tc>
        <w:tc>
          <w:tcPr>
            <w:tcW w:w="2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Federal Realty Partners L. P. (Master DownREIT- 142,793 units outstanding – 718,755 units have been redeemed)</w:t>
            </w:r>
          </w:p>
        </w:tc>
        <w:tc>
          <w:tcPr>
            <w:tcW w:w="2860" w:type="dxa"/>
            <w:vAlign w:val="bottom"/>
            <w:gridSpan w:val="3"/>
          </w:tcPr>
          <w:p>
            <w:pPr>
              <w:spacing w:after="0"/>
              <w:rPr>
                <w:sz w:val="20"/>
                <w:szCs w:val="20"/>
                <w:color w:val="auto"/>
              </w:rPr>
            </w:pPr>
            <w:r>
              <w:rPr>
                <w:rFonts w:ascii="Arial" w:cs="Arial" w:eastAsia="Arial" w:hAnsi="Arial"/>
                <w:sz w:val="18"/>
                <w:szCs w:val="18"/>
                <w:color w:val="auto"/>
              </w:rPr>
              <w:t>40 units (FedRP Inc.)</w:t>
            </w:r>
          </w:p>
        </w:tc>
      </w:tr>
      <w:tr>
        <w:trPr>
          <w:trHeight w:val="222"/>
        </w:trPr>
        <w:tc>
          <w:tcPr>
            <w:tcW w:w="28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718,795 units (FRLP Inc.)</w:t>
            </w:r>
          </w:p>
        </w:tc>
      </w:tr>
      <w:tr>
        <w:trPr>
          <w:trHeight w:val="223"/>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Federal Realty Partners, Inc. (“FedRP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FRLP, Inc. (“FRLP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Leesburg Plaza, LLC (“Leesburg LLC”)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Leesburg Plaza, LP (DownREIT– 33,267 units outstanding – 104,733 units have been redeemed)</w:t>
            </w:r>
          </w:p>
        </w:tc>
        <w:tc>
          <w:tcPr>
            <w:tcW w:w="2860" w:type="dxa"/>
            <w:vAlign w:val="bottom"/>
            <w:gridSpan w:val="3"/>
          </w:tcPr>
          <w:p>
            <w:pPr>
              <w:spacing w:after="0"/>
              <w:rPr>
                <w:sz w:val="20"/>
                <w:szCs w:val="20"/>
                <w:color w:val="auto"/>
              </w:rPr>
            </w:pPr>
            <w:r>
              <w:rPr>
                <w:rFonts w:ascii="Arial" w:cs="Arial" w:eastAsia="Arial" w:hAnsi="Arial"/>
                <w:sz w:val="18"/>
                <w:szCs w:val="18"/>
                <w:color w:val="auto"/>
              </w:rPr>
              <w:t>319,233 units (Leesburg LLC)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Federal Realty Management Services,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Federal Plaza, Inc. (“FedPlaza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Federal Plaza, LLC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(FedPlaza Inc.)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Mercer Mall, Inc. (“Mercer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Mercer Mall, LLC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(Mercer Inc.)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Federal/LPF GP, Inc. (“LPF”)</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Federal/Lion Venture LP (“Venture”)</w:t>
            </w:r>
          </w:p>
        </w:tc>
        <w:tc>
          <w:tcPr>
            <w:tcW w:w="2860" w:type="dxa"/>
            <w:vAlign w:val="bottom"/>
            <w:gridSpan w:val="3"/>
          </w:tcPr>
          <w:p>
            <w:pPr>
              <w:spacing w:after="0"/>
              <w:rPr>
                <w:sz w:val="20"/>
                <w:szCs w:val="20"/>
                <w:color w:val="auto"/>
              </w:rPr>
            </w:pPr>
            <w:r>
              <w:rPr>
                <w:rFonts w:ascii="Arial" w:cs="Arial" w:eastAsia="Arial" w:hAnsi="Arial"/>
                <w:sz w:val="18"/>
                <w:szCs w:val="18"/>
                <w:color w:val="auto"/>
              </w:rPr>
              <w:t>29.9% (.1% LPF)</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Plaza del Mercado, LLC (“Mercado”)</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Plaza del Mercado, LP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Mercado</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Campus Plaza GP, LLC (“Campus”)</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Campus Plaza Limited Partnership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Campus</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Pleasant Shops GP, LLC (“Pleasant”)</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Pleasant Shops Limited Partnership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Pleasant</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Atlantic Plaza GP, LLC (“Atlantic”)</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Atlantic Plaza Limited Partnership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Atlantic</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Greenlawn Plaza GP, LLC (“Greenlawn”)</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Greenlawn Plaza, LP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Greenlawn</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Barcroft Plaza GP, LLC (“Barcroft”)</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Barcroft Plaza, LP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Barcroft</w:t>
            </w: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Free State GP, LLC (“Free State”)</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580" w:type="dxa"/>
            <w:vAlign w:val="bottom"/>
            <w:gridSpan w:val="2"/>
          </w:tcPr>
          <w:p>
            <w:pPr>
              <w:ind w:left="880"/>
              <w:spacing w:after="0"/>
              <w:rPr>
                <w:sz w:val="20"/>
                <w:szCs w:val="20"/>
                <w:color w:val="auto"/>
              </w:rPr>
            </w:pPr>
            <w:r>
              <w:rPr>
                <w:rFonts w:ascii="Arial" w:cs="Arial" w:eastAsia="Arial" w:hAnsi="Arial"/>
                <w:sz w:val="18"/>
                <w:szCs w:val="18"/>
                <w:color w:val="auto"/>
              </w:rPr>
              <w:t>FLV Free State Limited Partnership</w:t>
            </w:r>
          </w:p>
        </w:tc>
        <w:tc>
          <w:tcPr>
            <w:tcW w:w="2860" w:type="dxa"/>
            <w:vAlign w:val="bottom"/>
            <w:gridSpan w:val="3"/>
          </w:tcPr>
          <w:p>
            <w:pPr>
              <w:spacing w:after="0"/>
              <w:rPr>
                <w:sz w:val="20"/>
                <w:szCs w:val="20"/>
                <w:color w:val="auto"/>
              </w:rPr>
            </w:pPr>
            <w:r>
              <w:rPr>
                <w:rFonts w:ascii="Arial" w:cs="Arial" w:eastAsia="Arial" w:hAnsi="Arial"/>
                <w:sz w:val="18"/>
                <w:szCs w:val="18"/>
                <w:color w:val="auto"/>
              </w:rPr>
              <w:t>30% through Free State</w:t>
            </w: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FR Westgate Mall, Inc. (“Westgate Inc.”)</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Westgate Mall,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(Westgate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Assembly Square,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Sturtevant Street,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Crow Canyon, Inc. (f/k/a JS&amp;DB, Inc.) (“Crow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Crow Canyon,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(Crow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Key Road,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Riverside,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Linden Square,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North Dartmouth, Inc. (“ND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North Dartmouth,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(ND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Chelsea Commons I, Inc. (“Chelsea I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Chelsea Commons I,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(Chelsea I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Chelsea Commons II, Inc. (“Chelsea II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Chelsea Commons II,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(Chelsea II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Chelsea Commons III,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Shoppers World, Inc. (“Shoppers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Shoppers World,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(Shoppers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White Marsh, Inc. (“WM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Cordon Fairfield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Campbell-Philadelphia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Shoppes at Nottingham Square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Nottingham Square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Retail Properties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Byron Station, LLC (“Byron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880"/>
              <w:spacing w:after="0"/>
              <w:rPr>
                <w:sz w:val="20"/>
                <w:szCs w:val="20"/>
                <w:color w:val="auto"/>
              </w:rPr>
            </w:pPr>
            <w:r>
              <w:rPr>
                <w:rFonts w:ascii="Arial" w:cs="Arial" w:eastAsia="Arial" w:hAnsi="Arial"/>
                <w:sz w:val="18"/>
                <w:szCs w:val="18"/>
                <w:color w:val="auto"/>
              </w:rPr>
              <w:t>Byron Station Limited Partnership, LLLP</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w w:val="93"/>
              </w:rPr>
              <w:t>(1% Byron LLC; 99% 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White Marsh Plaza, LLC (“WMP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880"/>
              <w:spacing w:after="0"/>
              <w:rPr>
                <w:sz w:val="20"/>
                <w:szCs w:val="20"/>
                <w:color w:val="auto"/>
              </w:rPr>
            </w:pPr>
            <w:r>
              <w:rPr>
                <w:rFonts w:ascii="Arial" w:cs="Arial" w:eastAsia="Arial" w:hAnsi="Arial"/>
                <w:sz w:val="18"/>
                <w:szCs w:val="18"/>
                <w:color w:val="auto"/>
              </w:rPr>
              <w:t>White Marsh Plaza Limited Partnership (“WMP LP”)</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w w:val="94"/>
              </w:rPr>
              <w:t>(1% WMP LLC; 99% WM Inc.)</w:t>
            </w:r>
          </w:p>
        </w:tc>
      </w:tr>
      <w:tr>
        <w:trPr>
          <w:trHeight w:val="216"/>
        </w:trPr>
        <w:tc>
          <w:tcPr>
            <w:tcW w:w="8380" w:type="dxa"/>
            <w:vAlign w:val="bottom"/>
          </w:tcPr>
          <w:p>
            <w:pPr>
              <w:ind w:left="1300"/>
              <w:spacing w:after="0"/>
              <w:rPr>
                <w:sz w:val="20"/>
                <w:szCs w:val="20"/>
                <w:color w:val="auto"/>
              </w:rPr>
            </w:pPr>
            <w:r>
              <w:rPr>
                <w:rFonts w:ascii="Arial" w:cs="Arial" w:eastAsia="Arial" w:hAnsi="Arial"/>
                <w:sz w:val="18"/>
                <w:szCs w:val="18"/>
                <w:color w:val="auto"/>
              </w:rPr>
              <w:t>White Marsh Plaza Business Trust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(WMP LP)</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w w:val="93"/>
              </w:rPr>
              <w:t>NVI-Avenue, LLC (DownREIT – 182,806 units outstanding – 2,678 units have been redeemed) (“NVI LLC”)</w:t>
            </w: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2,698 units (WM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The Avenue at White Marsh Business Trust (“Avenue BT”)</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Retail Funding Affiliates,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(50% NVI LLC; 30% Avenue</w:t>
            </w:r>
          </w:p>
        </w:tc>
      </w:tr>
      <w:tr>
        <w:trPr>
          <w:trHeight w:val="216"/>
        </w:trPr>
        <w:tc>
          <w:tcPr>
            <w:tcW w:w="8380" w:type="dxa"/>
            <w:vAlign w:val="bottom"/>
          </w:tcPr>
          <w:p>
            <w:pPr>
              <w:spacing w:after="0"/>
              <w:rPr>
                <w:sz w:val="18"/>
                <w:szCs w:val="18"/>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BT; 20% WM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Florida, Inc. (f/k/a FR Chelsea Commons III, Inc.) (“Florida,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Del Mar Village,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Del Mar Village II,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Courtyard Shops,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FR Rollingwood, LLC (“Rollingwood LLC”)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FR Rollingwood,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ind w:left="20"/>
              <w:spacing w:after="0"/>
              <w:rPr>
                <w:sz w:val="20"/>
                <w:szCs w:val="20"/>
                <w:color w:val="auto"/>
              </w:rPr>
            </w:pPr>
            <w:r>
              <w:rPr>
                <w:rFonts w:ascii="Arial" w:cs="Arial" w:eastAsia="Arial" w:hAnsi="Arial"/>
                <w:sz w:val="18"/>
                <w:szCs w:val="18"/>
                <w:color w:val="auto"/>
              </w:rPr>
              <w:t>(Rollingwood LLC)</w:t>
            </w: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Street Retail, Inc.</w:t>
            </w:r>
          </w:p>
        </w:tc>
        <w:tc>
          <w:tcPr>
            <w:tcW w:w="620" w:type="dxa"/>
            <w:vAlign w:val="bottom"/>
          </w:tcPr>
          <w:p>
            <w:pPr>
              <w:ind w:left="200"/>
              <w:spacing w:after="0"/>
              <w:rPr>
                <w:sz w:val="20"/>
                <w:szCs w:val="20"/>
                <w:color w:val="auto"/>
              </w:rPr>
            </w:pPr>
            <w:r>
              <w:rPr>
                <w:rFonts w:ascii="Arial" w:cs="Arial" w:eastAsia="Arial" w:hAnsi="Arial"/>
                <w:sz w:val="18"/>
                <w:szCs w:val="18"/>
                <w:color w:val="auto"/>
                <w:w w:val="86"/>
              </w:rPr>
              <w:t>100%</w:t>
            </w:r>
          </w:p>
        </w:tc>
        <w:tc>
          <w:tcPr>
            <w:tcW w:w="23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320"/>
          </w:cols>
          <w:pgMar w:left="240" w:top="28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STREET RETAIL, INC. (“SRI”)</w:t>
            </w: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8"/>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SRI Old Town, LLC</w:t>
            </w:r>
          </w:p>
        </w:tc>
        <w:tc>
          <w:tcPr>
            <w:tcW w:w="5440" w:type="dxa"/>
            <w:vAlign w:val="bottom"/>
          </w:tcPr>
          <w:p>
            <w:pPr>
              <w:spacing w:after="0"/>
              <w:rPr>
                <w:sz w:val="19"/>
                <w:szCs w:val="19"/>
                <w:color w:val="auto"/>
              </w:rPr>
            </w:pP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9"/>
                <w:szCs w:val="19"/>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I,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II,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3,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4,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6,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7, L.P.</w:t>
            </w:r>
          </w:p>
        </w:tc>
        <w:tc>
          <w:tcPr>
            <w:tcW w:w="1080" w:type="dxa"/>
            <w:vAlign w:val="bottom"/>
          </w:tcPr>
          <w:p>
            <w:pPr>
              <w:ind w:left="660"/>
              <w:spacing w:after="0"/>
              <w:rPr>
                <w:sz w:val="20"/>
                <w:szCs w:val="20"/>
                <w:color w:val="auto"/>
              </w:rPr>
            </w:pPr>
            <w:r>
              <w:rPr>
                <w:rFonts w:ascii="Arial" w:cs="Arial" w:eastAsia="Arial" w:hAnsi="Arial"/>
                <w:sz w:val="18"/>
                <w:szCs w:val="18"/>
                <w:color w:val="auto"/>
              </w:rPr>
              <w:t>90%</w:t>
            </w:r>
          </w:p>
        </w:tc>
        <w:tc>
          <w:tcPr>
            <w:tcW w:w="2300" w:type="dxa"/>
            <w:vAlign w:val="bottom"/>
          </w:tcPr>
          <w:p>
            <w:pPr>
              <w:spacing w:after="0"/>
              <w:rPr>
                <w:sz w:val="18"/>
                <w:szCs w:val="18"/>
                <w:color w:val="auto"/>
              </w:rPr>
            </w:pP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Street Retail West 10, L.P.</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.1% (SRI San Anton) 99.9% (SRI</w:t>
            </w:r>
          </w:p>
        </w:tc>
      </w:tr>
      <w:tr>
        <w:trPr>
          <w:trHeight w:val="216"/>
        </w:trPr>
        <w:tc>
          <w:tcPr>
            <w:tcW w:w="24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Texas)</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SRI San Antonio, Inc. (f/k/a Dim Sum, Inc. f/k/a FR Acquisition Holding Co., Inc.) (“SRI San Anton”)</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SRI Texas, Inc. (“SRI Texas”)</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San Jose Residential, Inc.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w w:val="88"/>
              </w:rPr>
              <w:t>100% nonvoting stock (San Jose LLC)</w:t>
            </w:r>
          </w:p>
        </w:tc>
      </w:tr>
      <w:tr>
        <w:trPr>
          <w:trHeight w:val="222"/>
        </w:trPr>
        <w:tc>
          <w:tcPr>
            <w:tcW w:w="24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50% voting stock</w:t>
            </w: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Santana Row Services, Inc.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9"/>
                <w:szCs w:val="19"/>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Santana Row ROF, Inc. (“ROF”)</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spacing w:after="0"/>
              <w:rPr>
                <w:sz w:val="18"/>
                <w:szCs w:val="18"/>
                <w:color w:val="auto"/>
              </w:rPr>
            </w:pP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La Rive Gauche San Jose,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37.5%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Straits Santana Row,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90%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Blowfish SR,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30%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Village Café Santana Row,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49%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Yankee Pier Santana Row,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75%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Pizza Antica,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20%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Sino, LLC (f/k/a Red Lantern Restaurant, LLC)</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90% (ROF)</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Santana Grill Partners, LP</w:t>
            </w:r>
          </w:p>
        </w:tc>
        <w:tc>
          <w:tcPr>
            <w:tcW w:w="3380" w:type="dxa"/>
            <w:vAlign w:val="bottom"/>
            <w:gridSpan w:val="2"/>
          </w:tcPr>
          <w:p>
            <w:pPr>
              <w:ind w:left="660"/>
              <w:spacing w:after="0"/>
              <w:rPr>
                <w:sz w:val="20"/>
                <w:szCs w:val="20"/>
                <w:color w:val="auto"/>
              </w:rPr>
            </w:pPr>
            <w:r>
              <w:rPr>
                <w:rFonts w:ascii="Arial" w:cs="Arial" w:eastAsia="Arial" w:hAnsi="Arial"/>
                <w:sz w:val="18"/>
                <w:szCs w:val="18"/>
                <w:color w:val="auto"/>
              </w:rPr>
              <w:t>29.167% (ROF)</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SRI Arlington Road West, Inc. (“Arlington”)</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(SRI)</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SRI Arlington Road West, LLC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(Arlington)</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SRI Bethesda Avenue North, Inc. (“Bethesda”)</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(SRI)</w:t>
            </w:r>
          </w:p>
        </w:tc>
      </w:tr>
      <w:tr>
        <w:trPr>
          <w:trHeight w:val="222"/>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SRI Bethesda Avenue North, LLC</w:t>
            </w:r>
          </w:p>
        </w:tc>
        <w:tc>
          <w:tcPr>
            <w:tcW w:w="1080" w:type="dxa"/>
            <w:vAlign w:val="bottom"/>
          </w:tcPr>
          <w:p>
            <w:pPr>
              <w:ind w:left="660"/>
              <w:spacing w:after="0"/>
              <w:rPr>
                <w:sz w:val="20"/>
                <w:szCs w:val="20"/>
                <w:color w:val="auto"/>
              </w:rPr>
            </w:pPr>
            <w:r>
              <w:rPr>
                <w:rFonts w:ascii="Arial" w:cs="Arial" w:eastAsia="Arial" w:hAnsi="Arial"/>
                <w:sz w:val="18"/>
                <w:szCs w:val="18"/>
                <w:color w:val="auto"/>
                <w:w w:val="86"/>
              </w:rPr>
              <w:t>100%</w:t>
            </w:r>
          </w:p>
        </w:tc>
        <w:tc>
          <w:tcPr>
            <w:tcW w:w="2300" w:type="dxa"/>
            <w:vAlign w:val="bottom"/>
          </w:tcPr>
          <w:p>
            <w:pPr>
              <w:ind w:left="20"/>
              <w:spacing w:after="0"/>
              <w:rPr>
                <w:sz w:val="20"/>
                <w:szCs w:val="20"/>
                <w:color w:val="auto"/>
              </w:rPr>
            </w:pPr>
            <w:r>
              <w:rPr>
                <w:rFonts w:ascii="Arial" w:cs="Arial" w:eastAsia="Arial" w:hAnsi="Arial"/>
                <w:sz w:val="18"/>
                <w:szCs w:val="18"/>
                <w:color w:val="auto"/>
              </w:rPr>
              <w:t>(Bethesda)</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1300"/>
          </w:cols>
          <w:pgMar w:left="240" w:top="257"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August 10, 2009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28288-0613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5"/>
          <w:szCs w:val="15"/>
          <w:color w:val="auto"/>
        </w:rPr>
        <w:t>Federal Realty Investment Trust, a Maryland real estate investment trust (the “Company”), proposes, subject to the terms and conditions stated herein and in the Underwriting Agreement, dated August 10, 2009 (the “Underwriting Agreement”), between the Company on the one hand and J.P. Morgan Securities Inc.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240" w:top="280" w:right="739" w:bottom="1440" w:gutter="0" w:footer="0" w:header="0"/>
        </w:sectPr>
      </w:pPr>
    </w:p>
    <w:bookmarkStart w:id="47" w:name="page48"/>
    <w:bookmarkEnd w:id="47"/>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Andrew P. Blocher</w:t>
      </w:r>
    </w:p>
    <w:p>
      <w:pPr>
        <w:spacing w:after="0" w:line="15"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President-Chief Financial Officer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Bottamedi</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C.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C. Hurley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40" w:type="dxa"/>
            <w:vAlign w:val="bottom"/>
            <w:gridSpan w:val="2"/>
          </w:tcPr>
          <w:p>
            <w:pPr>
              <w:jc w:val="right"/>
              <w:ind w:right="4280"/>
              <w:spacing w:after="0"/>
              <w:rPr>
                <w:sz w:val="20"/>
                <w:szCs w:val="20"/>
                <w:color w:val="auto"/>
              </w:rPr>
            </w:pPr>
            <w:r>
              <w:rPr>
                <w:rFonts w:ascii="Arial" w:cs="Arial" w:eastAsia="Arial" w:hAnsi="Arial"/>
                <w:sz w:val="18"/>
                <w:szCs w:val="18"/>
                <w:color w:val="auto"/>
              </w:rPr>
              <w:t>SCHEDULE I</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6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6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9" w:name="page50"/>
    <w:bookmarkEnd w:id="49"/>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5.95% Notes due 2014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99.153% of the principal amount of the Designated Securities, plus accrued interest from August 13,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98.553%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15,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5.95%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and August 15, commencing February 15, 2010</w:t>
      </w:r>
    </w:p>
    <w:p>
      <w:pPr>
        <w:sectPr>
          <w:pgSz w:w="11900" w:h="16838" w:orient="portrait"/>
          <w:cols w:equalWidth="0" w:num="1">
            <w:col w:w="11300"/>
          </w:cols>
          <w:pgMar w:left="240" w:top="280"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a redemption price as described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p.m. (Eastern time) on August 10, 2009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13,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ectPr>
          <w:pgSz w:w="11900" w:h="16838" w:orient="portrait"/>
          <w:cols w:equalWidth="0" w:num="1">
            <w:col w:w="11280"/>
          </w:cols>
          <w:pgMar w:left="240" w:top="274"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5.95% Note due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CUSIP No. 313747AQ0</w:t>
            </w:r>
          </w:p>
        </w:tc>
        <w:tc>
          <w:tcPr>
            <w:tcW w:w="5380" w:type="dxa"/>
            <w:vAlign w:val="bottom"/>
          </w:tcPr>
          <w:p>
            <w:pPr>
              <w:jc w:val="right"/>
              <w:spacing w:after="0"/>
              <w:rPr>
                <w:sz w:val="20"/>
                <w:szCs w:val="20"/>
                <w:color w:val="auto"/>
              </w:rPr>
            </w:pPr>
            <w:r>
              <w:rPr>
                <w:rFonts w:ascii="Arial" w:cs="Arial" w:eastAsia="Arial" w:hAnsi="Arial"/>
                <w:sz w:val="18"/>
                <w:szCs w:val="18"/>
                <w:color w:val="auto"/>
              </w:rPr>
              <w:t>$ 150,000,000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Fifty Million Dollars on August 15, 2014 (the “Stated Maturity Date”) or the date fixed for earlier redemption (the “Redemption Date,” and together with the Stated Maturity Date with respect to principal repayable on such date, the “Maturity Date”), and to pay interest on the outstanding principal amount thereof from August 13, 2009 or from the most recent interest payment date to which interest has been paid or duly provided for, semi-annually on February 15 and August 15 in each year (each, an “Interest Payment Date”), commencing February 15, 2010, at the rate of 5.95%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February 1 or August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5" w:right="239" w:bottom="1440" w:gutter="0" w:footer="0" w:header="0"/>
        </w:sectPr>
      </w:pPr>
    </w:p>
    <w:bookmarkStart w:id="52" w:name="page53"/>
    <w:bookmarkEnd w:id="52"/>
    <w:p>
      <w:pPr>
        <w:ind w:right="8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August 13, 2009,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3" w:name="page54"/>
    <w:bookmarkEnd w:id="53"/>
    <w:p>
      <w:pPr>
        <w:ind w:firstLine="456"/>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 Dated: August 13,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ind w:right="100"/>
        <w:spacing w:after="0" w:line="456" w:lineRule="auto"/>
        <w:rPr>
          <w:sz w:val="20"/>
          <w:szCs w:val="20"/>
          <w:color w:val="auto"/>
        </w:rPr>
      </w:pPr>
      <w:r>
        <w:rPr>
          <w:rFonts w:ascii="Arial" w:cs="Arial" w:eastAsia="Arial" w:hAnsi="Arial"/>
          <w:sz w:val="18"/>
          <w:szCs w:val="18"/>
          <w:color w:val="auto"/>
        </w:rPr>
        <w:t>This is the Note of the series designated therein referred to in the within-mentioned Indenture. Dated: August 13,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2540</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Donald C. Wood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2540</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Andrew P. Blocher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Senior Vice President-Chief Financial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2540</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2">
            <w:col w:w="6720" w:space="140"/>
            <w:col w:w="3780"/>
          </w:cols>
          <w:pgMar w:left="240" w:top="280" w:right="10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5.95% Note due 2014</w:t>
      </w:r>
    </w:p>
    <w:p>
      <w:pPr>
        <w:spacing w:after="0" w:line="171"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“5.95% Notes due 2014” (collectively, the “Notes”), and the aggregate principal amount of the Notes to be issued under such series is initially limited to $150,000,000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benefits of any sinking fund.</w:t>
      </w:r>
    </w:p>
    <w:p>
      <w:pPr>
        <w:spacing w:after="0" w:line="194"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Notes are subject to redemption at any time, in whole or in part, at the election of the Company,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50 basis points (fifty one-hundredths of one percent)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ectPr>
          <w:pgSz w:w="11900" w:h="16838" w:orient="portrait"/>
          <w:cols w:equalWidth="0" w:num="1">
            <w:col w:w="11420"/>
          </w:cols>
          <w:pgMar w:left="240" w:top="280" w:right="239" w:bottom="1440" w:gutter="0" w:footer="0" w:header="0"/>
        </w:sectPr>
      </w:pPr>
    </w:p>
    <w:bookmarkStart w:id="55" w:name="page56"/>
    <w:bookmarkEnd w:id="5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herein:</w:t>
      </w:r>
    </w:p>
    <w:p>
      <w:pPr>
        <w:spacing w:after="0" w:line="90"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three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460" w:right="3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J.P. Morgan Securities Inc.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Reference Treasury Dealers ceases to be a primary U.S. Government securities dealer (a “Primary Treasury Dealer”), the Company will substitute therefor another Primary Treasury Dealer; and (2) any other Primary Treasury Dealer selected by the Company.</w:t>
      </w:r>
    </w:p>
    <w:p>
      <w:pPr>
        <w:spacing w:after="0" w:line="62"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6" w:name="page57"/>
    <w:bookmarkEnd w:id="5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460" w:right="6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8" w:name="page59"/>
    <w:bookmarkEnd w:id="58"/>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700" w:firstLine="438"/>
        <w:spacing w:after="0" w:line="332"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4"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59" w:name="page60"/>
    <w:bookmarkEnd w:id="59"/>
    <w:p>
      <w:pPr>
        <w:ind w:left="460"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left="460" w:right="12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July 28, 2006,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60" w:name="page61"/>
    <w:bookmarkEnd w:id="6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of this series are issuable only in registered form without coupons in denominations of $1,000 and any integral multiple thereof.</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$150,000,000 of its 5.95% Notes due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 prospectus supplement dated August 10,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Supplement</w:t>
      </w:r>
      <w:r>
        <w:rPr>
          <w:rFonts w:ascii="Arial" w:cs="Arial" w:eastAsia="Arial" w:hAnsi="Arial"/>
          <w:sz w:val="16"/>
          <w:szCs w:val="16"/>
          <w:color w:val="auto"/>
        </w:rPr>
        <w:t>”) to the prospectus dated June 16, 2009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registration statement on Form S-3 (File No. 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160009)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is an “automatic shelf registration statement” as defined under Rule 405 of the Act and which was filed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16, 2009. The Base Prospectus and the Prospectus Supplement are together referred to herein as the “</w:t>
      </w:r>
      <w:r>
        <w:rPr>
          <w:rFonts w:ascii="Arial" w:cs="Arial" w:eastAsia="Arial" w:hAnsi="Arial"/>
          <w:sz w:val="15"/>
          <w:szCs w:val="15"/>
          <w:b w:val="1"/>
          <w:bCs w:val="1"/>
          <w:color w:val="auto"/>
        </w:rPr>
        <w:t>Prospectus</w:t>
      </w:r>
      <w:r>
        <w:rPr>
          <w:rFonts w:ascii="Arial" w:cs="Arial" w:eastAsia="Arial" w:hAnsi="Arial"/>
          <w:sz w:val="15"/>
          <w:szCs w:val="15"/>
          <w:color w:val="auto"/>
        </w:rPr>
        <w:t>.” The Prospectus relates to the issuance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sale by the Company of $150,000,000 of its 5.95% Notes due 2014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August 10, 2009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August 10, 2009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Underwriters (the “</w:t>
      </w:r>
      <w:r>
        <w:rPr>
          <w:rFonts w:ascii="Arial" w:cs="Arial" w:eastAsia="Arial" w:hAnsi="Arial"/>
          <w:sz w:val="16"/>
          <w:szCs w:val="16"/>
          <w:b w:val="1"/>
          <w:bCs w:val="1"/>
          <w:color w:val="auto"/>
        </w:rPr>
        <w:t>Pricing 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offered and sold pursuant to an Indenture, dated as of September 1, 1998 (the “</w:t>
      </w:r>
      <w:r>
        <w:rPr>
          <w:rFonts w:ascii="Arial" w:cs="Arial" w:eastAsia="Arial" w:hAnsi="Arial"/>
          <w:sz w:val="15"/>
          <w:szCs w:val="15"/>
          <w:b w:val="1"/>
          <w:bCs w:val="1"/>
          <w:color w:val="auto"/>
        </w:rPr>
        <w:t>Indenture</w:t>
      </w:r>
      <w:r>
        <w:rPr>
          <w:rFonts w:ascii="Arial" w:cs="Arial" w:eastAsia="Arial" w:hAnsi="Arial"/>
          <w:sz w:val="15"/>
          <w:szCs w:val="15"/>
          <w:color w:val="auto"/>
        </w:rPr>
        <w:t>”) between the Company and U.S. Bank National Association, successor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Wachovia Bank, National Association, formerly First Union National Bank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59"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In rendering our opinion hereinafter set forth, our examination has been limited to the following documents (each, a “</w:t>
      </w:r>
      <w:r>
        <w:rPr>
          <w:rFonts w:ascii="Arial" w:cs="Arial" w:eastAsia="Arial" w:hAnsi="Arial"/>
          <w:sz w:val="18"/>
          <w:szCs w:val="18"/>
          <w:b w:val="1"/>
          <w:bCs w:val="1"/>
          <w:color w:val="auto"/>
        </w:rPr>
        <w:t>Document</w:t>
      </w:r>
      <w:r>
        <w:rPr>
          <w:rFonts w:ascii="Arial" w:cs="Arial" w:eastAsia="Arial" w:hAnsi="Arial"/>
          <w:sz w:val="18"/>
          <w:szCs w:val="18"/>
          <w:color w:val="auto"/>
        </w:rPr>
        <w:t>,” and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45"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Indenture, as certified by the Assistant Secretary of the Company as of the date hereof;</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Declaration of Trust, as amended and corrected, of the Company, as certified by the Maryland State Department of Assessments and Taxation on May 20, 2009 and by the Assistant Secretary of the Company as of the date hereof;</w:t>
      </w:r>
    </w:p>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78" w:lineRule="exact"/>
        <w:rPr>
          <w:sz w:val="20"/>
          <w:szCs w:val="20"/>
          <w:color w:val="auto"/>
        </w:rPr>
      </w:pPr>
    </w:p>
    <w:p>
      <w:pPr>
        <w:ind w:left="900" w:right="240" w:hanging="446"/>
        <w:spacing w:after="0" w:line="27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Amended and Restated Bylaws, as amended, of the Company (the “</w:t>
      </w:r>
      <w:r>
        <w:rPr>
          <w:rFonts w:ascii="Arial" w:cs="Arial" w:eastAsia="Arial" w:hAnsi="Arial"/>
          <w:sz w:val="18"/>
          <w:szCs w:val="18"/>
          <w:b w:val="1"/>
          <w:bCs w:val="1"/>
          <w:color w:val="auto"/>
        </w:rPr>
        <w:t>Bylaws</w:t>
      </w:r>
      <w:r>
        <w:rPr>
          <w:rFonts w:ascii="Arial" w:cs="Arial" w:eastAsia="Arial" w:hAnsi="Arial"/>
          <w:sz w:val="18"/>
          <w:szCs w:val="18"/>
          <w:color w:val="auto"/>
        </w:rPr>
        <w:t>”), as certified by the Assistant Secretary of the Company as of the date hereof;</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form of Notes;</w:t>
      </w:r>
    </w:p>
    <w:p>
      <w:pPr>
        <w:spacing w:after="0" w:line="84" w:lineRule="exact"/>
        <w:rPr>
          <w:rFonts w:ascii="Arial" w:cs="Arial" w:eastAsia="Arial" w:hAnsi="Arial"/>
          <w:sz w:val="18"/>
          <w:szCs w:val="18"/>
          <w:color w:val="auto"/>
        </w:rPr>
      </w:pPr>
    </w:p>
    <w:p>
      <w:pPr>
        <w:ind w:left="900" w:right="40" w:hanging="446"/>
        <w:spacing w:after="0" w:line="27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resolutions adopted by the Board of Trustees of the Company on May 5, 2009 and August 7, 2009 (the “</w:t>
      </w:r>
      <w:r>
        <w:rPr>
          <w:rFonts w:ascii="Arial" w:cs="Arial" w:eastAsia="Arial" w:hAnsi="Arial"/>
          <w:sz w:val="18"/>
          <w:szCs w:val="18"/>
          <w:b w:val="1"/>
          <w:bCs w:val="1"/>
          <w:color w:val="auto"/>
        </w:rPr>
        <w:t>Board Resolutions</w:t>
      </w:r>
      <w:r>
        <w:rPr>
          <w:rFonts w:ascii="Arial" w:cs="Arial" w:eastAsia="Arial" w:hAnsi="Arial"/>
          <w:sz w:val="18"/>
          <w:szCs w:val="18"/>
          <w:color w:val="auto"/>
        </w:rPr>
        <w:t>”), as certified by the Assistant Secretary of the Company as of the date hereof;</w:t>
      </w:r>
    </w:p>
    <w:p>
      <w:pPr>
        <w:spacing w:after="0" w:line="38" w:lineRule="exact"/>
        <w:rPr>
          <w:rFonts w:ascii="Arial" w:cs="Arial" w:eastAsia="Arial" w:hAnsi="Arial"/>
          <w:sz w:val="18"/>
          <w:szCs w:val="18"/>
          <w:color w:val="auto"/>
        </w:rPr>
      </w:pPr>
    </w:p>
    <w:p>
      <w:pPr>
        <w:ind w:left="900" w:right="300" w:hanging="446"/>
        <w:spacing w:after="0" w:line="26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resolutions adopted by the Pricing Committee of the Board of Trustees of the Company on August 10, 2009 (the “</w:t>
      </w:r>
      <w:r>
        <w:rPr>
          <w:rFonts w:ascii="Arial" w:cs="Arial" w:eastAsia="Arial" w:hAnsi="Arial"/>
          <w:sz w:val="18"/>
          <w:szCs w:val="18"/>
          <w:b w:val="1"/>
          <w:bCs w:val="1"/>
          <w:color w:val="auto"/>
        </w:rPr>
        <w:t>Pricing 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as certified by the Assistant Secretary of the Company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Underwriting Agreement and the Pricing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including any document (other than the Documents) that is referred to in or incorporated by reference into the Documents. We have assumed that there exists no provision in any document that we have not reviewed that is inconsistent with the opinion stated herein.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ectPr>
          <w:pgSz w:w="11900" w:h="16838" w:orient="portrait"/>
          <w:cols w:equalWidth="0" w:num="1">
            <w:col w:w="11380"/>
          </w:cols>
          <w:pgMar w:left="240" w:top="280"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have been duly authorized and will constitute valid and legally binding obligations of the Company, enforceable against the Company in accordance with their terms, and entitled to the benefits of the Indenture, when duly executed and delivered by the Company against payment therefor and countersigned or authenticated by the Trustee, both in accordance with the Indenture, and delivered to and paid for by the purchasers of the Notes in the manner contemplated by the Underwriting Agreement and the Pricing Agreement.</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reasonableness, good faith, fair dealing, conscionability and materiality (regardless of whether are considered in a proceeding in equity or at law). Such opinion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opinion is limited to Maryland law (excluding the securities laws and blue sky laws of the State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and is limited to the matters and the transaction expressly addressed herein and no opinion is to be implied or may be inferred beyond the opinion expressly stated herein. We assume no obligation to advise you of any changes in the foregoing subsequent to the delivery of this opinion.</w:t>
      </w:r>
    </w:p>
    <w:p>
      <w:pPr>
        <w:sectPr>
          <w:pgSz w:w="11900" w:h="16838" w:orient="portrait"/>
          <w:cols w:equalWidth="0" w:num="1">
            <w:col w:w="11380"/>
          </w:cols>
          <w:pgMar w:left="240" w:top="280"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filing of this opinion letter as an exhibit to the Registration Statement and to the use of our name in the Prospectus Supplement under the caption “Legal Matters.” In giving this consent, we do not thereby admit that we are within the category of persons whose consent is required under Section 7 of the Act or the rules and regulations of the Securities and Exchange Commission promulgated thereunder.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180"/>
          </w:cols>
          <w:pgMar w:left="240" w:top="280" w:right="4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August 10, 2009 (the “Prospectus Supplement”) to a prospectus (the “Base Prospectus”) filed as part of a registration statement on Form S-3 (File No. 333-160009,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(2009) taxable year and for future taxable years, and (iii) the discussions in (x) the Base Prospectus under the caption “Material Federal Income Tax Considerations,” (y) the Prospectus Supplement under the caption “Additional U.S. Federal Income Tax Considerations,” and</w:t>
      </w:r>
    </w:p>
    <w:p>
      <w:pPr>
        <w:spacing w:after="0" w:line="1" w:lineRule="exact"/>
        <w:rPr>
          <w:sz w:val="20"/>
          <w:szCs w:val="20"/>
          <w:color w:val="auto"/>
        </w:rPr>
      </w:pPr>
    </w:p>
    <w:p>
      <w:pPr>
        <w:ind w:firstLine="8"/>
        <w:spacing w:after="0" w:line="290"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 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18"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340"/>
          </w:cols>
          <w:pgMar w:left="240" w:top="280"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68" w:name="page69"/>
    <w:bookmarkEnd w:id="68"/>
    <w:p>
      <w:pPr>
        <w:ind w:left="1052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w w:val="94"/>
              </w:rPr>
              <w:t>Income from continuing operations before noncontrolling interests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and income or loss from equity investees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$39,415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59,006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119,438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96,032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92,194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86,508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580" w:type="dxa"/>
            <w:vAlign w:val="bottom"/>
          </w:tcPr>
          <w:p>
            <w:pPr>
              <w:jc w:val="right"/>
              <w:spacing w:after="0"/>
              <w:rPr>
                <w:sz w:val="20"/>
                <w:szCs w:val="20"/>
                <w:color w:val="auto"/>
              </w:rPr>
            </w:pPr>
            <w:r>
              <w:rPr>
                <w:rFonts w:ascii="Arial" w:cs="Arial" w:eastAsia="Arial" w:hAnsi="Arial"/>
                <w:sz w:val="18"/>
                <w:szCs w:val="18"/>
                <w:color w:val="auto"/>
              </w:rPr>
              <w:t>51,135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49,941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101,143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113,462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Noncontrolling interests in income of subsidiaries with no fixed</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charges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89,746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108,450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219,466</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188,768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168,680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$50,381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48,829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95,234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81,617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106,444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101,401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redemption costs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Total fixed charges and preferred stock dividends (C)</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54,363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53,481</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106,985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121,769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116,599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100,595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1"/>
              </w:rPr>
              <w:t>Ratio of earning to combined fixed charges and preferred stock dividends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 divided by C)</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25.1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BANK NATIONAL ASSOCIATION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178"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800 Nicollet Mall</w:t>
            </w:r>
          </w:p>
        </w:tc>
        <w:tc>
          <w:tcPr>
            <w:tcW w:w="5000" w:type="dxa"/>
            <w:vAlign w:val="bottom"/>
          </w:tcPr>
          <w:p>
            <w:pPr>
              <w:spacing w:after="0"/>
              <w:rPr>
                <w:sz w:val="18"/>
                <w:szCs w:val="18"/>
                <w:color w:val="auto"/>
              </w:rPr>
            </w:pPr>
          </w:p>
        </w:tc>
      </w:tr>
      <w:tr>
        <w:trPr>
          <w:trHeight w:val="231"/>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Minneapolis, Minnesota</w:t>
            </w:r>
          </w:p>
        </w:tc>
        <w:tc>
          <w:tcPr>
            <w:tcW w:w="5000" w:type="dxa"/>
            <w:vAlign w:val="bottom"/>
          </w:tcPr>
          <w:p>
            <w:pPr>
              <w:jc w:val="right"/>
              <w:ind w:right="17"/>
              <w:spacing w:after="0"/>
              <w:rPr>
                <w:sz w:val="20"/>
                <w:szCs w:val="20"/>
                <w:color w:val="auto"/>
              </w:rPr>
            </w:pPr>
            <w:r>
              <w:rPr>
                <w:rFonts w:ascii="Arial" w:cs="Arial" w:eastAsia="Arial" w:hAnsi="Arial"/>
                <w:sz w:val="18"/>
                <w:szCs w:val="18"/>
                <w:b w:val="1"/>
                <w:bCs w:val="1"/>
                <w:color w:val="auto"/>
              </w:rPr>
              <w:t>55402</w:t>
            </w:r>
          </w:p>
        </w:tc>
      </w:tr>
      <w:tr>
        <w:trPr>
          <w:trHeight w:val="174"/>
        </w:trPr>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00" w:type="dxa"/>
            <w:vAlign w:val="bottom"/>
          </w:tcPr>
          <w:p>
            <w:pPr>
              <w:jc w:val="center"/>
              <w:ind w:left="4297"/>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2260" w:type="dxa"/>
            <w:vAlign w:val="bottom"/>
          </w:tcPr>
          <w:p>
            <w:pPr>
              <w:spacing w:after="0"/>
              <w:rPr>
                <w:sz w:val="24"/>
                <w:szCs w:val="24"/>
                <w:color w:val="auto"/>
              </w:rPr>
            </w:pPr>
          </w:p>
        </w:tc>
        <w:tc>
          <w:tcPr>
            <w:tcW w:w="5000" w:type="dxa"/>
            <w:vAlign w:val="bottom"/>
          </w:tcPr>
          <w:p>
            <w:pPr>
              <w:jc w:val="center"/>
              <w:ind w:right="1497"/>
              <w:spacing w:after="0"/>
              <w:rPr>
                <w:sz w:val="20"/>
                <w:szCs w:val="20"/>
                <w:color w:val="auto"/>
              </w:rPr>
            </w:pPr>
            <w:r>
              <w:rPr>
                <w:rFonts w:ascii="Arial" w:cs="Arial" w:eastAsia="Arial" w:hAnsi="Arial"/>
                <w:sz w:val="18"/>
                <w:szCs w:val="18"/>
                <w:b w:val="1"/>
                <w:bCs w:val="1"/>
                <w:color w:val="auto"/>
                <w:w w:val="88"/>
              </w:rPr>
              <w:t>Lisa Moorehead</w:t>
            </w:r>
          </w:p>
        </w:tc>
      </w:tr>
      <w:tr>
        <w:trPr>
          <w:trHeight w:val="216"/>
        </w:trPr>
        <w:tc>
          <w:tcPr>
            <w:tcW w:w="2260" w:type="dxa"/>
            <w:vAlign w:val="bottom"/>
          </w:tcPr>
          <w:p>
            <w:pPr>
              <w:spacing w:after="0"/>
              <w:rPr>
                <w:sz w:val="18"/>
                <w:szCs w:val="18"/>
                <w:color w:val="auto"/>
              </w:rPr>
            </w:pPr>
          </w:p>
        </w:tc>
        <w:tc>
          <w:tcPr>
            <w:tcW w:w="5000" w:type="dxa"/>
            <w:vAlign w:val="bottom"/>
          </w:tcPr>
          <w:p>
            <w:pPr>
              <w:jc w:val="center"/>
              <w:ind w:right="1497"/>
              <w:spacing w:after="0"/>
              <w:rPr>
                <w:sz w:val="20"/>
                <w:szCs w:val="20"/>
                <w:color w:val="auto"/>
              </w:rPr>
            </w:pPr>
            <w:r>
              <w:rPr>
                <w:rFonts w:ascii="Arial" w:cs="Arial" w:eastAsia="Arial" w:hAnsi="Arial"/>
                <w:sz w:val="18"/>
                <w:szCs w:val="18"/>
                <w:b w:val="1"/>
                <w:bCs w:val="1"/>
                <w:color w:val="auto"/>
                <w:w w:val="87"/>
              </w:rPr>
              <w:t>U.S. Bank National Association</w:t>
            </w:r>
          </w:p>
        </w:tc>
      </w:tr>
      <w:tr>
        <w:trPr>
          <w:trHeight w:val="228"/>
        </w:trPr>
        <w:tc>
          <w:tcPr>
            <w:tcW w:w="2260" w:type="dxa"/>
            <w:vAlign w:val="bottom"/>
          </w:tcPr>
          <w:p>
            <w:pPr>
              <w:spacing w:after="0"/>
              <w:rPr>
                <w:sz w:val="19"/>
                <w:szCs w:val="19"/>
                <w:color w:val="auto"/>
              </w:rPr>
            </w:pPr>
          </w:p>
        </w:tc>
        <w:tc>
          <w:tcPr>
            <w:tcW w:w="5000" w:type="dxa"/>
            <w:vAlign w:val="bottom"/>
          </w:tcPr>
          <w:p>
            <w:pPr>
              <w:jc w:val="center"/>
              <w:ind w:right="1477"/>
              <w:spacing w:after="0"/>
              <w:rPr>
                <w:sz w:val="20"/>
                <w:szCs w:val="20"/>
                <w:color w:val="auto"/>
              </w:rPr>
            </w:pPr>
            <w:r>
              <w:rPr>
                <w:rFonts w:ascii="Arial" w:cs="Arial" w:eastAsia="Arial" w:hAnsi="Arial"/>
                <w:sz w:val="18"/>
                <w:szCs w:val="18"/>
                <w:b w:val="1"/>
                <w:bCs w:val="1"/>
                <w:color w:val="auto"/>
                <w:w w:val="89"/>
              </w:rPr>
              <w:t>214 North Tryon Street, 27</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r>
      <w:tr>
        <w:trPr>
          <w:trHeight w:val="244"/>
        </w:trPr>
        <w:tc>
          <w:tcPr>
            <w:tcW w:w="2260" w:type="dxa"/>
            <w:vAlign w:val="bottom"/>
          </w:tcPr>
          <w:p>
            <w:pPr>
              <w:spacing w:after="0"/>
              <w:rPr>
                <w:sz w:val="21"/>
                <w:szCs w:val="21"/>
                <w:color w:val="auto"/>
              </w:rPr>
            </w:pPr>
          </w:p>
        </w:tc>
        <w:tc>
          <w:tcPr>
            <w:tcW w:w="5000" w:type="dxa"/>
            <w:vAlign w:val="bottom"/>
          </w:tcPr>
          <w:p>
            <w:pPr>
              <w:jc w:val="center"/>
              <w:ind w:right="1497"/>
              <w:spacing w:after="0"/>
              <w:rPr>
                <w:sz w:val="20"/>
                <w:szCs w:val="20"/>
                <w:color w:val="auto"/>
              </w:rPr>
            </w:pPr>
            <w:r>
              <w:rPr>
                <w:rFonts w:ascii="Arial" w:cs="Arial" w:eastAsia="Arial" w:hAnsi="Arial"/>
                <w:sz w:val="18"/>
                <w:szCs w:val="18"/>
                <w:b w:val="1"/>
                <w:bCs w:val="1"/>
                <w:color w:val="auto"/>
                <w:w w:val="90"/>
              </w:rPr>
              <w:t>Charlotte, NC 28202</w:t>
            </w:r>
          </w:p>
        </w:tc>
      </w:tr>
      <w:tr>
        <w:trPr>
          <w:trHeight w:val="218"/>
        </w:trPr>
        <w:tc>
          <w:tcPr>
            <w:tcW w:w="2260" w:type="dxa"/>
            <w:vAlign w:val="bottom"/>
          </w:tcPr>
          <w:p>
            <w:pPr>
              <w:spacing w:after="0"/>
              <w:rPr>
                <w:sz w:val="18"/>
                <w:szCs w:val="18"/>
                <w:color w:val="auto"/>
              </w:rPr>
            </w:pPr>
          </w:p>
        </w:tc>
        <w:tc>
          <w:tcPr>
            <w:tcW w:w="5000" w:type="dxa"/>
            <w:vAlign w:val="bottom"/>
          </w:tcPr>
          <w:p>
            <w:pPr>
              <w:jc w:val="center"/>
              <w:ind w:right="1497"/>
              <w:spacing w:after="0"/>
              <w:rPr>
                <w:sz w:val="20"/>
                <w:szCs w:val="20"/>
                <w:color w:val="auto"/>
              </w:rPr>
            </w:pPr>
            <w:r>
              <w:rPr>
                <w:rFonts w:ascii="Arial" w:cs="Arial" w:eastAsia="Arial" w:hAnsi="Arial"/>
                <w:sz w:val="18"/>
                <w:szCs w:val="18"/>
                <w:b w:val="1"/>
                <w:bCs w:val="1"/>
                <w:color w:val="auto"/>
                <w:w w:val="89"/>
              </w:rPr>
              <w:t>(704) 335-4597</w:t>
            </w:r>
          </w:p>
        </w:tc>
      </w:tr>
      <w:tr>
        <w:trPr>
          <w:trHeight w:val="174"/>
        </w:trPr>
        <w:tc>
          <w:tcPr>
            <w:tcW w:w="2260" w:type="dxa"/>
            <w:vAlign w:val="bottom"/>
          </w:tcPr>
          <w:p>
            <w:pPr>
              <w:spacing w:after="0"/>
              <w:rPr>
                <w:sz w:val="15"/>
                <w:szCs w:val="15"/>
                <w:color w:val="auto"/>
              </w:rPr>
            </w:pPr>
          </w:p>
        </w:tc>
        <w:tc>
          <w:tcPr>
            <w:tcW w:w="5000" w:type="dxa"/>
            <w:vAlign w:val="bottom"/>
          </w:tcPr>
          <w:p>
            <w:pPr>
              <w:jc w:val="center"/>
              <w:ind w:right="1477"/>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80" w:type="dxa"/>
            <w:vAlign w:val="bottom"/>
          </w:tcPr>
          <w:p>
            <w:pPr>
              <w:jc w:val="center"/>
              <w:ind w:left="960"/>
              <w:spacing w:after="0"/>
              <w:rPr>
                <w:sz w:val="20"/>
                <w:szCs w:val="20"/>
                <w:color w:val="auto"/>
              </w:rPr>
            </w:pPr>
            <w:r>
              <w:rPr>
                <w:rFonts w:ascii="Arial" w:cs="Arial" w:eastAsia="Arial" w:hAnsi="Arial"/>
                <w:sz w:val="18"/>
                <w:szCs w:val="18"/>
                <w:b w:val="1"/>
                <w:bCs w:val="1"/>
                <w:color w:val="auto"/>
                <w:w w:val="96"/>
              </w:rPr>
              <w:t>Maryland</w:t>
            </w:r>
          </w:p>
        </w:tc>
        <w:tc>
          <w:tcPr>
            <w:tcW w:w="6740" w:type="dxa"/>
            <w:vAlign w:val="bottom"/>
          </w:tcPr>
          <w:p>
            <w:pPr>
              <w:jc w:val="right"/>
              <w:ind w:right="224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4680" w:type="dxa"/>
            <w:vAlign w:val="bottom"/>
          </w:tcPr>
          <w:p>
            <w:pPr>
              <w:jc w:val="center"/>
              <w:ind w:left="96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6740" w:type="dxa"/>
            <w:vAlign w:val="bottom"/>
          </w:tcPr>
          <w:p>
            <w:pPr>
              <w:jc w:val="center"/>
              <w:ind w:left="12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680" w:type="dxa"/>
            <w:vAlign w:val="bottom"/>
          </w:tcPr>
          <w:p>
            <w:pPr>
              <w:jc w:val="center"/>
              <w:ind w:left="980"/>
              <w:spacing w:after="0"/>
              <w:rPr>
                <w:sz w:val="20"/>
                <w:szCs w:val="20"/>
                <w:color w:val="auto"/>
              </w:rPr>
            </w:pPr>
            <w:r>
              <w:rPr>
                <w:rFonts w:ascii="Arial" w:cs="Arial" w:eastAsia="Arial" w:hAnsi="Arial"/>
                <w:sz w:val="18"/>
                <w:szCs w:val="18"/>
                <w:b w:val="1"/>
                <w:bCs w:val="1"/>
                <w:color w:val="auto"/>
                <w:w w:val="87"/>
              </w:rPr>
              <w:t>1626 East Jefferson Street, Rockville,</w:t>
            </w:r>
          </w:p>
        </w:tc>
        <w:tc>
          <w:tcPr>
            <w:tcW w:w="6740" w:type="dxa"/>
            <w:vAlign w:val="bottom"/>
          </w:tcPr>
          <w:p>
            <w:pPr>
              <w:spacing w:after="0"/>
              <w:rPr>
                <w:sz w:val="24"/>
                <w:szCs w:val="24"/>
                <w:color w:val="auto"/>
              </w:rPr>
            </w:pPr>
          </w:p>
        </w:tc>
      </w:tr>
      <w:tr>
        <w:trPr>
          <w:trHeight w:val="231"/>
        </w:trPr>
        <w:tc>
          <w:tcPr>
            <w:tcW w:w="4680" w:type="dxa"/>
            <w:vAlign w:val="bottom"/>
          </w:tcPr>
          <w:p>
            <w:pPr>
              <w:jc w:val="center"/>
              <w:ind w:left="960"/>
              <w:spacing w:after="0"/>
              <w:rPr>
                <w:sz w:val="20"/>
                <w:szCs w:val="20"/>
                <w:color w:val="auto"/>
              </w:rPr>
            </w:pPr>
            <w:r>
              <w:rPr>
                <w:rFonts w:ascii="Arial" w:cs="Arial" w:eastAsia="Arial" w:hAnsi="Arial"/>
                <w:sz w:val="18"/>
                <w:szCs w:val="18"/>
                <w:b w:val="1"/>
                <w:bCs w:val="1"/>
                <w:color w:val="auto"/>
                <w:w w:val="96"/>
              </w:rPr>
              <w:t>Maryland</w:t>
            </w:r>
          </w:p>
        </w:tc>
        <w:tc>
          <w:tcPr>
            <w:tcW w:w="6740" w:type="dxa"/>
            <w:vAlign w:val="bottom"/>
          </w:tcPr>
          <w:p>
            <w:pPr>
              <w:jc w:val="right"/>
              <w:ind w:right="2182"/>
              <w:spacing w:after="0"/>
              <w:rPr>
                <w:sz w:val="20"/>
                <w:szCs w:val="20"/>
                <w:color w:val="auto"/>
              </w:rPr>
            </w:pPr>
            <w:r>
              <w:rPr>
                <w:rFonts w:ascii="Arial" w:cs="Arial" w:eastAsia="Arial" w:hAnsi="Arial"/>
                <w:sz w:val="18"/>
                <w:szCs w:val="18"/>
                <w:b w:val="1"/>
                <w:bCs w:val="1"/>
                <w:color w:val="auto"/>
              </w:rPr>
              <w:t>20852-40410</w:t>
            </w:r>
          </w:p>
        </w:tc>
      </w:tr>
      <w:tr>
        <w:trPr>
          <w:trHeight w:val="174"/>
        </w:trPr>
        <w:tc>
          <w:tcPr>
            <w:tcW w:w="4680" w:type="dxa"/>
            <w:vAlign w:val="bottom"/>
          </w:tcPr>
          <w:p>
            <w:pPr>
              <w:jc w:val="center"/>
              <w:ind w:left="9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6740" w:type="dxa"/>
            <w:vAlign w:val="bottom"/>
          </w:tcPr>
          <w:p>
            <w:pPr>
              <w:jc w:val="center"/>
              <w:ind w:left="120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4680" w:type="dxa"/>
            <w:vAlign w:val="bottom"/>
          </w:tcPr>
          <w:p>
            <w:pPr>
              <w:spacing w:after="0"/>
              <w:rPr>
                <w:sz w:val="24"/>
                <w:szCs w:val="24"/>
                <w:color w:val="auto"/>
              </w:rPr>
            </w:pPr>
          </w:p>
        </w:tc>
        <w:tc>
          <w:tcPr>
            <w:tcW w:w="6740" w:type="dxa"/>
            <w:vAlign w:val="bottom"/>
          </w:tcPr>
          <w:p>
            <w:pPr>
              <w:jc w:val="center"/>
              <w:ind w:right="4602"/>
              <w:spacing w:after="0"/>
              <w:rPr>
                <w:sz w:val="20"/>
                <w:szCs w:val="20"/>
                <w:color w:val="auto"/>
              </w:rPr>
            </w:pPr>
            <w:r>
              <w:rPr>
                <w:rFonts w:ascii="Arial" w:cs="Arial" w:eastAsia="Arial" w:hAnsi="Arial"/>
                <w:sz w:val="18"/>
                <w:szCs w:val="18"/>
                <w:b w:val="1"/>
                <w:bCs w:val="1"/>
                <w:color w:val="auto"/>
                <w:w w:val="86"/>
              </w:rPr>
              <w:t>Debt Securities</w:t>
            </w:r>
          </w:p>
        </w:tc>
      </w:tr>
      <w:tr>
        <w:trPr>
          <w:trHeight w:val="174"/>
        </w:trPr>
        <w:tc>
          <w:tcPr>
            <w:tcW w:w="4680" w:type="dxa"/>
            <w:vAlign w:val="bottom"/>
          </w:tcPr>
          <w:p>
            <w:pPr>
              <w:spacing w:after="0"/>
              <w:rPr>
                <w:sz w:val="15"/>
                <w:szCs w:val="15"/>
                <w:color w:val="auto"/>
              </w:rPr>
            </w:pPr>
          </w:p>
        </w:tc>
        <w:tc>
          <w:tcPr>
            <w:tcW w:w="6740" w:type="dxa"/>
            <w:vAlign w:val="bottom"/>
          </w:tcPr>
          <w:p>
            <w:pPr>
              <w:jc w:val="center"/>
              <w:ind w:right="4582"/>
              <w:spacing w:after="0"/>
              <w:rPr>
                <w:sz w:val="20"/>
                <w:szCs w:val="20"/>
                <w:color w:val="auto"/>
              </w:rPr>
            </w:pPr>
            <w:r>
              <w:rPr>
                <w:rFonts w:ascii="Arial" w:cs="Arial" w:eastAsia="Arial" w:hAnsi="Arial"/>
                <w:sz w:val="14"/>
                <w:szCs w:val="14"/>
                <w:b w:val="1"/>
                <w:bCs w:val="1"/>
                <w:color w:val="auto"/>
                <w:w w:val="87"/>
              </w:rPr>
              <w:t>(Title of the Indenture Securities)</w:t>
            </w:r>
          </w:p>
        </w:tc>
      </w:tr>
      <w:tr>
        <w:trPr>
          <w:trHeight w:val="352"/>
        </w:trPr>
        <w:tc>
          <w:tcPr>
            <w:tcW w:w="46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00" w:right="6260" w:hanging="1046"/>
        <w:spacing w:after="0" w:line="362" w:lineRule="auto"/>
        <w:tabs>
          <w:tab w:leader="none" w:pos="90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140" w:right="40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2008 published pursuant to law or the requirements of its supervising or examining authority, attached as Exhibit 7.</w:t>
      </w:r>
    </w:p>
    <w:p>
      <w:pPr>
        <w:spacing w:after="0" w:line="50" w:lineRule="exact"/>
        <w:rPr>
          <w:rFonts w:ascii="Arial" w:cs="Arial" w:eastAsia="Arial" w:hAnsi="Arial"/>
          <w:sz w:val="18"/>
          <w:szCs w:val="18"/>
          <w:color w:val="auto"/>
        </w:rPr>
      </w:pPr>
    </w:p>
    <w:p>
      <w:pPr>
        <w:ind w:left="460" w:right="120" w:hanging="446"/>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333-145601 filed on August 21, 2007.</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1" w:name="page72"/>
    <w:bookmarkEnd w:id="7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and State of North Carolina on the 13</w:t>
      </w:r>
      <w:r>
        <w:rPr>
          <w:rFonts w:ascii="Arial" w:cs="Arial" w:eastAsia="Arial" w:hAnsi="Arial"/>
          <w:sz w:val="10"/>
          <w:szCs w:val="10"/>
          <w:color w:val="auto"/>
        </w:rPr>
        <w:t>th</w:t>
      </w:r>
      <w:r>
        <w:rPr>
          <w:rFonts w:ascii="Arial" w:cs="Arial" w:eastAsia="Arial" w:hAnsi="Arial"/>
          <w:sz w:val="16"/>
          <w:szCs w:val="16"/>
          <w:color w:val="auto"/>
        </w:rPr>
        <w:t xml:space="preserve"> of August, 2009.</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2009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0"/>
              </w:rPr>
              <w:t>Exhibit 7</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7"/>
              </w:rPr>
              <w:t>U.S. Bank National Association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8"/>
              </w:rPr>
              <w:t>Statement of Financial Condition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7"/>
              </w:rPr>
              <w:t>As of 12/31/2008</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4320" w:type="dxa"/>
            <w:vAlign w:val="bottom"/>
          </w:tcPr>
          <w:p>
            <w:pPr>
              <w:spacing w:after="0"/>
              <w:rPr>
                <w:sz w:val="24"/>
                <w:szCs w:val="24"/>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6"/>
              </w:rPr>
              <w:t>($000’s)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12/31/2008</w:t>
            </w:r>
          </w:p>
        </w:tc>
        <w:tc>
          <w:tcPr>
            <w:tcW w:w="20" w:type="dxa"/>
            <w:vAlign w:val="bottom"/>
          </w:tcPr>
          <w:p>
            <w:pPr>
              <w:spacing w:after="0"/>
              <w:rPr>
                <w:sz w:val="24"/>
                <w:szCs w:val="2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8,077,564</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37,455,111</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3,290,350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180,437,040</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4,522,546</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12,495,040</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15,497,940</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261,775,591</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171,980,048</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11,861,941</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1,919,265</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39,187,106</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7,329,967</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6,647,510</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238,925,837</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1,664,422</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12,597,620</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8,569,512</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22,849,754</w:t>
            </w:r>
          </w:p>
        </w:tc>
        <w:tc>
          <w:tcPr>
            <w:tcW w:w="20" w:type="dxa"/>
            <w:vAlign w:val="bottom"/>
          </w:tcPr>
          <w:p>
            <w:pPr>
              <w:spacing w:after="0"/>
              <w:rPr>
                <w:sz w:val="18"/>
                <w:szCs w:val="18"/>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261,775,591</w:t>
            </w:r>
          </w:p>
        </w:tc>
        <w:tc>
          <w:tcPr>
            <w:tcW w:w="20" w:type="dxa"/>
            <w:vAlign w:val="bottom"/>
          </w:tcPr>
          <w:p>
            <w:pPr>
              <w:spacing w:after="0"/>
              <w:rPr>
                <w:sz w:val="19"/>
                <w:szCs w:val="19"/>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Lisa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lvl w:ilvl="1">
      <w:lvlJc w:val="left"/>
      <w:lvlText w:val="(%2)"/>
      <w:numFmt w:val="lowerLetter"/>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decimal"/>
      <w:start w:val="163"/>
    </w:lvl>
    <w:lvl w:ilvl="1">
      <w:lvlJc w:val="left"/>
      <w:lvlText w:val="(%2)"/>
      <w:numFmt w:val="upperLetter"/>
      <w:start w:val="1"/>
    </w:lvl>
  </w:abstractNum>
  <w:abstractNum w:abstractNumId="6">
    <w:nsid w:val="54E49EB4"/>
    <w:multiLevelType w:val="hybridMultilevel"/>
    <w:lvl w:ilvl="0">
      <w:lvlJc w:val="left"/>
      <w:lvlText w:val="(%1)"/>
      <w:numFmt w:val="lowerLetter"/>
      <w:start w:val="4"/>
    </w:lvl>
  </w:abstractNum>
  <w:abstractNum w:abstractNumId="7">
    <w:nsid w:val="71F32454"/>
    <w:multiLevelType w:val="hybridMultilevel"/>
    <w:lvl w:ilvl="0">
      <w:lvlJc w:val="left"/>
      <w:lvlText w:val="(%1)"/>
      <w:numFmt w:val="lowerLetter"/>
      <w:start w:val="5"/>
    </w:lvl>
  </w:abstractNum>
  <w:abstractNum w:abstractNumId="8">
    <w:nsid w:val="2CA88611"/>
    <w:multiLevelType w:val="hybridMultilevel"/>
    <w:lvl w:ilvl="0">
      <w:lvlJc w:val="left"/>
      <w:lvlText w:val="(%1)"/>
      <w:numFmt w:val="lowerLetter"/>
      <w:start w:val="8"/>
    </w:lvl>
  </w:abstractNum>
  <w:abstractNum w:abstractNumId="9">
    <w:nsid w:val="836C40E"/>
    <w:multiLevelType w:val="hybridMultilevel"/>
    <w:lvl w:ilvl="0">
      <w:lvlJc w:val="left"/>
      <w:lvlText w:val="(%1)"/>
      <w:numFmt w:val="lowerLetter"/>
      <w:start w:val="10"/>
    </w:lvl>
  </w:abstractNum>
  <w:abstractNum w:abstractNumId="10">
    <w:nsid w:val="2901D82"/>
    <w:multiLevelType w:val="hybridMultilevel"/>
    <w:lvl w:ilvl="0">
      <w:lvlJc w:val="left"/>
      <w:lvlText w:val="(%1)"/>
      <w:numFmt w:val="lowerLetter"/>
      <w:start w:val="13"/>
    </w:lvl>
  </w:abstractNum>
  <w:abstractNum w:abstractNumId="11">
    <w:nsid w:val="3A95F874"/>
    <w:multiLevelType w:val="hybridMultilevel"/>
    <w:lvl w:ilvl="0">
      <w:lvlJc w:val="left"/>
      <w:lvlText w:val="%1"/>
      <w:numFmt w:val="lowerLetter"/>
      <w:start w:val="1"/>
    </w:lvl>
    <w:lvl w:ilvl="1">
      <w:lvlJc w:val="left"/>
      <w:lvlText w:val="(%2)"/>
      <w:numFmt w:val="lowerLetter"/>
      <w:start w:val="18"/>
    </w:lvl>
  </w:abstractNum>
  <w:abstractNum w:abstractNumId="12">
    <w:nsid w:val="8138641"/>
    <w:multiLevelType w:val="hybridMultilevel"/>
    <w:lvl w:ilvl="0">
      <w:lvlJc w:val="left"/>
      <w:lvlText w:val="(%1)"/>
      <w:numFmt w:val="lowerLetter"/>
      <w:start w:val="35"/>
    </w:lvl>
    <w:lvl w:ilvl="1">
      <w:lvlJc w:val="left"/>
      <w:lvlText w:val="(%2)"/>
      <w:numFmt w:val="lowerLetter"/>
      <w:start w:val="19"/>
    </w:lvl>
  </w:abstractNum>
  <w:abstractNum w:abstractNumId="13">
    <w:nsid w:val="1E7FF521"/>
    <w:multiLevelType w:val="hybridMultilevel"/>
    <w:lvl w:ilvl="0">
      <w:lvlJc w:val="left"/>
      <w:lvlText w:val="%1"/>
      <w:numFmt w:val="lowerRoman"/>
      <w:start w:val="1"/>
    </w:lvl>
    <w:lvl w:ilvl="1">
      <w:lvlJc w:val="left"/>
      <w:lvlText w:val="(%2)"/>
      <w:numFmt w:val="lowerLetter"/>
      <w:start w:val="21"/>
    </w:lvl>
  </w:abstractNum>
  <w:abstractNum w:abstractNumId="14">
    <w:nsid w:val="7C3DBD3D"/>
    <w:multiLevelType w:val="hybridMultilevel"/>
    <w:lvl w:ilvl="0">
      <w:lvlJc w:val="left"/>
      <w:lvlText w:val="(%1)"/>
      <w:numFmt w:val="lowerRoman"/>
      <w:start w:val="4"/>
    </w:lvl>
    <w:lvl w:ilvl="1">
      <w:lvlJc w:val="left"/>
      <w:lvlText w:val="(%2)"/>
      <w:numFmt w:val="lowerLetter"/>
      <w:start w:val="24"/>
    </w:lvl>
  </w:abstractNum>
  <w:abstractNum w:abstractNumId="15">
    <w:nsid w:val="737B8DDC"/>
    <w:multiLevelType w:val="hybridMultilevel"/>
    <w:lvl w:ilvl="0">
      <w:lvlJc w:val="left"/>
      <w:lvlText w:val="%1"/>
      <w:numFmt w:val="decimal"/>
      <w:start w:val="1"/>
    </w:lvl>
    <w:lvl w:ilvl="1">
      <w:lvlJc w:val="left"/>
      <w:lvlText w:val="(%2)"/>
      <w:numFmt w:val="lowerLetter"/>
      <w:start w:val="25"/>
    </w:lvl>
  </w:abstractNum>
  <w:abstractNum w:abstractNumId="16">
    <w:nsid w:val="6CEAF087"/>
    <w:multiLevelType w:val="hybridMultilevel"/>
    <w:lvl w:ilvl="0">
      <w:lvlJc w:val="left"/>
      <w:lvlText w:val="%1."/>
      <w:numFmt w:val="decimal"/>
      <w:start w:val="3"/>
    </w:lvl>
    <w:lvl w:ilvl="1">
      <w:lvlJc w:val="left"/>
      <w:lvlText w:val="(%2)"/>
      <w:numFmt w:val="lowerLetter"/>
      <w:start w:val="1"/>
    </w:lvl>
  </w:abstractNum>
  <w:abstractNum w:abstractNumId="17">
    <w:nsid w:val="22221A70"/>
    <w:multiLevelType w:val="hybridMultilevel"/>
    <w:lvl w:ilvl="0">
      <w:lvlJc w:val="left"/>
      <w:lvlText w:val="(%1)"/>
      <w:numFmt w:val="lowerLetter"/>
      <w:start w:val="2"/>
    </w:lvl>
  </w:abstractNum>
  <w:abstractNum w:abstractNumId="18">
    <w:nsid w:val="4516DDE9"/>
    <w:multiLevelType w:val="hybridMultilevel"/>
    <w:lvl w:ilvl="0">
      <w:lvlJc w:val="left"/>
      <w:lvlText w:val="(%1)"/>
      <w:numFmt w:val="lowerLetter"/>
      <w:start w:val="4"/>
    </w:lvl>
  </w:abstractNum>
  <w:abstractNum w:abstractNumId="19">
    <w:nsid w:val="3006C83E"/>
    <w:multiLevelType w:val="hybridMultilevel"/>
    <w:lvl w:ilvl="0">
      <w:lvlJc w:val="left"/>
      <w:lvlText w:val="(%1)"/>
      <w:numFmt w:val="lowerLetter"/>
      <w:start w:val="7"/>
    </w:lvl>
  </w:abstractNum>
  <w:abstractNum w:abstractNumId="20">
    <w:nsid w:val="614FD4A1"/>
    <w:multiLevelType w:val="hybridMultilevel"/>
    <w:lvl w:ilvl="0">
      <w:lvlJc w:val="left"/>
      <w:lvlText w:val="%1"/>
      <w:numFmt w:val="lowerLetter"/>
      <w:start w:val="1"/>
    </w:lvl>
    <w:lvl w:ilvl="1">
      <w:lvlJc w:val="left"/>
      <w:lvlText w:val="(%2)"/>
      <w:numFmt w:val="lowerLetter"/>
      <w:start w:val="8"/>
    </w:lvl>
  </w:abstractNum>
  <w:abstractNum w:abstractNumId="21">
    <w:nsid w:val="419AC241"/>
    <w:multiLevelType w:val="hybridMultilevel"/>
    <w:lvl w:ilvl="0">
      <w:lvlJc w:val="left"/>
      <w:lvlText w:val="(%1)"/>
      <w:numFmt w:val="lowerLetter"/>
      <w:start w:val="35"/>
    </w:lvl>
    <w:lvl w:ilvl="1">
      <w:lvlJc w:val="left"/>
      <w:lvlText w:val="(%2)"/>
      <w:numFmt w:val="lowerLetter"/>
      <w:start w:val="10"/>
    </w:lvl>
  </w:abstractNum>
  <w:abstractNum w:abstractNumId="22">
    <w:nsid w:val="5577F8E1"/>
    <w:multiLevelType w:val="hybridMultilevel"/>
    <w:lvl w:ilvl="0">
      <w:lvlJc w:val="left"/>
      <w:lvlText w:val="%1."/>
      <w:numFmt w:val="decimal"/>
      <w:start w:val="6"/>
    </w:lvl>
  </w:abstractNum>
  <w:abstractNum w:abstractNumId="23">
    <w:nsid w:val="440BADFC"/>
    <w:multiLevelType w:val="hybridMultilevel"/>
    <w:lvl w:ilvl="0">
      <w:lvlJc w:val="left"/>
      <w:lvlText w:val="%1."/>
      <w:numFmt w:val="decimal"/>
      <w:start w:val="7"/>
    </w:lvl>
    <w:lvl w:ilvl="1">
      <w:lvlJc w:val="left"/>
      <w:lvlText w:val="(%2)"/>
      <w:numFmt w:val="lowerLetter"/>
      <w:start w:val="1"/>
    </w:lvl>
  </w:abstractNum>
  <w:abstractNum w:abstractNumId="24">
    <w:nsid w:val="5072367"/>
    <w:multiLevelType w:val="hybridMultilevel"/>
    <w:lvl w:ilvl="0">
      <w:lvlJc w:val="left"/>
      <w:lvlText w:val="%1"/>
      <w:numFmt w:val="lowerLetter"/>
      <w:start w:val="1"/>
    </w:lvl>
    <w:lvl w:ilvl="1">
      <w:lvlJc w:val="left"/>
      <w:lvlText w:val="(%2)"/>
      <w:numFmt w:val="lowerLetter"/>
      <w:start w:val="2"/>
    </w:lvl>
  </w:abstractNum>
  <w:abstractNum w:abstractNumId="25">
    <w:nsid w:val="3804823E"/>
    <w:multiLevelType w:val="hybridMultilevel"/>
    <w:lvl w:ilvl="0">
      <w:lvlJc w:val="left"/>
      <w:lvlText w:val="(%1)"/>
      <w:numFmt w:val="lowerLetter"/>
      <w:start w:val="25"/>
    </w:lvl>
    <w:lvl w:ilvl="1">
      <w:lvlJc w:val="left"/>
      <w:lvlText w:val="%2"/>
      <w:numFmt w:val="lowerLetter"/>
      <w:start w:val="1"/>
    </w:lvl>
  </w:abstractNum>
  <w:abstractNum w:abstractNumId="26">
    <w:nsid w:val="77465F01"/>
    <w:multiLevelType w:val="hybridMultilevel"/>
    <w:lvl w:ilvl="0">
      <w:lvlJc w:val="left"/>
      <w:lvlText w:val="(%1)"/>
      <w:numFmt w:val="lowerLetter"/>
      <w:start w:val="5"/>
    </w:lvl>
  </w:abstractNum>
  <w:abstractNum w:abstractNumId="27">
    <w:nsid w:val="7724C67E"/>
    <w:multiLevelType w:val="hybridMultilevel"/>
    <w:lvl w:ilvl="0">
      <w:lvlJc w:val="left"/>
      <w:lvlText w:val="%1"/>
      <w:numFmt w:val="decimal"/>
      <w:start w:val="1"/>
    </w:lvl>
    <w:lvl w:ilvl="1">
      <w:lvlJc w:val="left"/>
      <w:lvlText w:val="(%2)"/>
      <w:numFmt w:val="lowerLetter"/>
      <w:start w:val="9"/>
    </w:lvl>
  </w:abstractNum>
  <w:abstractNum w:abstractNumId="28">
    <w:nsid w:val="5C482A97"/>
    <w:multiLevelType w:val="hybridMultilevel"/>
    <w:lvl w:ilvl="0">
      <w:lvlJc w:val="left"/>
      <w:lvlText w:val="%1."/>
      <w:numFmt w:val="decimal"/>
      <w:start w:val="8"/>
    </w:lvl>
    <w:lvl w:ilvl="1">
      <w:lvlJc w:val="left"/>
      <w:lvlText w:val="%2"/>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1"/>
    </w:lvl>
    <w:lvl w:ilvl="1">
      <w:lvlJc w:val="left"/>
      <w:lvlText w:val="(%2)"/>
      <w:numFmt w:val="lowerLetter"/>
      <w:start w:val="4"/>
    </w:lvl>
  </w:abstractNum>
  <w:abstractNum w:abstractNumId="31">
    <w:nsid w:val="51EAD36B"/>
    <w:multiLevelType w:val="hybridMultilevel"/>
    <w:lvl w:ilvl="0">
      <w:lvlJc w:val="left"/>
      <w:lvlText w:val="(%1)"/>
      <w:numFmt w:val="lowerLetter"/>
      <w:start w:val="2"/>
    </w:lvl>
    <w:lvl w:ilvl="1">
      <w:lvlJc w:val="left"/>
      <w:lvlText w:val="%2"/>
      <w:numFmt w:val="lowerLetter"/>
      <w:start w:val="1"/>
    </w:lvl>
  </w:abstractNum>
  <w:abstractNum w:abstractNumId="32">
    <w:nsid w:val="2D517796"/>
    <w:multiLevelType w:val="hybridMultilevel"/>
    <w:lvl w:ilvl="0">
      <w:lvlJc w:val="left"/>
      <w:lvlText w:val="(%1)"/>
      <w:numFmt w:val="lowerLetter"/>
      <w:start w:val="5"/>
    </w:lvl>
  </w:abstractNum>
  <w:abstractNum w:abstractNumId="33">
    <w:nsid w:val="580BD78F"/>
    <w:multiLevelType w:val="hybridMultilevel"/>
    <w:lvl w:ilvl="0">
      <w:lvlJc w:val="left"/>
      <w:lvlText w:val="%1."/>
      <w:numFmt w:val="decimal"/>
      <w:start w:val="9"/>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decimal"/>
      <w:start w:val="12"/>
    </w:lvl>
  </w:abstractNum>
  <w:abstractNum w:abstractNumId="37">
    <w:nsid w:val="6A2342EC"/>
    <w:multiLevelType w:val="hybridMultilevel"/>
    <w:lvl w:ilvl="0">
      <w:lvlJc w:val="left"/>
      <w:lvlText w:val="%1."/>
      <w:numFmt w:val="decimal"/>
      <w:start w:val="13"/>
    </w:lvl>
  </w:abstractNum>
  <w:abstractNum w:abstractNumId="38">
    <w:nsid w:val="2A487CB0"/>
    <w:multiLevelType w:val="hybridMultilevel"/>
    <w:lvl w:ilvl="0">
      <w:lvlJc w:val="left"/>
      <w:lvlText w:val="(%1)"/>
      <w:numFmt w:val="lowerRoman"/>
      <w:start w:val="4"/>
    </w:lvl>
  </w:abstractNum>
  <w:abstractNum w:abstractNumId="39">
    <w:nsid w:val="1D4ED43B"/>
    <w:multiLevelType w:val="hybridMultilevel"/>
    <w:lvl w:ilvl="0">
      <w:lvlJc w:val="left"/>
      <w:lvlText w:val="(%1)"/>
      <w:numFmt w:val="lowerRoman"/>
      <w:start w:val="3"/>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lowerRoman"/>
      <w:start w:val="5"/>
    </w:lvl>
  </w:abstractNum>
  <w:abstractNum w:abstractNumId="42">
    <w:nsid w:val="57E4CCAF"/>
    <w:multiLevelType w:val="hybridMultilevel"/>
    <w:lvl w:ilvl="0">
      <w:lvlJc w:val="left"/>
      <w:lvlText w:val="(%1)"/>
      <w:numFmt w:val="lowerLetter"/>
      <w:start w:val="26"/>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2"/>
    </w:lvl>
  </w:abstractNum>
  <w:abstractNum w:abstractNumId="45">
    <w:nsid w:val="542289EC"/>
    <w:multiLevelType w:val="hybridMultilevel"/>
    <w:lvl w:ilvl="0">
      <w:lvlJc w:val="left"/>
      <w:lvlText w:val="*"/>
      <w:numFmt w:val="bullet"/>
      <w:start w:val="1"/>
    </w:lvl>
    <w:lvl w:ilvl="1">
      <w:lvlJc w:val="left"/>
      <w:lvlText w:val="%2."/>
      <w:numFmt w:val="decimal"/>
      <w:start w:val="1"/>
    </w:lvl>
  </w:abstractNum>
  <w:abstractNum w:abstractNumId="46">
    <w:nsid w:val="6DE91B1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2019-12-09T23:56:26Z</dcterms:created>
  <dcterms:modified xsi:type="dcterms:W3CDTF">2019-12-09T23:56:26Z</dcterms:modified>
</cp:coreProperties>
</file>