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6" w:lineRule="exact"/>
        <w:rPr>
          <w:sz w:val="24"/>
          <w:szCs w:val="24"/>
          <w:color w:val="auto"/>
        </w:rPr>
      </w:pPr>
    </w:p>
    <w:p>
      <w:pPr>
        <w:jc w:val="center"/>
        <w:ind w:right="2719"/>
        <w:spacing w:after="0"/>
        <w:tabs>
          <w:tab w:leader="none" w:pos="180" w:val="left"/>
        </w:tabs>
        <w:rPr>
          <w:sz w:val="20"/>
          <w:szCs w:val="20"/>
          <w:color w:val="auto"/>
        </w:rPr>
      </w:pP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5"/>
          <w:szCs w:val="15"/>
          <w:color w:val="auto"/>
        </w:rPr>
        <w:t>20549</w:t>
      </w:r>
    </w:p>
    <w:p>
      <w:pPr>
        <w:jc w:val="center"/>
        <w:ind w:right="2719"/>
        <w:spacing w:after="0"/>
        <w:rPr>
          <w:sz w:val="20"/>
          <w:szCs w:val="20"/>
          <w:color w:val="auto"/>
        </w:rPr>
      </w:pPr>
      <w:r>
        <w:rPr>
          <w:rFonts w:ascii="Courier New" w:cs="Courier New" w:eastAsia="Courier New" w:hAnsi="Courier New"/>
          <w:sz w:val="16"/>
          <w:szCs w:val="16"/>
          <w:color w:val="auto"/>
        </w:rPr>
        <w:t>Form 10-Q</w:t>
      </w:r>
    </w:p>
    <w:p>
      <w:pPr>
        <w:spacing w:after="0" w:line="15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27"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51" w:lineRule="exact"/>
        <w:rPr>
          <w:sz w:val="24"/>
          <w:szCs w:val="24"/>
          <w:color w:val="auto"/>
        </w:rPr>
      </w:pPr>
    </w:p>
    <w:p>
      <w:pPr>
        <w:ind w:left="1780"/>
        <w:spacing w:after="0"/>
        <w:tabs>
          <w:tab w:leader="none" w:pos="4020" w:val="left"/>
        </w:tabs>
        <w:rPr>
          <w:sz w:val="20"/>
          <w:szCs w:val="20"/>
          <w:color w:val="auto"/>
        </w:rPr>
      </w:pPr>
      <w:r>
        <w:rPr>
          <w:rFonts w:ascii="Courier New" w:cs="Courier New" w:eastAsia="Courier New" w:hAnsi="Courier New"/>
          <w:sz w:val="16"/>
          <w:szCs w:val="16"/>
          <w:color w:val="auto"/>
        </w:rPr>
        <w:t>For the Quarter Ended:</w:t>
      </w:r>
      <w:r>
        <w:rPr>
          <w:sz w:val="20"/>
          <w:szCs w:val="20"/>
          <w:color w:val="auto"/>
        </w:rPr>
        <w:tab/>
      </w:r>
      <w:r>
        <w:rPr>
          <w:rFonts w:ascii="Courier New" w:cs="Courier New" w:eastAsia="Courier New" w:hAnsi="Courier New"/>
          <w:sz w:val="15"/>
          <w:szCs w:val="15"/>
          <w:color w:val="auto"/>
        </w:rPr>
        <w:t>March 31, 1995</w:t>
      </w:r>
    </w:p>
    <w:p>
      <w:pPr>
        <w:spacing w:after="0" w:line="27"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Commission File No. 1-7533</w:t>
      </w:r>
    </w:p>
    <w:p>
      <w:pPr>
        <w:spacing w:after="0" w:line="332" w:lineRule="exact"/>
        <w:rPr>
          <w:sz w:val="24"/>
          <w:szCs w:val="24"/>
          <w:color w:val="auto"/>
        </w:rPr>
      </w:pPr>
    </w:p>
    <w:p>
      <w:pPr>
        <w:ind w:left="2060"/>
        <w:spacing w:after="0"/>
        <w:rPr>
          <w:sz w:val="20"/>
          <w:szCs w:val="20"/>
          <w:color w:val="auto"/>
        </w:rPr>
      </w:pPr>
      <w:r>
        <w:rPr>
          <w:rFonts w:ascii="Courier New" w:cs="Courier New" w:eastAsia="Courier New" w:hAnsi="Courier New"/>
          <w:sz w:val="16"/>
          <w:szCs w:val="16"/>
          <w:color w:val="auto"/>
        </w:rPr>
        <w:t>FEDERAL REALTY INVESTMENT TRUST</w:t>
      </w:r>
    </w:p>
    <w:p>
      <w:pPr>
        <w:spacing w:after="0" w:line="26" w:lineRule="exact"/>
        <w:rPr>
          <w:sz w:val="24"/>
          <w:szCs w:val="24"/>
          <w:color w:val="auto"/>
        </w:rPr>
      </w:pPr>
    </w:p>
    <w:p>
      <w:pPr>
        <w:ind w:left="1980"/>
        <w:spacing w:after="0"/>
        <w:rPr>
          <w:sz w:val="20"/>
          <w:szCs w:val="20"/>
          <w:color w:val="auto"/>
        </w:rPr>
      </w:pPr>
      <w:r>
        <w:rPr>
          <w:rFonts w:ascii="Courier New" w:cs="Courier New" w:eastAsia="Courier New" w:hAnsi="Courier New"/>
          <w:sz w:val="16"/>
          <w:szCs w:val="16"/>
          <w:color w:val="auto"/>
        </w:rPr>
        <w:t>----------------------------------</w:t>
      </w:r>
    </w:p>
    <w:p>
      <w:pPr>
        <w:ind w:left="94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32" w:lineRule="exact"/>
        <w:rPr>
          <w:sz w:val="24"/>
          <w:szCs w:val="24"/>
          <w:color w:val="auto"/>
        </w:rPr>
      </w:pPr>
    </w:p>
    <w:p>
      <w:pPr>
        <w:ind w:right="3479" w:firstLine="563"/>
        <w:spacing w:after="0" w:line="275" w:lineRule="auto"/>
        <w:rPr>
          <w:sz w:val="20"/>
          <w:szCs w:val="20"/>
          <w:color w:val="auto"/>
        </w:rPr>
      </w:pPr>
      <w:r>
        <w:rPr>
          <w:rFonts w:ascii="Courier New" w:cs="Courier New" w:eastAsia="Courier New" w:hAnsi="Courier New"/>
          <w:sz w:val="16"/>
          <w:szCs w:val="16"/>
          <w:color w:val="auto"/>
        </w:rPr>
        <w:t>District of Columbia 52-0782497 ------------------------------------------------------------------- (State or other jurisdiction of (I.R.S. Employer incorporation or organization) Identification No.)</w:t>
      </w:r>
    </w:p>
    <w:p>
      <w:pPr>
        <w:spacing w:after="0" w:line="71" w:lineRule="exact"/>
        <w:rPr>
          <w:sz w:val="24"/>
          <w:szCs w:val="24"/>
          <w:color w:val="auto"/>
        </w:rPr>
      </w:pPr>
    </w:p>
    <w:p>
      <w:pPr>
        <w:ind w:left="940"/>
        <w:spacing w:after="0"/>
        <w:tabs>
          <w:tab w:leader="none" w:pos="5620" w:val="left"/>
        </w:tabs>
        <w:rPr>
          <w:sz w:val="20"/>
          <w:szCs w:val="20"/>
          <w:color w:val="auto"/>
        </w:rPr>
      </w:pPr>
      <w:r>
        <w:rPr>
          <w:rFonts w:ascii="Courier New" w:cs="Courier New" w:eastAsia="Courier New" w:hAnsi="Courier New"/>
          <w:sz w:val="16"/>
          <w:szCs w:val="16"/>
          <w:color w:val="auto"/>
        </w:rPr>
        <w:t>4800 Hampden Lane, Suite 500, Bethesda, Maryland</w:t>
      </w:r>
      <w:r>
        <w:rPr>
          <w:sz w:val="20"/>
          <w:szCs w:val="20"/>
          <w:color w:val="auto"/>
        </w:rPr>
        <w:tab/>
      </w:r>
      <w:r>
        <w:rPr>
          <w:rFonts w:ascii="Courier New" w:cs="Courier New" w:eastAsia="Courier New" w:hAnsi="Courier New"/>
          <w:sz w:val="15"/>
          <w:szCs w:val="15"/>
          <w:color w:val="auto"/>
        </w:rPr>
        <w:t>20814</w:t>
      </w:r>
    </w:p>
    <w:p>
      <w:pPr>
        <w:spacing w:after="0" w:line="26"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w:t>
      </w:r>
    </w:p>
    <w:p>
      <w:pPr>
        <w:ind w:left="840"/>
        <w:spacing w:after="0"/>
        <w:tabs>
          <w:tab w:leader="none" w:pos="562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6"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(301) 652-3360</w:t>
      </w:r>
    </w:p>
    <w:p>
      <w:pPr>
        <w:ind w:left="104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51" w:lineRule="exact"/>
        <w:rPr>
          <w:sz w:val="24"/>
          <w:szCs w:val="24"/>
          <w:color w:val="auto"/>
        </w:rPr>
      </w:pPr>
    </w:p>
    <w:p>
      <w:pPr>
        <w:ind w:right="2819" w:firstLine="844"/>
        <w:spacing w:after="0" w:line="266"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8" w:lineRule="exact"/>
        <w:rPr>
          <w:sz w:val="24"/>
          <w:szCs w:val="24"/>
          <w:color w:val="auto"/>
        </w:rPr>
      </w:pPr>
    </w:p>
    <w:p>
      <w:pPr>
        <w:ind w:left="840"/>
        <w:spacing w:after="0"/>
        <w:tabs>
          <w:tab w:leader="none" w:pos="2620" w:val="left"/>
        </w:tabs>
        <w:rPr>
          <w:sz w:val="20"/>
          <w:szCs w:val="20"/>
          <w:color w:val="auto"/>
        </w:rPr>
      </w:pPr>
      <w:r>
        <w:rPr>
          <w:rFonts w:ascii="Courier New" w:cs="Courier New" w:eastAsia="Courier New" w:hAnsi="Courier New"/>
          <w:sz w:val="16"/>
          <w:szCs w:val="16"/>
          <w:color w:val="auto"/>
        </w:rPr>
        <w:t>Yes __X__.</w:t>
      </w:r>
      <w:r>
        <w:rPr>
          <w:sz w:val="20"/>
          <w:szCs w:val="20"/>
          <w:color w:val="auto"/>
        </w:rPr>
        <w:tab/>
      </w:r>
      <w:r>
        <w:rPr>
          <w:rFonts w:ascii="Courier New" w:cs="Courier New" w:eastAsia="Courier New" w:hAnsi="Courier New"/>
          <w:sz w:val="15"/>
          <w:szCs w:val="15"/>
          <w:color w:val="auto"/>
        </w:rPr>
        <w:t>No_____.</w:t>
      </w:r>
    </w:p>
    <w:p>
      <w:pPr>
        <w:spacing w:after="0" w:line="179" w:lineRule="exact"/>
        <w:rPr>
          <w:sz w:val="24"/>
          <w:szCs w:val="24"/>
          <w:color w:val="auto"/>
        </w:rPr>
      </w:pPr>
    </w:p>
    <w:p>
      <w:pPr>
        <w:ind w:right="2819" w:firstLine="844"/>
        <w:spacing w:after="0" w:line="348"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3800" w:type="dxa"/>
            <w:vAlign w:val="bottom"/>
          </w:tcPr>
          <w:p>
            <w:pPr>
              <w:ind w:left="1320"/>
              <w:spacing w:after="0"/>
              <w:rPr>
                <w:sz w:val="20"/>
                <w:szCs w:val="20"/>
                <w:color w:val="auto"/>
              </w:rPr>
            </w:pPr>
            <w:r>
              <w:rPr>
                <w:rFonts w:ascii="Courier New" w:cs="Courier New" w:eastAsia="Courier New" w:hAnsi="Courier New"/>
                <w:sz w:val="16"/>
                <w:szCs w:val="16"/>
                <w:color w:val="auto"/>
              </w:rPr>
              <w:t>Class</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Outstanding at May</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4, 1995</w:t>
            </w:r>
          </w:p>
        </w:tc>
        <w:tc>
          <w:tcPr>
            <w:tcW w:w="0" w:type="dxa"/>
            <w:vAlign w:val="bottom"/>
          </w:tcPr>
          <w:p>
            <w:pPr>
              <w:spacing w:after="0"/>
              <w:rPr>
                <w:sz w:val="1"/>
                <w:szCs w:val="1"/>
                <w:color w:val="auto"/>
              </w:rPr>
            </w:pPr>
          </w:p>
        </w:tc>
      </w:tr>
      <w:tr>
        <w:trPr>
          <w:trHeight w:val="180"/>
        </w:trPr>
        <w:tc>
          <w:tcPr>
            <w:tcW w:w="3800" w:type="dxa"/>
            <w:vAlign w:val="bottom"/>
            <w:vMerge w:val="restart"/>
          </w:tcPr>
          <w:p>
            <w:pPr>
              <w:spacing w:after="0"/>
              <w:rPr>
                <w:sz w:val="20"/>
                <w:szCs w:val="20"/>
                <w:color w:val="auto"/>
              </w:rPr>
            </w:pPr>
            <w:r>
              <w:rPr>
                <w:rFonts w:ascii="Courier New" w:cs="Courier New" w:eastAsia="Courier New" w:hAnsi="Courier New"/>
                <w:sz w:val="21"/>
                <w:szCs w:val="21"/>
                <w:color w:val="auto"/>
                <w:w w:val="71"/>
                <w:vertAlign w:val="subscript"/>
              </w:rPr>
              <w:t>Common</w:t>
            </w: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SharesofBeneficialInterest</w:t>
            </w:r>
          </w:p>
        </w:tc>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9"/>
        </w:trPr>
        <w:tc>
          <w:tcPr>
            <w:tcW w:w="3800" w:type="dxa"/>
            <w:vAlign w:val="bottom"/>
            <w:vMerge w:val="continue"/>
          </w:tcPr>
          <w:p>
            <w:pPr>
              <w:spacing w:after="0"/>
              <w:rPr>
                <w:sz w:val="24"/>
                <w:szCs w:val="2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31,702,844</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This report, including exhibits, contains 25 pages.</w:t>
      </w:r>
    </w:p>
    <w:p>
      <w:pPr>
        <w:sectPr>
          <w:pgSz w:w="11900" w:h="16838" w:orient="portrait"/>
          <w:cols w:equalWidth="0" w:num="1">
            <w:col w:w="9759"/>
          </w:cols>
          <w:pgMar w:left="700" w:top="570" w:right="1440" w:bottom="1440" w:gutter="0" w:footer="0" w:header="0"/>
        </w:sectPr>
      </w:pPr>
    </w:p>
    <w:bookmarkStart w:id="1" w:name="page2"/>
    <w:bookmarkEnd w:id="1"/>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0" w:type="dxa"/>
            <w:vAlign w:val="bottom"/>
          </w:tcPr>
          <w:p>
            <w:pPr>
              <w:spacing w:after="0"/>
              <w:rPr>
                <w:sz w:val="22"/>
                <w:szCs w:val="22"/>
                <w:color w:val="auto"/>
              </w:rPr>
            </w:pPr>
          </w:p>
        </w:tc>
        <w:tc>
          <w:tcPr>
            <w:tcW w:w="2020" w:type="dxa"/>
            <w:vAlign w:val="bottom"/>
          </w:tcPr>
          <w:p>
            <w:pPr>
              <w:ind w:left="1260"/>
              <w:spacing w:after="0"/>
              <w:rPr>
                <w:sz w:val="20"/>
                <w:szCs w:val="20"/>
                <w:color w:val="auto"/>
              </w:rPr>
            </w:pPr>
            <w:r>
              <w:rPr>
                <w:rFonts w:ascii="Courier New" w:cs="Courier New" w:eastAsia="Courier New" w:hAnsi="Courier New"/>
                <w:sz w:val="16"/>
                <w:szCs w:val="16"/>
                <w:color w:val="auto"/>
              </w:rPr>
              <w:t>FEDERAL</w:t>
            </w:r>
          </w:p>
        </w:tc>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REALTY INVESTMENT TRUST</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S.E.C. FORM 10-Q</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c>
          <w:tcPr>
            <w:tcW w:w="2440" w:type="dxa"/>
            <w:vAlign w:val="bottom"/>
          </w:tcPr>
          <w:p>
            <w:pPr>
              <w:ind w:left="60"/>
              <w:spacing w:after="0"/>
              <w:rPr>
                <w:sz w:val="20"/>
                <w:szCs w:val="20"/>
                <w:color w:val="auto"/>
              </w:rPr>
            </w:pPr>
            <w:r>
              <w:rPr>
                <w:rFonts w:ascii="Courier New" w:cs="Courier New" w:eastAsia="Courier New" w:hAnsi="Courier New"/>
                <w:sz w:val="16"/>
                <w:szCs w:val="16"/>
                <w:color w:val="auto"/>
              </w:rPr>
              <w:t>1995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I N D E</w:t>
            </w:r>
          </w:p>
        </w:tc>
        <w:tc>
          <w:tcPr>
            <w:tcW w:w="244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80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w w:val="97"/>
              </w:rPr>
              <w:t>FINANCIAL INFORMATION</w:t>
            </w:r>
          </w:p>
        </w:tc>
        <w:tc>
          <w:tcPr>
            <w:tcW w:w="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c>
          <w:tcPr>
            <w:tcW w:w="0" w:type="dxa"/>
            <w:vAlign w:val="bottom"/>
          </w:tcPr>
          <w:p>
            <w:pPr>
              <w:spacing w:after="0"/>
              <w:rPr>
                <w:sz w:val="1"/>
                <w:szCs w:val="1"/>
                <w:color w:val="auto"/>
              </w:rPr>
            </w:pPr>
          </w:p>
        </w:tc>
      </w:tr>
      <w:tr>
        <w:trPr>
          <w:trHeight w:val="361"/>
        </w:trPr>
        <w:tc>
          <w:tcPr>
            <w:tcW w:w="800" w:type="dxa"/>
            <w:vAlign w:val="bottom"/>
          </w:tcPr>
          <w:p>
            <w:pPr>
              <w:spacing w:after="0"/>
              <w:rPr>
                <w:sz w:val="24"/>
                <w:szCs w:val="24"/>
                <w:color w:val="auto"/>
              </w:rPr>
            </w:pPr>
          </w:p>
        </w:tc>
        <w:tc>
          <w:tcPr>
            <w:tcW w:w="2020" w:type="dxa"/>
            <w:vAlign w:val="bottom"/>
          </w:tcPr>
          <w:p>
            <w:pPr>
              <w:ind w:left="800"/>
              <w:spacing w:after="0"/>
              <w:rPr>
                <w:sz w:val="20"/>
                <w:szCs w:val="20"/>
                <w:color w:val="auto"/>
              </w:rPr>
            </w:pPr>
            <w:r>
              <w:rPr>
                <w:rFonts w:ascii="Courier New" w:cs="Courier New" w:eastAsia="Courier New" w:hAnsi="Courier New"/>
                <w:sz w:val="16"/>
                <w:szCs w:val="16"/>
                <w:color w:val="auto"/>
              </w:rPr>
              <w:t>Accountants'</w:t>
            </w:r>
          </w:p>
        </w:tc>
        <w:tc>
          <w:tcPr>
            <w:tcW w:w="980" w:type="dxa"/>
            <w:vAlign w:val="bottom"/>
          </w:tcPr>
          <w:p>
            <w:pPr>
              <w:spacing w:after="0"/>
              <w:rPr>
                <w:sz w:val="20"/>
                <w:szCs w:val="20"/>
                <w:color w:val="auto"/>
              </w:rPr>
            </w:pPr>
            <w:r>
              <w:rPr>
                <w:rFonts w:ascii="Courier New" w:cs="Courier New" w:eastAsia="Courier New" w:hAnsi="Courier New"/>
                <w:sz w:val="16"/>
                <w:szCs w:val="16"/>
                <w:color w:val="auto"/>
              </w:rPr>
              <w:t>Report</w:t>
            </w:r>
          </w:p>
        </w:tc>
        <w:tc>
          <w:tcPr>
            <w:tcW w:w="2440" w:type="dxa"/>
            <w:vAlign w:val="bottom"/>
          </w:tcPr>
          <w:p>
            <w:pPr>
              <w:spacing w:after="0"/>
              <w:rPr>
                <w:sz w:val="24"/>
                <w:szCs w:val="24"/>
                <w:color w:val="auto"/>
              </w:rPr>
            </w:pP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277"/>
        </w:trPr>
        <w:tc>
          <w:tcPr>
            <w:tcW w:w="800" w:type="dxa"/>
            <w:vAlign w:val="bottom"/>
          </w:tcPr>
          <w:p>
            <w:pPr>
              <w:spacing w:after="0"/>
              <w:rPr>
                <w:sz w:val="24"/>
                <w:szCs w:val="24"/>
                <w:color w:val="auto"/>
              </w:rPr>
            </w:pPr>
          </w:p>
        </w:tc>
        <w:tc>
          <w:tcPr>
            <w:tcW w:w="2020" w:type="dxa"/>
            <w:vAlign w:val="bottom"/>
          </w:tcPr>
          <w:p>
            <w:pPr>
              <w:ind w:left="800"/>
              <w:spacing w:after="0"/>
              <w:rPr>
                <w:sz w:val="20"/>
                <w:szCs w:val="20"/>
                <w:color w:val="auto"/>
              </w:rPr>
            </w:pPr>
            <w:r>
              <w:rPr>
                <w:rFonts w:ascii="Courier New" w:cs="Courier New" w:eastAsia="Courier New" w:hAnsi="Courier New"/>
                <w:sz w:val="16"/>
                <w:szCs w:val="16"/>
                <w:color w:val="auto"/>
              </w:rPr>
              <w:t>Consolidated</w:t>
            </w:r>
          </w:p>
        </w:tc>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Balance Sheets</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5440" w:type="dxa"/>
            <w:vAlign w:val="bottom"/>
            <w:gridSpan w:val="3"/>
          </w:tcPr>
          <w:p>
            <w:pPr>
              <w:ind w:left="800"/>
              <w:spacing w:after="0"/>
              <w:rPr>
                <w:sz w:val="20"/>
                <w:szCs w:val="20"/>
                <w:color w:val="auto"/>
              </w:rPr>
            </w:pPr>
            <w:r>
              <w:rPr>
                <w:rFonts w:ascii="Courier New" w:cs="Courier New" w:eastAsia="Courier New" w:hAnsi="Courier New"/>
                <w:sz w:val="16"/>
                <w:szCs w:val="16"/>
                <w:color w:val="auto"/>
              </w:rPr>
              <w:t>March 31, 1995 (unaudited) and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2020" w:type="dxa"/>
            <w:vAlign w:val="bottom"/>
          </w:tcPr>
          <w:p>
            <w:pPr>
              <w:ind w:left="800"/>
              <w:spacing w:after="0"/>
              <w:rPr>
                <w:sz w:val="20"/>
                <w:szCs w:val="20"/>
                <w:color w:val="auto"/>
              </w:rPr>
            </w:pPr>
            <w:r>
              <w:rPr>
                <w:rFonts w:ascii="Courier New" w:cs="Courier New" w:eastAsia="Courier New" w:hAnsi="Courier New"/>
                <w:sz w:val="16"/>
                <w:szCs w:val="16"/>
                <w:color w:val="auto"/>
              </w:rPr>
              <w:t>December 31,</w:t>
            </w:r>
          </w:p>
        </w:tc>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1994 (audited)</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00" w:type="dxa"/>
            <w:vAlign w:val="bottom"/>
          </w:tcPr>
          <w:p>
            <w:pPr>
              <w:spacing w:after="0"/>
              <w:rPr>
                <w:sz w:val="24"/>
                <w:szCs w:val="24"/>
                <w:color w:val="auto"/>
              </w:rPr>
            </w:pPr>
          </w:p>
        </w:tc>
        <w:tc>
          <w:tcPr>
            <w:tcW w:w="2020" w:type="dxa"/>
            <w:vAlign w:val="bottom"/>
          </w:tcPr>
          <w:p>
            <w:pPr>
              <w:ind w:left="800"/>
              <w:spacing w:after="0"/>
              <w:rPr>
                <w:sz w:val="20"/>
                <w:szCs w:val="20"/>
                <w:color w:val="auto"/>
              </w:rPr>
            </w:pPr>
            <w:r>
              <w:rPr>
                <w:rFonts w:ascii="Courier New" w:cs="Courier New" w:eastAsia="Courier New" w:hAnsi="Courier New"/>
                <w:sz w:val="16"/>
                <w:szCs w:val="16"/>
                <w:color w:val="auto"/>
              </w:rPr>
              <w:t>Consolidated</w:t>
            </w:r>
          </w:p>
        </w:tc>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Statements</w:t>
            </w:r>
          </w:p>
        </w:tc>
        <w:tc>
          <w:tcPr>
            <w:tcW w:w="2440" w:type="dxa"/>
            <w:vAlign w:val="bottom"/>
          </w:tcPr>
          <w:p>
            <w:pPr>
              <w:ind w:left="60"/>
              <w:spacing w:after="0"/>
              <w:rPr>
                <w:sz w:val="20"/>
                <w:szCs w:val="20"/>
                <w:color w:val="auto"/>
              </w:rPr>
            </w:pPr>
            <w:r>
              <w:rPr>
                <w:rFonts w:ascii="Courier New" w:cs="Courier New" w:eastAsia="Courier New" w:hAnsi="Courier New"/>
                <w:sz w:val="16"/>
                <w:szCs w:val="16"/>
                <w:color w:val="auto"/>
                <w:w w:val="98"/>
              </w:rPr>
              <w:t>of Operations (unaudited)</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2020" w:type="dxa"/>
            <w:vAlign w:val="bottom"/>
          </w:tcPr>
          <w:p>
            <w:pPr>
              <w:ind w:left="800"/>
              <w:spacing w:after="0"/>
              <w:rPr>
                <w:sz w:val="20"/>
                <w:szCs w:val="20"/>
                <w:color w:val="auto"/>
              </w:rPr>
            </w:pPr>
            <w:r>
              <w:rPr>
                <w:rFonts w:ascii="Courier New" w:cs="Courier New" w:eastAsia="Courier New" w:hAnsi="Courier New"/>
                <w:sz w:val="16"/>
                <w:szCs w:val="16"/>
                <w:color w:val="auto"/>
              </w:rPr>
              <w:t>Three months</w:t>
            </w:r>
          </w:p>
        </w:tc>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ended March 31, 1995 and 1994</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00" w:type="dxa"/>
            <w:vAlign w:val="bottom"/>
          </w:tcPr>
          <w:p>
            <w:pPr>
              <w:spacing w:after="0"/>
              <w:rPr>
                <w:sz w:val="24"/>
                <w:szCs w:val="24"/>
                <w:color w:val="auto"/>
              </w:rPr>
            </w:pPr>
          </w:p>
        </w:tc>
        <w:tc>
          <w:tcPr>
            <w:tcW w:w="2020" w:type="dxa"/>
            <w:vAlign w:val="bottom"/>
          </w:tcPr>
          <w:p>
            <w:pPr>
              <w:ind w:left="800"/>
              <w:spacing w:after="0"/>
              <w:rPr>
                <w:sz w:val="20"/>
                <w:szCs w:val="20"/>
                <w:color w:val="auto"/>
              </w:rPr>
            </w:pPr>
            <w:r>
              <w:rPr>
                <w:rFonts w:ascii="Courier New" w:cs="Courier New" w:eastAsia="Courier New" w:hAnsi="Courier New"/>
                <w:sz w:val="16"/>
                <w:szCs w:val="16"/>
                <w:color w:val="auto"/>
              </w:rPr>
              <w:t>Consolidated</w:t>
            </w:r>
          </w:p>
        </w:tc>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Statements</w:t>
            </w:r>
          </w:p>
        </w:tc>
        <w:tc>
          <w:tcPr>
            <w:tcW w:w="244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(unaudited)</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300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98"/>
              </w:rPr>
              <w:t>of Shareholders' Equity</w:t>
            </w:r>
          </w:p>
        </w:tc>
        <w:tc>
          <w:tcPr>
            <w:tcW w:w="24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2020" w:type="dxa"/>
            <w:vAlign w:val="bottom"/>
          </w:tcPr>
          <w:p>
            <w:pPr>
              <w:ind w:left="800"/>
              <w:spacing w:after="0"/>
              <w:rPr>
                <w:sz w:val="20"/>
                <w:szCs w:val="20"/>
                <w:color w:val="auto"/>
              </w:rPr>
            </w:pPr>
            <w:r>
              <w:rPr>
                <w:rFonts w:ascii="Courier New" w:cs="Courier New" w:eastAsia="Courier New" w:hAnsi="Courier New"/>
                <w:sz w:val="16"/>
                <w:szCs w:val="16"/>
                <w:color w:val="auto"/>
              </w:rPr>
              <w:t>Three months</w:t>
            </w:r>
          </w:p>
        </w:tc>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ended March 31, 1995 and 1994</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00" w:type="dxa"/>
            <w:vAlign w:val="bottom"/>
          </w:tcPr>
          <w:p>
            <w:pPr>
              <w:spacing w:after="0"/>
              <w:rPr>
                <w:sz w:val="24"/>
                <w:szCs w:val="24"/>
                <w:color w:val="auto"/>
              </w:rPr>
            </w:pPr>
          </w:p>
        </w:tc>
        <w:tc>
          <w:tcPr>
            <w:tcW w:w="2020" w:type="dxa"/>
            <w:vAlign w:val="bottom"/>
          </w:tcPr>
          <w:p>
            <w:pPr>
              <w:ind w:left="800"/>
              <w:spacing w:after="0"/>
              <w:rPr>
                <w:sz w:val="20"/>
                <w:szCs w:val="20"/>
                <w:color w:val="auto"/>
              </w:rPr>
            </w:pPr>
            <w:r>
              <w:rPr>
                <w:rFonts w:ascii="Courier New" w:cs="Courier New" w:eastAsia="Courier New" w:hAnsi="Courier New"/>
                <w:sz w:val="16"/>
                <w:szCs w:val="16"/>
                <w:color w:val="auto"/>
              </w:rPr>
              <w:t>Consolidated</w:t>
            </w:r>
          </w:p>
        </w:tc>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Statements</w:t>
            </w:r>
          </w:p>
        </w:tc>
        <w:tc>
          <w:tcPr>
            <w:tcW w:w="2440" w:type="dxa"/>
            <w:vAlign w:val="bottom"/>
          </w:tcPr>
          <w:p>
            <w:pPr>
              <w:ind w:left="60"/>
              <w:spacing w:after="0"/>
              <w:rPr>
                <w:sz w:val="20"/>
                <w:szCs w:val="20"/>
                <w:color w:val="auto"/>
              </w:rPr>
            </w:pPr>
            <w:r>
              <w:rPr>
                <w:rFonts w:ascii="Courier New" w:cs="Courier New" w:eastAsia="Courier New" w:hAnsi="Courier New"/>
                <w:sz w:val="16"/>
                <w:szCs w:val="16"/>
                <w:color w:val="auto"/>
                <w:w w:val="98"/>
              </w:rPr>
              <w:t>of Cash Flows (unaudited)</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w:t>
            </w: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2020" w:type="dxa"/>
            <w:vAlign w:val="bottom"/>
          </w:tcPr>
          <w:p>
            <w:pPr>
              <w:ind w:left="800"/>
              <w:spacing w:after="0"/>
              <w:rPr>
                <w:sz w:val="20"/>
                <w:szCs w:val="20"/>
                <w:color w:val="auto"/>
              </w:rPr>
            </w:pPr>
            <w:r>
              <w:rPr>
                <w:rFonts w:ascii="Courier New" w:cs="Courier New" w:eastAsia="Courier New" w:hAnsi="Courier New"/>
                <w:sz w:val="16"/>
                <w:szCs w:val="16"/>
                <w:color w:val="auto"/>
              </w:rPr>
              <w:t>Three months</w:t>
            </w:r>
          </w:p>
        </w:tc>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ended March 31, 1995 and 1994</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800" w:type="dxa"/>
            <w:vAlign w:val="bottom"/>
          </w:tcPr>
          <w:p>
            <w:pPr>
              <w:spacing w:after="0"/>
              <w:rPr>
                <w:sz w:val="24"/>
                <w:szCs w:val="24"/>
                <w:color w:val="auto"/>
              </w:rPr>
            </w:pPr>
          </w:p>
        </w:tc>
        <w:tc>
          <w:tcPr>
            <w:tcW w:w="5440" w:type="dxa"/>
            <w:vAlign w:val="bottom"/>
            <w:gridSpan w:val="3"/>
          </w:tcPr>
          <w:p>
            <w:pPr>
              <w:ind w:left="800"/>
              <w:spacing w:after="0"/>
              <w:rPr>
                <w:sz w:val="20"/>
                <w:szCs w:val="20"/>
                <w:color w:val="auto"/>
              </w:rPr>
            </w:pPr>
            <w:r>
              <w:rPr>
                <w:rFonts w:ascii="Courier New" w:cs="Courier New" w:eastAsia="Courier New" w:hAnsi="Courier New"/>
                <w:sz w:val="16"/>
                <w:szCs w:val="16"/>
                <w:color w:val="auto"/>
              </w:rPr>
              <w:t>Notes to Financial Statements</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9-12</w:t>
            </w:r>
          </w:p>
        </w:tc>
        <w:tc>
          <w:tcPr>
            <w:tcW w:w="0" w:type="dxa"/>
            <w:vAlign w:val="bottom"/>
          </w:tcPr>
          <w:p>
            <w:pPr>
              <w:spacing w:after="0"/>
              <w:rPr>
                <w:sz w:val="1"/>
                <w:szCs w:val="1"/>
                <w:color w:val="auto"/>
              </w:rPr>
            </w:pPr>
          </w:p>
        </w:tc>
      </w:tr>
      <w:tr>
        <w:trPr>
          <w:trHeight w:val="277"/>
        </w:trPr>
        <w:tc>
          <w:tcPr>
            <w:tcW w:w="800" w:type="dxa"/>
            <w:vAlign w:val="bottom"/>
          </w:tcPr>
          <w:p>
            <w:pPr>
              <w:spacing w:after="0"/>
              <w:rPr>
                <w:sz w:val="24"/>
                <w:szCs w:val="24"/>
                <w:color w:val="auto"/>
              </w:rPr>
            </w:pPr>
          </w:p>
        </w:tc>
        <w:tc>
          <w:tcPr>
            <w:tcW w:w="2020" w:type="dxa"/>
            <w:vAlign w:val="bottom"/>
          </w:tcPr>
          <w:p>
            <w:pPr>
              <w:ind w:left="800"/>
              <w:spacing w:after="0"/>
              <w:rPr>
                <w:sz w:val="20"/>
                <w:szCs w:val="20"/>
                <w:color w:val="auto"/>
              </w:rPr>
            </w:pPr>
            <w:r>
              <w:rPr>
                <w:rFonts w:ascii="Courier New" w:cs="Courier New" w:eastAsia="Courier New" w:hAnsi="Courier New"/>
                <w:sz w:val="16"/>
                <w:szCs w:val="16"/>
                <w:color w:val="auto"/>
              </w:rPr>
              <w:t>Management's</w:t>
            </w:r>
          </w:p>
        </w:tc>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Discussion</w:t>
            </w:r>
          </w:p>
        </w:tc>
        <w:tc>
          <w:tcPr>
            <w:tcW w:w="2440" w:type="dxa"/>
            <w:vAlign w:val="bottom"/>
          </w:tcPr>
          <w:p>
            <w:pPr>
              <w:ind w:left="60"/>
              <w:spacing w:after="0"/>
              <w:rPr>
                <w:sz w:val="20"/>
                <w:szCs w:val="20"/>
                <w:color w:val="auto"/>
              </w:rPr>
            </w:pPr>
            <w:r>
              <w:rPr>
                <w:rFonts w:ascii="Courier New" w:cs="Courier New" w:eastAsia="Courier New" w:hAnsi="Courier New"/>
                <w:sz w:val="16"/>
                <w:szCs w:val="16"/>
                <w:color w:val="auto"/>
              </w:rPr>
              <w:t>and Analysis of</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13-17</w:t>
            </w: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300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98"/>
              </w:rPr>
              <w:t>Financial Condition and</w:t>
            </w:r>
          </w:p>
        </w:tc>
        <w:tc>
          <w:tcPr>
            <w:tcW w:w="2440" w:type="dxa"/>
            <w:vAlign w:val="bottom"/>
          </w:tcPr>
          <w:p>
            <w:pPr>
              <w:ind w:left="60"/>
              <w:spacing w:after="0"/>
              <w:rPr>
                <w:sz w:val="20"/>
                <w:szCs w:val="20"/>
                <w:color w:val="auto"/>
              </w:rPr>
            </w:pPr>
            <w:r>
              <w:rPr>
                <w:rFonts w:ascii="Courier New" w:cs="Courier New" w:eastAsia="Courier New" w:hAnsi="Courier New"/>
                <w:sz w:val="16"/>
                <w:szCs w:val="16"/>
                <w:color w:val="auto"/>
              </w:rPr>
              <w:t>Results of Operations</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80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3000" w:type="dxa"/>
            <w:vAlign w:val="bottom"/>
            <w:gridSpan w:val="2"/>
          </w:tcPr>
          <w:p>
            <w:pPr>
              <w:ind w:left="800"/>
              <w:spacing w:after="0"/>
              <w:rPr>
                <w:sz w:val="20"/>
                <w:szCs w:val="20"/>
                <w:color w:val="auto"/>
              </w:rPr>
            </w:pPr>
            <w:r>
              <w:rPr>
                <w:rFonts w:ascii="Courier New" w:cs="Courier New" w:eastAsia="Courier New" w:hAnsi="Courier New"/>
                <w:sz w:val="16"/>
                <w:szCs w:val="16"/>
                <w:color w:val="auto"/>
              </w:rPr>
              <w:t>OTHER INFORMATION</w:t>
            </w:r>
          </w:p>
        </w:tc>
        <w:tc>
          <w:tcPr>
            <w:tcW w:w="2440" w:type="dxa"/>
            <w:vAlign w:val="bottom"/>
          </w:tcPr>
          <w:p>
            <w:pPr>
              <w:spacing w:after="0"/>
              <w:rPr>
                <w:sz w:val="24"/>
                <w:szCs w:val="24"/>
                <w:color w:val="auto"/>
              </w:rPr>
            </w:pP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759"/>
          </w:cols>
          <w:pgMar w:left="700" w:top="1440" w:right="1440" w:bottom="1440" w:gutter="0" w:footer="0" w:header="0"/>
        </w:sectPr>
      </w:pPr>
    </w:p>
    <w:bookmarkStart w:id="2" w:name="page3"/>
    <w:bookmarkEnd w:id="2"/>
    <w:p>
      <w:pPr>
        <w:spacing w:after="0" w:line="93"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7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S.E.C. FORM 10-Q</w:t>
      </w:r>
    </w:p>
    <w:p>
      <w:pPr>
        <w:spacing w:after="0" w:line="179"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March 31, 1995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79" w:lineRule="exact"/>
        <w:rPr>
          <w:sz w:val="20"/>
          <w:szCs w:val="20"/>
          <w:color w:val="auto"/>
        </w:rPr>
      </w:pPr>
    </w:p>
    <w:p>
      <w:pPr>
        <w:ind w:left="1600" w:right="2819" w:firstLine="844"/>
        <w:spacing w:after="0" w:line="271" w:lineRule="auto"/>
        <w:rPr>
          <w:sz w:val="20"/>
          <w:szCs w:val="20"/>
          <w:color w:val="auto"/>
        </w:rPr>
      </w:pPr>
      <w:r>
        <w:rPr>
          <w:rFonts w:ascii="Courier New" w:cs="Courier New" w:eastAsia="Courier New" w:hAnsi="Courier New"/>
          <w:sz w:val="15"/>
          <w:szCs w:val="15"/>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257" w:lineRule="exact"/>
        <w:rPr>
          <w:sz w:val="20"/>
          <w:szCs w:val="20"/>
          <w:color w:val="auto"/>
        </w:rPr>
      </w:pPr>
    </w:p>
    <w:p>
      <w:pPr>
        <w:ind w:left="1600" w:right="2719" w:firstLine="844"/>
        <w:spacing w:after="0" w:line="251" w:lineRule="auto"/>
        <w:rPr>
          <w:sz w:val="20"/>
          <w:szCs w:val="20"/>
          <w:color w:val="auto"/>
        </w:rPr>
      </w:pPr>
      <w:r>
        <w:rPr>
          <w:rFonts w:ascii="Courier New" w:cs="Courier New" w:eastAsia="Courier New" w:hAnsi="Courier New"/>
          <w:sz w:val="16"/>
          <w:szCs w:val="16"/>
          <w:color w:val="auto"/>
        </w:rPr>
        <w:t>The balance sheet as of December 31, 1994 was audited by Grant Thornton LLP, independent public accountants, who expressed an unqualified opinion on it in their report dated February 10, 1995. All other financial information presented is unaudited but has been reviewed as of March 31, 1995 and for each of the three months ended March 31, 1995 and 1994 by Grant Thornton LLP whose report thereon appears on Page 4. All adjustments and disclosures proposed by them have been reflected in the data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759"/>
          </w:cols>
          <w:pgMar w:left="700" w:top="1440" w:right="1440" w:bottom="1440" w:gutter="0" w:footer="0" w:header="0"/>
        </w:sectPr>
      </w:pPr>
    </w:p>
    <w:bookmarkStart w:id="3" w:name="page4"/>
    <w:bookmarkEnd w:id="3"/>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Accountants' Review Report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Trustees and Shareholders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51"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6"/>
          <w:szCs w:val="16"/>
          <w:color w:val="auto"/>
        </w:rPr>
        <w:t>We have reviewed the accompanying consolidated balance sheet of Federal Realty Investment Trust as of March 31, 1995 and the related consolidated statements of operations, shareholders' equity and cash flows for the three month periods ended March 31, 1995 and 1994. These financial statements are the responsibility of the Trust's management.</w:t>
      </w:r>
    </w:p>
    <w:p>
      <w:pPr>
        <w:spacing w:after="0" w:line="78" w:lineRule="exact"/>
        <w:rPr>
          <w:sz w:val="20"/>
          <w:szCs w:val="20"/>
          <w:color w:val="auto"/>
        </w:rPr>
      </w:pPr>
    </w:p>
    <w:p>
      <w:pPr>
        <w:ind w:right="2999"/>
        <w:spacing w:after="0" w:line="252" w:lineRule="auto"/>
        <w:rPr>
          <w:sz w:val="20"/>
          <w:szCs w:val="20"/>
          <w:color w:val="auto"/>
        </w:rPr>
      </w:pPr>
      <w:r>
        <w:rPr>
          <w:rFonts w:ascii="Courier New" w:cs="Courier New" w:eastAsia="Courier New" w:hAnsi="Courier New"/>
          <w:sz w:val="16"/>
          <w:szCs w:val="16"/>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91" w:lineRule="exact"/>
        <w:rPr>
          <w:sz w:val="20"/>
          <w:szCs w:val="20"/>
          <w:color w:val="auto"/>
        </w:rPr>
      </w:pPr>
    </w:p>
    <w:p>
      <w:pPr>
        <w:jc w:val="both"/>
        <w:ind w:right="2899"/>
        <w:spacing w:after="0" w:line="293" w:lineRule="auto"/>
        <w:rPr>
          <w:sz w:val="20"/>
          <w:szCs w:val="20"/>
          <w:color w:val="auto"/>
        </w:rPr>
      </w:pPr>
      <w:r>
        <w:rPr>
          <w:rFonts w:ascii="Courier New" w:cs="Courier New" w:eastAsia="Courier New" w:hAnsi="Courier New"/>
          <w:sz w:val="16"/>
          <w:szCs w:val="16"/>
          <w:color w:val="auto"/>
        </w:rPr>
        <w:t>Based on our review, we are not aware of any material modifications that should be made to the accompanying financial statements for them to be in conformity with generally accepted accounting principles.</w:t>
      </w:r>
    </w:p>
    <w:p>
      <w:pPr>
        <w:spacing w:after="0" w:line="58" w:lineRule="exact"/>
        <w:rPr>
          <w:sz w:val="20"/>
          <w:szCs w:val="20"/>
          <w:color w:val="auto"/>
        </w:rPr>
      </w:pPr>
    </w:p>
    <w:p>
      <w:pPr>
        <w:ind w:right="2819"/>
        <w:spacing w:after="0" w:line="271" w:lineRule="auto"/>
        <w:rPr>
          <w:sz w:val="20"/>
          <w:szCs w:val="20"/>
          <w:color w:val="auto"/>
        </w:rPr>
      </w:pPr>
      <w:r>
        <w:rPr>
          <w:rFonts w:ascii="Courier New" w:cs="Courier New" w:eastAsia="Courier New" w:hAnsi="Courier New"/>
          <w:sz w:val="15"/>
          <w:szCs w:val="15"/>
          <w:color w:val="auto"/>
        </w:rPr>
        <w:t>We have previously audited, in accordance with generally accepted auditing standards, the consolidated balance sheet as of December 31, 1994 and the related consolidated statements of operations, shareholders' equity and cash flows for the year then ended (not presented herein); and in our report dated February 10, 1995, we expressed an unqualified opinion on those consolidated financial statements. In our opinion, the information set forth in the accompanying condensed consolidated balance sheet as of December 31, 1994 is stated fairly, in all material respects, in relation to the consolidated balance sheet from which it has been derived.</w:t>
      </w:r>
    </w:p>
    <w:p>
      <w:pPr>
        <w:spacing w:after="0" w:line="77"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Grant Thornton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5,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759"/>
          </w:cols>
          <w:pgMar w:left="700" w:top="1440" w:right="1440" w:bottom="1440" w:gutter="0" w:footer="0" w:header="0"/>
        </w:sectPr>
      </w:pPr>
    </w:p>
    <w:bookmarkStart w:id="4" w:name="page5"/>
    <w:bookmarkEnd w:id="4"/>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80" w:type="dxa"/>
            <w:vAlign w:val="bottom"/>
          </w:tcPr>
          <w:p>
            <w:pPr>
              <w:spacing w:after="0"/>
              <w:rPr>
                <w:sz w:val="20"/>
                <w:szCs w:val="20"/>
                <w:color w:val="auto"/>
              </w:rPr>
            </w:pPr>
            <w:r>
              <w:rPr>
                <w:rFonts w:ascii="Courier New" w:cs="Courier New" w:eastAsia="Courier New" w:hAnsi="Courier New"/>
                <w:sz w:val="16"/>
                <w:szCs w:val="16"/>
                <w:color w:val="auto"/>
              </w:rPr>
              <w:t>Federal Realty Investment Trust</w:t>
            </w:r>
          </w:p>
        </w:tc>
        <w:tc>
          <w:tcPr>
            <w:tcW w:w="25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380" w:type="dxa"/>
            <w:vAlign w:val="bottom"/>
          </w:tcPr>
          <w:p>
            <w:pPr>
              <w:spacing w:after="0"/>
              <w:rPr>
                <w:sz w:val="20"/>
                <w:szCs w:val="20"/>
                <w:color w:val="auto"/>
              </w:rPr>
            </w:pPr>
            <w:r>
              <w:rPr>
                <w:rFonts w:ascii="Courier New" w:cs="Courier New" w:eastAsia="Courier New" w:hAnsi="Courier New"/>
                <w:sz w:val="16"/>
                <w:szCs w:val="16"/>
                <w:color w:val="auto"/>
              </w:rPr>
              <w:t>CONSOLIDATED BALANCE SHEETS</w:t>
            </w:r>
          </w:p>
        </w:tc>
        <w:tc>
          <w:tcPr>
            <w:tcW w:w="2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80"/>
              <w:spacing w:after="0"/>
              <w:rPr>
                <w:sz w:val="20"/>
                <w:szCs w:val="20"/>
                <w:color w:val="auto"/>
              </w:rPr>
            </w:pPr>
            <w:r>
              <w:rPr>
                <w:rFonts w:ascii="Courier New" w:cs="Courier New" w:eastAsia="Courier New" w:hAnsi="Courier New"/>
                <w:sz w:val="16"/>
                <w:szCs w:val="16"/>
                <w:color w:val="auto"/>
              </w:rPr>
              <w:t>(see accountants' review report)</w:t>
            </w:r>
          </w:p>
        </w:tc>
        <w:tc>
          <w:tcPr>
            <w:tcW w:w="250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March 31,</w:t>
            </w:r>
          </w:p>
        </w:tc>
        <w:tc>
          <w:tcPr>
            <w:tcW w:w="168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97"/>
        </w:trPr>
        <w:tc>
          <w:tcPr>
            <w:tcW w:w="5380" w:type="dxa"/>
            <w:vAlign w:val="bottom"/>
          </w:tcPr>
          <w:p>
            <w:pPr>
              <w:spacing w:after="0"/>
              <w:rPr>
                <w:sz w:val="8"/>
                <w:szCs w:val="8"/>
                <w:color w:val="auto"/>
              </w:rPr>
            </w:pPr>
          </w:p>
        </w:tc>
        <w:tc>
          <w:tcPr>
            <w:tcW w:w="250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2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1995</w:t>
            </w:r>
          </w:p>
        </w:tc>
        <w:tc>
          <w:tcPr>
            <w:tcW w:w="16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1994</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380" w:type="dxa"/>
            <w:vAlign w:val="bottom"/>
            <w:vMerge w:val="restart"/>
          </w:tcPr>
          <w:p>
            <w:pPr>
              <w:ind w:left="2800"/>
              <w:spacing w:after="0"/>
              <w:rPr>
                <w:sz w:val="20"/>
                <w:szCs w:val="20"/>
                <w:color w:val="auto"/>
              </w:rPr>
            </w:pPr>
            <w:r>
              <w:rPr>
                <w:rFonts w:ascii="Courier New" w:cs="Courier New" w:eastAsia="Courier New" w:hAnsi="Courier New"/>
                <w:sz w:val="16"/>
                <w:szCs w:val="16"/>
                <w:color w:val="auto"/>
              </w:rPr>
              <w:t>ASSETS</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(unaudited)</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380" w:type="dxa"/>
            <w:vAlign w:val="bottom"/>
            <w:vMerge w:val="continue"/>
          </w:tcPr>
          <w:p>
            <w:pPr>
              <w:spacing w:after="0"/>
              <w:rPr>
                <w:sz w:val="22"/>
                <w:szCs w:val="22"/>
                <w:color w:val="auto"/>
              </w:rPr>
            </w:pPr>
          </w:p>
        </w:tc>
        <w:tc>
          <w:tcPr>
            <w:tcW w:w="418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277"/>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25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$863,916</w:t>
            </w:r>
          </w:p>
        </w:tc>
        <w:tc>
          <w:tcPr>
            <w:tcW w:w="1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$852,722</w:t>
            </w: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Real estate, at cost</w:t>
            </w:r>
          </w:p>
        </w:tc>
        <w:tc>
          <w:tcPr>
            <w:tcW w:w="250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(168,006)</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(160,636)</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3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Mortgage notes receivable</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695,910</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692,086</w:t>
            </w:r>
          </w:p>
        </w:tc>
        <w:tc>
          <w:tcPr>
            <w:tcW w:w="0" w:type="dxa"/>
            <w:vAlign w:val="bottom"/>
          </w:tcPr>
          <w:p>
            <w:pPr>
              <w:spacing w:after="0"/>
              <w:rPr>
                <w:sz w:val="1"/>
                <w:szCs w:val="1"/>
                <w:color w:val="auto"/>
              </w:rPr>
            </w:pPr>
          </w:p>
        </w:tc>
      </w:tr>
      <w:tr>
        <w:trPr>
          <w:trHeight w:val="180"/>
        </w:trPr>
        <w:tc>
          <w:tcPr>
            <w:tcW w:w="5380" w:type="dxa"/>
            <w:vAlign w:val="bottom"/>
            <w:vMerge w:val="continue"/>
          </w:tcPr>
          <w:p>
            <w:pPr>
              <w:spacing w:after="0"/>
              <w:rPr>
                <w:sz w:val="15"/>
                <w:szCs w:val="15"/>
                <w:color w:val="auto"/>
              </w:rPr>
            </w:pP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13,179</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13,178</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5380" w:type="dxa"/>
            <w:vAlign w:val="bottom"/>
            <w:vMerge w:val="restart"/>
          </w:tcPr>
          <w:p>
            <w:pPr>
              <w:spacing w:after="0"/>
              <w:rPr>
                <w:sz w:val="20"/>
                <w:szCs w:val="20"/>
                <w:color w:val="auto"/>
              </w:rPr>
            </w:pPr>
            <w:r>
              <w:rPr>
                <w:rFonts w:ascii="Courier New" w:cs="Courier New" w:eastAsia="Courier New" w:hAnsi="Courier New"/>
                <w:sz w:val="16"/>
                <w:szCs w:val="16"/>
                <w:color w:val="auto"/>
              </w:rPr>
              <w:t>Other Assets</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709,089</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705,264</w:t>
            </w:r>
          </w:p>
        </w:tc>
        <w:tc>
          <w:tcPr>
            <w:tcW w:w="0" w:type="dxa"/>
            <w:vAlign w:val="bottom"/>
          </w:tcPr>
          <w:p>
            <w:pPr>
              <w:spacing w:after="0"/>
              <w:rPr>
                <w:sz w:val="1"/>
                <w:szCs w:val="1"/>
                <w:color w:val="auto"/>
              </w:rPr>
            </w:pPr>
          </w:p>
        </w:tc>
      </w:tr>
      <w:tr>
        <w:trPr>
          <w:trHeight w:val="97"/>
        </w:trPr>
        <w:tc>
          <w:tcPr>
            <w:tcW w:w="5380" w:type="dxa"/>
            <w:vAlign w:val="bottom"/>
            <w:vMerge w:val="continue"/>
          </w:tcPr>
          <w:p>
            <w:pPr>
              <w:spacing w:after="0"/>
              <w:rPr>
                <w:sz w:val="8"/>
                <w:szCs w:val="8"/>
                <w:color w:val="auto"/>
              </w:rPr>
            </w:pPr>
          </w:p>
        </w:tc>
        <w:tc>
          <w:tcPr>
            <w:tcW w:w="25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17,959</w:t>
            </w:r>
          </w:p>
        </w:tc>
        <w:tc>
          <w:tcPr>
            <w:tcW w:w="1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3,995</w:t>
            </w: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Cash</w:t>
            </w:r>
          </w:p>
        </w:tc>
        <w:tc>
          <w:tcPr>
            <w:tcW w:w="250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Investments</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3,567</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3,588</w:t>
            </w: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Notes receivable - officers</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2,988</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2,778</w:t>
            </w: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14,293</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16,023</w:t>
            </w: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Prepaid expenses and other assets, principally</w:t>
            </w:r>
          </w:p>
        </w:tc>
        <w:tc>
          <w:tcPr>
            <w:tcW w:w="25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20,151</w:t>
            </w:r>
          </w:p>
        </w:tc>
        <w:tc>
          <w:tcPr>
            <w:tcW w:w="1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19,158</w:t>
            </w:r>
          </w:p>
        </w:tc>
        <w:tc>
          <w:tcPr>
            <w:tcW w:w="0" w:type="dxa"/>
            <w:vAlign w:val="bottom"/>
          </w:tcPr>
          <w:p>
            <w:pPr>
              <w:spacing w:after="0"/>
              <w:rPr>
                <w:sz w:val="1"/>
                <w:szCs w:val="1"/>
                <w:color w:val="auto"/>
              </w:rPr>
            </w:pPr>
          </w:p>
        </w:tc>
      </w:tr>
      <w:tr>
        <w:trPr>
          <w:trHeight w:val="180"/>
        </w:trPr>
        <w:tc>
          <w:tcPr>
            <w:tcW w:w="5380" w:type="dxa"/>
            <w:vAlign w:val="bottom"/>
          </w:tcPr>
          <w:p>
            <w:pPr>
              <w:ind w:left="360"/>
              <w:spacing w:after="0"/>
              <w:rPr>
                <w:sz w:val="20"/>
                <w:szCs w:val="20"/>
                <w:color w:val="auto"/>
              </w:rPr>
            </w:pPr>
            <w:r>
              <w:rPr>
                <w:rFonts w:ascii="Courier New" w:cs="Courier New" w:eastAsia="Courier New" w:hAnsi="Courier New"/>
                <w:sz w:val="16"/>
                <w:szCs w:val="16"/>
                <w:color w:val="auto"/>
              </w:rPr>
              <w:t>property taxes, insurance, and lease commissions</w:t>
            </w:r>
          </w:p>
        </w:tc>
        <w:tc>
          <w:tcPr>
            <w:tcW w:w="250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Debt issue costs (net of accumulated amortization</w:t>
            </w:r>
          </w:p>
        </w:tc>
        <w:tc>
          <w:tcPr>
            <w:tcW w:w="25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3,858</w:t>
            </w:r>
          </w:p>
        </w:tc>
        <w:tc>
          <w:tcPr>
            <w:tcW w:w="1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2,931</w:t>
            </w:r>
          </w:p>
        </w:tc>
        <w:tc>
          <w:tcPr>
            <w:tcW w:w="0" w:type="dxa"/>
            <w:vAlign w:val="bottom"/>
          </w:tcPr>
          <w:p>
            <w:pPr>
              <w:spacing w:after="0"/>
              <w:rPr>
                <w:sz w:val="1"/>
                <w:szCs w:val="1"/>
                <w:color w:val="auto"/>
              </w:rPr>
            </w:pPr>
          </w:p>
        </w:tc>
      </w:tr>
      <w:tr>
        <w:trPr>
          <w:trHeight w:val="180"/>
        </w:trPr>
        <w:tc>
          <w:tcPr>
            <w:tcW w:w="5380" w:type="dxa"/>
            <w:vAlign w:val="bottom"/>
          </w:tcPr>
          <w:p>
            <w:pPr>
              <w:ind w:left="360"/>
              <w:spacing w:after="0"/>
              <w:rPr>
                <w:sz w:val="20"/>
                <w:szCs w:val="20"/>
                <w:color w:val="auto"/>
              </w:rPr>
            </w:pPr>
            <w:r>
              <w:rPr>
                <w:rFonts w:ascii="Courier New" w:cs="Courier New" w:eastAsia="Courier New" w:hAnsi="Courier New"/>
                <w:sz w:val="16"/>
                <w:szCs w:val="16"/>
                <w:color w:val="auto"/>
              </w:rPr>
              <w:t>of $3,374,000 and $3,206,000, respectively)</w:t>
            </w:r>
          </w:p>
        </w:tc>
        <w:tc>
          <w:tcPr>
            <w:tcW w:w="250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$771,905</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$753,737</w:t>
            </w:r>
          </w:p>
        </w:tc>
        <w:tc>
          <w:tcPr>
            <w:tcW w:w="0" w:type="dxa"/>
            <w:vAlign w:val="bottom"/>
          </w:tcPr>
          <w:p>
            <w:pPr>
              <w:spacing w:after="0"/>
              <w:rPr>
                <w:sz w:val="1"/>
                <w:szCs w:val="1"/>
                <w:color w:val="auto"/>
              </w:rPr>
            </w:pPr>
          </w:p>
        </w:tc>
      </w:tr>
      <w:tr>
        <w:trPr>
          <w:trHeight w:val="264"/>
        </w:trPr>
        <w:tc>
          <w:tcPr>
            <w:tcW w:w="5380" w:type="dxa"/>
            <w:vAlign w:val="bottom"/>
            <w:vMerge w:val="restart"/>
          </w:tcPr>
          <w:p>
            <w:pPr>
              <w:ind w:left="1400"/>
              <w:spacing w:after="0"/>
              <w:rPr>
                <w:sz w:val="20"/>
                <w:szCs w:val="20"/>
                <w:color w:val="auto"/>
              </w:rPr>
            </w:pPr>
            <w:r>
              <w:rPr>
                <w:rFonts w:ascii="Courier New" w:cs="Courier New" w:eastAsia="Courier New" w:hAnsi="Courier New"/>
                <w:sz w:val="16"/>
                <w:szCs w:val="16"/>
                <w:color w:val="auto"/>
              </w:rPr>
              <w:t>LIABILITIES AND SHAREHOLDERS' EQUITY</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380" w:type="dxa"/>
            <w:vAlign w:val="bottom"/>
            <w:vMerge w:val="continue"/>
          </w:tcPr>
          <w:p>
            <w:pPr>
              <w:spacing w:after="0"/>
              <w:rPr>
                <w:sz w:val="15"/>
                <w:szCs w:val="15"/>
                <w:color w:val="auto"/>
              </w:rPr>
            </w:pPr>
          </w:p>
        </w:tc>
        <w:tc>
          <w:tcPr>
            <w:tcW w:w="2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38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25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$132,661</w:t>
            </w:r>
          </w:p>
        </w:tc>
        <w:tc>
          <w:tcPr>
            <w:tcW w:w="1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$132,924</w:t>
            </w: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Obligations under capital leases</w:t>
            </w:r>
          </w:p>
        </w:tc>
        <w:tc>
          <w:tcPr>
            <w:tcW w:w="250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Mortgages payable</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80,032</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102,781</w:t>
            </w: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Notes payable</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7,397</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61,883</w:t>
            </w: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Accrued expenses</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12,852</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10,675</w:t>
            </w: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4,394</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6,566</w:t>
            </w: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Dividends payable</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12,508</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12,486</w:t>
            </w: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Security deposits</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2,715</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2,687</w:t>
            </w: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Prepaid rents</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791</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1,017</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20"/>
                <w:szCs w:val="20"/>
                <w:color w:val="auto"/>
              </w:rPr>
            </w:pPr>
            <w:r>
              <w:rPr>
                <w:rFonts w:ascii="Courier New" w:cs="Courier New" w:eastAsia="Courier New" w:hAnsi="Courier New"/>
                <w:sz w:val="16"/>
                <w:szCs w:val="16"/>
                <w:color w:val="auto"/>
              </w:rPr>
              <w:t>8 7/8%  Notes, due 2000</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100,000</w:t>
            </w:r>
          </w:p>
        </w:tc>
        <w:tc>
          <w:tcPr>
            <w:tcW w:w="16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20"/>
                <w:szCs w:val="20"/>
                <w:color w:val="auto"/>
              </w:rPr>
            </w:pPr>
            <w:r>
              <w:rPr>
                <w:rFonts w:ascii="Courier New" w:cs="Courier New" w:eastAsia="Courier New" w:hAnsi="Courier New"/>
                <w:sz w:val="16"/>
                <w:szCs w:val="16"/>
                <w:color w:val="auto"/>
              </w:rPr>
              <w:t>5 1/4% Convertible subordinated debentures, due 2003</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75,000</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75,000</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20"/>
                <w:szCs w:val="20"/>
                <w:color w:val="auto"/>
              </w:rPr>
            </w:pPr>
            <w:r>
              <w:rPr>
                <w:rFonts w:ascii="Courier New" w:cs="Courier New" w:eastAsia="Courier New" w:hAnsi="Courier New"/>
                <w:sz w:val="16"/>
                <w:szCs w:val="16"/>
                <w:color w:val="auto"/>
              </w:rPr>
              <w:t>5 1/4% Convertible subordinated debentures, due 2002</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289</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289</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Investors' interest in consolidated assets</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2,245</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2,274</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50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68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250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1"/>
        </w:trPr>
        <w:tc>
          <w:tcPr>
            <w:tcW w:w="5380" w:type="dxa"/>
            <w:vAlign w:val="bottom"/>
          </w:tcPr>
          <w:p>
            <w:pPr>
              <w:spacing w:after="0"/>
              <w:rPr>
                <w:sz w:val="24"/>
                <w:szCs w:val="24"/>
                <w:color w:val="auto"/>
              </w:rPr>
            </w:pPr>
          </w:p>
        </w:tc>
        <w:tc>
          <w:tcPr>
            <w:tcW w:w="2500" w:type="dxa"/>
            <w:vAlign w:val="bottom"/>
          </w:tcPr>
          <w:p>
            <w:pPr>
              <w:jc w:val="right"/>
              <w:ind w:right="1802"/>
              <w:spacing w:after="0"/>
              <w:rPr>
                <w:sz w:val="20"/>
                <w:szCs w:val="20"/>
                <w:color w:val="auto"/>
              </w:rPr>
            </w:pPr>
            <w:r>
              <w:rPr>
                <w:rFonts w:ascii="Courier New" w:cs="Courier New" w:eastAsia="Courier New" w:hAnsi="Courier New"/>
                <w:sz w:val="16"/>
                <w:szCs w:val="16"/>
                <w:color w:val="auto"/>
              </w:rPr>
              <w:t>5</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900" w:top="1440" w:right="1439" w:bottom="1440" w:gutter="0" w:footer="0" w:header="0"/>
        </w:sectPr>
      </w:pPr>
    </w:p>
    <w:bookmarkStart w:id="5" w:name="page6"/>
    <w:bookmarkEnd w:id="5"/>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tcPr>
          <w:p>
            <w:pPr>
              <w:ind w:left="180"/>
              <w:spacing w:after="0"/>
              <w:rPr>
                <w:sz w:val="20"/>
                <w:szCs w:val="20"/>
                <w:color w:val="auto"/>
              </w:rPr>
            </w:pPr>
            <w:r>
              <w:rPr>
                <w:rFonts w:ascii="Courier New" w:cs="Courier New" w:eastAsia="Courier New" w:hAnsi="Courier New"/>
                <w:sz w:val="16"/>
                <w:szCs w:val="16"/>
                <w:color w:val="auto"/>
              </w:rPr>
              <w:t>Common shares of beneficial interest, no par</w:t>
            </w: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tcPr>
          <w:p>
            <w:pPr>
              <w:ind w:left="360"/>
              <w:spacing w:after="0"/>
              <w:rPr>
                <w:sz w:val="20"/>
                <w:szCs w:val="20"/>
                <w:color w:val="auto"/>
              </w:rPr>
            </w:pPr>
            <w:r>
              <w:rPr>
                <w:rFonts w:ascii="Courier New" w:cs="Courier New" w:eastAsia="Courier New" w:hAnsi="Courier New"/>
                <w:sz w:val="16"/>
                <w:szCs w:val="16"/>
                <w:color w:val="auto"/>
              </w:rPr>
              <w:t>or stated value, unlimited authorization,</w:t>
            </w: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tcPr>
          <w:p>
            <w:pPr>
              <w:ind w:left="360"/>
              <w:spacing w:after="0"/>
              <w:rPr>
                <w:sz w:val="20"/>
                <w:szCs w:val="20"/>
                <w:color w:val="auto"/>
              </w:rPr>
            </w:pPr>
            <w:r>
              <w:rPr>
                <w:rFonts w:ascii="Courier New" w:cs="Courier New" w:eastAsia="Courier New" w:hAnsi="Courier New"/>
                <w:sz w:val="16"/>
                <w:szCs w:val="16"/>
                <w:color w:val="auto"/>
              </w:rPr>
              <w:t>issued 31,727,180 and 31,669,434 shares,</w:t>
            </w:r>
          </w:p>
        </w:tc>
        <w:tc>
          <w:tcPr>
            <w:tcW w:w="184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498,116</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496,958</w:t>
            </w:r>
          </w:p>
        </w:tc>
        <w:tc>
          <w:tcPr>
            <w:tcW w:w="0" w:type="dxa"/>
            <w:vAlign w:val="bottom"/>
          </w:tcPr>
          <w:p>
            <w:pPr>
              <w:spacing w:after="0"/>
              <w:rPr>
                <w:sz w:val="1"/>
                <w:szCs w:val="1"/>
                <w:color w:val="auto"/>
              </w:rPr>
            </w:pPr>
          </w:p>
        </w:tc>
      </w:tr>
      <w:tr>
        <w:trPr>
          <w:trHeight w:val="180"/>
        </w:trPr>
        <w:tc>
          <w:tcPr>
            <w:tcW w:w="6320" w:type="dxa"/>
            <w:vAlign w:val="bottom"/>
          </w:tcPr>
          <w:p>
            <w:pPr>
              <w:ind w:left="360"/>
              <w:spacing w:after="0"/>
              <w:rPr>
                <w:sz w:val="20"/>
                <w:szCs w:val="20"/>
                <w:color w:val="auto"/>
              </w:rPr>
            </w:pPr>
            <w:r>
              <w:rPr>
                <w:rFonts w:ascii="Courier New" w:cs="Courier New" w:eastAsia="Courier New" w:hAnsi="Courier New"/>
                <w:sz w:val="16"/>
                <w:szCs w:val="16"/>
                <w:color w:val="auto"/>
              </w:rPr>
              <w:t>respectively</w:t>
            </w:r>
          </w:p>
        </w:tc>
        <w:tc>
          <w:tcPr>
            <w:tcW w:w="18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tcPr>
          <w:p>
            <w:pPr>
              <w:ind w:left="180"/>
              <w:spacing w:after="0"/>
              <w:rPr>
                <w:sz w:val="20"/>
                <w:szCs w:val="20"/>
                <w:color w:val="auto"/>
              </w:rPr>
            </w:pPr>
            <w:r>
              <w:rPr>
                <w:rFonts w:ascii="Courier New" w:cs="Courier New" w:eastAsia="Courier New" w:hAnsi="Courier New"/>
                <w:sz w:val="16"/>
                <w:szCs w:val="16"/>
                <w:color w:val="auto"/>
              </w:rPr>
              <w:t>Accumulated dividends in excess of Trust net income</w:t>
            </w:r>
          </w:p>
        </w:tc>
        <w:tc>
          <w:tcPr>
            <w:tcW w:w="18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(150,438)</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(144,553)</w:t>
            </w:r>
          </w:p>
        </w:tc>
        <w:tc>
          <w:tcPr>
            <w:tcW w:w="0" w:type="dxa"/>
            <w:vAlign w:val="bottom"/>
          </w:tcPr>
          <w:p>
            <w:pPr>
              <w:spacing w:after="0"/>
              <w:rPr>
                <w:sz w:val="1"/>
                <w:szCs w:val="1"/>
                <w:color w:val="auto"/>
              </w:rPr>
            </w:pPr>
          </w:p>
        </w:tc>
      </w:tr>
      <w:tr>
        <w:trPr>
          <w:trHeight w:val="180"/>
        </w:trPr>
        <w:tc>
          <w:tcPr>
            <w:tcW w:w="6320" w:type="dxa"/>
            <w:vAlign w:val="bottom"/>
          </w:tcPr>
          <w:p>
            <w:pPr>
              <w:ind w:left="180"/>
              <w:spacing w:after="0"/>
              <w:rPr>
                <w:sz w:val="20"/>
                <w:szCs w:val="20"/>
                <w:color w:val="auto"/>
              </w:rPr>
            </w:pPr>
            <w:r>
              <w:rPr>
                <w:rFonts w:ascii="Courier New" w:cs="Courier New" w:eastAsia="Courier New" w:hAnsi="Courier New"/>
                <w:sz w:val="16"/>
                <w:szCs w:val="16"/>
                <w:color w:val="auto"/>
              </w:rPr>
              <w:t>Allowance for unrealized loss on marketable securities</w:t>
            </w:r>
          </w:p>
        </w:tc>
        <w:tc>
          <w:tcPr>
            <w:tcW w:w="18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18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6320" w:type="dxa"/>
            <w:vAlign w:val="bottom"/>
          </w:tcPr>
          <w:p>
            <w:pPr>
              <w:spacing w:after="0"/>
              <w:rPr>
                <w:sz w:val="22"/>
                <w:szCs w:val="22"/>
                <w:color w:val="auto"/>
              </w:rPr>
            </w:pPr>
          </w:p>
        </w:tc>
        <w:tc>
          <w:tcPr>
            <w:tcW w:w="18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347,672</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352,352</w:t>
            </w:r>
          </w:p>
        </w:tc>
        <w:tc>
          <w:tcPr>
            <w:tcW w:w="0" w:type="dxa"/>
            <w:vAlign w:val="bottom"/>
          </w:tcPr>
          <w:p>
            <w:pPr>
              <w:spacing w:after="0"/>
              <w:rPr>
                <w:sz w:val="1"/>
                <w:szCs w:val="1"/>
                <w:color w:val="auto"/>
              </w:rPr>
            </w:pPr>
          </w:p>
        </w:tc>
      </w:tr>
      <w:tr>
        <w:trPr>
          <w:trHeight w:val="277"/>
        </w:trPr>
        <w:tc>
          <w:tcPr>
            <w:tcW w:w="6320" w:type="dxa"/>
            <w:vAlign w:val="bottom"/>
          </w:tcPr>
          <w:p>
            <w:pPr>
              <w:spacing w:after="0"/>
              <w:rPr>
                <w:sz w:val="20"/>
                <w:szCs w:val="20"/>
                <w:color w:val="auto"/>
              </w:rPr>
            </w:pPr>
            <w:r>
              <w:rPr>
                <w:rFonts w:ascii="Courier New" w:cs="Courier New" w:eastAsia="Courier New" w:hAnsi="Courier New"/>
                <w:sz w:val="16"/>
                <w:szCs w:val="16"/>
                <w:color w:val="auto"/>
              </w:rPr>
              <w:t>Less 60,200 common shares in treasury - at cost, deferred</w:t>
            </w:r>
          </w:p>
        </w:tc>
        <w:tc>
          <w:tcPr>
            <w:tcW w:w="184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(6,651)</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(7,197)</w:t>
            </w:r>
          </w:p>
        </w:tc>
        <w:tc>
          <w:tcPr>
            <w:tcW w:w="0" w:type="dxa"/>
            <w:vAlign w:val="bottom"/>
          </w:tcPr>
          <w:p>
            <w:pPr>
              <w:spacing w:after="0"/>
              <w:rPr>
                <w:sz w:val="1"/>
                <w:szCs w:val="1"/>
                <w:color w:val="auto"/>
              </w:rPr>
            </w:pPr>
          </w:p>
        </w:tc>
      </w:tr>
      <w:tr>
        <w:trPr>
          <w:trHeight w:val="180"/>
        </w:trPr>
        <w:tc>
          <w:tcPr>
            <w:tcW w:w="6320" w:type="dxa"/>
            <w:vAlign w:val="bottom"/>
          </w:tcPr>
          <w:p>
            <w:pPr>
              <w:ind w:left="180"/>
              <w:spacing w:after="0"/>
              <w:rPr>
                <w:sz w:val="20"/>
                <w:szCs w:val="20"/>
                <w:color w:val="auto"/>
              </w:rPr>
            </w:pPr>
            <w:r>
              <w:rPr>
                <w:rFonts w:ascii="Courier New" w:cs="Courier New" w:eastAsia="Courier New" w:hAnsi="Courier New"/>
                <w:sz w:val="16"/>
                <w:szCs w:val="16"/>
                <w:color w:val="auto"/>
              </w:rPr>
              <w:t>compensation and subscriptions receivable</w:t>
            </w:r>
          </w:p>
        </w:tc>
        <w:tc>
          <w:tcPr>
            <w:tcW w:w="18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18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18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341,021</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345,155</w:t>
            </w: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18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18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$771,905</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$753,737</w:t>
            </w:r>
          </w:p>
        </w:tc>
        <w:tc>
          <w:tcPr>
            <w:tcW w:w="0" w:type="dxa"/>
            <w:vAlign w:val="bottom"/>
          </w:tcPr>
          <w:p>
            <w:pPr>
              <w:spacing w:after="0"/>
              <w:rPr>
                <w:sz w:val="1"/>
                <w:szCs w:val="1"/>
                <w:color w:val="auto"/>
              </w:rPr>
            </w:pPr>
          </w:p>
        </w:tc>
      </w:tr>
      <w:tr>
        <w:trPr>
          <w:trHeight w:val="264"/>
        </w:trPr>
        <w:tc>
          <w:tcPr>
            <w:tcW w:w="6320" w:type="dxa"/>
            <w:vAlign w:val="bottom"/>
            <w:vMerge w:val="restart"/>
          </w:tcPr>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tc>
        <w:tc>
          <w:tcPr>
            <w:tcW w:w="18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32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560"/>
          </w:cols>
          <w:pgMar w:left="900" w:top="1440" w:right="1439" w:bottom="1440" w:gutter="0" w:footer="0" w:header="0"/>
        </w:sectPr>
      </w:pPr>
    </w:p>
    <w:bookmarkStart w:id="6" w:name="page7"/>
    <w:bookmarkEnd w:id="6"/>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rPr>
          <w:sz w:val="20"/>
          <w:szCs w:val="20"/>
          <w:color w:val="auto"/>
        </w:rPr>
      </w:pPr>
      <w:r>
        <w:rPr>
          <w:rFonts w:ascii="Courier New" w:cs="Courier New" w:eastAsia="Courier New" w:hAnsi="Courier New"/>
          <w:sz w:val="16"/>
          <w:szCs w:val="16"/>
          <w:color w:val="auto"/>
        </w:rPr>
        <w:t>(see accountants' review report)</w:t>
      </w:r>
    </w:p>
    <w:tbl>
      <w:tblPr>
        <w:tblLayout w:type="fixed"/>
        <w:tblInd w:w="0" w:type="dxa"/>
        <w:tblCellMar>
          <w:top w:w="0" w:type="dxa"/>
          <w:left w:w="0" w:type="dxa"/>
          <w:bottom w:w="0" w:type="dxa"/>
          <w:right w:w="0" w:type="dxa"/>
        </w:tblCellMar>
      </w:tblPr>
      <w:tr>
        <w:trPr>
          <w:trHeight w:val="264"/>
        </w:trPr>
        <w:tc>
          <w:tcPr>
            <w:tcW w:w="6100" w:type="dxa"/>
            <w:vAlign w:val="bottom"/>
          </w:tcPr>
          <w:p>
            <w:pPr>
              <w:ind w:left="3380"/>
              <w:spacing w:after="0"/>
              <w:rPr>
                <w:sz w:val="20"/>
                <w:szCs w:val="20"/>
                <w:color w:val="auto"/>
              </w:rPr>
            </w:pPr>
            <w:r>
              <w:rPr>
                <w:rFonts w:ascii="Courier New" w:cs="Courier New" w:eastAsia="Courier New" w:hAnsi="Courier New"/>
                <w:sz w:val="16"/>
                <w:szCs w:val="16"/>
                <w:color w:val="auto"/>
              </w:rPr>
              <w:t>(unaudited)</w:t>
            </w:r>
          </w:p>
        </w:tc>
        <w:tc>
          <w:tcPr>
            <w:tcW w:w="3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100" w:type="dxa"/>
            <w:vAlign w:val="bottom"/>
          </w:tcPr>
          <w:p>
            <w:pPr>
              <w:spacing w:after="0"/>
              <w:rPr>
                <w:sz w:val="21"/>
                <w:szCs w:val="21"/>
                <w:color w:val="auto"/>
              </w:rPr>
            </w:pPr>
          </w:p>
        </w:tc>
        <w:tc>
          <w:tcPr>
            <w:tcW w:w="4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Three months ended March 31,</w:t>
            </w:r>
          </w:p>
        </w:tc>
        <w:tc>
          <w:tcPr>
            <w:tcW w:w="0" w:type="dxa"/>
            <w:vAlign w:val="bottom"/>
          </w:tcPr>
          <w:p>
            <w:pPr>
              <w:spacing w:after="0"/>
              <w:rPr>
                <w:sz w:val="1"/>
                <w:szCs w:val="1"/>
                <w:color w:val="auto"/>
              </w:rPr>
            </w:pPr>
          </w:p>
        </w:tc>
      </w:tr>
      <w:tr>
        <w:trPr>
          <w:trHeight w:val="180"/>
        </w:trPr>
        <w:tc>
          <w:tcPr>
            <w:tcW w:w="6100" w:type="dxa"/>
            <w:vAlign w:val="bottom"/>
          </w:tcPr>
          <w:p>
            <w:pPr>
              <w:spacing w:after="0"/>
              <w:rPr>
                <w:sz w:val="15"/>
                <w:szCs w:val="15"/>
                <w:color w:val="auto"/>
              </w:rPr>
            </w:pPr>
          </w:p>
        </w:tc>
        <w:tc>
          <w:tcPr>
            <w:tcW w:w="31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1995</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1994</w:t>
            </w:r>
          </w:p>
        </w:tc>
        <w:tc>
          <w:tcPr>
            <w:tcW w:w="0" w:type="dxa"/>
            <w:vAlign w:val="bottom"/>
          </w:tcPr>
          <w:p>
            <w:pPr>
              <w:spacing w:after="0"/>
              <w:rPr>
                <w:sz w:val="1"/>
                <w:szCs w:val="1"/>
                <w:color w:val="auto"/>
              </w:rPr>
            </w:pPr>
          </w:p>
        </w:tc>
      </w:tr>
      <w:tr>
        <w:trPr>
          <w:trHeight w:val="264"/>
        </w:trPr>
        <w:tc>
          <w:tcPr>
            <w:tcW w:w="6100" w:type="dxa"/>
            <w:vAlign w:val="bottom"/>
            <w:vMerge w:val="restart"/>
          </w:tcPr>
          <w:p>
            <w:pPr>
              <w:spacing w:after="0"/>
              <w:rPr>
                <w:sz w:val="20"/>
                <w:szCs w:val="20"/>
                <w:color w:val="auto"/>
              </w:rPr>
            </w:pPr>
            <w:r>
              <w:rPr>
                <w:rFonts w:ascii="Courier New" w:cs="Courier New" w:eastAsia="Courier New" w:hAnsi="Courier New"/>
                <w:sz w:val="16"/>
                <w:szCs w:val="16"/>
                <w:color w:val="auto"/>
              </w:rPr>
              <w:t>(In thousands, except per share data)</w:t>
            </w:r>
          </w:p>
        </w:tc>
        <w:tc>
          <w:tcPr>
            <w:tcW w:w="31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100" w:type="dxa"/>
            <w:vAlign w:val="bottom"/>
            <w:vMerge w:val="continue"/>
          </w:tcPr>
          <w:p>
            <w:pPr>
              <w:spacing w:after="0"/>
              <w:rPr>
                <w:sz w:val="15"/>
                <w:szCs w:val="15"/>
                <w:color w:val="auto"/>
              </w:rPr>
            </w:pPr>
          </w:p>
        </w:tc>
        <w:tc>
          <w:tcPr>
            <w:tcW w:w="3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61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3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Rental income</w:t>
            </w: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$34,407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$31,481</w:t>
            </w:r>
          </w:p>
        </w:tc>
        <w:tc>
          <w:tcPr>
            <w:tcW w:w="0" w:type="dxa"/>
            <w:vAlign w:val="bottom"/>
          </w:tcPr>
          <w:p>
            <w:pPr>
              <w:spacing w:after="0"/>
              <w:rPr>
                <w:sz w:val="1"/>
                <w:szCs w:val="1"/>
                <w:color w:val="auto"/>
              </w:rPr>
            </w:pPr>
          </w:p>
        </w:tc>
      </w:tr>
      <w:tr>
        <w:trPr>
          <w:trHeight w:val="180"/>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Interest</w:t>
            </w: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1,006</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869</w:t>
            </w:r>
          </w:p>
        </w:tc>
        <w:tc>
          <w:tcPr>
            <w:tcW w:w="0" w:type="dxa"/>
            <w:vAlign w:val="bottom"/>
          </w:tcPr>
          <w:p>
            <w:pPr>
              <w:spacing w:after="0"/>
              <w:rPr>
                <w:sz w:val="1"/>
                <w:szCs w:val="1"/>
                <w:color w:val="auto"/>
              </w:rPr>
            </w:pPr>
          </w:p>
        </w:tc>
      </w:tr>
      <w:tr>
        <w:trPr>
          <w:trHeight w:val="180"/>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Other income</w:t>
            </w: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1,514</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1,342</w:t>
            </w:r>
          </w:p>
        </w:tc>
        <w:tc>
          <w:tcPr>
            <w:tcW w:w="0" w:type="dxa"/>
            <w:vAlign w:val="bottom"/>
          </w:tcPr>
          <w:p>
            <w:pPr>
              <w:spacing w:after="0"/>
              <w:rPr>
                <w:sz w:val="1"/>
                <w:szCs w:val="1"/>
                <w:color w:val="auto"/>
              </w:rPr>
            </w:pPr>
          </w:p>
        </w:tc>
      </w:tr>
      <w:tr>
        <w:trPr>
          <w:trHeight w:val="180"/>
        </w:trPr>
        <w:tc>
          <w:tcPr>
            <w:tcW w:w="6100" w:type="dxa"/>
            <w:vAlign w:val="bottom"/>
          </w:tcPr>
          <w:p>
            <w:pPr>
              <w:spacing w:after="0"/>
              <w:rPr>
                <w:sz w:val="15"/>
                <w:szCs w:val="15"/>
                <w:color w:val="auto"/>
              </w:rPr>
            </w:pPr>
          </w:p>
        </w:tc>
        <w:tc>
          <w:tcPr>
            <w:tcW w:w="4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64"/>
        </w:trPr>
        <w:tc>
          <w:tcPr>
            <w:tcW w:w="6100" w:type="dxa"/>
            <w:vAlign w:val="bottom"/>
          </w:tcPr>
          <w:p>
            <w:pPr>
              <w:spacing w:after="0"/>
              <w:rPr>
                <w:sz w:val="22"/>
                <w:szCs w:val="22"/>
                <w:color w:val="auto"/>
              </w:rPr>
            </w:pP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36,927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33,692</w:t>
            </w:r>
          </w:p>
        </w:tc>
        <w:tc>
          <w:tcPr>
            <w:tcW w:w="0" w:type="dxa"/>
            <w:vAlign w:val="bottom"/>
          </w:tcPr>
          <w:p>
            <w:pPr>
              <w:spacing w:after="0"/>
              <w:rPr>
                <w:sz w:val="1"/>
                <w:szCs w:val="1"/>
                <w:color w:val="auto"/>
              </w:rPr>
            </w:pPr>
          </w:p>
        </w:tc>
      </w:tr>
      <w:tr>
        <w:trPr>
          <w:trHeight w:val="277"/>
        </w:trPr>
        <w:tc>
          <w:tcPr>
            <w:tcW w:w="610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31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7,955</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10,112</w:t>
            </w:r>
          </w:p>
        </w:tc>
        <w:tc>
          <w:tcPr>
            <w:tcW w:w="0" w:type="dxa"/>
            <w:vAlign w:val="bottom"/>
          </w:tcPr>
          <w:p>
            <w:pPr>
              <w:spacing w:after="0"/>
              <w:rPr>
                <w:sz w:val="1"/>
                <w:szCs w:val="1"/>
                <w:color w:val="auto"/>
              </w:rPr>
            </w:pPr>
          </w:p>
        </w:tc>
      </w:tr>
      <w:tr>
        <w:trPr>
          <w:trHeight w:val="180"/>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Rental</w:t>
            </w:r>
          </w:p>
        </w:tc>
        <w:tc>
          <w:tcPr>
            <w:tcW w:w="31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Real estate taxes</w:t>
            </w: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3,397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2,859</w:t>
            </w:r>
          </w:p>
        </w:tc>
        <w:tc>
          <w:tcPr>
            <w:tcW w:w="0" w:type="dxa"/>
            <w:vAlign w:val="bottom"/>
          </w:tcPr>
          <w:p>
            <w:pPr>
              <w:spacing w:after="0"/>
              <w:rPr>
                <w:sz w:val="1"/>
                <w:szCs w:val="1"/>
                <w:color w:val="auto"/>
              </w:rPr>
            </w:pPr>
          </w:p>
        </w:tc>
      </w:tr>
      <w:tr>
        <w:trPr>
          <w:trHeight w:val="180"/>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Interest</w:t>
            </w: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9,157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8,178</w:t>
            </w:r>
          </w:p>
        </w:tc>
        <w:tc>
          <w:tcPr>
            <w:tcW w:w="0" w:type="dxa"/>
            <w:vAlign w:val="bottom"/>
          </w:tcPr>
          <w:p>
            <w:pPr>
              <w:spacing w:after="0"/>
              <w:rPr>
                <w:sz w:val="1"/>
                <w:szCs w:val="1"/>
                <w:color w:val="auto"/>
              </w:rPr>
            </w:pPr>
          </w:p>
        </w:tc>
      </w:tr>
      <w:tr>
        <w:trPr>
          <w:trHeight w:val="180"/>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Administrative</w:t>
            </w: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1,427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1,381</w:t>
            </w:r>
          </w:p>
        </w:tc>
        <w:tc>
          <w:tcPr>
            <w:tcW w:w="0" w:type="dxa"/>
            <w:vAlign w:val="bottom"/>
          </w:tcPr>
          <w:p>
            <w:pPr>
              <w:spacing w:after="0"/>
              <w:rPr>
                <w:sz w:val="1"/>
                <w:szCs w:val="1"/>
                <w:color w:val="auto"/>
              </w:rPr>
            </w:pPr>
          </w:p>
        </w:tc>
      </w:tr>
      <w:tr>
        <w:trPr>
          <w:trHeight w:val="180"/>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8,369</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6,897</w:t>
            </w:r>
          </w:p>
        </w:tc>
        <w:tc>
          <w:tcPr>
            <w:tcW w:w="0" w:type="dxa"/>
            <w:vAlign w:val="bottom"/>
          </w:tcPr>
          <w:p>
            <w:pPr>
              <w:spacing w:after="0"/>
              <w:rPr>
                <w:sz w:val="1"/>
                <w:szCs w:val="1"/>
                <w:color w:val="auto"/>
              </w:rPr>
            </w:pPr>
          </w:p>
        </w:tc>
      </w:tr>
      <w:tr>
        <w:trPr>
          <w:trHeight w:val="180"/>
        </w:trPr>
        <w:tc>
          <w:tcPr>
            <w:tcW w:w="6100" w:type="dxa"/>
            <w:vAlign w:val="bottom"/>
          </w:tcPr>
          <w:p>
            <w:pPr>
              <w:spacing w:after="0"/>
              <w:rPr>
                <w:sz w:val="15"/>
                <w:szCs w:val="15"/>
                <w:color w:val="auto"/>
              </w:rPr>
            </w:pPr>
          </w:p>
        </w:tc>
        <w:tc>
          <w:tcPr>
            <w:tcW w:w="4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80"/>
        </w:trPr>
        <w:tc>
          <w:tcPr>
            <w:tcW w:w="6100" w:type="dxa"/>
            <w:vAlign w:val="bottom"/>
          </w:tcPr>
          <w:p>
            <w:pPr>
              <w:spacing w:after="0"/>
              <w:rPr>
                <w:sz w:val="15"/>
                <w:szCs w:val="15"/>
                <w:color w:val="auto"/>
              </w:rPr>
            </w:pP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30,305</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29,427</w:t>
            </w:r>
          </w:p>
        </w:tc>
        <w:tc>
          <w:tcPr>
            <w:tcW w:w="0" w:type="dxa"/>
            <w:vAlign w:val="bottom"/>
          </w:tcPr>
          <w:p>
            <w:pPr>
              <w:spacing w:after="0"/>
              <w:rPr>
                <w:sz w:val="1"/>
                <w:szCs w:val="1"/>
                <w:color w:val="auto"/>
              </w:rPr>
            </w:pPr>
          </w:p>
        </w:tc>
      </w:tr>
      <w:tr>
        <w:trPr>
          <w:trHeight w:val="264"/>
        </w:trPr>
        <w:tc>
          <w:tcPr>
            <w:tcW w:w="610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income before investors' share</w:t>
            </w: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6100" w:type="dxa"/>
            <w:vAlign w:val="bottom"/>
            <w:vMerge w:val="continue"/>
          </w:tcPr>
          <w:p>
            <w:pPr>
              <w:spacing w:after="0"/>
              <w:rPr>
                <w:sz w:val="8"/>
                <w:szCs w:val="8"/>
                <w:color w:val="auto"/>
              </w:rPr>
            </w:pPr>
          </w:p>
        </w:tc>
        <w:tc>
          <w:tcPr>
            <w:tcW w:w="31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6,622</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4,265</w:t>
            </w:r>
          </w:p>
        </w:tc>
        <w:tc>
          <w:tcPr>
            <w:tcW w:w="0" w:type="dxa"/>
            <w:vAlign w:val="bottom"/>
          </w:tcPr>
          <w:p>
            <w:pPr>
              <w:spacing w:after="0"/>
              <w:rPr>
                <w:sz w:val="1"/>
                <w:szCs w:val="1"/>
                <w:color w:val="auto"/>
              </w:rPr>
            </w:pPr>
          </w:p>
        </w:tc>
      </w:tr>
      <w:tr>
        <w:trPr>
          <w:trHeight w:val="180"/>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of operations</w:t>
            </w:r>
          </w:p>
        </w:tc>
        <w:tc>
          <w:tcPr>
            <w:tcW w:w="31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Investors' share of operations</w:t>
            </w: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(182)</w:t>
            </w:r>
          </w:p>
        </w:tc>
        <w:tc>
          <w:tcPr>
            <w:tcW w:w="0" w:type="dxa"/>
            <w:vAlign w:val="bottom"/>
          </w:tcPr>
          <w:p>
            <w:pPr>
              <w:spacing w:after="0"/>
              <w:rPr>
                <w:sz w:val="1"/>
                <w:szCs w:val="1"/>
                <w:color w:val="auto"/>
              </w:rPr>
            </w:pPr>
          </w:p>
        </w:tc>
      </w:tr>
      <w:tr>
        <w:trPr>
          <w:trHeight w:val="180"/>
        </w:trPr>
        <w:tc>
          <w:tcPr>
            <w:tcW w:w="610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w:t>
            </w:r>
          </w:p>
        </w:tc>
        <w:tc>
          <w:tcPr>
            <w:tcW w:w="4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80"/>
        </w:trPr>
        <w:tc>
          <w:tcPr>
            <w:tcW w:w="6100" w:type="dxa"/>
            <w:vAlign w:val="bottom"/>
            <w:vMerge w:val="continue"/>
          </w:tcPr>
          <w:p>
            <w:pPr>
              <w:spacing w:after="0"/>
              <w:rPr>
                <w:sz w:val="15"/>
                <w:szCs w:val="15"/>
                <w:color w:val="auto"/>
              </w:rPr>
            </w:pP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$6,623</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$4,083</w:t>
            </w:r>
          </w:p>
        </w:tc>
        <w:tc>
          <w:tcPr>
            <w:tcW w:w="0" w:type="dxa"/>
            <w:vAlign w:val="bottom"/>
          </w:tcPr>
          <w:p>
            <w:pPr>
              <w:spacing w:after="0"/>
              <w:rPr>
                <w:sz w:val="1"/>
                <w:szCs w:val="1"/>
                <w:color w:val="auto"/>
              </w:rPr>
            </w:pPr>
          </w:p>
        </w:tc>
      </w:tr>
      <w:tr>
        <w:trPr>
          <w:trHeight w:val="264"/>
        </w:trPr>
        <w:tc>
          <w:tcPr>
            <w:tcW w:w="6100" w:type="dxa"/>
            <w:vAlign w:val="bottom"/>
          </w:tcPr>
          <w:p>
            <w:pPr>
              <w:spacing w:after="0"/>
              <w:rPr>
                <w:sz w:val="22"/>
                <w:szCs w:val="22"/>
                <w:color w:val="auto"/>
              </w:rPr>
            </w:pP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10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31,658</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28,151</w:t>
            </w:r>
          </w:p>
        </w:tc>
        <w:tc>
          <w:tcPr>
            <w:tcW w:w="0" w:type="dxa"/>
            <w:vAlign w:val="bottom"/>
          </w:tcPr>
          <w:p>
            <w:pPr>
              <w:spacing w:after="0"/>
              <w:rPr>
                <w:sz w:val="1"/>
                <w:szCs w:val="1"/>
                <w:color w:val="auto"/>
              </w:rPr>
            </w:pPr>
          </w:p>
        </w:tc>
      </w:tr>
      <w:tr>
        <w:trPr>
          <w:trHeight w:val="264"/>
        </w:trPr>
        <w:tc>
          <w:tcPr>
            <w:tcW w:w="6100" w:type="dxa"/>
            <w:vAlign w:val="bottom"/>
            <w:vMerge w:val="restart"/>
          </w:tcPr>
          <w:p>
            <w:pPr>
              <w:spacing w:after="0"/>
              <w:rPr>
                <w:sz w:val="20"/>
                <w:szCs w:val="20"/>
                <w:color w:val="auto"/>
              </w:rPr>
            </w:pPr>
            <w:r>
              <w:rPr>
                <w:rFonts w:ascii="Courier New" w:cs="Courier New" w:eastAsia="Courier New" w:hAnsi="Courier New"/>
                <w:sz w:val="16"/>
                <w:szCs w:val="16"/>
                <w:color w:val="auto"/>
              </w:rPr>
              <w:t>Earnings per share</w:t>
            </w: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100" w:type="dxa"/>
            <w:vAlign w:val="bottom"/>
            <w:vMerge w:val="continue"/>
          </w:tcPr>
          <w:p>
            <w:pPr>
              <w:spacing w:after="0"/>
              <w:rPr>
                <w:sz w:val="15"/>
                <w:szCs w:val="15"/>
                <w:color w:val="auto"/>
              </w:rPr>
            </w:pPr>
          </w:p>
        </w:tc>
        <w:tc>
          <w:tcPr>
            <w:tcW w:w="31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$0.21</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$0.15</w:t>
            </w:r>
          </w:p>
        </w:tc>
        <w:tc>
          <w:tcPr>
            <w:tcW w:w="0" w:type="dxa"/>
            <w:vAlign w:val="bottom"/>
          </w:tcPr>
          <w:p>
            <w:pPr>
              <w:spacing w:after="0"/>
              <w:rPr>
                <w:sz w:val="1"/>
                <w:szCs w:val="1"/>
                <w:color w:val="auto"/>
              </w:rPr>
            </w:pPr>
          </w:p>
        </w:tc>
      </w:tr>
      <w:tr>
        <w:trPr>
          <w:trHeight w:val="97"/>
        </w:trPr>
        <w:tc>
          <w:tcPr>
            <w:tcW w:w="6100" w:type="dxa"/>
            <w:vAlign w:val="bottom"/>
          </w:tcPr>
          <w:p>
            <w:pPr>
              <w:spacing w:after="0"/>
              <w:rPr>
                <w:sz w:val="8"/>
                <w:szCs w:val="8"/>
                <w:color w:val="auto"/>
              </w:rPr>
            </w:pPr>
          </w:p>
        </w:tc>
        <w:tc>
          <w:tcPr>
            <w:tcW w:w="310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6100" w:type="dxa"/>
            <w:vAlign w:val="bottom"/>
          </w:tcPr>
          <w:p>
            <w:pPr>
              <w:spacing w:after="0"/>
              <w:rPr>
                <w:sz w:val="22"/>
                <w:szCs w:val="22"/>
                <w:color w:val="auto"/>
              </w:rPr>
            </w:pPr>
          </w:p>
        </w:tc>
        <w:tc>
          <w:tcPr>
            <w:tcW w:w="31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1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520"/>
          </w:cols>
          <w:pgMar w:left="700" w:top="1440" w:right="679" w:bottom="1440" w:gutter="0" w:footer="0" w:header="0"/>
        </w:sectPr>
      </w:pPr>
    </w:p>
    <w:bookmarkStart w:id="7" w:name="page8"/>
    <w:bookmarkEnd w:id="7"/>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SHAREHOLDERS' EQUITY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accountants' review report)</w:t>
      </w:r>
    </w:p>
    <w:p>
      <w:pPr>
        <w:ind w:left="2340"/>
        <w:spacing w:after="0"/>
        <w:rPr>
          <w:sz w:val="20"/>
          <w:szCs w:val="20"/>
          <w:color w:val="auto"/>
        </w:rPr>
      </w:pPr>
      <w:r>
        <w:rPr>
          <w:rFonts w:ascii="Courier New" w:cs="Courier New" w:eastAsia="Courier New" w:hAnsi="Courier New"/>
          <w:sz w:val="16"/>
          <w:szCs w:val="16"/>
          <w:color w:val="auto"/>
        </w:rPr>
        <w:t>(unaudited)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4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Three months ended March 31,</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1995</w:t>
            </w:r>
          </w:p>
        </w:tc>
        <w:tc>
          <w:tcPr>
            <w:tcW w:w="14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1994</w:t>
            </w: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3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1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20" w:type="dxa"/>
            <w:vAlign w:val="bottom"/>
            <w:vMerge w:val="continue"/>
          </w:tcPr>
          <w:p>
            <w:pPr>
              <w:spacing w:after="0"/>
              <w:rPr>
                <w:sz w:val="15"/>
                <w:szCs w:val="15"/>
                <w:color w:val="auto"/>
              </w:rPr>
            </w:pP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300" w:type="dxa"/>
            <w:vAlign w:val="bottom"/>
            <w:gridSpan w:val="2"/>
            <w:vMerge w:val="continue"/>
          </w:tcPr>
          <w:p>
            <w:pPr>
              <w:spacing w:after="0"/>
              <w:rPr>
                <w:sz w:val="22"/>
                <w:szCs w:val="22"/>
                <w:color w:val="auto"/>
              </w:rPr>
            </w:pPr>
          </w:p>
        </w:tc>
        <w:tc>
          <w:tcPr>
            <w:tcW w:w="18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Shares</w:t>
            </w:r>
          </w:p>
        </w:tc>
        <w:tc>
          <w:tcPr>
            <w:tcW w:w="14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Amount</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Shares</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Amount</w:t>
            </w:r>
          </w:p>
        </w:tc>
        <w:tc>
          <w:tcPr>
            <w:tcW w:w="0" w:type="dxa"/>
            <w:vAlign w:val="bottom"/>
          </w:tcPr>
          <w:p>
            <w:pPr>
              <w:spacing w:after="0"/>
              <w:rPr>
                <w:sz w:val="1"/>
                <w:szCs w:val="1"/>
                <w:color w:val="auto"/>
              </w:rPr>
            </w:pPr>
          </w:p>
        </w:tc>
      </w:tr>
      <w:tr>
        <w:trPr>
          <w:trHeight w:val="457"/>
        </w:trPr>
        <w:tc>
          <w:tcPr>
            <w:tcW w:w="3420" w:type="dxa"/>
            <w:vAlign w:val="bottom"/>
          </w:tcPr>
          <w:p>
            <w:pPr>
              <w:spacing w:after="0"/>
              <w:rPr>
                <w:sz w:val="20"/>
                <w:szCs w:val="20"/>
                <w:color w:val="auto"/>
              </w:rPr>
            </w:pPr>
            <w:r>
              <w:rPr>
                <w:rFonts w:ascii="Courier New" w:cs="Courier New" w:eastAsia="Courier New" w:hAnsi="Courier New"/>
                <w:sz w:val="16"/>
                <w:szCs w:val="16"/>
                <w:color w:val="auto"/>
                <w:w w:val="98"/>
              </w:rPr>
              <w:t>Common Shares of Beneficial Interest</w:t>
            </w:r>
          </w:p>
        </w:tc>
        <w:tc>
          <w:tcPr>
            <w:tcW w:w="1880" w:type="dxa"/>
            <w:vAlign w:val="bottom"/>
          </w:tcPr>
          <w:p>
            <w:pPr>
              <w:spacing w:after="0"/>
              <w:rPr>
                <w:sz w:val="24"/>
                <w:szCs w:val="24"/>
                <w:color w:val="auto"/>
              </w:rPr>
            </w:pPr>
          </w:p>
        </w:tc>
        <w:tc>
          <w:tcPr>
            <w:tcW w:w="1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31,669,434</w:t>
            </w:r>
          </w:p>
        </w:tc>
        <w:tc>
          <w:tcPr>
            <w:tcW w:w="1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$496,958</w:t>
            </w:r>
          </w:p>
        </w:tc>
        <w:tc>
          <w:tcPr>
            <w:tcW w:w="130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28,077,999</w:t>
            </w: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$408,005</w:t>
            </w:r>
          </w:p>
        </w:tc>
        <w:tc>
          <w:tcPr>
            <w:tcW w:w="0" w:type="dxa"/>
            <w:vAlign w:val="bottom"/>
          </w:tcPr>
          <w:p>
            <w:pPr>
              <w:spacing w:after="0"/>
              <w:rPr>
                <w:sz w:val="1"/>
                <w:szCs w:val="1"/>
                <w:color w:val="auto"/>
              </w:rPr>
            </w:pPr>
          </w:p>
        </w:tc>
      </w:tr>
      <w:tr>
        <w:trPr>
          <w:trHeight w:val="180"/>
        </w:trPr>
        <w:tc>
          <w:tcPr>
            <w:tcW w:w="3420" w:type="dxa"/>
            <w:vAlign w:val="bottom"/>
          </w:tcPr>
          <w:p>
            <w:pPr>
              <w:ind w:left="180"/>
              <w:spacing w:after="0"/>
              <w:rPr>
                <w:sz w:val="20"/>
                <w:szCs w:val="20"/>
                <w:color w:val="auto"/>
              </w:rPr>
            </w:pPr>
            <w:r>
              <w:rPr>
                <w:rFonts w:ascii="Courier New" w:cs="Courier New" w:eastAsia="Courier New" w:hAnsi="Courier New"/>
                <w:sz w:val="16"/>
                <w:szCs w:val="16"/>
                <w:color w:val="auto"/>
              </w:rPr>
              <w:t>Balance, beginning of period</w:t>
            </w:r>
          </w:p>
        </w:tc>
        <w:tc>
          <w:tcPr>
            <w:tcW w:w="188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180"/>
              <w:spacing w:after="0"/>
              <w:rPr>
                <w:sz w:val="20"/>
                <w:szCs w:val="20"/>
                <w:color w:val="auto"/>
              </w:rPr>
            </w:pPr>
            <w:r>
              <w:rPr>
                <w:rFonts w:ascii="Courier New" w:cs="Courier New" w:eastAsia="Courier New" w:hAnsi="Courier New"/>
                <w:sz w:val="16"/>
                <w:szCs w:val="16"/>
                <w:color w:val="auto"/>
              </w:rPr>
              <w:t>Exercise of stock options</w:t>
            </w:r>
          </w:p>
        </w:tc>
        <w:tc>
          <w:tcPr>
            <w:tcW w:w="18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7,744</w:t>
            </w: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122</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17,216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372</w:t>
            </w:r>
          </w:p>
        </w:tc>
        <w:tc>
          <w:tcPr>
            <w:tcW w:w="0" w:type="dxa"/>
            <w:vAlign w:val="bottom"/>
          </w:tcPr>
          <w:p>
            <w:pPr>
              <w:spacing w:after="0"/>
              <w:rPr>
                <w:sz w:val="1"/>
                <w:szCs w:val="1"/>
                <w:color w:val="auto"/>
              </w:rPr>
            </w:pPr>
          </w:p>
        </w:tc>
      </w:tr>
      <w:tr>
        <w:trPr>
          <w:trHeight w:val="180"/>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Shares issued under dividend reinvestment plan</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50,002</w:t>
            </w: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1,036</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35,103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917</w:t>
            </w:r>
          </w:p>
        </w:tc>
        <w:tc>
          <w:tcPr>
            <w:tcW w:w="0" w:type="dxa"/>
            <w:vAlign w:val="bottom"/>
          </w:tcPr>
          <w:p>
            <w:pPr>
              <w:spacing w:after="0"/>
              <w:rPr>
                <w:sz w:val="1"/>
                <w:szCs w:val="1"/>
                <w:color w:val="auto"/>
              </w:rPr>
            </w:pPr>
          </w:p>
        </w:tc>
      </w:tr>
      <w:tr>
        <w:trPr>
          <w:trHeight w:val="180"/>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Shares purchased under share purchase plan</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40,000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r>
        <w:trPr>
          <w:trHeight w:val="180"/>
        </w:trPr>
        <w:tc>
          <w:tcPr>
            <w:tcW w:w="34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Balance, end of period</w:t>
            </w:r>
          </w:p>
        </w:tc>
        <w:tc>
          <w:tcPr>
            <w:tcW w:w="18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vMerge w:val="continue"/>
          </w:tcPr>
          <w:p>
            <w:pPr>
              <w:spacing w:after="0"/>
              <w:rPr>
                <w:sz w:val="15"/>
                <w:szCs w:val="15"/>
                <w:color w:val="auto"/>
              </w:rPr>
            </w:pP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42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31,727,180</w:t>
            </w: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$498,116</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28,170,318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$410,294</w:t>
            </w:r>
          </w:p>
        </w:tc>
        <w:tc>
          <w:tcPr>
            <w:tcW w:w="0" w:type="dxa"/>
            <w:vAlign w:val="bottom"/>
          </w:tcPr>
          <w:p>
            <w:pPr>
              <w:spacing w:after="0"/>
              <w:rPr>
                <w:sz w:val="1"/>
                <w:szCs w:val="1"/>
                <w:color w:val="auto"/>
              </w:rPr>
            </w:pPr>
          </w:p>
        </w:tc>
      </w:tr>
      <w:tr>
        <w:trPr>
          <w:trHeight w:val="264"/>
        </w:trPr>
        <w:tc>
          <w:tcPr>
            <w:tcW w:w="3420" w:type="dxa"/>
            <w:vAlign w:val="bottom"/>
            <w:vMerge w:val="restart"/>
          </w:tcPr>
          <w:p>
            <w:pPr>
              <w:spacing w:after="0"/>
              <w:rPr>
                <w:sz w:val="20"/>
                <w:szCs w:val="20"/>
                <w:color w:val="auto"/>
              </w:rPr>
            </w:pPr>
            <w:r>
              <w:rPr>
                <w:rFonts w:ascii="Courier New" w:cs="Courier New" w:eastAsia="Courier New" w:hAnsi="Courier New"/>
                <w:sz w:val="16"/>
                <w:szCs w:val="16"/>
                <w:color w:val="auto"/>
                <w:w w:val="98"/>
              </w:rPr>
              <w:t>Common Shares of Beneficial Interest</w:t>
            </w:r>
          </w:p>
        </w:tc>
        <w:tc>
          <w:tcPr>
            <w:tcW w:w="188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342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530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in Treasury, Deferred Compensation and</w:t>
            </w:r>
          </w:p>
        </w:tc>
        <w:tc>
          <w:tcPr>
            <w:tcW w:w="1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360"/>
              <w:spacing w:after="0"/>
              <w:rPr>
                <w:sz w:val="20"/>
                <w:szCs w:val="20"/>
                <w:color w:val="auto"/>
              </w:rPr>
            </w:pPr>
            <w:r>
              <w:rPr>
                <w:rFonts w:ascii="Courier New" w:cs="Courier New" w:eastAsia="Courier New" w:hAnsi="Courier New"/>
                <w:sz w:val="16"/>
                <w:szCs w:val="16"/>
                <w:color w:val="auto"/>
              </w:rPr>
              <w:t>Subscriptions Receivable</w:t>
            </w:r>
          </w:p>
        </w:tc>
        <w:tc>
          <w:tcPr>
            <w:tcW w:w="188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(434,700)</w:t>
            </w:r>
          </w:p>
        </w:tc>
        <w:tc>
          <w:tcPr>
            <w:tcW w:w="1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($7,197)</w:t>
            </w:r>
          </w:p>
        </w:tc>
        <w:tc>
          <w:tcPr>
            <w:tcW w:w="130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(422,575)</w:t>
            </w: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($6,619)</w:t>
            </w:r>
          </w:p>
        </w:tc>
        <w:tc>
          <w:tcPr>
            <w:tcW w:w="0" w:type="dxa"/>
            <w:vAlign w:val="bottom"/>
          </w:tcPr>
          <w:p>
            <w:pPr>
              <w:spacing w:after="0"/>
              <w:rPr>
                <w:sz w:val="1"/>
                <w:szCs w:val="1"/>
                <w:color w:val="auto"/>
              </w:rPr>
            </w:pPr>
          </w:p>
        </w:tc>
      </w:tr>
      <w:tr>
        <w:trPr>
          <w:trHeight w:val="180"/>
        </w:trPr>
        <w:tc>
          <w:tcPr>
            <w:tcW w:w="3420" w:type="dxa"/>
            <w:vAlign w:val="bottom"/>
          </w:tcPr>
          <w:p>
            <w:pPr>
              <w:ind w:left="180"/>
              <w:spacing w:after="0"/>
              <w:rPr>
                <w:sz w:val="20"/>
                <w:szCs w:val="20"/>
                <w:color w:val="auto"/>
              </w:rPr>
            </w:pPr>
            <w:r>
              <w:rPr>
                <w:rFonts w:ascii="Courier New" w:cs="Courier New" w:eastAsia="Courier New" w:hAnsi="Courier New"/>
                <w:sz w:val="16"/>
                <w:szCs w:val="16"/>
                <w:color w:val="auto"/>
              </w:rPr>
              <w:t>Balance, beginning of period</w:t>
            </w:r>
          </w:p>
        </w:tc>
        <w:tc>
          <w:tcPr>
            <w:tcW w:w="188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Amortization of deferred compensation</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32,875</w:t>
            </w: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546</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27,875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422</w:t>
            </w:r>
          </w:p>
        </w:tc>
        <w:tc>
          <w:tcPr>
            <w:tcW w:w="0" w:type="dxa"/>
            <w:vAlign w:val="bottom"/>
          </w:tcPr>
          <w:p>
            <w:pPr>
              <w:spacing w:after="0"/>
              <w:rPr>
                <w:sz w:val="1"/>
                <w:szCs w:val="1"/>
                <w:color w:val="auto"/>
              </w:rPr>
            </w:pPr>
          </w:p>
        </w:tc>
      </w:tr>
      <w:tr>
        <w:trPr>
          <w:trHeight w:val="180"/>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Subscription of shares under share purchase plan</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(40,000)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r>
        <w:trPr>
          <w:trHeight w:val="180"/>
        </w:trPr>
        <w:tc>
          <w:tcPr>
            <w:tcW w:w="34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Balance, end of period</w:t>
            </w:r>
          </w:p>
        </w:tc>
        <w:tc>
          <w:tcPr>
            <w:tcW w:w="18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0"/>
        </w:trPr>
        <w:tc>
          <w:tcPr>
            <w:tcW w:w="342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(401,825)</w:t>
            </w: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($6,651)</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(434,700)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($7,197)</w:t>
            </w:r>
          </w:p>
        </w:tc>
        <w:tc>
          <w:tcPr>
            <w:tcW w:w="0" w:type="dxa"/>
            <w:vAlign w:val="bottom"/>
          </w:tcPr>
          <w:p>
            <w:pPr>
              <w:spacing w:after="0"/>
              <w:rPr>
                <w:sz w:val="1"/>
                <w:szCs w:val="1"/>
                <w:color w:val="auto"/>
              </w:rPr>
            </w:pPr>
          </w:p>
        </w:tc>
      </w:tr>
      <w:tr>
        <w:trPr>
          <w:trHeight w:val="264"/>
        </w:trPr>
        <w:tc>
          <w:tcPr>
            <w:tcW w:w="53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Allowance for Unrealized Loss on Marketable Securities</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300" w:type="dxa"/>
            <w:vAlign w:val="bottom"/>
            <w:gridSpan w:val="2"/>
            <w:vMerge w:val="continue"/>
          </w:tcPr>
          <w:p>
            <w:pPr>
              <w:spacing w:after="0"/>
              <w:rPr>
                <w:sz w:val="8"/>
                <w:szCs w:val="8"/>
                <w:color w:val="auto"/>
              </w:rPr>
            </w:pPr>
          </w:p>
        </w:tc>
        <w:tc>
          <w:tcPr>
            <w:tcW w:w="1860" w:type="dxa"/>
            <w:vAlign w:val="bottom"/>
          </w:tcPr>
          <w:p>
            <w:pPr>
              <w:spacing w:after="0"/>
              <w:rPr>
                <w:sz w:val="8"/>
                <w:szCs w:val="8"/>
                <w:color w:val="auto"/>
              </w:rPr>
            </w:pPr>
          </w:p>
        </w:tc>
        <w:tc>
          <w:tcPr>
            <w:tcW w:w="1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($53)</w:t>
            </w:r>
          </w:p>
        </w:tc>
        <w:tc>
          <w:tcPr>
            <w:tcW w:w="130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($364)</w:t>
            </w:r>
          </w:p>
        </w:tc>
        <w:tc>
          <w:tcPr>
            <w:tcW w:w="0" w:type="dxa"/>
            <w:vAlign w:val="bottom"/>
          </w:tcPr>
          <w:p>
            <w:pPr>
              <w:spacing w:after="0"/>
              <w:rPr>
                <w:sz w:val="1"/>
                <w:szCs w:val="1"/>
                <w:color w:val="auto"/>
              </w:rPr>
            </w:pPr>
          </w:p>
        </w:tc>
      </w:tr>
      <w:tr>
        <w:trPr>
          <w:trHeight w:val="180"/>
        </w:trPr>
        <w:tc>
          <w:tcPr>
            <w:tcW w:w="3420" w:type="dxa"/>
            <w:vAlign w:val="bottom"/>
          </w:tcPr>
          <w:p>
            <w:pPr>
              <w:ind w:left="180"/>
              <w:spacing w:after="0"/>
              <w:rPr>
                <w:sz w:val="20"/>
                <w:szCs w:val="20"/>
                <w:color w:val="auto"/>
              </w:rPr>
            </w:pPr>
            <w:r>
              <w:rPr>
                <w:rFonts w:ascii="Courier New" w:cs="Courier New" w:eastAsia="Courier New" w:hAnsi="Courier New"/>
                <w:sz w:val="16"/>
                <w:szCs w:val="16"/>
                <w:color w:val="auto"/>
              </w:rPr>
              <w:t>Balance, beginning of period</w:t>
            </w: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180"/>
              <w:spacing w:after="0"/>
              <w:rPr>
                <w:sz w:val="20"/>
                <w:szCs w:val="20"/>
                <w:color w:val="auto"/>
              </w:rPr>
            </w:pPr>
            <w:r>
              <w:rPr>
                <w:rFonts w:ascii="Courier New" w:cs="Courier New" w:eastAsia="Courier New" w:hAnsi="Courier New"/>
                <w:sz w:val="16"/>
                <w:szCs w:val="16"/>
                <w:color w:val="auto"/>
              </w:rPr>
              <w:t>Unrealized (loss ) recovery</w:t>
            </w: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w:t>
            </w:r>
          </w:p>
        </w:tc>
        <w:tc>
          <w:tcPr>
            <w:tcW w:w="1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0" w:type="dxa"/>
            <w:vAlign w:val="bottom"/>
          </w:tcPr>
          <w:p>
            <w:pPr>
              <w:spacing w:after="0"/>
              <w:rPr>
                <w:sz w:val="1"/>
                <w:szCs w:val="1"/>
                <w:color w:val="auto"/>
              </w:rPr>
            </w:pPr>
          </w:p>
        </w:tc>
      </w:tr>
      <w:tr>
        <w:trPr>
          <w:trHeight w:val="180"/>
        </w:trPr>
        <w:tc>
          <w:tcPr>
            <w:tcW w:w="34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Balance, end of period</w:t>
            </w: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42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w:t>
            </w:r>
          </w:p>
        </w:tc>
        <w:tc>
          <w:tcPr>
            <w:tcW w:w="1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($414)</w:t>
            </w:r>
          </w:p>
        </w:tc>
        <w:tc>
          <w:tcPr>
            <w:tcW w:w="0" w:type="dxa"/>
            <w:vAlign w:val="bottom"/>
          </w:tcPr>
          <w:p>
            <w:pPr>
              <w:spacing w:after="0"/>
              <w:rPr>
                <w:sz w:val="1"/>
                <w:szCs w:val="1"/>
                <w:color w:val="auto"/>
              </w:rPr>
            </w:pPr>
          </w:p>
        </w:tc>
      </w:tr>
      <w:tr>
        <w:trPr>
          <w:trHeight w:val="264"/>
        </w:trPr>
        <w:tc>
          <w:tcPr>
            <w:tcW w:w="53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Accumulated Dividends in Excess of Trust Net Income</w:t>
            </w:r>
          </w:p>
        </w:tc>
        <w:tc>
          <w:tcPr>
            <w:tcW w:w="1860" w:type="dxa"/>
            <w:vAlign w:val="bottom"/>
          </w:tcPr>
          <w:p>
            <w:pPr>
              <w:spacing w:after="0"/>
              <w:rPr>
                <w:sz w:val="22"/>
                <w:szCs w:val="22"/>
                <w:color w:val="auto"/>
              </w:rPr>
            </w:pP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300" w:type="dxa"/>
            <w:vAlign w:val="bottom"/>
            <w:gridSpan w:val="2"/>
            <w:vMerge w:val="continue"/>
          </w:tcPr>
          <w:p>
            <w:pPr>
              <w:spacing w:after="0"/>
              <w:rPr>
                <w:sz w:val="8"/>
                <w:szCs w:val="8"/>
                <w:color w:val="auto"/>
              </w:rPr>
            </w:pPr>
          </w:p>
        </w:tc>
        <w:tc>
          <w:tcPr>
            <w:tcW w:w="1860" w:type="dxa"/>
            <w:vAlign w:val="bottom"/>
          </w:tcPr>
          <w:p>
            <w:pPr>
              <w:spacing w:after="0"/>
              <w:rPr>
                <w:sz w:val="8"/>
                <w:szCs w:val="8"/>
                <w:color w:val="auto"/>
              </w:rPr>
            </w:pPr>
          </w:p>
        </w:tc>
        <w:tc>
          <w:tcPr>
            <w:tcW w:w="1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($144,553)</w:t>
            </w:r>
          </w:p>
        </w:tc>
        <w:tc>
          <w:tcPr>
            <w:tcW w:w="130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($116,823)</w:t>
            </w:r>
          </w:p>
        </w:tc>
        <w:tc>
          <w:tcPr>
            <w:tcW w:w="0" w:type="dxa"/>
            <w:vAlign w:val="bottom"/>
          </w:tcPr>
          <w:p>
            <w:pPr>
              <w:spacing w:after="0"/>
              <w:rPr>
                <w:sz w:val="1"/>
                <w:szCs w:val="1"/>
                <w:color w:val="auto"/>
              </w:rPr>
            </w:pPr>
          </w:p>
        </w:tc>
      </w:tr>
      <w:tr>
        <w:trPr>
          <w:trHeight w:val="180"/>
        </w:trPr>
        <w:tc>
          <w:tcPr>
            <w:tcW w:w="3420" w:type="dxa"/>
            <w:vAlign w:val="bottom"/>
          </w:tcPr>
          <w:p>
            <w:pPr>
              <w:ind w:left="180"/>
              <w:spacing w:after="0"/>
              <w:rPr>
                <w:sz w:val="20"/>
                <w:szCs w:val="20"/>
                <w:color w:val="auto"/>
              </w:rPr>
            </w:pPr>
            <w:r>
              <w:rPr>
                <w:rFonts w:ascii="Courier New" w:cs="Courier New" w:eastAsia="Courier New" w:hAnsi="Courier New"/>
                <w:sz w:val="16"/>
                <w:szCs w:val="16"/>
                <w:color w:val="auto"/>
              </w:rPr>
              <w:t>Balance, beginning of period</w:t>
            </w: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6,623</w:t>
            </w:r>
          </w:p>
        </w:tc>
        <w:tc>
          <w:tcPr>
            <w:tcW w:w="1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4,083</w:t>
            </w:r>
          </w:p>
        </w:tc>
        <w:tc>
          <w:tcPr>
            <w:tcW w:w="0" w:type="dxa"/>
            <w:vAlign w:val="bottom"/>
          </w:tcPr>
          <w:p>
            <w:pPr>
              <w:spacing w:after="0"/>
              <w:rPr>
                <w:sz w:val="1"/>
                <w:szCs w:val="1"/>
                <w:color w:val="auto"/>
              </w:rPr>
            </w:pPr>
          </w:p>
        </w:tc>
      </w:tr>
      <w:tr>
        <w:trPr>
          <w:trHeight w:val="180"/>
        </w:trPr>
        <w:tc>
          <w:tcPr>
            <w:tcW w:w="3420" w:type="dxa"/>
            <w:vAlign w:val="bottom"/>
          </w:tcPr>
          <w:p>
            <w:pPr>
              <w:ind w:left="180"/>
              <w:spacing w:after="0"/>
              <w:rPr>
                <w:sz w:val="20"/>
                <w:szCs w:val="20"/>
                <w:color w:val="auto"/>
              </w:rPr>
            </w:pPr>
            <w:r>
              <w:rPr>
                <w:rFonts w:ascii="Courier New" w:cs="Courier New" w:eastAsia="Courier New" w:hAnsi="Courier New"/>
                <w:sz w:val="16"/>
                <w:szCs w:val="16"/>
                <w:color w:val="auto"/>
                <w:w w:val="98"/>
              </w:rPr>
              <w:t>Dividends declared to shareholders</w:t>
            </w: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(12,508)</w:t>
            </w:r>
          </w:p>
        </w:tc>
        <w:tc>
          <w:tcPr>
            <w:tcW w:w="1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(10,963)</w:t>
            </w:r>
          </w:p>
        </w:tc>
        <w:tc>
          <w:tcPr>
            <w:tcW w:w="0" w:type="dxa"/>
            <w:vAlign w:val="bottom"/>
          </w:tcPr>
          <w:p>
            <w:pPr>
              <w:spacing w:after="0"/>
              <w:rPr>
                <w:sz w:val="1"/>
                <w:szCs w:val="1"/>
                <w:color w:val="auto"/>
              </w:rPr>
            </w:pPr>
          </w:p>
        </w:tc>
      </w:tr>
      <w:tr>
        <w:trPr>
          <w:trHeight w:val="180"/>
        </w:trPr>
        <w:tc>
          <w:tcPr>
            <w:tcW w:w="34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Balance, end of period</w:t>
            </w: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0"/>
        </w:trPr>
        <w:tc>
          <w:tcPr>
            <w:tcW w:w="342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($150,438)</w:t>
            </w:r>
          </w:p>
        </w:tc>
        <w:tc>
          <w:tcPr>
            <w:tcW w:w="1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($123,703)</w:t>
            </w:r>
          </w:p>
        </w:tc>
        <w:tc>
          <w:tcPr>
            <w:tcW w:w="0" w:type="dxa"/>
            <w:vAlign w:val="bottom"/>
          </w:tcPr>
          <w:p>
            <w:pPr>
              <w:spacing w:after="0"/>
              <w:rPr>
                <w:sz w:val="1"/>
                <w:szCs w:val="1"/>
                <w:color w:val="auto"/>
              </w:rPr>
            </w:pPr>
          </w:p>
        </w:tc>
      </w:tr>
      <w:tr>
        <w:trPr>
          <w:trHeight w:val="264"/>
        </w:trPr>
        <w:tc>
          <w:tcPr>
            <w:tcW w:w="3420" w:type="dxa"/>
            <w:vAlign w:val="bottom"/>
            <w:vMerge w:val="restart"/>
          </w:tcPr>
          <w:p>
            <w:pPr>
              <w:spacing w:after="0"/>
              <w:rPr>
                <w:sz w:val="20"/>
                <w:szCs w:val="20"/>
                <w:color w:val="auto"/>
              </w:rPr>
            </w:pPr>
            <w:r>
              <w:rPr>
                <w:rFonts w:ascii="Courier New" w:cs="Courier New" w:eastAsia="Courier New" w:hAnsi="Courier New"/>
                <w:sz w:val="16"/>
                <w:szCs w:val="16"/>
                <w:color w:val="auto"/>
              </w:rPr>
              <w:t>The  accompanying   notes  are  an</w:t>
            </w:r>
          </w:p>
        </w:tc>
        <w:tc>
          <w:tcPr>
            <w:tcW w:w="18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integral  part  of</w:t>
            </w:r>
          </w:p>
        </w:tc>
        <w:tc>
          <w:tcPr>
            <w:tcW w:w="1860" w:type="dxa"/>
            <w:vAlign w:val="bottom"/>
            <w:vMerge w:val="restart"/>
          </w:tcPr>
          <w:p>
            <w:pPr>
              <w:jc w:val="right"/>
              <w:ind w:right="1182"/>
              <w:spacing w:after="0"/>
              <w:rPr>
                <w:sz w:val="20"/>
                <w:szCs w:val="20"/>
                <w:color w:val="auto"/>
              </w:rPr>
            </w:pPr>
            <w:r>
              <w:rPr>
                <w:rFonts w:ascii="Courier New" w:cs="Courier New" w:eastAsia="Courier New" w:hAnsi="Courier New"/>
                <w:sz w:val="16"/>
                <w:szCs w:val="16"/>
                <w:color w:val="auto"/>
              </w:rPr>
              <w:t>these</w:t>
            </w: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342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0"/>
                <w:szCs w:val="20"/>
                <w:color w:val="auto"/>
              </w:rPr>
            </w:pPr>
            <w:r>
              <w:rPr>
                <w:rFonts w:ascii="Courier New" w:cs="Courier New" w:eastAsia="Courier New" w:hAnsi="Courier New"/>
                <w:sz w:val="16"/>
                <w:szCs w:val="16"/>
                <w:color w:val="auto"/>
              </w:rPr>
              <w:t>statements.</w:t>
            </w:r>
          </w:p>
        </w:tc>
        <w:tc>
          <w:tcPr>
            <w:tcW w:w="18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860"/>
          </w:cols>
          <w:pgMar w:left="900" w:top="1440" w:right="139" w:bottom="1440" w:gutter="0" w:footer="0" w:header="0"/>
        </w:sectPr>
      </w:pPr>
    </w:p>
    <w:bookmarkStart w:id="8" w:name="page9"/>
    <w:bookmarkEnd w:id="8"/>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20" w:type="dxa"/>
            <w:vAlign w:val="bottom"/>
          </w:tcPr>
          <w:p>
            <w:pPr>
              <w:spacing w:after="0"/>
              <w:rPr>
                <w:sz w:val="20"/>
                <w:szCs w:val="20"/>
                <w:color w:val="auto"/>
              </w:rPr>
            </w:pPr>
            <w:r>
              <w:rPr>
                <w:rFonts w:ascii="Courier New" w:cs="Courier New" w:eastAsia="Courier New" w:hAnsi="Courier New"/>
                <w:sz w:val="16"/>
                <w:szCs w:val="16"/>
                <w:color w:val="auto"/>
              </w:rPr>
              <w:t>Federal Realty Investment Trust</w:t>
            </w:r>
          </w:p>
        </w:tc>
        <w:tc>
          <w:tcPr>
            <w:tcW w:w="3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w:t>
            </w:r>
          </w:p>
        </w:tc>
        <w:tc>
          <w:tcPr>
            <w:tcW w:w="3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tcPr>
          <w:p>
            <w:pPr>
              <w:spacing w:after="0"/>
              <w:rPr>
                <w:sz w:val="20"/>
                <w:szCs w:val="20"/>
                <w:color w:val="auto"/>
              </w:rPr>
            </w:pPr>
            <w:r>
              <w:rPr>
                <w:rFonts w:ascii="Courier New" w:cs="Courier New" w:eastAsia="Courier New" w:hAnsi="Courier New"/>
                <w:sz w:val="16"/>
                <w:szCs w:val="16"/>
                <w:color w:val="auto"/>
              </w:rPr>
              <w:t>(see accountants' review report)</w:t>
            </w:r>
          </w:p>
        </w:tc>
        <w:tc>
          <w:tcPr>
            <w:tcW w:w="3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840"/>
              <w:spacing w:after="0"/>
              <w:rPr>
                <w:sz w:val="20"/>
                <w:szCs w:val="20"/>
                <w:color w:val="auto"/>
              </w:rPr>
            </w:pPr>
            <w:r>
              <w:rPr>
                <w:rFonts w:ascii="Courier New" w:cs="Courier New" w:eastAsia="Courier New" w:hAnsi="Courier New"/>
                <w:sz w:val="16"/>
                <w:szCs w:val="16"/>
                <w:color w:val="auto"/>
              </w:rPr>
              <w:t>(unaudited)</w:t>
            </w:r>
          </w:p>
        </w:tc>
        <w:tc>
          <w:tcPr>
            <w:tcW w:w="5340" w:type="dxa"/>
            <w:vAlign w:val="bottom"/>
            <w:gridSpan w:val="2"/>
            <w:vMerge w:val="restart"/>
          </w:tcPr>
          <w:p>
            <w:pPr>
              <w:ind w:left="2640"/>
              <w:spacing w:after="0"/>
              <w:rPr>
                <w:sz w:val="20"/>
                <w:szCs w:val="20"/>
                <w:color w:val="auto"/>
              </w:rPr>
            </w:pPr>
            <w:r>
              <w:rPr>
                <w:rFonts w:ascii="Courier New" w:cs="Courier New" w:eastAsia="Courier New" w:hAnsi="Courier New"/>
                <w:sz w:val="16"/>
                <w:szCs w:val="16"/>
                <w:color w:val="auto"/>
                <w:w w:val="99"/>
              </w:rPr>
              <w:t>Three months ended March 31,</w:t>
            </w:r>
          </w:p>
        </w:tc>
        <w:tc>
          <w:tcPr>
            <w:tcW w:w="0" w:type="dxa"/>
            <w:vAlign w:val="bottom"/>
          </w:tcPr>
          <w:p>
            <w:pPr>
              <w:spacing w:after="0"/>
              <w:rPr>
                <w:sz w:val="1"/>
                <w:szCs w:val="1"/>
                <w:color w:val="auto"/>
              </w:rPr>
            </w:pPr>
          </w:p>
        </w:tc>
      </w:tr>
      <w:tr>
        <w:trPr>
          <w:trHeight w:val="97"/>
        </w:trPr>
        <w:tc>
          <w:tcPr>
            <w:tcW w:w="5520" w:type="dxa"/>
            <w:vAlign w:val="bottom"/>
            <w:vMerge w:val="restart"/>
          </w:tcPr>
          <w:p>
            <w:pPr>
              <w:spacing w:after="0"/>
              <w:rPr>
                <w:sz w:val="20"/>
                <w:szCs w:val="20"/>
                <w:color w:val="auto"/>
              </w:rPr>
            </w:pPr>
            <w:r>
              <w:rPr>
                <w:rFonts w:ascii="Courier New" w:cs="Courier New" w:eastAsia="Courier New" w:hAnsi="Courier New"/>
                <w:sz w:val="16"/>
                <w:szCs w:val="16"/>
                <w:color w:val="auto"/>
              </w:rPr>
              <w:t>(In thousands)</w:t>
            </w:r>
          </w:p>
        </w:tc>
        <w:tc>
          <w:tcPr>
            <w:tcW w:w="5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5520" w:type="dxa"/>
            <w:vAlign w:val="bottom"/>
            <w:vMerge w:val="continue"/>
          </w:tcPr>
          <w:p>
            <w:pPr>
              <w:spacing w:after="0"/>
              <w:rPr>
                <w:sz w:val="15"/>
                <w:szCs w:val="15"/>
                <w:color w:val="auto"/>
              </w:rPr>
            </w:pPr>
          </w:p>
        </w:tc>
        <w:tc>
          <w:tcPr>
            <w:tcW w:w="39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1995</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1994</w:t>
            </w:r>
          </w:p>
        </w:tc>
        <w:tc>
          <w:tcPr>
            <w:tcW w:w="0" w:type="dxa"/>
            <w:vAlign w:val="bottom"/>
          </w:tcPr>
          <w:p>
            <w:pPr>
              <w:spacing w:after="0"/>
              <w:rPr>
                <w:sz w:val="1"/>
                <w:szCs w:val="1"/>
                <w:color w:val="auto"/>
              </w:rPr>
            </w:pPr>
          </w:p>
        </w:tc>
      </w:tr>
      <w:tr>
        <w:trPr>
          <w:trHeight w:val="264"/>
        </w:trPr>
        <w:tc>
          <w:tcPr>
            <w:tcW w:w="5520" w:type="dxa"/>
            <w:vAlign w:val="bottom"/>
          </w:tcPr>
          <w:p>
            <w:pPr>
              <w:spacing w:after="0"/>
              <w:rPr>
                <w:sz w:val="22"/>
                <w:szCs w:val="22"/>
                <w:color w:val="auto"/>
              </w:rPr>
            </w:pPr>
          </w:p>
        </w:tc>
        <w:tc>
          <w:tcPr>
            <w:tcW w:w="3940" w:type="dxa"/>
            <w:vAlign w:val="bottom"/>
          </w:tcPr>
          <w:p>
            <w:pPr>
              <w:ind w:left="26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52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39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$6,623</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$4,083</w:t>
            </w: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39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3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360"/>
              <w:spacing w:after="0"/>
              <w:rPr>
                <w:sz w:val="20"/>
                <w:szCs w:val="20"/>
                <w:color w:val="auto"/>
              </w:rPr>
            </w:pPr>
            <w:r>
              <w:rPr>
                <w:rFonts w:ascii="Courier New" w:cs="Courier New" w:eastAsia="Courier New" w:hAnsi="Courier New"/>
                <w:sz w:val="16"/>
                <w:szCs w:val="16"/>
                <w:color w:val="auto"/>
              </w:rPr>
              <w:t>provided by operations</w:t>
            </w:r>
          </w:p>
        </w:tc>
        <w:tc>
          <w:tcPr>
            <w:tcW w:w="39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8,368</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6,897</w:t>
            </w:r>
          </w:p>
        </w:tc>
        <w:tc>
          <w:tcPr>
            <w:tcW w:w="0" w:type="dxa"/>
            <w:vAlign w:val="bottom"/>
          </w:tcPr>
          <w:p>
            <w:pPr>
              <w:spacing w:after="0"/>
              <w:rPr>
                <w:sz w:val="1"/>
                <w:szCs w:val="1"/>
                <w:color w:val="auto"/>
              </w:rPr>
            </w:pPr>
          </w:p>
        </w:tc>
      </w:tr>
      <w:tr>
        <w:trPr>
          <w:trHeight w:val="180"/>
        </w:trPr>
        <w:tc>
          <w:tcPr>
            <w:tcW w:w="5520" w:type="dxa"/>
            <w:vAlign w:val="bottom"/>
          </w:tcPr>
          <w:p>
            <w:pPr>
              <w:ind w:left="460"/>
              <w:spacing w:after="0"/>
              <w:rPr>
                <w:sz w:val="20"/>
                <w:szCs w:val="20"/>
                <w:color w:val="auto"/>
              </w:rPr>
            </w:pPr>
            <w:r>
              <w:rPr>
                <w:rFonts w:ascii="Courier New" w:cs="Courier New" w:eastAsia="Courier New" w:hAnsi="Courier New"/>
                <w:sz w:val="16"/>
                <w:szCs w:val="16"/>
                <w:color w:val="auto"/>
              </w:rPr>
              <w:t>Depreciation and amortization</w:t>
            </w:r>
          </w:p>
        </w:tc>
        <w:tc>
          <w:tcPr>
            <w:tcW w:w="39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460"/>
              <w:spacing w:after="0"/>
              <w:rPr>
                <w:sz w:val="20"/>
                <w:szCs w:val="20"/>
                <w:color w:val="auto"/>
              </w:rPr>
            </w:pPr>
            <w:r>
              <w:rPr>
                <w:rFonts w:ascii="Courier New" w:cs="Courier New" w:eastAsia="Courier New" w:hAnsi="Courier New"/>
                <w:sz w:val="16"/>
                <w:szCs w:val="16"/>
                <w:color w:val="auto"/>
              </w:rPr>
              <w:t>Rent abatements in lieu of leasehold improvements,</w:t>
            </w:r>
          </w:p>
        </w:tc>
        <w:tc>
          <w:tcPr>
            <w:tcW w:w="39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(454)</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147</w:t>
            </w:r>
          </w:p>
        </w:tc>
        <w:tc>
          <w:tcPr>
            <w:tcW w:w="0" w:type="dxa"/>
            <w:vAlign w:val="bottom"/>
          </w:tcPr>
          <w:p>
            <w:pPr>
              <w:spacing w:after="0"/>
              <w:rPr>
                <w:sz w:val="1"/>
                <w:szCs w:val="1"/>
                <w:color w:val="auto"/>
              </w:rPr>
            </w:pPr>
          </w:p>
        </w:tc>
      </w:tr>
      <w:tr>
        <w:trPr>
          <w:trHeight w:val="180"/>
        </w:trPr>
        <w:tc>
          <w:tcPr>
            <w:tcW w:w="5520" w:type="dxa"/>
            <w:vAlign w:val="bottom"/>
          </w:tcPr>
          <w:p>
            <w:pPr>
              <w:ind w:left="560"/>
              <w:spacing w:after="0"/>
              <w:rPr>
                <w:sz w:val="20"/>
                <w:szCs w:val="20"/>
                <w:color w:val="auto"/>
              </w:rPr>
            </w:pPr>
            <w:r>
              <w:rPr>
                <w:rFonts w:ascii="Courier New" w:cs="Courier New" w:eastAsia="Courier New" w:hAnsi="Courier New"/>
                <w:sz w:val="16"/>
                <w:szCs w:val="16"/>
                <w:color w:val="auto"/>
              </w:rPr>
              <w:t>net of tenant improvements retired</w:t>
            </w:r>
          </w:p>
        </w:tc>
        <w:tc>
          <w:tcPr>
            <w:tcW w:w="39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460"/>
              <w:spacing w:after="0"/>
              <w:rPr>
                <w:sz w:val="20"/>
                <w:szCs w:val="20"/>
                <w:color w:val="auto"/>
              </w:rPr>
            </w:pPr>
            <w:r>
              <w:rPr>
                <w:rFonts w:ascii="Courier New" w:cs="Courier New" w:eastAsia="Courier New" w:hAnsi="Courier New"/>
                <w:sz w:val="16"/>
                <w:szCs w:val="16"/>
                <w:color w:val="auto"/>
              </w:rPr>
              <w:t>Imputed interest and amortization of debt cost</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171</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162</w:t>
            </w:r>
          </w:p>
        </w:tc>
        <w:tc>
          <w:tcPr>
            <w:tcW w:w="0" w:type="dxa"/>
            <w:vAlign w:val="bottom"/>
          </w:tcPr>
          <w:p>
            <w:pPr>
              <w:spacing w:after="0"/>
              <w:rPr>
                <w:sz w:val="1"/>
                <w:szCs w:val="1"/>
                <w:color w:val="auto"/>
              </w:rPr>
            </w:pPr>
          </w:p>
        </w:tc>
      </w:tr>
      <w:tr>
        <w:trPr>
          <w:trHeight w:val="180"/>
        </w:trPr>
        <w:tc>
          <w:tcPr>
            <w:tcW w:w="5520" w:type="dxa"/>
            <w:vAlign w:val="bottom"/>
          </w:tcPr>
          <w:p>
            <w:pPr>
              <w:ind w:left="460"/>
              <w:spacing w:after="0"/>
              <w:rPr>
                <w:sz w:val="20"/>
                <w:szCs w:val="20"/>
                <w:color w:val="auto"/>
              </w:rPr>
            </w:pPr>
            <w:r>
              <w:rPr>
                <w:rFonts w:ascii="Courier New" w:cs="Courier New" w:eastAsia="Courier New" w:hAnsi="Courier New"/>
                <w:sz w:val="16"/>
                <w:szCs w:val="16"/>
                <w:color w:val="auto"/>
              </w:rPr>
              <w:t>Amortization of deferred compensation and</w:t>
            </w:r>
          </w:p>
        </w:tc>
        <w:tc>
          <w:tcPr>
            <w:tcW w:w="39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133</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140</w:t>
            </w:r>
          </w:p>
        </w:tc>
        <w:tc>
          <w:tcPr>
            <w:tcW w:w="0" w:type="dxa"/>
            <w:vAlign w:val="bottom"/>
          </w:tcPr>
          <w:p>
            <w:pPr>
              <w:spacing w:after="0"/>
              <w:rPr>
                <w:sz w:val="1"/>
                <w:szCs w:val="1"/>
                <w:color w:val="auto"/>
              </w:rPr>
            </w:pPr>
          </w:p>
        </w:tc>
      </w:tr>
      <w:tr>
        <w:trPr>
          <w:trHeight w:val="180"/>
        </w:trPr>
        <w:tc>
          <w:tcPr>
            <w:tcW w:w="5520" w:type="dxa"/>
            <w:vAlign w:val="bottom"/>
          </w:tcPr>
          <w:p>
            <w:pPr>
              <w:ind w:left="560"/>
              <w:spacing w:after="0"/>
              <w:rPr>
                <w:sz w:val="20"/>
                <w:szCs w:val="20"/>
                <w:color w:val="auto"/>
              </w:rPr>
            </w:pPr>
            <w:r>
              <w:rPr>
                <w:rFonts w:ascii="Courier New" w:cs="Courier New" w:eastAsia="Courier New" w:hAnsi="Courier New"/>
                <w:sz w:val="16"/>
                <w:szCs w:val="16"/>
                <w:color w:val="auto"/>
              </w:rPr>
              <w:t>forgiveness of officers' notes</w:t>
            </w:r>
          </w:p>
        </w:tc>
        <w:tc>
          <w:tcPr>
            <w:tcW w:w="39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Changes in assets and liabilities</w:t>
            </w:r>
          </w:p>
        </w:tc>
        <w:tc>
          <w:tcPr>
            <w:tcW w:w="39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1,730</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(257)</w:t>
            </w:r>
          </w:p>
        </w:tc>
        <w:tc>
          <w:tcPr>
            <w:tcW w:w="0" w:type="dxa"/>
            <w:vAlign w:val="bottom"/>
          </w:tcPr>
          <w:p>
            <w:pPr>
              <w:spacing w:after="0"/>
              <w:rPr>
                <w:sz w:val="1"/>
                <w:szCs w:val="1"/>
                <w:color w:val="auto"/>
              </w:rPr>
            </w:pPr>
          </w:p>
        </w:tc>
      </w:tr>
      <w:tr>
        <w:trPr>
          <w:trHeight w:val="180"/>
        </w:trPr>
        <w:tc>
          <w:tcPr>
            <w:tcW w:w="5520" w:type="dxa"/>
            <w:vAlign w:val="bottom"/>
          </w:tcPr>
          <w:p>
            <w:pPr>
              <w:ind w:left="460"/>
              <w:spacing w:after="0"/>
              <w:rPr>
                <w:sz w:val="20"/>
                <w:szCs w:val="20"/>
                <w:color w:val="auto"/>
              </w:rPr>
            </w:pPr>
            <w:r>
              <w:rPr>
                <w:rFonts w:ascii="Courier New" w:cs="Courier New" w:eastAsia="Courier New" w:hAnsi="Courier New"/>
                <w:sz w:val="16"/>
                <w:szCs w:val="16"/>
                <w:color w:val="auto"/>
              </w:rPr>
              <w:t>(Increase) decrease  in accounts receivable</w:t>
            </w:r>
          </w:p>
        </w:tc>
        <w:tc>
          <w:tcPr>
            <w:tcW w:w="39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460"/>
              <w:spacing w:after="0"/>
              <w:rPr>
                <w:sz w:val="20"/>
                <w:szCs w:val="20"/>
                <w:color w:val="auto"/>
              </w:rPr>
            </w:pPr>
            <w:r>
              <w:rPr>
                <w:rFonts w:ascii="Courier New" w:cs="Courier New" w:eastAsia="Courier New" w:hAnsi="Courier New"/>
                <w:sz w:val="16"/>
                <w:szCs w:val="16"/>
                <w:color w:val="auto"/>
              </w:rPr>
              <w:t>Increase in prepaid expenses and other</w:t>
            </w:r>
          </w:p>
        </w:tc>
        <w:tc>
          <w:tcPr>
            <w:tcW w:w="39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(1,828)</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(1,906)</w:t>
            </w:r>
          </w:p>
        </w:tc>
        <w:tc>
          <w:tcPr>
            <w:tcW w:w="0" w:type="dxa"/>
            <w:vAlign w:val="bottom"/>
          </w:tcPr>
          <w:p>
            <w:pPr>
              <w:spacing w:after="0"/>
              <w:rPr>
                <w:sz w:val="1"/>
                <w:szCs w:val="1"/>
                <w:color w:val="auto"/>
              </w:rPr>
            </w:pPr>
          </w:p>
        </w:tc>
      </w:tr>
      <w:tr>
        <w:trPr>
          <w:trHeight w:val="180"/>
        </w:trPr>
        <w:tc>
          <w:tcPr>
            <w:tcW w:w="5520" w:type="dxa"/>
            <w:vAlign w:val="bottom"/>
          </w:tcPr>
          <w:p>
            <w:pPr>
              <w:ind w:left="560"/>
              <w:spacing w:after="0"/>
              <w:rPr>
                <w:sz w:val="20"/>
                <w:szCs w:val="20"/>
                <w:color w:val="auto"/>
              </w:rPr>
            </w:pPr>
            <w:r>
              <w:rPr>
                <w:rFonts w:ascii="Courier New" w:cs="Courier New" w:eastAsia="Courier New" w:hAnsi="Courier New"/>
                <w:sz w:val="16"/>
                <w:szCs w:val="16"/>
                <w:color w:val="auto"/>
              </w:rPr>
              <w:t>assets before depreciation and amortization</w:t>
            </w:r>
          </w:p>
        </w:tc>
        <w:tc>
          <w:tcPr>
            <w:tcW w:w="39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460"/>
              <w:spacing w:after="0"/>
              <w:rPr>
                <w:sz w:val="20"/>
                <w:szCs w:val="20"/>
                <w:color w:val="auto"/>
              </w:rPr>
            </w:pPr>
            <w:r>
              <w:rPr>
                <w:rFonts w:ascii="Courier New" w:cs="Courier New" w:eastAsia="Courier New" w:hAnsi="Courier New"/>
                <w:sz w:val="16"/>
                <w:szCs w:val="16"/>
                <w:color w:val="auto"/>
              </w:rPr>
              <w:t>Decrease in operating accounts payable,</w:t>
            </w:r>
          </w:p>
        </w:tc>
        <w:tc>
          <w:tcPr>
            <w:tcW w:w="39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(1,252)</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(64)</w:t>
            </w:r>
          </w:p>
        </w:tc>
        <w:tc>
          <w:tcPr>
            <w:tcW w:w="0" w:type="dxa"/>
            <w:vAlign w:val="bottom"/>
          </w:tcPr>
          <w:p>
            <w:pPr>
              <w:spacing w:after="0"/>
              <w:rPr>
                <w:sz w:val="1"/>
                <w:szCs w:val="1"/>
                <w:color w:val="auto"/>
              </w:rPr>
            </w:pPr>
          </w:p>
        </w:tc>
      </w:tr>
      <w:tr>
        <w:trPr>
          <w:trHeight w:val="180"/>
        </w:trPr>
        <w:tc>
          <w:tcPr>
            <w:tcW w:w="5520" w:type="dxa"/>
            <w:vAlign w:val="bottom"/>
          </w:tcPr>
          <w:p>
            <w:pPr>
              <w:ind w:left="560"/>
              <w:spacing w:after="0"/>
              <w:rPr>
                <w:sz w:val="20"/>
                <w:szCs w:val="20"/>
                <w:color w:val="auto"/>
              </w:rPr>
            </w:pPr>
            <w:r>
              <w:rPr>
                <w:rFonts w:ascii="Courier New" w:cs="Courier New" w:eastAsia="Courier New" w:hAnsi="Courier New"/>
                <w:sz w:val="16"/>
                <w:szCs w:val="16"/>
                <w:color w:val="auto"/>
              </w:rPr>
              <w:t>security deposits and prepaid rent</w:t>
            </w:r>
          </w:p>
        </w:tc>
        <w:tc>
          <w:tcPr>
            <w:tcW w:w="39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460"/>
              <w:spacing w:after="0"/>
              <w:rPr>
                <w:sz w:val="20"/>
                <w:szCs w:val="20"/>
                <w:color w:val="auto"/>
              </w:rPr>
            </w:pPr>
            <w:r>
              <w:rPr>
                <w:rFonts w:ascii="Courier New" w:cs="Courier New" w:eastAsia="Courier New" w:hAnsi="Courier New"/>
                <w:sz w:val="16"/>
                <w:szCs w:val="16"/>
                <w:color w:val="auto"/>
              </w:rPr>
              <w:t>Increase in accrued expenses, before</w:t>
            </w:r>
          </w:p>
        </w:tc>
        <w:tc>
          <w:tcPr>
            <w:tcW w:w="39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2,616</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435</w:t>
            </w:r>
          </w:p>
        </w:tc>
        <w:tc>
          <w:tcPr>
            <w:tcW w:w="0" w:type="dxa"/>
            <w:vAlign w:val="bottom"/>
          </w:tcPr>
          <w:p>
            <w:pPr>
              <w:spacing w:after="0"/>
              <w:rPr>
                <w:sz w:val="1"/>
                <w:szCs w:val="1"/>
                <w:color w:val="auto"/>
              </w:rPr>
            </w:pPr>
          </w:p>
        </w:tc>
      </w:tr>
      <w:tr>
        <w:trPr>
          <w:trHeight w:val="180"/>
        </w:trPr>
        <w:tc>
          <w:tcPr>
            <w:tcW w:w="5520" w:type="dxa"/>
            <w:vAlign w:val="bottom"/>
          </w:tcPr>
          <w:p>
            <w:pPr>
              <w:ind w:left="560"/>
              <w:spacing w:after="0"/>
              <w:rPr>
                <w:sz w:val="20"/>
                <w:szCs w:val="20"/>
                <w:color w:val="auto"/>
              </w:rPr>
            </w:pPr>
            <w:r>
              <w:rPr>
                <w:rFonts w:ascii="Courier New" w:cs="Courier New" w:eastAsia="Courier New" w:hAnsi="Courier New"/>
                <w:sz w:val="16"/>
                <w:szCs w:val="16"/>
                <w:color w:val="auto"/>
              </w:rPr>
              <w:t>accretion of interest</w:t>
            </w:r>
          </w:p>
        </w:tc>
        <w:tc>
          <w:tcPr>
            <w:tcW w:w="39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520" w:type="dxa"/>
            <w:vAlign w:val="bottom"/>
            <w:vMerge w:val="continue"/>
          </w:tcPr>
          <w:p>
            <w:pPr>
              <w:spacing w:after="0"/>
              <w:rPr>
                <w:sz w:val="15"/>
                <w:szCs w:val="15"/>
                <w:color w:val="auto"/>
              </w:rPr>
            </w:pP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16,107</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9,637</w:t>
            </w:r>
          </w:p>
        </w:tc>
        <w:tc>
          <w:tcPr>
            <w:tcW w:w="0" w:type="dxa"/>
            <w:vAlign w:val="bottom"/>
          </w:tcPr>
          <w:p>
            <w:pPr>
              <w:spacing w:after="0"/>
              <w:rPr>
                <w:sz w:val="1"/>
                <w:szCs w:val="1"/>
                <w:color w:val="auto"/>
              </w:rPr>
            </w:pPr>
          </w:p>
        </w:tc>
      </w:tr>
      <w:tr>
        <w:trPr>
          <w:trHeight w:val="180"/>
        </w:trPr>
        <w:tc>
          <w:tcPr>
            <w:tcW w:w="552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39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(2,025)</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Acquisition of real estate</w:t>
            </w:r>
          </w:p>
        </w:tc>
        <w:tc>
          <w:tcPr>
            <w:tcW w:w="39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Capital expenditures</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(8,627)</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(8,690)</w:t>
            </w: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Net increase in notes receivable</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(218)</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(4,614)</w:t>
            </w: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Net decrease  in temporary investments</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69</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c>
          <w:tcPr>
            <w:tcW w:w="0" w:type="dxa"/>
            <w:vAlign w:val="bottom"/>
          </w:tcPr>
          <w:p>
            <w:pPr>
              <w:spacing w:after="0"/>
              <w:rPr>
                <w:sz w:val="1"/>
                <w:szCs w:val="1"/>
                <w:color w:val="auto"/>
              </w:rPr>
            </w:pPr>
          </w:p>
        </w:tc>
      </w:tr>
      <w:tr>
        <w:trPr>
          <w:trHeight w:val="180"/>
        </w:trPr>
        <w:tc>
          <w:tcPr>
            <w:tcW w:w="55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Net cash used in investing activities</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520" w:type="dxa"/>
            <w:vAlign w:val="bottom"/>
            <w:vMerge w:val="continue"/>
          </w:tcPr>
          <w:p>
            <w:pPr>
              <w:spacing w:after="0"/>
              <w:rPr>
                <w:sz w:val="15"/>
                <w:szCs w:val="15"/>
                <w:color w:val="auto"/>
              </w:rPr>
            </w:pP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(10,801)</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(13,209)</w:t>
            </w:r>
          </w:p>
        </w:tc>
        <w:tc>
          <w:tcPr>
            <w:tcW w:w="0" w:type="dxa"/>
            <w:vAlign w:val="bottom"/>
          </w:tcPr>
          <w:p>
            <w:pPr>
              <w:spacing w:after="0"/>
              <w:rPr>
                <w:sz w:val="1"/>
                <w:szCs w:val="1"/>
                <w:color w:val="auto"/>
              </w:rPr>
            </w:pPr>
          </w:p>
        </w:tc>
      </w:tr>
      <w:tr>
        <w:trPr>
          <w:trHeight w:val="180"/>
        </w:trPr>
        <w:tc>
          <w:tcPr>
            <w:tcW w:w="552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3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Regular payments on mortgages, capital leases, and</w:t>
            </w:r>
          </w:p>
        </w:tc>
        <w:tc>
          <w:tcPr>
            <w:tcW w:w="39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(540)</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(505)</w:t>
            </w:r>
          </w:p>
        </w:tc>
        <w:tc>
          <w:tcPr>
            <w:tcW w:w="0" w:type="dxa"/>
            <w:vAlign w:val="bottom"/>
          </w:tcPr>
          <w:p>
            <w:pPr>
              <w:spacing w:after="0"/>
              <w:rPr>
                <w:sz w:val="1"/>
                <w:szCs w:val="1"/>
                <w:color w:val="auto"/>
              </w:rPr>
            </w:pPr>
          </w:p>
        </w:tc>
      </w:tr>
      <w:tr>
        <w:trPr>
          <w:trHeight w:val="180"/>
        </w:trPr>
        <w:tc>
          <w:tcPr>
            <w:tcW w:w="5520" w:type="dxa"/>
            <w:vAlign w:val="bottom"/>
          </w:tcPr>
          <w:p>
            <w:pPr>
              <w:ind w:left="360"/>
              <w:spacing w:after="0"/>
              <w:rPr>
                <w:sz w:val="20"/>
                <w:szCs w:val="20"/>
                <w:color w:val="auto"/>
              </w:rPr>
            </w:pPr>
            <w:r>
              <w:rPr>
                <w:rFonts w:ascii="Courier New" w:cs="Courier New" w:eastAsia="Courier New" w:hAnsi="Courier New"/>
                <w:sz w:val="16"/>
                <w:szCs w:val="16"/>
                <w:color w:val="auto"/>
              </w:rPr>
              <w:t>notes payable</w:t>
            </w:r>
          </w:p>
        </w:tc>
        <w:tc>
          <w:tcPr>
            <w:tcW w:w="39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Balloon payments on mortgages and notes payable</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(23,601)</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Proceeds of mortgage financings, net of costs</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22,500</w:t>
            </w: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Repayments of short-term debt, net</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(54,745)</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(9,013)</w:t>
            </w: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Proceeds from senior notes</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98,906</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Dividends paid</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(11,804)</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(10,272)</w:t>
            </w: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Issuance of shares of beneficial interest</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471</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293</w:t>
            </w:r>
          </w:p>
        </w:tc>
        <w:tc>
          <w:tcPr>
            <w:tcW w:w="0" w:type="dxa"/>
            <w:vAlign w:val="bottom"/>
          </w:tcPr>
          <w:p>
            <w:pPr>
              <w:spacing w:after="0"/>
              <w:rPr>
                <w:sz w:val="1"/>
                <w:szCs w:val="1"/>
                <w:color w:val="auto"/>
              </w:rPr>
            </w:pPr>
          </w:p>
        </w:tc>
      </w:tr>
      <w:tr>
        <w:trPr>
          <w:trHeight w:val="180"/>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Decrease in minority interest</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c>
          <w:tcPr>
            <w:tcW w:w="0" w:type="dxa"/>
            <w:vAlign w:val="bottom"/>
          </w:tcPr>
          <w:p>
            <w:pPr>
              <w:spacing w:after="0"/>
              <w:rPr>
                <w:sz w:val="1"/>
                <w:szCs w:val="1"/>
                <w:color w:val="auto"/>
              </w:rPr>
            </w:pPr>
          </w:p>
        </w:tc>
      </w:tr>
      <w:tr>
        <w:trPr>
          <w:trHeight w:val="180"/>
        </w:trPr>
        <w:tc>
          <w:tcPr>
            <w:tcW w:w="55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520" w:type="dxa"/>
            <w:vAlign w:val="bottom"/>
            <w:vMerge w:val="continue"/>
          </w:tcPr>
          <w:p>
            <w:pPr>
              <w:spacing w:after="0"/>
              <w:rPr>
                <w:sz w:val="15"/>
                <w:szCs w:val="15"/>
                <w:color w:val="auto"/>
              </w:rPr>
            </w:pP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8,658</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2,887</w:t>
            </w:r>
          </w:p>
        </w:tc>
        <w:tc>
          <w:tcPr>
            <w:tcW w:w="0" w:type="dxa"/>
            <w:vAlign w:val="bottom"/>
          </w:tcPr>
          <w:p>
            <w:pPr>
              <w:spacing w:after="0"/>
              <w:rPr>
                <w:sz w:val="1"/>
                <w:szCs w:val="1"/>
                <w:color w:val="auto"/>
              </w:rPr>
            </w:pPr>
          </w:p>
        </w:tc>
      </w:tr>
      <w:tr>
        <w:trPr>
          <w:trHeight w:val="180"/>
        </w:trPr>
        <w:tc>
          <w:tcPr>
            <w:tcW w:w="5520" w:type="dxa"/>
            <w:vAlign w:val="bottom"/>
            <w:vMerge w:val="restart"/>
          </w:tcPr>
          <w:p>
            <w:pPr>
              <w:spacing w:after="0"/>
              <w:rPr>
                <w:sz w:val="20"/>
                <w:szCs w:val="20"/>
                <w:color w:val="auto"/>
              </w:rPr>
            </w:pPr>
            <w:r>
              <w:rPr>
                <w:rFonts w:ascii="Courier New" w:cs="Courier New" w:eastAsia="Courier New" w:hAnsi="Courier New"/>
                <w:sz w:val="16"/>
                <w:szCs w:val="16"/>
                <w:color w:val="auto"/>
              </w:rPr>
              <w:t>Increase (decrease) in cash</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520" w:type="dxa"/>
            <w:vAlign w:val="bottom"/>
            <w:vMerge w:val="continue"/>
          </w:tcPr>
          <w:p>
            <w:pPr>
              <w:spacing w:after="0"/>
              <w:rPr>
                <w:sz w:val="15"/>
                <w:szCs w:val="15"/>
                <w:color w:val="auto"/>
              </w:rPr>
            </w:pP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13,964</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(685)</w:t>
            </w:r>
          </w:p>
        </w:tc>
        <w:tc>
          <w:tcPr>
            <w:tcW w:w="0" w:type="dxa"/>
            <w:vAlign w:val="bottom"/>
          </w:tcPr>
          <w:p>
            <w:pPr>
              <w:spacing w:after="0"/>
              <w:rPr>
                <w:sz w:val="1"/>
                <w:szCs w:val="1"/>
                <w:color w:val="auto"/>
              </w:rPr>
            </w:pPr>
          </w:p>
        </w:tc>
      </w:tr>
      <w:tr>
        <w:trPr>
          <w:trHeight w:val="264"/>
        </w:trPr>
        <w:tc>
          <w:tcPr>
            <w:tcW w:w="5520" w:type="dxa"/>
            <w:vAlign w:val="bottom"/>
          </w:tcPr>
          <w:p>
            <w:pPr>
              <w:spacing w:after="0"/>
              <w:rPr>
                <w:sz w:val="20"/>
                <w:szCs w:val="20"/>
                <w:color w:val="auto"/>
              </w:rPr>
            </w:pPr>
            <w:r>
              <w:rPr>
                <w:rFonts w:ascii="Courier New" w:cs="Courier New" w:eastAsia="Courier New" w:hAnsi="Courier New"/>
                <w:sz w:val="16"/>
                <w:szCs w:val="16"/>
                <w:color w:val="auto"/>
              </w:rPr>
              <w:t>Cash at beginning of period</w:t>
            </w: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3,995</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9,635</w:t>
            </w:r>
          </w:p>
        </w:tc>
        <w:tc>
          <w:tcPr>
            <w:tcW w:w="0" w:type="dxa"/>
            <w:vAlign w:val="bottom"/>
          </w:tcPr>
          <w:p>
            <w:pPr>
              <w:spacing w:after="0"/>
              <w:rPr>
                <w:sz w:val="1"/>
                <w:szCs w:val="1"/>
                <w:color w:val="auto"/>
              </w:rPr>
            </w:pPr>
          </w:p>
        </w:tc>
      </w:tr>
      <w:tr>
        <w:trPr>
          <w:trHeight w:val="361"/>
        </w:trPr>
        <w:tc>
          <w:tcPr>
            <w:tcW w:w="5520" w:type="dxa"/>
            <w:vAlign w:val="bottom"/>
          </w:tcPr>
          <w:p>
            <w:pPr>
              <w:spacing w:after="0"/>
              <w:rPr>
                <w:sz w:val="24"/>
                <w:szCs w:val="24"/>
                <w:color w:val="auto"/>
              </w:rPr>
            </w:pPr>
          </w:p>
        </w:tc>
        <w:tc>
          <w:tcPr>
            <w:tcW w:w="3940" w:type="dxa"/>
            <w:vAlign w:val="bottom"/>
          </w:tcPr>
          <w:p>
            <w:pPr>
              <w:jc w:val="right"/>
              <w:ind w:right="3382"/>
              <w:spacing w:after="0"/>
              <w:rPr>
                <w:sz w:val="20"/>
                <w:szCs w:val="20"/>
                <w:color w:val="auto"/>
              </w:rPr>
            </w:pPr>
            <w:r>
              <w:rPr>
                <w:rFonts w:ascii="Courier New" w:cs="Courier New" w:eastAsia="Courier New" w:hAnsi="Courier New"/>
                <w:sz w:val="16"/>
                <w:szCs w:val="16"/>
                <w:color w:val="auto"/>
              </w:rPr>
              <w:t>9</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900" w:top="1440" w:right="139" w:bottom="1440" w:gutter="0" w:footer="0" w:header="0"/>
        </w:sectPr>
      </w:pPr>
    </w:p>
    <w:bookmarkStart w:id="9" w:name="page10"/>
    <w:bookmarkEnd w:id="9"/>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80" w:type="dxa"/>
            <w:vAlign w:val="bottom"/>
            <w:vMerge w:val="restart"/>
          </w:tcPr>
          <w:p>
            <w:pPr>
              <w:spacing w:after="0"/>
              <w:rPr>
                <w:sz w:val="20"/>
                <w:szCs w:val="20"/>
                <w:color w:val="auto"/>
              </w:rPr>
            </w:pPr>
            <w:r>
              <w:rPr>
                <w:rFonts w:ascii="Courier New" w:cs="Courier New" w:eastAsia="Courier New" w:hAnsi="Courier New"/>
                <w:sz w:val="16"/>
                <w:szCs w:val="16"/>
                <w:color w:val="auto"/>
              </w:rPr>
              <w:t>Cash at end of period</w:t>
            </w:r>
          </w:p>
        </w:tc>
        <w:tc>
          <w:tcPr>
            <w:tcW w:w="23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23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$17,959</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$8,950</w:t>
            </w:r>
          </w:p>
        </w:tc>
        <w:tc>
          <w:tcPr>
            <w:tcW w:w="0" w:type="dxa"/>
            <w:vAlign w:val="bottom"/>
          </w:tcPr>
          <w:p>
            <w:pPr>
              <w:spacing w:after="0"/>
              <w:rPr>
                <w:sz w:val="1"/>
                <w:szCs w:val="1"/>
                <w:color w:val="auto"/>
              </w:rPr>
            </w:pPr>
          </w:p>
        </w:tc>
      </w:tr>
      <w:tr>
        <w:trPr>
          <w:trHeight w:val="264"/>
        </w:trPr>
        <w:tc>
          <w:tcPr>
            <w:tcW w:w="7080" w:type="dxa"/>
            <w:vAlign w:val="bottom"/>
            <w:vMerge w:val="restart"/>
          </w:tcPr>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tc>
        <w:tc>
          <w:tcPr>
            <w:tcW w:w="23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860"/>
          </w:cols>
          <w:pgMar w:left="900" w:top="1440" w:right="139" w:bottom="1440" w:gutter="0" w:footer="0" w:header="0"/>
        </w:sectPr>
      </w:pPr>
    </w:p>
    <w:bookmarkStart w:id="10" w:name="page11"/>
    <w:bookmarkEnd w:id="10"/>
    <w:p>
      <w:pPr>
        <w:spacing w:after="0" w:line="93"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7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March 31, 1995</w:t>
      </w:r>
    </w:p>
    <w:p>
      <w:pPr>
        <w:spacing w:after="0" w:line="26"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(see accountants' review report)</w:t>
      </w:r>
    </w:p>
    <w:p>
      <w:pPr>
        <w:jc w:val="center"/>
        <w:ind w:right="2719"/>
        <w:spacing w:after="0"/>
        <w:rPr>
          <w:sz w:val="20"/>
          <w:szCs w:val="20"/>
          <w:color w:val="auto"/>
        </w:rPr>
      </w:pPr>
      <w:r>
        <w:rPr>
          <w:rFonts w:ascii="Courier New" w:cs="Courier New" w:eastAsia="Courier New" w:hAnsi="Courier New"/>
          <w:sz w:val="16"/>
          <w:szCs w:val="16"/>
          <w:color w:val="auto"/>
        </w:rPr>
        <w:t>(unaudited)</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ACCOUNTING POLICIES AND OTHER DATA</w:t>
      </w:r>
    </w:p>
    <w:p>
      <w:pPr>
        <w:spacing w:after="0" w:line="179" w:lineRule="exact"/>
        <w:rPr>
          <w:sz w:val="20"/>
          <w:szCs w:val="20"/>
          <w:color w:val="auto"/>
        </w:rPr>
      </w:pPr>
    </w:p>
    <w:p>
      <w:pPr>
        <w:ind w:right="2899" w:firstLine="844"/>
        <w:spacing w:after="0" w:line="321" w:lineRule="auto"/>
        <w:rPr>
          <w:sz w:val="20"/>
          <w:szCs w:val="20"/>
          <w:color w:val="auto"/>
        </w:rPr>
      </w:pPr>
      <w:r>
        <w:rPr>
          <w:rFonts w:ascii="Courier New" w:cs="Courier New" w:eastAsia="Courier New" w:hAnsi="Courier New"/>
          <w:sz w:val="15"/>
          <w:szCs w:val="15"/>
          <w:color w:val="auto"/>
        </w:rPr>
        <w:t>Reference should be made to the notes to financial statements included in the Annual Report to shareholders for the year ended December 31, 1994 which contain the Trust's accounting policies and other data.</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DIVIDENDS PAYABLE</w:t>
      </w:r>
    </w:p>
    <w:p>
      <w:pPr>
        <w:spacing w:after="0" w:line="179" w:lineRule="exact"/>
        <w:rPr>
          <w:sz w:val="20"/>
          <w:szCs w:val="20"/>
          <w:color w:val="auto"/>
        </w:rPr>
      </w:pPr>
    </w:p>
    <w:p>
      <w:pPr>
        <w:ind w:right="2899" w:firstLine="844"/>
        <w:spacing w:after="0" w:line="293" w:lineRule="auto"/>
        <w:rPr>
          <w:sz w:val="20"/>
          <w:szCs w:val="20"/>
          <w:color w:val="auto"/>
        </w:rPr>
      </w:pPr>
      <w:r>
        <w:rPr>
          <w:rFonts w:ascii="Courier New" w:cs="Courier New" w:eastAsia="Courier New" w:hAnsi="Courier New"/>
          <w:sz w:val="16"/>
          <w:szCs w:val="16"/>
          <w:color w:val="auto"/>
        </w:rPr>
        <w:t>On March 16, 1995 the Trustees declared a cash dividend of $.395 per share, payable April 14, 1995 to shareholders of record March 24, 1995.</w:t>
      </w:r>
    </w:p>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C - REAL ESTATE</w:t>
      </w:r>
    </w:p>
    <w:p>
      <w:pPr>
        <w:spacing w:after="0" w:line="179" w:lineRule="exact"/>
        <w:rPr>
          <w:sz w:val="20"/>
          <w:szCs w:val="20"/>
          <w:color w:val="auto"/>
        </w:rPr>
      </w:pPr>
    </w:p>
    <w:p>
      <w:pPr>
        <w:ind w:right="2899" w:firstLine="844"/>
        <w:spacing w:after="0" w:line="247" w:lineRule="auto"/>
        <w:rPr>
          <w:sz w:val="20"/>
          <w:szCs w:val="20"/>
          <w:color w:val="auto"/>
        </w:rPr>
      </w:pPr>
      <w:r>
        <w:rPr>
          <w:rFonts w:ascii="Courier New" w:cs="Courier New" w:eastAsia="Courier New" w:hAnsi="Courier New"/>
          <w:sz w:val="16"/>
          <w:szCs w:val="16"/>
          <w:color w:val="auto"/>
        </w:rPr>
        <w:t>On February 16, 1995 the Trust purchased a 6,800 square foot retail building in Greenwich, Connecticut for $2.0 million in cash. On April 5, 1995 the Trust purchased a 125,800 square foot portfolio of retail buildings in the West Hartford, Connecticut area for approximately $15.2 million in cash. On April 12, 1995 the Trust purchased a 35,500 square foot retail building in Greenwich, Connecticut for cash of approximately $12.9 million. Brokerage commissions of $452,000 were paid in connection with these purchases. The commissions were paid to a company which is fifty percent owned by a brother of the Trust's president. These commissions were paid pursuant to a brokerage contract on terms comparable to terms contained in contracts which the Trust has with brokers in other geographic areas in connection with the acquisition of retail buildings.</w:t>
      </w:r>
    </w:p>
    <w:p>
      <w:pPr>
        <w:spacing w:after="0" w:line="100" w:lineRule="exact"/>
        <w:rPr>
          <w:sz w:val="20"/>
          <w:szCs w:val="20"/>
          <w:color w:val="auto"/>
        </w:rPr>
      </w:pPr>
    </w:p>
    <w:p>
      <w:pPr>
        <w:ind w:right="2899" w:firstLine="469"/>
        <w:spacing w:after="0" w:line="293" w:lineRule="auto"/>
        <w:rPr>
          <w:sz w:val="20"/>
          <w:szCs w:val="20"/>
          <w:color w:val="auto"/>
        </w:rPr>
      </w:pPr>
      <w:r>
        <w:rPr>
          <w:rFonts w:ascii="Courier New" w:cs="Courier New" w:eastAsia="Courier New" w:hAnsi="Courier New"/>
          <w:sz w:val="16"/>
          <w:szCs w:val="16"/>
          <w:color w:val="auto"/>
        </w:rPr>
        <w:t>On April 27, 1995 the Trust purchased the 302,000 square foot Finley Square Shopping Center in Downers Grove, Illinois for cash of approximately $18.0 million.</w:t>
      </w:r>
    </w:p>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D - Senior Notes</w:t>
      </w:r>
    </w:p>
    <w:p>
      <w:pPr>
        <w:spacing w:after="0" w:line="179" w:lineRule="exact"/>
        <w:rPr>
          <w:sz w:val="20"/>
          <w:szCs w:val="20"/>
          <w:color w:val="auto"/>
        </w:rPr>
      </w:pPr>
    </w:p>
    <w:p>
      <w:pPr>
        <w:ind w:right="2999" w:firstLine="844"/>
        <w:spacing w:after="0" w:line="288" w:lineRule="auto"/>
        <w:rPr>
          <w:sz w:val="20"/>
          <w:szCs w:val="20"/>
          <w:color w:val="auto"/>
        </w:rPr>
      </w:pPr>
      <w:r>
        <w:rPr>
          <w:rFonts w:ascii="Courier New" w:cs="Courier New" w:eastAsia="Courier New" w:hAnsi="Courier New"/>
          <w:sz w:val="15"/>
          <w:szCs w:val="15"/>
          <w:color w:val="auto"/>
        </w:rPr>
        <w:t>On January 19, 1995 the Trust issued $100.0 million of 8 7/8% Notes, due January 15, 2000. The notes, which were issued at a price of 99.815%, pay interest semiannually on January 15 and July 15 and are not redeemable prior to maturity. After deducting the underwriter discount and other costs, the Trust netted approximately $98.9 million.</w:t>
      </w:r>
    </w:p>
    <w:p>
      <w:pPr>
        <w:spacing w:after="0" w:line="63" w:lineRule="exact"/>
        <w:rPr>
          <w:sz w:val="20"/>
          <w:szCs w:val="20"/>
          <w:color w:val="auto"/>
        </w:rPr>
      </w:pPr>
    </w:p>
    <w:p>
      <w:pPr>
        <w:jc w:val="both"/>
        <w:ind w:right="2819" w:firstLine="469"/>
        <w:spacing w:after="0" w:line="321" w:lineRule="auto"/>
        <w:rPr>
          <w:sz w:val="20"/>
          <w:szCs w:val="20"/>
          <w:color w:val="auto"/>
        </w:rPr>
      </w:pPr>
      <w:r>
        <w:rPr>
          <w:rFonts w:ascii="Courier New" w:cs="Courier New" w:eastAsia="Courier New" w:hAnsi="Courier New"/>
          <w:sz w:val="15"/>
          <w:szCs w:val="15"/>
          <w:color w:val="auto"/>
        </w:rPr>
        <w:t>In order to protect itself against the risk that the general level of interest rates for such securities would rise before the senior notes were priced, in December 1994, the Trust entered into two interest rate hedge</w:t>
      </w:r>
    </w:p>
    <w:p>
      <w:pPr>
        <w:spacing w:after="0" w:line="4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59"/>
          </w:cols>
          <w:pgMar w:left="700" w:top="1440" w:right="1440" w:bottom="1440" w:gutter="0" w:footer="0" w:header="0"/>
        </w:sectPr>
      </w:pPr>
    </w:p>
    <w:bookmarkStart w:id="11" w:name="page12"/>
    <w:bookmarkEnd w:id="11"/>
    <w:p>
      <w:pPr>
        <w:spacing w:after="0" w:line="93" w:lineRule="exact"/>
        <w:rPr>
          <w:sz w:val="20"/>
          <w:szCs w:val="20"/>
          <w:color w:val="auto"/>
        </w:rPr>
      </w:pPr>
    </w:p>
    <w:p>
      <w:pPr>
        <w:ind w:right="2899"/>
        <w:spacing w:after="0" w:line="321" w:lineRule="auto"/>
        <w:rPr>
          <w:sz w:val="20"/>
          <w:szCs w:val="20"/>
          <w:color w:val="auto"/>
        </w:rPr>
      </w:pPr>
      <w:r>
        <w:rPr>
          <w:rFonts w:ascii="Courier New" w:cs="Courier New" w:eastAsia="Courier New" w:hAnsi="Courier New"/>
          <w:sz w:val="15"/>
          <w:szCs w:val="15"/>
          <w:color w:val="auto"/>
        </w:rPr>
        <w:t>agreements on a total principal amount of $75.0 million. The cost of the agreements, which terminated on January 20, 1995, was $21,000, which is being amortized into interest expense over the life of the notes.</w:t>
      </w:r>
    </w:p>
    <w:p>
      <w:pPr>
        <w:spacing w:after="0" w:line="40" w:lineRule="exact"/>
        <w:rPr>
          <w:sz w:val="20"/>
          <w:szCs w:val="20"/>
          <w:color w:val="auto"/>
        </w:rPr>
      </w:pPr>
    </w:p>
    <w:p>
      <w:pPr>
        <w:ind w:right="2819" w:firstLine="469"/>
        <w:spacing w:after="0" w:line="299" w:lineRule="auto"/>
        <w:rPr>
          <w:sz w:val="20"/>
          <w:szCs w:val="20"/>
          <w:color w:val="auto"/>
        </w:rPr>
      </w:pPr>
      <w:r>
        <w:rPr>
          <w:rFonts w:ascii="Courier New" w:cs="Courier New" w:eastAsia="Courier New" w:hAnsi="Courier New"/>
          <w:sz w:val="15"/>
          <w:szCs w:val="15"/>
          <w:color w:val="auto"/>
        </w:rPr>
        <w:t>In January 1995, the Trust executed a five year interest rate swap on $25.0 million, whereby the Trust swapped fixed interest payment obligations of 8.136% for a floating rate interest payment of three month LIBOR. The floating rate during the first quarter of 1995 was 6.1875%.</w:t>
      </w:r>
    </w:p>
    <w:p>
      <w:pPr>
        <w:spacing w:after="0" w:line="55" w:lineRule="exact"/>
        <w:rPr>
          <w:sz w:val="20"/>
          <w:szCs w:val="20"/>
          <w:color w:val="auto"/>
        </w:rPr>
      </w:pPr>
    </w:p>
    <w:p>
      <w:pPr>
        <w:ind w:right="2899" w:firstLine="469"/>
        <w:spacing w:after="0" w:line="260" w:lineRule="auto"/>
        <w:rPr>
          <w:sz w:val="20"/>
          <w:szCs w:val="20"/>
          <w:color w:val="auto"/>
        </w:rPr>
      </w:pPr>
      <w:r>
        <w:rPr>
          <w:rFonts w:ascii="Courier New" w:cs="Courier New" w:eastAsia="Courier New" w:hAnsi="Courier New"/>
          <w:sz w:val="16"/>
          <w:szCs w:val="16"/>
          <w:color w:val="auto"/>
        </w:rPr>
        <w:t>On April 21, 1995 the Trust issued $25 million of senior notes. The notes, which are due April 21, 2002 and bear interest of 8%, payable semiannually, were issued at a price of 99.683%. The proceeds of $24.9 million were used to repay amounts which had been borrowed on the revolving credit facilities during April 1995 to fund acquisitions and property renovations.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E - MORTGAGES PAYABLE</w:t>
      </w:r>
    </w:p>
    <w:p>
      <w:pPr>
        <w:spacing w:after="0" w:line="179" w:lineRule="exact"/>
        <w:rPr>
          <w:sz w:val="20"/>
          <w:szCs w:val="20"/>
          <w:color w:val="auto"/>
        </w:rPr>
      </w:pPr>
    </w:p>
    <w:p>
      <w:pPr>
        <w:ind w:right="2999" w:firstLine="844"/>
        <w:spacing w:after="0" w:line="293" w:lineRule="auto"/>
        <w:rPr>
          <w:sz w:val="20"/>
          <w:szCs w:val="20"/>
          <w:color w:val="auto"/>
        </w:rPr>
      </w:pPr>
      <w:r>
        <w:rPr>
          <w:rFonts w:ascii="Courier New" w:cs="Courier New" w:eastAsia="Courier New" w:hAnsi="Courier New"/>
          <w:sz w:val="16"/>
          <w:szCs w:val="16"/>
          <w:color w:val="auto"/>
        </w:rPr>
        <w:t>In January, 1995 the Trust repaid the $22.5 million mortgage on Northeast Plaza in Atlanta, Georgia with proceeds from the senior note offering.</w:t>
      </w:r>
    </w:p>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 - NOTES PAYABLE</w:t>
      </w:r>
    </w:p>
    <w:p>
      <w:pPr>
        <w:spacing w:after="0" w:line="179" w:lineRule="exact"/>
        <w:rPr>
          <w:sz w:val="20"/>
          <w:szCs w:val="20"/>
          <w:color w:val="auto"/>
        </w:rPr>
      </w:pPr>
    </w:p>
    <w:p>
      <w:pPr>
        <w:ind w:right="2819" w:firstLine="844"/>
        <w:spacing w:after="0" w:line="252" w:lineRule="auto"/>
        <w:rPr>
          <w:sz w:val="20"/>
          <w:szCs w:val="20"/>
          <w:color w:val="auto"/>
        </w:rPr>
      </w:pPr>
      <w:r>
        <w:rPr>
          <w:rFonts w:ascii="Courier New" w:cs="Courier New" w:eastAsia="Courier New" w:hAnsi="Courier New"/>
          <w:sz w:val="16"/>
          <w:szCs w:val="16"/>
          <w:color w:val="auto"/>
        </w:rPr>
        <w:t>The Trust has $130 million of unsecured medium term revolving credit facilities with four banks. The facilities, which bear interest at LIBOR plus 85 to 100 basis points, require fees and have covenants requiring a minimum shareholders' equity and a maximum ratio of debt to net worth. The maximum drawn under these facilities during the first quarter of 1995 was $66.8 million which was repaid in January from the proceeds of the senior notes issuance. The weighted average interest rate on borrowings for the quarter ended March 31, 1995 was 7.0%. There was no borrowing under these facilities at March 31, 1995.</w:t>
      </w:r>
    </w:p>
    <w:p>
      <w:pPr>
        <w:spacing w:after="0" w:line="91" w:lineRule="exact"/>
        <w:rPr>
          <w:sz w:val="20"/>
          <w:szCs w:val="20"/>
          <w:color w:val="auto"/>
        </w:rPr>
      </w:pPr>
    </w:p>
    <w:p>
      <w:pPr>
        <w:ind w:right="2899" w:firstLine="844"/>
        <w:spacing w:after="0" w:line="257" w:lineRule="auto"/>
        <w:rPr>
          <w:sz w:val="20"/>
          <w:szCs w:val="20"/>
          <w:color w:val="auto"/>
        </w:rPr>
      </w:pPr>
      <w:r>
        <w:rPr>
          <w:rFonts w:ascii="Courier New" w:cs="Courier New" w:eastAsia="Courier New" w:hAnsi="Courier New"/>
          <w:sz w:val="16"/>
          <w:szCs w:val="16"/>
          <w:color w:val="auto"/>
        </w:rPr>
        <w:t>In January 1995 the Trust paid a $1.1 million note that had been issued in connection with the purchase of Queen Anne Plaza in December 1994. In connection with the buyout of a tenant at Queen Anne Plaza in January 1995, the Trust issued a noninterest bearing note payable of $2.2 million, due in annual installments of $200,000 for 11 years. Using an interest rate of 8 7/8%, the note has been recorded at its discounted value of $1.7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59"/>
          </w:cols>
          <w:pgMar w:left="700" w:top="1440" w:right="1440" w:bottom="1440" w:gutter="0" w:footer="0" w:header="0"/>
        </w:sectPr>
      </w:pPr>
    </w:p>
    <w:bookmarkStart w:id="12" w:name="page13"/>
    <w:bookmarkEnd w:id="12"/>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H - SHAREHOLDERS' EQUITY</w:t>
      </w:r>
    </w:p>
    <w:p>
      <w:pPr>
        <w:spacing w:after="0" w:line="179" w:lineRule="exact"/>
        <w:rPr>
          <w:sz w:val="20"/>
          <w:szCs w:val="20"/>
          <w:color w:val="auto"/>
        </w:rPr>
      </w:pPr>
    </w:p>
    <w:p>
      <w:pPr>
        <w:ind w:right="2899" w:firstLine="469"/>
        <w:spacing w:after="0" w:line="266" w:lineRule="auto"/>
        <w:rPr>
          <w:sz w:val="20"/>
          <w:szCs w:val="20"/>
          <w:color w:val="auto"/>
        </w:rPr>
      </w:pPr>
      <w:r>
        <w:rPr>
          <w:rFonts w:ascii="Courier New" w:cs="Courier New" w:eastAsia="Courier New" w:hAnsi="Courier New"/>
          <w:sz w:val="16"/>
          <w:szCs w:val="16"/>
          <w:color w:val="auto"/>
        </w:rPr>
        <w:t>During the first three months of 1995, 7,744 shares were issued at prices ranging from $15.00 a share to $20.50 a share as the result of the exercise of stock options. The Trust accepted a note from one of its officers of $5,002 in connection with the issuance of certain of these shares.</w:t>
      </w:r>
    </w:p>
    <w:p>
      <w:pPr>
        <w:spacing w:after="0" w:line="78" w:lineRule="exact"/>
        <w:rPr>
          <w:sz w:val="20"/>
          <w:szCs w:val="20"/>
          <w:color w:val="auto"/>
        </w:rPr>
      </w:pPr>
    </w:p>
    <w:p>
      <w:pPr>
        <w:ind w:right="2999" w:firstLine="844"/>
        <w:spacing w:after="0" w:line="348" w:lineRule="auto"/>
        <w:rPr>
          <w:sz w:val="20"/>
          <w:szCs w:val="20"/>
          <w:color w:val="auto"/>
        </w:rPr>
      </w:pPr>
      <w:r>
        <w:rPr>
          <w:rFonts w:ascii="Courier New" w:cs="Courier New" w:eastAsia="Courier New" w:hAnsi="Courier New"/>
          <w:sz w:val="16"/>
          <w:szCs w:val="16"/>
          <w:color w:val="auto"/>
        </w:rPr>
        <w:t>On February 15, 1995, 719,000 options at $20.75 were granted to employees of the Trust.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I - INTEREST EXPENSE</w:t>
      </w:r>
    </w:p>
    <w:p>
      <w:pPr>
        <w:spacing w:after="0" w:line="179" w:lineRule="exact"/>
        <w:rPr>
          <w:sz w:val="20"/>
          <w:szCs w:val="20"/>
          <w:color w:val="auto"/>
        </w:rPr>
      </w:pPr>
    </w:p>
    <w:p>
      <w:pPr>
        <w:ind w:right="2899" w:firstLine="844"/>
        <w:spacing w:after="0" w:line="266" w:lineRule="auto"/>
        <w:rPr>
          <w:sz w:val="20"/>
          <w:szCs w:val="20"/>
          <w:color w:val="auto"/>
        </w:rPr>
      </w:pPr>
      <w:r>
        <w:rPr>
          <w:rFonts w:ascii="Courier New" w:cs="Courier New" w:eastAsia="Courier New" w:hAnsi="Courier New"/>
          <w:sz w:val="16"/>
          <w:szCs w:val="16"/>
          <w:color w:val="auto"/>
        </w:rPr>
        <w:t>The Trust incurred interest expense totaling $9.2 million during the first quarter of 1995 and $8.2 million during the first quarter of 1994, of which $75,000 and $107,000, respectively, were capitalized. Interest paid was $6.7 million in the first quarter of 1995 and $6.5 million in the first quarter of 1994.</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J - COMMITMENTS AND CONTINGENCIES</w:t>
      </w:r>
    </w:p>
    <w:p>
      <w:pPr>
        <w:spacing w:after="0" w:line="179" w:lineRule="exact"/>
        <w:rPr>
          <w:sz w:val="20"/>
          <w:szCs w:val="20"/>
          <w:color w:val="auto"/>
        </w:rPr>
      </w:pPr>
    </w:p>
    <w:p>
      <w:pPr>
        <w:ind w:right="2899" w:firstLine="844"/>
        <w:spacing w:after="0" w:line="271" w:lineRule="auto"/>
        <w:rPr>
          <w:sz w:val="20"/>
          <w:szCs w:val="20"/>
          <w:color w:val="auto"/>
        </w:rPr>
      </w:pPr>
      <w:r>
        <w:rPr>
          <w:rFonts w:ascii="Courier New" w:cs="Courier New" w:eastAsia="Courier New" w:hAnsi="Courier New"/>
          <w:sz w:val="15"/>
          <w:szCs w:val="15"/>
          <w:color w:val="auto"/>
        </w:rPr>
        <w:t>The State of New Jersey Division of Taxation has assessed the Trust $364,000 in taxes, penalty and interest for the years 1985 through 1990, since the State has disallowed the dividends paid deduction in computing New Jersey taxable income. The Trust is protesting this assessment since the Trust believes that it is entitled to the deduction. At this time, the outcome of this matter is unknown; however in a case involving another real estate investment trust, the New Jersey tax court recently ruled that the dividends paid deduction was allowable. However, the State of New Jersey has appealed this ruling.</w:t>
      </w:r>
    </w:p>
    <w:p>
      <w:pPr>
        <w:spacing w:after="0" w:line="77" w:lineRule="exact"/>
        <w:rPr>
          <w:sz w:val="20"/>
          <w:szCs w:val="20"/>
          <w:color w:val="auto"/>
        </w:rPr>
      </w:pPr>
    </w:p>
    <w:p>
      <w:pPr>
        <w:ind w:right="2819" w:firstLine="844"/>
        <w:spacing w:after="0" w:line="275" w:lineRule="auto"/>
        <w:rPr>
          <w:sz w:val="20"/>
          <w:szCs w:val="20"/>
          <w:color w:val="auto"/>
        </w:rPr>
      </w:pPr>
      <w:r>
        <w:rPr>
          <w:rFonts w:ascii="Courier New" w:cs="Courier New" w:eastAsia="Courier New" w:hAnsi="Courier New"/>
          <w:sz w:val="16"/>
          <w:szCs w:val="16"/>
          <w:color w:val="auto"/>
        </w:rPr>
        <w:t>Included in the Trust's investments is $3.0 million of Olympia and York Senior First Mortgage Notes. The Olympia &amp; York notes were written down in 1992 to management's best estimate of their net realizable value.</w:t>
      </w:r>
    </w:p>
    <w:p>
      <w:pPr>
        <w:spacing w:after="0" w:line="71" w:lineRule="exact"/>
        <w:rPr>
          <w:sz w:val="20"/>
          <w:szCs w:val="20"/>
          <w:color w:val="auto"/>
        </w:rPr>
      </w:pPr>
    </w:p>
    <w:p>
      <w:pPr>
        <w:ind w:right="2899" w:firstLine="469"/>
        <w:spacing w:after="0" w:line="249" w:lineRule="auto"/>
        <w:rPr>
          <w:sz w:val="20"/>
          <w:szCs w:val="20"/>
          <w:color w:val="auto"/>
        </w:rPr>
      </w:pPr>
      <w:r>
        <w:rPr>
          <w:rFonts w:ascii="Courier New" w:cs="Courier New" w:eastAsia="Courier New" w:hAnsi="Courier New"/>
          <w:sz w:val="16"/>
          <w:szCs w:val="16"/>
          <w:color w:val="auto"/>
        </w:rPr>
        <w:t>As previously reported, certain of the Trust's shopping centers have some environmental contamination. The North Carolina Department of the Environment, Health and Natural Resources ("DEHNR") issued a Notice of Violation ("NOV") against a former drycleaner tenant at Eastgate Shopping Center in Chapel Hill, North Carolina concerning a spill at the shopping center. As owner of the shopping center, the Trust was named in and received a copy of the NOV. Estimates to remediate the spill range from $300,000 to $500,000. The Trust has entered into an agreement with two previous owners of the shopping center to share the costs to assess and remediate. In 1993 the Trust recorded a liability of $120,000 as its estimated share of the clean up costs.</w:t>
      </w:r>
    </w:p>
    <w:p>
      <w:pPr>
        <w:spacing w:after="0" w:line="96" w:lineRule="exact"/>
        <w:rPr>
          <w:sz w:val="20"/>
          <w:szCs w:val="20"/>
          <w:color w:val="auto"/>
        </w:rPr>
      </w:pPr>
    </w:p>
    <w:p>
      <w:pPr>
        <w:ind w:right="2819" w:firstLine="844"/>
        <w:spacing w:after="0" w:line="299" w:lineRule="auto"/>
        <w:rPr>
          <w:sz w:val="20"/>
          <w:szCs w:val="20"/>
          <w:color w:val="auto"/>
        </w:rPr>
      </w:pPr>
      <w:r>
        <w:rPr>
          <w:rFonts w:ascii="Courier New" w:cs="Courier New" w:eastAsia="Courier New" w:hAnsi="Courier New"/>
          <w:sz w:val="15"/>
          <w:szCs w:val="15"/>
          <w:color w:val="auto"/>
        </w:rPr>
        <w:t>In 1992 contaminants at levels in excess of New Jersey cleanup standards were identified at a shopping center in New Jersey. The Trust has retained an environmental consultant to investigate the contamination. The Trust is also evaluating whether it has insurance coverage for this</w:t>
      </w:r>
    </w:p>
    <w:p>
      <w:pPr>
        <w:spacing w:after="0" w:line="5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759"/>
          </w:cols>
          <w:pgMar w:left="700" w:top="1440" w:right="1440" w:bottom="1440" w:gutter="0" w:footer="0" w:header="0"/>
        </w:sectPr>
      </w:pPr>
    </w:p>
    <w:bookmarkStart w:id="13" w:name="page14"/>
    <w:bookmarkEnd w:id="13"/>
    <w:p>
      <w:pPr>
        <w:spacing w:after="0" w:line="93"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6"/>
          <w:szCs w:val="16"/>
          <w:color w:val="auto"/>
        </w:rPr>
        <w:t>matter. At this time, the Trust is unable to determine what the range of remediation costs might be. The Trust had also identified chlorinated solvent contamination at two other properties. In each case, the contamination appears to be linked to the current and/or previous dry cleaner. One site has been cleared. The Trust intends to look to the responsible parties for any remediation effort at the other property. Evaluation of the remaining situation is preliminary and it is impossible to estimate the range of remediation costs, if any.</w:t>
      </w:r>
    </w:p>
    <w:p>
      <w:pPr>
        <w:spacing w:after="0" w:line="89" w:lineRule="exact"/>
        <w:rPr>
          <w:sz w:val="20"/>
          <w:szCs w:val="20"/>
          <w:color w:val="auto"/>
        </w:rPr>
      </w:pPr>
    </w:p>
    <w:p>
      <w:pPr>
        <w:ind w:right="2819" w:firstLine="844"/>
        <w:spacing w:after="0" w:line="257" w:lineRule="auto"/>
        <w:rPr>
          <w:sz w:val="20"/>
          <w:szCs w:val="20"/>
          <w:color w:val="auto"/>
        </w:rPr>
      </w:pPr>
      <w:r>
        <w:rPr>
          <w:rFonts w:ascii="Courier New" w:cs="Courier New" w:eastAsia="Courier New" w:hAnsi="Courier New"/>
          <w:sz w:val="16"/>
          <w:szCs w:val="16"/>
          <w:color w:val="auto"/>
        </w:rPr>
        <w:t>The Trust reserved $2.25 million at closing in 1993 for environmental issues principally associated with Gaithersburg Square Shopping Center.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w:t>
      </w:r>
    </w:p>
    <w:p>
      <w:pPr>
        <w:spacing w:after="0" w:line="84" w:lineRule="exact"/>
        <w:rPr>
          <w:sz w:val="20"/>
          <w:szCs w:val="20"/>
          <w:color w:val="auto"/>
        </w:rPr>
      </w:pPr>
    </w:p>
    <w:p>
      <w:pPr>
        <w:ind w:right="2999" w:firstLine="844"/>
        <w:spacing w:after="0" w:line="266" w:lineRule="auto"/>
        <w:rPr>
          <w:sz w:val="20"/>
          <w:szCs w:val="20"/>
          <w:color w:val="auto"/>
        </w:rPr>
      </w:pPr>
      <w:r>
        <w:rPr>
          <w:rFonts w:ascii="Courier New" w:cs="Courier New" w:eastAsia="Courier New" w:hAnsi="Courier New"/>
          <w:sz w:val="16"/>
          <w:szCs w:val="16"/>
          <w:color w:val="auto"/>
        </w:rPr>
        <w:t>At March 31, 1995 in connection with certain redevelopment projects and tenant fitouts, the Trust is contractually obligated on contracts of approximately $2.9 million. At March 31, 1995 the Trust is also contractually obligated under leases with tenants to provide approximately $7.9 million for improvements.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K - COMPONENTS OF RENTAL INCOME</w:t>
      </w:r>
    </w:p>
    <w:p>
      <w:pPr>
        <w:spacing w:after="0" w:line="179" w:lineRule="exact"/>
        <w:rPr>
          <w:sz w:val="20"/>
          <w:szCs w:val="20"/>
          <w:color w:val="auto"/>
        </w:rPr>
      </w:pPr>
    </w:p>
    <w:p>
      <w:pPr>
        <w:ind w:right="2899" w:firstLine="844"/>
        <w:spacing w:after="0" w:line="348" w:lineRule="auto"/>
        <w:rPr>
          <w:sz w:val="20"/>
          <w:szCs w:val="20"/>
          <w:color w:val="auto"/>
        </w:rPr>
      </w:pPr>
      <w:r>
        <w:rPr>
          <w:rFonts w:ascii="Courier New" w:cs="Courier New" w:eastAsia="Courier New" w:hAnsi="Courier New"/>
          <w:sz w:val="16"/>
          <w:szCs w:val="16"/>
          <w:color w:val="auto"/>
        </w:rPr>
        <w:t>The components of rental income for the three months ended March 31 are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80" w:type="dxa"/>
            <w:vAlign w:val="bottom"/>
          </w:tcPr>
          <w:p>
            <w:pPr>
              <w:spacing w:after="0"/>
              <w:rPr>
                <w:sz w:val="15"/>
                <w:szCs w:val="15"/>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1995</w:t>
            </w:r>
          </w:p>
        </w:tc>
        <w:tc>
          <w:tcPr>
            <w:tcW w:w="15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1994</w:t>
            </w:r>
          </w:p>
        </w:tc>
        <w:tc>
          <w:tcPr>
            <w:tcW w:w="0" w:type="dxa"/>
            <w:vAlign w:val="bottom"/>
          </w:tcPr>
          <w:p>
            <w:pPr>
              <w:spacing w:after="0"/>
              <w:rPr>
                <w:sz w:val="1"/>
                <w:szCs w:val="1"/>
                <w:color w:val="auto"/>
              </w:rPr>
            </w:pPr>
          </w:p>
        </w:tc>
      </w:tr>
      <w:tr>
        <w:trPr>
          <w:trHeight w:val="264"/>
        </w:trPr>
        <w:tc>
          <w:tcPr>
            <w:tcW w:w="2580" w:type="dxa"/>
            <w:vAlign w:val="bottom"/>
            <w:vMerge w:val="restart"/>
          </w:tcPr>
          <w:p>
            <w:pPr>
              <w:spacing w:after="0"/>
              <w:rPr>
                <w:sz w:val="20"/>
                <w:szCs w:val="20"/>
                <w:color w:val="auto"/>
              </w:rPr>
            </w:pPr>
            <w:r>
              <w:rPr>
                <w:rFonts w:ascii="Courier New" w:cs="Courier New" w:eastAsia="Courier New" w:hAnsi="Courier New"/>
                <w:sz w:val="16"/>
                <w:szCs w:val="16"/>
                <w:color w:val="auto"/>
              </w:rPr>
              <w:t>Shopping Centers</w:t>
            </w:r>
          </w:p>
        </w:tc>
        <w:tc>
          <w:tcPr>
            <w:tcW w:w="1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97"/>
        </w:trPr>
        <w:tc>
          <w:tcPr>
            <w:tcW w:w="2580" w:type="dxa"/>
            <w:vAlign w:val="bottom"/>
            <w:vMerge w:val="continue"/>
          </w:tcPr>
          <w:p>
            <w:pPr>
              <w:spacing w:after="0"/>
              <w:rPr>
                <w:sz w:val="8"/>
                <w:szCs w:val="8"/>
                <w:color w:val="auto"/>
              </w:rPr>
            </w:pPr>
          </w:p>
        </w:tc>
        <w:tc>
          <w:tcPr>
            <w:tcW w:w="150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$26,540</w:t>
            </w:r>
          </w:p>
        </w:tc>
        <w:tc>
          <w:tcPr>
            <w:tcW w:w="156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$23,233</w:t>
            </w:r>
          </w:p>
        </w:tc>
        <w:tc>
          <w:tcPr>
            <w:tcW w:w="0" w:type="dxa"/>
            <w:vAlign w:val="bottom"/>
          </w:tcPr>
          <w:p>
            <w:pPr>
              <w:spacing w:after="0"/>
              <w:rPr>
                <w:sz w:val="1"/>
                <w:szCs w:val="1"/>
                <w:color w:val="auto"/>
              </w:rPr>
            </w:pPr>
          </w:p>
        </w:tc>
      </w:tr>
      <w:tr>
        <w:trPr>
          <w:trHeight w:val="180"/>
        </w:trPr>
        <w:tc>
          <w:tcPr>
            <w:tcW w:w="2580" w:type="dxa"/>
            <w:vAlign w:val="bottom"/>
          </w:tcPr>
          <w:p>
            <w:pPr>
              <w:ind w:left="280"/>
              <w:spacing w:after="0"/>
              <w:rPr>
                <w:sz w:val="20"/>
                <w:szCs w:val="20"/>
                <w:color w:val="auto"/>
              </w:rPr>
            </w:pPr>
            <w:r>
              <w:rPr>
                <w:rFonts w:ascii="Courier New" w:cs="Courier New" w:eastAsia="Courier New" w:hAnsi="Courier New"/>
                <w:sz w:val="16"/>
                <w:szCs w:val="16"/>
                <w:color w:val="auto"/>
              </w:rPr>
              <w:t>Minimum rents</w:t>
            </w:r>
          </w:p>
        </w:tc>
        <w:tc>
          <w:tcPr>
            <w:tcW w:w="150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tcPr>
          <w:p>
            <w:pPr>
              <w:ind w:left="280"/>
              <w:spacing w:after="0"/>
              <w:rPr>
                <w:sz w:val="20"/>
                <w:szCs w:val="20"/>
                <w:color w:val="auto"/>
              </w:rPr>
            </w:pPr>
            <w:r>
              <w:rPr>
                <w:rFonts w:ascii="Courier New" w:cs="Courier New" w:eastAsia="Courier New" w:hAnsi="Courier New"/>
                <w:sz w:val="16"/>
                <w:szCs w:val="16"/>
                <w:color w:val="auto"/>
              </w:rPr>
              <w:t>Cost reimbursements</w:t>
            </w:r>
          </w:p>
        </w:tc>
        <w:tc>
          <w:tcPr>
            <w:tcW w:w="15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5,650</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6,114</w:t>
            </w:r>
          </w:p>
        </w:tc>
        <w:tc>
          <w:tcPr>
            <w:tcW w:w="0" w:type="dxa"/>
            <w:vAlign w:val="bottom"/>
          </w:tcPr>
          <w:p>
            <w:pPr>
              <w:spacing w:after="0"/>
              <w:rPr>
                <w:sz w:val="1"/>
                <w:szCs w:val="1"/>
                <w:color w:val="auto"/>
              </w:rPr>
            </w:pPr>
          </w:p>
        </w:tc>
      </w:tr>
      <w:tr>
        <w:trPr>
          <w:trHeight w:val="180"/>
        </w:trPr>
        <w:tc>
          <w:tcPr>
            <w:tcW w:w="2580" w:type="dxa"/>
            <w:vAlign w:val="bottom"/>
          </w:tcPr>
          <w:p>
            <w:pPr>
              <w:ind w:left="280"/>
              <w:spacing w:after="0"/>
              <w:rPr>
                <w:sz w:val="20"/>
                <w:szCs w:val="20"/>
                <w:color w:val="auto"/>
              </w:rPr>
            </w:pPr>
            <w:r>
              <w:rPr>
                <w:rFonts w:ascii="Courier New" w:cs="Courier New" w:eastAsia="Courier New" w:hAnsi="Courier New"/>
                <w:sz w:val="16"/>
                <w:szCs w:val="16"/>
                <w:color w:val="auto"/>
              </w:rPr>
              <w:t>Percentage rents</w:t>
            </w:r>
          </w:p>
        </w:tc>
        <w:tc>
          <w:tcPr>
            <w:tcW w:w="15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1,604</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1,564</w:t>
            </w:r>
          </w:p>
        </w:tc>
        <w:tc>
          <w:tcPr>
            <w:tcW w:w="0" w:type="dxa"/>
            <w:vAlign w:val="bottom"/>
          </w:tcPr>
          <w:p>
            <w:pPr>
              <w:spacing w:after="0"/>
              <w:rPr>
                <w:sz w:val="1"/>
                <w:szCs w:val="1"/>
                <w:color w:val="auto"/>
              </w:rPr>
            </w:pPr>
          </w:p>
        </w:tc>
      </w:tr>
      <w:tr>
        <w:trPr>
          <w:trHeight w:val="180"/>
        </w:trPr>
        <w:tc>
          <w:tcPr>
            <w:tcW w:w="2580" w:type="dxa"/>
            <w:vAlign w:val="bottom"/>
          </w:tcPr>
          <w:p>
            <w:pPr>
              <w:spacing w:after="0"/>
              <w:rPr>
                <w:sz w:val="20"/>
                <w:szCs w:val="20"/>
                <w:color w:val="auto"/>
              </w:rPr>
            </w:pPr>
            <w:r>
              <w:rPr>
                <w:rFonts w:ascii="Courier New" w:cs="Courier New" w:eastAsia="Courier New" w:hAnsi="Courier New"/>
                <w:sz w:val="16"/>
                <w:szCs w:val="16"/>
                <w:color w:val="auto"/>
              </w:rPr>
              <w:t>Apartments</w:t>
            </w:r>
          </w:p>
        </w:tc>
        <w:tc>
          <w:tcPr>
            <w:tcW w:w="15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613</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570</w:t>
            </w:r>
          </w:p>
        </w:tc>
        <w:tc>
          <w:tcPr>
            <w:tcW w:w="0" w:type="dxa"/>
            <w:vAlign w:val="bottom"/>
          </w:tcPr>
          <w:p>
            <w:pPr>
              <w:spacing w:after="0"/>
              <w:rPr>
                <w:sz w:val="1"/>
                <w:szCs w:val="1"/>
                <w:color w:val="auto"/>
              </w:rPr>
            </w:pPr>
          </w:p>
        </w:tc>
      </w:tr>
      <w:tr>
        <w:trPr>
          <w:trHeight w:val="180"/>
        </w:trPr>
        <w:tc>
          <w:tcPr>
            <w:tcW w:w="2580" w:type="dxa"/>
            <w:vAlign w:val="bottom"/>
          </w:tcPr>
          <w:p>
            <w:pPr>
              <w:spacing w:after="0"/>
              <w:rPr>
                <w:sz w:val="15"/>
                <w:szCs w:val="15"/>
                <w:color w:val="auto"/>
              </w:rPr>
            </w:pPr>
          </w:p>
        </w:tc>
        <w:tc>
          <w:tcPr>
            <w:tcW w:w="15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2580" w:type="dxa"/>
            <w:vAlign w:val="bottom"/>
          </w:tcPr>
          <w:p>
            <w:pPr>
              <w:spacing w:after="0"/>
              <w:rPr>
                <w:sz w:val="15"/>
                <w:szCs w:val="15"/>
                <w:color w:val="auto"/>
              </w:rPr>
            </w:pPr>
          </w:p>
        </w:tc>
        <w:tc>
          <w:tcPr>
            <w:tcW w:w="15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$34,407</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$31,481</w:t>
            </w: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5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759"/>
          </w:cols>
          <w:pgMar w:left="700" w:top="1440" w:right="1440" w:bottom="1440" w:gutter="0" w:footer="0" w:header="0"/>
        </w:sectPr>
      </w:pPr>
    </w:p>
    <w:bookmarkStart w:id="14" w:name="page15"/>
    <w:bookmarkEnd w:id="14"/>
    <w:p>
      <w:pPr>
        <w:spacing w:after="0" w:line="93"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FEDERAL REALTY INVESTMENT TRUST</w:t>
      </w:r>
    </w:p>
    <w:p>
      <w:pPr>
        <w:spacing w:after="0" w:line="2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FORM 10-Q</w:t>
      </w:r>
    </w:p>
    <w:p>
      <w:pPr>
        <w:ind w:left="2920"/>
        <w:spacing w:after="0"/>
        <w:rPr>
          <w:sz w:val="20"/>
          <w:szCs w:val="20"/>
          <w:color w:val="auto"/>
        </w:rPr>
      </w:pPr>
      <w:r>
        <w:rPr>
          <w:rFonts w:ascii="Courier New" w:cs="Courier New" w:eastAsia="Courier New" w:hAnsi="Courier New"/>
          <w:sz w:val="16"/>
          <w:szCs w:val="16"/>
          <w:color w:val="auto"/>
        </w:rPr>
        <w:t>MARCH 31, 1995</w:t>
      </w:r>
    </w:p>
    <w:p>
      <w:pPr>
        <w:spacing w:after="0" w:line="15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27"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9" w:lineRule="exact"/>
        <w:rPr>
          <w:sz w:val="20"/>
          <w:szCs w:val="20"/>
          <w:color w:val="auto"/>
        </w:rPr>
      </w:pPr>
    </w:p>
    <w:p>
      <w:pPr>
        <w:ind w:right="2819" w:firstLine="844"/>
        <w:spacing w:after="0" w:line="254" w:lineRule="auto"/>
        <w:rPr>
          <w:sz w:val="20"/>
          <w:szCs w:val="20"/>
          <w:color w:val="auto"/>
        </w:rPr>
      </w:pPr>
      <w:r>
        <w:rPr>
          <w:rFonts w:ascii="Courier New" w:cs="Courier New" w:eastAsia="Courier New" w:hAnsi="Courier New"/>
          <w:sz w:val="16"/>
          <w:szCs w:val="16"/>
          <w:color w:val="auto"/>
        </w:rPr>
        <w:t>Federal Realty meets its liquidity requirements through net cash provided by operating activities, long term borrowing through debt offerings and mortgages, medium and short term borrowing under revolving credit facilities,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89" w:lineRule="exact"/>
        <w:rPr>
          <w:sz w:val="20"/>
          <w:szCs w:val="20"/>
          <w:color w:val="auto"/>
        </w:rPr>
      </w:pPr>
    </w:p>
    <w:p>
      <w:pPr>
        <w:ind w:right="2819" w:firstLine="469"/>
        <w:spacing w:after="0" w:line="276" w:lineRule="auto"/>
        <w:rPr>
          <w:sz w:val="20"/>
          <w:szCs w:val="20"/>
          <w:color w:val="auto"/>
        </w:rPr>
      </w:pPr>
      <w:r>
        <w:rPr>
          <w:rFonts w:ascii="Courier New" w:cs="Courier New" w:eastAsia="Courier New" w:hAnsi="Courier New"/>
          <w:sz w:val="15"/>
          <w:szCs w:val="15"/>
          <w:color w:val="auto"/>
        </w:rPr>
        <w:t>In February 1995 the Trust purchased a main street retail building for $2.0 million in cash. During the first quarter of 1995 the Trust spent $8.6 million on tenant work and improvements to its properties; these improvements included: (1) $2.6 million on Congressional Plaza whose redevelopment is in the final phases; (2) $1.7 million to buy out a below market lease at Queen Anne Plaza; and (3) $900,000 on Gaithersburg Square which is currently being expanded, redeveloped and retenanted.</w:t>
      </w:r>
    </w:p>
    <w:p>
      <w:pPr>
        <w:spacing w:after="0" w:line="75" w:lineRule="exact"/>
        <w:rPr>
          <w:sz w:val="20"/>
          <w:szCs w:val="20"/>
          <w:color w:val="auto"/>
        </w:rPr>
      </w:pPr>
    </w:p>
    <w:p>
      <w:pPr>
        <w:ind w:right="3179" w:firstLine="844"/>
        <w:spacing w:after="0" w:line="260" w:lineRule="auto"/>
        <w:rPr>
          <w:sz w:val="20"/>
          <w:szCs w:val="20"/>
          <w:color w:val="auto"/>
        </w:rPr>
      </w:pPr>
      <w:r>
        <w:rPr>
          <w:rFonts w:ascii="Courier New" w:cs="Courier New" w:eastAsia="Courier New" w:hAnsi="Courier New"/>
          <w:sz w:val="16"/>
          <w:szCs w:val="16"/>
          <w:color w:val="auto"/>
        </w:rPr>
        <w:t>On January 19, 1995 the Trust issued $100.0 million of 8 7/8% Notes, due January 15, 2000, netting proceeds of approximately $98.9 million. The proceeds from this issuance were used to repay a $22.5 million mortgage, to repay $66.8 million which was outstanding on its revolving credit facilities and to partially fund the first quarter property acquisitions and improvements.</w:t>
      </w:r>
    </w:p>
    <w:p>
      <w:pPr>
        <w:spacing w:after="0" w:line="84" w:lineRule="exact"/>
        <w:rPr>
          <w:sz w:val="20"/>
          <w:szCs w:val="20"/>
          <w:color w:val="auto"/>
        </w:rPr>
      </w:pPr>
    </w:p>
    <w:p>
      <w:pPr>
        <w:ind w:right="2899" w:firstLine="844"/>
        <w:spacing w:after="0" w:line="249" w:lineRule="auto"/>
        <w:rPr>
          <w:sz w:val="20"/>
          <w:szCs w:val="20"/>
          <w:color w:val="auto"/>
        </w:rPr>
      </w:pPr>
      <w:r>
        <w:rPr>
          <w:rFonts w:ascii="Courier New" w:cs="Courier New" w:eastAsia="Courier New" w:hAnsi="Courier New"/>
          <w:sz w:val="16"/>
          <w:szCs w:val="16"/>
          <w:color w:val="auto"/>
        </w:rPr>
        <w:t>The Trust has available $130.0 million of unsecured medium-term revolving credit facilities with four banks. The facilities, which require fees and have covenants requiring a minimum shareholders' equity and a maximum ratio of debt to net worth, are used to fund acquisitions and other cash requirements until conditions are favorable for issuing equity or long term debt. At March 31, 1995 there was no borrowing under these facilities. The maximum amount borrowed under these facilities during the first quarter of 1995 was $66.8 million. Amounts advanced under these facilities bear interest at LIBOR plus 85 - 100 basis points; the weighted average interest rate on borrowings during the quarter was 7.0%.</w:t>
      </w:r>
    </w:p>
    <w:p>
      <w:pPr>
        <w:spacing w:after="0" w:line="96" w:lineRule="exact"/>
        <w:rPr>
          <w:sz w:val="20"/>
          <w:szCs w:val="20"/>
          <w:color w:val="auto"/>
        </w:rPr>
      </w:pPr>
    </w:p>
    <w:p>
      <w:pPr>
        <w:ind w:right="2899" w:firstLine="469"/>
        <w:spacing w:after="0" w:line="276" w:lineRule="auto"/>
        <w:rPr>
          <w:sz w:val="20"/>
          <w:szCs w:val="20"/>
          <w:color w:val="auto"/>
        </w:rPr>
      </w:pPr>
      <w:r>
        <w:rPr>
          <w:rFonts w:ascii="Courier New" w:cs="Courier New" w:eastAsia="Courier New" w:hAnsi="Courier New"/>
          <w:sz w:val="15"/>
          <w:szCs w:val="15"/>
          <w:color w:val="auto"/>
        </w:rPr>
        <w:t>The Trust is committed under leases for approximately $7.9 million in tenant work. In addition the Trust has budgeted approximately $39 million for the remainder of 1995 for improvements to its properties, including the renovations of Brick Plaza, Gaithersburg Square and the completion of the renovation of Congressional Plaza. Furthermore, the Trust is actively seeking to acquire shopping centers in its core major metropolitan markets and to acquire retail buildings in densely developed</w:t>
      </w:r>
    </w:p>
    <w:p>
      <w:pPr>
        <w:spacing w:after="0" w:line="7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759"/>
          </w:cols>
          <w:pgMar w:left="700" w:top="1440" w:right="1440" w:bottom="1440" w:gutter="0" w:footer="0" w:header="0"/>
        </w:sectPr>
      </w:pPr>
    </w:p>
    <w:bookmarkStart w:id="15" w:name="page16"/>
    <w:bookmarkEnd w:id="15"/>
    <w:p>
      <w:pPr>
        <w:spacing w:after="0" w:line="93" w:lineRule="exact"/>
        <w:rPr>
          <w:sz w:val="20"/>
          <w:szCs w:val="20"/>
          <w:color w:val="auto"/>
        </w:rPr>
      </w:pPr>
    </w:p>
    <w:p>
      <w:pPr>
        <w:ind w:right="2999"/>
        <w:spacing w:after="0" w:line="299" w:lineRule="auto"/>
        <w:rPr>
          <w:sz w:val="20"/>
          <w:szCs w:val="20"/>
          <w:color w:val="auto"/>
        </w:rPr>
      </w:pPr>
      <w:r>
        <w:rPr>
          <w:rFonts w:ascii="Courier New" w:cs="Courier New" w:eastAsia="Courier New" w:hAnsi="Courier New"/>
          <w:sz w:val="15"/>
          <w:szCs w:val="15"/>
          <w:color w:val="auto"/>
        </w:rPr>
        <w:t>urban and suburban areas. The Trust is also continuing to study site acquisitions in its core markets to permit the Trust to develop shopping centers. These expenditures will be funded with the revolving credit facilities pending their permanent financing with either equity or debt.</w:t>
      </w:r>
    </w:p>
    <w:p>
      <w:pPr>
        <w:spacing w:after="0" w:line="55" w:lineRule="exact"/>
        <w:rPr>
          <w:sz w:val="20"/>
          <w:szCs w:val="20"/>
          <w:color w:val="auto"/>
        </w:rPr>
      </w:pPr>
    </w:p>
    <w:p>
      <w:pPr>
        <w:ind w:right="2819" w:firstLine="469"/>
        <w:spacing w:after="0" w:line="254" w:lineRule="auto"/>
        <w:rPr>
          <w:sz w:val="20"/>
          <w:szCs w:val="20"/>
          <w:color w:val="auto"/>
        </w:rPr>
      </w:pPr>
      <w:r>
        <w:rPr>
          <w:rFonts w:ascii="Courier New" w:cs="Courier New" w:eastAsia="Courier New" w:hAnsi="Courier New"/>
          <w:sz w:val="16"/>
          <w:szCs w:val="16"/>
          <w:color w:val="auto"/>
        </w:rPr>
        <w:t>On April 5, 1995 the Trust purchased a 125,800 square foot portfolio of seven retail buildings in the West Hartford, Connecticut area for $15.2 million. Then on April 12, 1995 the Trust purchased a 35,500 square foot retail building in Greenwich, Connecticut for $12.9 million. These expenditures were funded with available cash and the revolving credit facilities until April 21, 1995 when the Trust issued $25.0 million of 8% senior notes due 2002, the proceeds from which were used to repay the revolving credit facilities.</w:t>
      </w:r>
    </w:p>
    <w:p>
      <w:pPr>
        <w:spacing w:after="0" w:line="89" w:lineRule="exact"/>
        <w:rPr>
          <w:sz w:val="20"/>
          <w:szCs w:val="20"/>
          <w:color w:val="auto"/>
        </w:rPr>
      </w:pPr>
    </w:p>
    <w:p>
      <w:pPr>
        <w:ind w:right="2899" w:firstLine="469"/>
        <w:spacing w:after="0" w:line="293" w:lineRule="auto"/>
        <w:rPr>
          <w:sz w:val="20"/>
          <w:szCs w:val="20"/>
          <w:color w:val="auto"/>
        </w:rPr>
      </w:pPr>
      <w:r>
        <w:rPr>
          <w:rFonts w:ascii="Courier New" w:cs="Courier New" w:eastAsia="Courier New" w:hAnsi="Courier New"/>
          <w:sz w:val="16"/>
          <w:szCs w:val="16"/>
          <w:color w:val="auto"/>
        </w:rPr>
        <w:t>On April 27, 1995 the Trust purchased the 302,000 square foot Finley Square Shopping Center in Downers Grove, Illinois for cash of approximately $18.0 million.</w:t>
      </w:r>
    </w:p>
    <w:p>
      <w:pPr>
        <w:spacing w:after="0" w:line="58"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6"/>
          <w:szCs w:val="16"/>
          <w:color w:val="auto"/>
        </w:rPr>
        <w:t>The Trust believes that the amounts available under its revolving credit facilities provide it with the liquidity needed for its short term renovation and acquisition plans. The Trust believes that the unencumbered value of its properties and its access to the capital markets, as demonstrated by its past success in raising capital, give it the ability to raise the capital, both debt and equity, needed to fund its long term capital and debt repayment needs.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CONTINGENCIES</w:t>
      </w:r>
    </w:p>
    <w:p>
      <w:pPr>
        <w:spacing w:after="0" w:line="179" w:lineRule="exact"/>
        <w:rPr>
          <w:sz w:val="20"/>
          <w:szCs w:val="20"/>
          <w:color w:val="auto"/>
        </w:rPr>
      </w:pPr>
    </w:p>
    <w:p>
      <w:pPr>
        <w:ind w:right="2819" w:firstLine="469"/>
        <w:spacing w:after="0" w:line="252" w:lineRule="auto"/>
        <w:rPr>
          <w:sz w:val="20"/>
          <w:szCs w:val="20"/>
          <w:color w:val="auto"/>
        </w:rPr>
      </w:pPr>
      <w:r>
        <w:rPr>
          <w:rFonts w:ascii="Courier New" w:cs="Courier New" w:eastAsia="Courier New" w:hAnsi="Courier New"/>
          <w:sz w:val="16"/>
          <w:szCs w:val="16"/>
          <w:color w:val="auto"/>
        </w:rPr>
        <w:t>The State of New Jersey Division of Taxation has assessed the Trust $364,000 in taxes, penalty and interest for the years 1985 through 1990, since the State has disallowed the dividends paid deduction in computing New Jersey taxable income. The Trust is protesting this assessment since the Trust believes that it is entitled to the deduction. At this time, the outcome of this matter is unknown; however in a case involving another real estate investment trust, the New Jersey tax court recently ruled that the dividends paid deduction was allowable. However, the State of New Jersey has appealed this ruling.</w:t>
      </w:r>
    </w:p>
    <w:p>
      <w:pPr>
        <w:spacing w:after="0" w:line="91" w:lineRule="exact"/>
        <w:rPr>
          <w:sz w:val="20"/>
          <w:szCs w:val="20"/>
          <w:color w:val="auto"/>
        </w:rPr>
      </w:pPr>
    </w:p>
    <w:p>
      <w:pPr>
        <w:ind w:right="2819" w:firstLine="844"/>
        <w:spacing w:after="0" w:line="266" w:lineRule="auto"/>
        <w:rPr>
          <w:sz w:val="20"/>
          <w:szCs w:val="20"/>
          <w:color w:val="auto"/>
        </w:rPr>
      </w:pPr>
      <w:r>
        <w:rPr>
          <w:rFonts w:ascii="Courier New" w:cs="Courier New" w:eastAsia="Courier New" w:hAnsi="Courier New"/>
          <w:sz w:val="16"/>
          <w:szCs w:val="16"/>
          <w:color w:val="auto"/>
        </w:rPr>
        <w:t>Included in the Trust's investments is $3.0 million of Olympia and York Senior First Mortgage Notes. The Olympia and York notes were written down during 1992 to management's best estimate of their net realizable value. Interest income on these notes is not being recorded as revenue, but is being treated as a reduction of principal.</w:t>
      </w:r>
    </w:p>
    <w:p>
      <w:pPr>
        <w:spacing w:after="0" w:line="78" w:lineRule="exact"/>
        <w:rPr>
          <w:sz w:val="20"/>
          <w:szCs w:val="20"/>
          <w:color w:val="auto"/>
        </w:rPr>
      </w:pPr>
    </w:p>
    <w:p>
      <w:pPr>
        <w:ind w:right="2819" w:firstLine="844"/>
        <w:spacing w:after="0" w:line="273" w:lineRule="auto"/>
        <w:rPr>
          <w:sz w:val="20"/>
          <w:szCs w:val="20"/>
          <w:color w:val="auto"/>
        </w:rPr>
      </w:pPr>
      <w:r>
        <w:rPr>
          <w:rFonts w:ascii="Courier New" w:cs="Courier New" w:eastAsia="Courier New" w:hAnsi="Courier New"/>
          <w:sz w:val="15"/>
          <w:szCs w:val="15"/>
          <w:color w:val="auto"/>
        </w:rPr>
        <w:t>As previously reported, certain of the Trust's shopping centers have some environmental contamination. The North Carolina Department of the Environment, Health and Natural Resources ("DEHNR") issued a Notice of Violation ("NOV") against a drycleaner tenant at Eastgate Shopping Center in Chapel Hill, North Carolina concerning a spill at the shopping center. As owner of the shopping center, the Trust was named in and received a copy of the NOV. Estimates to remediate the spill range from $300,000 to $500,000. The Trust has entered into an agreement with two previous</w:t>
      </w:r>
    </w:p>
    <w:p>
      <w:pPr>
        <w:spacing w:after="0" w:line="7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759"/>
          </w:cols>
          <w:pgMar w:left="700" w:top="1440" w:right="1440" w:bottom="1440" w:gutter="0" w:footer="0" w:header="0"/>
        </w:sectPr>
      </w:pPr>
    </w:p>
    <w:bookmarkStart w:id="16" w:name="page17"/>
    <w:bookmarkEnd w:id="16"/>
    <w:p>
      <w:pPr>
        <w:spacing w:after="0" w:line="93" w:lineRule="exact"/>
        <w:rPr>
          <w:sz w:val="20"/>
          <w:szCs w:val="20"/>
          <w:color w:val="auto"/>
        </w:rPr>
      </w:pPr>
    </w:p>
    <w:p>
      <w:pPr>
        <w:jc w:val="both"/>
        <w:ind w:right="2899"/>
        <w:spacing w:after="0" w:line="293" w:lineRule="auto"/>
        <w:rPr>
          <w:sz w:val="20"/>
          <w:szCs w:val="20"/>
          <w:color w:val="auto"/>
        </w:rPr>
      </w:pPr>
      <w:r>
        <w:rPr>
          <w:rFonts w:ascii="Courier New" w:cs="Courier New" w:eastAsia="Courier New" w:hAnsi="Courier New"/>
          <w:sz w:val="16"/>
          <w:szCs w:val="16"/>
          <w:color w:val="auto"/>
        </w:rPr>
        <w:t>owners of the shopping center to share the costs to assess and remediate. In 1993 the Trust recorded a liability of $120,000 as its estimated share of the clean up costs.</w:t>
      </w:r>
    </w:p>
    <w:p>
      <w:pPr>
        <w:spacing w:after="0" w:line="58" w:lineRule="exact"/>
        <w:rPr>
          <w:sz w:val="20"/>
          <w:szCs w:val="20"/>
          <w:color w:val="auto"/>
        </w:rPr>
      </w:pPr>
    </w:p>
    <w:p>
      <w:pPr>
        <w:ind w:right="2819" w:firstLine="844"/>
        <w:spacing w:after="0" w:line="266" w:lineRule="auto"/>
        <w:rPr>
          <w:sz w:val="20"/>
          <w:szCs w:val="20"/>
          <w:color w:val="auto"/>
        </w:rPr>
      </w:pPr>
      <w:r>
        <w:rPr>
          <w:rFonts w:ascii="Courier New" w:cs="Courier New" w:eastAsia="Courier New" w:hAnsi="Courier New"/>
          <w:sz w:val="15"/>
          <w:szCs w:val="15"/>
          <w:color w:val="auto"/>
        </w:rPr>
        <w:t>In 1992 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had also previously identified chlorinated solvent contamination at two other properties. In each case, the contamination appears to be linked to the current and/or previous dry cleaner. One site has been cleared. The Trust intends to look to the responsible parties for any remediation effort at the other property. Evaluation of the remaining situation is preliminary and it is impossible to estimate the range of remediation costs, if any.</w:t>
      </w:r>
    </w:p>
    <w:p>
      <w:pPr>
        <w:spacing w:after="0" w:line="85" w:lineRule="exact"/>
        <w:rPr>
          <w:sz w:val="20"/>
          <w:szCs w:val="20"/>
          <w:color w:val="auto"/>
        </w:rPr>
      </w:pPr>
    </w:p>
    <w:p>
      <w:pPr>
        <w:ind w:right="2819" w:firstLine="844"/>
        <w:spacing w:after="0" w:line="257" w:lineRule="auto"/>
        <w:rPr>
          <w:sz w:val="20"/>
          <w:szCs w:val="20"/>
          <w:color w:val="auto"/>
        </w:rPr>
      </w:pPr>
      <w:r>
        <w:rPr>
          <w:rFonts w:ascii="Courier New" w:cs="Courier New" w:eastAsia="Courier New" w:hAnsi="Courier New"/>
          <w:sz w:val="16"/>
          <w:szCs w:val="16"/>
          <w:color w:val="auto"/>
        </w:rPr>
        <w:t>The Trust reserved $2.25 million at closing in 1993 for environmental issues principally associated with Gaithersburg Square Shopping Center. Pursuant to an indemnity agreement entered into with the seller at closing, the Trust agreed to take certain actions with respect to identified chlorinated solvent contamination. The seller indemnified the Trust of certain third party claims and government requirements related to contamination at adjacent properties.</w:t>
      </w: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 THREE MONTHS ENDED MARCH 31, 1995 AND 1994</w:t>
      </w:r>
    </w:p>
    <w:p>
      <w:pPr>
        <w:spacing w:after="0" w:line="360" w:lineRule="exact"/>
        <w:rPr>
          <w:sz w:val="20"/>
          <w:szCs w:val="20"/>
          <w:color w:val="auto"/>
        </w:rPr>
      </w:pPr>
    </w:p>
    <w:p>
      <w:pPr>
        <w:ind w:right="2819" w:firstLine="844"/>
        <w:spacing w:after="0" w:line="263" w:lineRule="auto"/>
        <w:rPr>
          <w:sz w:val="20"/>
          <w:szCs w:val="20"/>
          <w:color w:val="auto"/>
        </w:rPr>
      </w:pPr>
      <w:r>
        <w:rPr>
          <w:rFonts w:ascii="Courier New" w:cs="Courier New" w:eastAsia="Courier New" w:hAnsi="Courier New"/>
          <w:sz w:val="15"/>
          <w:szCs w:val="15"/>
          <w:color w:val="auto"/>
        </w:rPr>
        <w:t>The Trust has historically reported its funds from operations in addition to its net income. Funds from operations is a supplemental measure of real estate companies' operating performance which excluded historical cost depreciation, since real estate values have historically risen and fallen with market conditions rather than over time. Funds from operations was defined as income before depreciation and amortization and extraordinary items less gains on sale of real estate. The National Association of Real Estate Investment Trusts ("NAREIT") has recently issued a white paper, which has amended the definition as follows: income before depreciation and amortization of real estate assets and before extraordinary items and significant non-recurring events less gains on sale of real estate. The Trust intends to comply with this new definition and has consequently restated funds from operations for prior periods. Funds from operations does not replace net income as a measure of performance or net cash provided by operating activities as a measure of liquidity. Rather, funds from operations has been adopted to provide a consistent measure of operating performance in the industry.</w:t>
      </w:r>
    </w:p>
    <w:p>
      <w:pPr>
        <w:spacing w:after="0" w:line="81" w:lineRule="exact"/>
        <w:rPr>
          <w:sz w:val="20"/>
          <w:szCs w:val="20"/>
          <w:color w:val="auto"/>
        </w:rPr>
      </w:pPr>
    </w:p>
    <w:p>
      <w:pPr>
        <w:ind w:right="3179" w:firstLine="469"/>
        <w:spacing w:after="0" w:line="348" w:lineRule="auto"/>
        <w:rPr>
          <w:sz w:val="20"/>
          <w:szCs w:val="20"/>
          <w:color w:val="auto"/>
        </w:rPr>
      </w:pPr>
      <w:r>
        <w:rPr>
          <w:rFonts w:ascii="Courier New" w:cs="Courier New" w:eastAsia="Courier New" w:hAnsi="Courier New"/>
          <w:sz w:val="16"/>
          <w:szCs w:val="16"/>
          <w:color w:val="auto"/>
        </w:rPr>
        <w:t>The reconciliation of net income to funds from operations for the three months ended March 31 is as follows:</w:t>
      </w:r>
    </w:p>
    <w:p>
      <w:pPr>
        <w:spacing w:after="0" w:line="200" w:lineRule="exact"/>
        <w:rPr>
          <w:sz w:val="20"/>
          <w:szCs w:val="20"/>
          <w:color w:val="auto"/>
        </w:rPr>
      </w:pPr>
    </w:p>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759"/>
          </w:cols>
          <w:pgMar w:left="700" w:top="1440" w:right="1440" w:bottom="1440" w:gutter="0" w:footer="0" w:header="0"/>
        </w:sectPr>
      </w:pPr>
    </w:p>
    <w:bookmarkStart w:id="17" w:name="page18"/>
    <w:bookmarkEnd w:id="17"/>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13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1995</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1994</w:t>
            </w:r>
          </w:p>
        </w:tc>
        <w:tc>
          <w:tcPr>
            <w:tcW w:w="0" w:type="dxa"/>
            <w:vAlign w:val="bottom"/>
          </w:tcPr>
          <w:p>
            <w:pPr>
              <w:spacing w:after="0"/>
              <w:rPr>
                <w:sz w:val="1"/>
                <w:szCs w:val="1"/>
                <w:color w:val="auto"/>
              </w:rPr>
            </w:pPr>
          </w:p>
        </w:tc>
      </w:tr>
      <w:tr>
        <w:trPr>
          <w:trHeight w:val="180"/>
        </w:trPr>
        <w:tc>
          <w:tcPr>
            <w:tcW w:w="348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w:t>
            </w:r>
          </w:p>
        </w:tc>
        <w:tc>
          <w:tcPr>
            <w:tcW w:w="244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180"/>
        </w:trPr>
        <w:tc>
          <w:tcPr>
            <w:tcW w:w="3480" w:type="dxa"/>
            <w:vAlign w:val="bottom"/>
            <w:vMerge w:val="continue"/>
          </w:tcPr>
          <w:p>
            <w:pPr>
              <w:spacing w:after="0"/>
              <w:rPr>
                <w:sz w:val="15"/>
                <w:szCs w:val="15"/>
                <w:color w:val="auto"/>
              </w:rPr>
            </w:pPr>
          </w:p>
        </w:tc>
        <w:tc>
          <w:tcPr>
            <w:tcW w:w="13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$6,623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$4,083</w:t>
            </w:r>
          </w:p>
        </w:tc>
        <w:tc>
          <w:tcPr>
            <w:tcW w:w="0" w:type="dxa"/>
            <w:vAlign w:val="bottom"/>
          </w:tcPr>
          <w:p>
            <w:pPr>
              <w:spacing w:after="0"/>
              <w:rPr>
                <w:sz w:val="1"/>
                <w:szCs w:val="1"/>
                <w:color w:val="auto"/>
              </w:rPr>
            </w:pPr>
          </w:p>
        </w:tc>
      </w:tr>
      <w:tr>
        <w:trPr>
          <w:trHeight w:val="180"/>
        </w:trPr>
        <w:tc>
          <w:tcPr>
            <w:tcW w:w="3480" w:type="dxa"/>
            <w:vAlign w:val="bottom"/>
          </w:tcPr>
          <w:p>
            <w:pPr>
              <w:spacing w:after="0"/>
              <w:rPr>
                <w:sz w:val="20"/>
                <w:szCs w:val="20"/>
                <w:color w:val="auto"/>
              </w:rPr>
            </w:pPr>
            <w:r>
              <w:rPr>
                <w:rFonts w:ascii="Courier New" w:cs="Courier New" w:eastAsia="Courier New" w:hAnsi="Courier New"/>
                <w:sz w:val="16"/>
                <w:szCs w:val="16"/>
                <w:color w:val="auto"/>
              </w:rPr>
              <w:t>Plus: depreciation and amortization</w:t>
            </w:r>
          </w:p>
        </w:tc>
        <w:tc>
          <w:tcPr>
            <w:tcW w:w="1360" w:type="dxa"/>
            <w:vAlign w:val="bottom"/>
            <w:vMerge w:val="restart"/>
          </w:tcPr>
          <w:p>
            <w:pPr>
              <w:jc w:val="right"/>
              <w:ind w:right="542"/>
              <w:spacing w:after="0"/>
              <w:rPr>
                <w:sz w:val="20"/>
                <w:szCs w:val="20"/>
                <w:color w:val="auto"/>
              </w:rPr>
            </w:pPr>
            <w:r>
              <w:rPr>
                <w:rFonts w:ascii="Courier New" w:cs="Courier New" w:eastAsia="Courier New" w:hAnsi="Courier New"/>
                <w:sz w:val="16"/>
                <w:szCs w:val="16"/>
                <w:color w:val="auto"/>
              </w:rPr>
              <w:t>7,392</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6,137</w:t>
            </w:r>
          </w:p>
        </w:tc>
        <w:tc>
          <w:tcPr>
            <w:tcW w:w="0" w:type="dxa"/>
            <w:vAlign w:val="bottom"/>
          </w:tcPr>
          <w:p>
            <w:pPr>
              <w:spacing w:after="0"/>
              <w:rPr>
                <w:sz w:val="1"/>
                <w:szCs w:val="1"/>
                <w:color w:val="auto"/>
              </w:rPr>
            </w:pPr>
          </w:p>
        </w:tc>
      </w:tr>
      <w:tr>
        <w:trPr>
          <w:trHeight w:val="180"/>
        </w:trPr>
        <w:tc>
          <w:tcPr>
            <w:tcW w:w="3480" w:type="dxa"/>
            <w:vAlign w:val="bottom"/>
          </w:tcPr>
          <w:p>
            <w:pPr>
              <w:ind w:left="660"/>
              <w:spacing w:after="0"/>
              <w:rPr>
                <w:sz w:val="20"/>
                <w:szCs w:val="20"/>
                <w:color w:val="auto"/>
              </w:rPr>
            </w:pPr>
            <w:r>
              <w:rPr>
                <w:rFonts w:ascii="Courier New" w:cs="Courier New" w:eastAsia="Courier New" w:hAnsi="Courier New"/>
                <w:sz w:val="16"/>
                <w:szCs w:val="16"/>
                <w:color w:val="auto"/>
              </w:rPr>
              <w:t>of real estate assets</w:t>
            </w:r>
          </w:p>
        </w:tc>
        <w:tc>
          <w:tcPr>
            <w:tcW w:w="13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80" w:type="dxa"/>
            <w:vAlign w:val="bottom"/>
          </w:tcPr>
          <w:p>
            <w:pPr>
              <w:ind w:left="560"/>
              <w:spacing w:after="0"/>
              <w:rPr>
                <w:sz w:val="20"/>
                <w:szCs w:val="20"/>
                <w:color w:val="auto"/>
              </w:rPr>
            </w:pPr>
            <w:r>
              <w:rPr>
                <w:rFonts w:ascii="Courier New" w:cs="Courier New" w:eastAsia="Courier New" w:hAnsi="Courier New"/>
                <w:sz w:val="16"/>
                <w:szCs w:val="16"/>
                <w:color w:val="auto"/>
              </w:rPr>
              <w:t>amortization of initial direct</w:t>
            </w:r>
          </w:p>
        </w:tc>
        <w:tc>
          <w:tcPr>
            <w:tcW w:w="1360" w:type="dxa"/>
            <w:vAlign w:val="bottom"/>
            <w:vMerge w:val="restart"/>
          </w:tcPr>
          <w:p>
            <w:pPr>
              <w:jc w:val="right"/>
              <w:ind w:right="542"/>
              <w:spacing w:after="0"/>
              <w:rPr>
                <w:sz w:val="20"/>
                <w:szCs w:val="20"/>
                <w:color w:val="auto"/>
              </w:rPr>
            </w:pPr>
            <w:r>
              <w:rPr>
                <w:rFonts w:ascii="Courier New" w:cs="Courier New" w:eastAsia="Courier New" w:hAnsi="Courier New"/>
                <w:sz w:val="16"/>
                <w:szCs w:val="16"/>
                <w:color w:val="auto"/>
              </w:rPr>
              <w:t>609</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588</w:t>
            </w:r>
          </w:p>
        </w:tc>
        <w:tc>
          <w:tcPr>
            <w:tcW w:w="0" w:type="dxa"/>
            <w:vAlign w:val="bottom"/>
          </w:tcPr>
          <w:p>
            <w:pPr>
              <w:spacing w:after="0"/>
              <w:rPr>
                <w:sz w:val="1"/>
                <w:szCs w:val="1"/>
                <w:color w:val="auto"/>
              </w:rPr>
            </w:pPr>
          </w:p>
        </w:tc>
      </w:tr>
      <w:tr>
        <w:trPr>
          <w:trHeight w:val="180"/>
        </w:trPr>
        <w:tc>
          <w:tcPr>
            <w:tcW w:w="3480" w:type="dxa"/>
            <w:vAlign w:val="bottom"/>
          </w:tcPr>
          <w:p>
            <w:pPr>
              <w:ind w:left="660"/>
              <w:spacing w:after="0"/>
              <w:rPr>
                <w:sz w:val="20"/>
                <w:szCs w:val="20"/>
                <w:color w:val="auto"/>
              </w:rPr>
            </w:pPr>
            <w:r>
              <w:rPr>
                <w:rFonts w:ascii="Courier New" w:cs="Courier New" w:eastAsia="Courier New" w:hAnsi="Courier New"/>
                <w:sz w:val="16"/>
                <w:szCs w:val="16"/>
                <w:color w:val="auto"/>
              </w:rPr>
              <w:t>costs of leases</w:t>
            </w:r>
          </w:p>
        </w:tc>
        <w:tc>
          <w:tcPr>
            <w:tcW w:w="13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80" w:type="dxa"/>
            <w:vAlign w:val="bottom"/>
            <w:vMerge w:val="restart"/>
          </w:tcPr>
          <w:p>
            <w:pPr>
              <w:spacing w:after="0"/>
              <w:rPr>
                <w:sz w:val="20"/>
                <w:szCs w:val="20"/>
                <w:color w:val="auto"/>
              </w:rPr>
            </w:pPr>
            <w:r>
              <w:rPr>
                <w:rFonts w:ascii="Courier New" w:cs="Courier New" w:eastAsia="Courier New" w:hAnsi="Courier New"/>
                <w:sz w:val="16"/>
                <w:szCs w:val="16"/>
                <w:color w:val="auto"/>
              </w:rPr>
              <w:t>Funds from operations</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480" w:type="dxa"/>
            <w:vAlign w:val="bottom"/>
            <w:vMerge w:val="continue"/>
          </w:tcPr>
          <w:p>
            <w:pPr>
              <w:spacing w:after="0"/>
              <w:rPr>
                <w:sz w:val="15"/>
                <w:szCs w:val="15"/>
                <w:color w:val="auto"/>
              </w:rPr>
            </w:pPr>
          </w:p>
        </w:tc>
        <w:tc>
          <w:tcPr>
            <w:tcW w:w="13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$14,624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$10,808</w:t>
            </w: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2"/>
                <w:szCs w:val="22"/>
                <w:color w:val="auto"/>
              </w:rPr>
            </w:pP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2819" w:firstLine="844"/>
        <w:spacing w:after="0" w:line="348" w:lineRule="auto"/>
        <w:rPr>
          <w:sz w:val="20"/>
          <w:szCs w:val="20"/>
          <w:color w:val="auto"/>
        </w:rPr>
      </w:pPr>
      <w:r>
        <w:rPr>
          <w:rFonts w:ascii="Courier New" w:cs="Courier New" w:eastAsia="Courier New" w:hAnsi="Courier New"/>
          <w:sz w:val="16"/>
          <w:szCs w:val="16"/>
          <w:color w:val="auto"/>
        </w:rPr>
        <w:t>Funds from operations increased 35% to $14.6 million in the first quarter of 1995 from $10.8 million in the first quarter of 1994.</w:t>
      </w:r>
    </w:p>
    <w:p>
      <w:pPr>
        <w:spacing w:after="0" w:line="15" w:lineRule="exact"/>
        <w:rPr>
          <w:sz w:val="20"/>
          <w:szCs w:val="20"/>
          <w:color w:val="auto"/>
        </w:rPr>
      </w:pPr>
    </w:p>
    <w:p>
      <w:pPr>
        <w:ind w:right="2819" w:firstLine="844"/>
        <w:spacing w:after="0" w:line="254" w:lineRule="auto"/>
        <w:rPr>
          <w:sz w:val="20"/>
          <w:szCs w:val="20"/>
          <w:color w:val="auto"/>
        </w:rPr>
      </w:pPr>
      <w:r>
        <w:rPr>
          <w:rFonts w:ascii="Courier New" w:cs="Courier New" w:eastAsia="Courier New" w:hAnsi="Courier New"/>
          <w:sz w:val="16"/>
          <w:szCs w:val="16"/>
          <w:color w:val="auto"/>
        </w:rPr>
        <w:t>Rental income, which consists of minimum rent, percentage rent and cost recoveries, increased 9% from $31.5 million in the first quarter of 1994 to $34.4 million in the first quarter of 1995. If rental income is adjusted to remove the effect of properties purchased in 1994 and 1995, it increased 4%. Forty-five percent of the increase is from Congressional Plaza, which was renovated and retenanted in 1994. Ellisburg Circle, whose redevelopment was completed in 1994, contributed an additional 14% of the increase.</w:t>
      </w:r>
    </w:p>
    <w:p>
      <w:pPr>
        <w:spacing w:after="0" w:line="89" w:lineRule="exact"/>
        <w:rPr>
          <w:sz w:val="20"/>
          <w:szCs w:val="20"/>
          <w:color w:val="auto"/>
        </w:rPr>
      </w:pPr>
    </w:p>
    <w:p>
      <w:pPr>
        <w:ind w:right="2819" w:firstLine="469"/>
        <w:spacing w:after="0" w:line="273" w:lineRule="auto"/>
        <w:rPr>
          <w:sz w:val="20"/>
          <w:szCs w:val="20"/>
          <w:color w:val="auto"/>
        </w:rPr>
      </w:pPr>
      <w:r>
        <w:rPr>
          <w:rFonts w:ascii="Courier New" w:cs="Courier New" w:eastAsia="Courier New" w:hAnsi="Courier New"/>
          <w:sz w:val="15"/>
          <w:szCs w:val="15"/>
          <w:color w:val="auto"/>
        </w:rPr>
        <w:t>Minimum rent increased 14% from $23.8 million in the first quarter of 1994 to $27.2 million in the first quarter of 1995. If properties purchased in 1994 and 1995 are excluded, minimum rent increased $2.0 million or 8.5%. A major component of this increase is contributions from recently renovated centers and from the retenanting of some anchor spaces. Cost recoveries have decreased from $6.1 million in the first quarter of 1994 to $5.7 million in the first quarter of 1995, primarily because of a decrease of $1.6 million in snow removal expense from 1994 to 1995.</w:t>
      </w:r>
    </w:p>
    <w:p>
      <w:pPr>
        <w:spacing w:after="0" w:line="77" w:lineRule="exact"/>
        <w:rPr>
          <w:sz w:val="20"/>
          <w:szCs w:val="20"/>
          <w:color w:val="auto"/>
        </w:rPr>
      </w:pPr>
    </w:p>
    <w:p>
      <w:pPr>
        <w:ind w:right="2819" w:firstLine="469"/>
        <w:spacing w:after="0" w:line="266" w:lineRule="auto"/>
        <w:rPr>
          <w:sz w:val="20"/>
          <w:szCs w:val="20"/>
          <w:color w:val="auto"/>
        </w:rPr>
      </w:pPr>
      <w:r>
        <w:rPr>
          <w:rFonts w:ascii="Courier New" w:cs="Courier New" w:eastAsia="Courier New" w:hAnsi="Courier New"/>
          <w:sz w:val="16"/>
          <w:szCs w:val="16"/>
          <w:color w:val="auto"/>
        </w:rPr>
        <w:t>Other income which includes items which tend to fluctuate from period to period, such as utility reimbursements, telephone income, merchant association dues, lease termination fees, late fees and temporary tenant income, has increased from $1.3 million in 1994 to $1.5 million in 1995 due principally to a commission on telephone services.</w:t>
      </w:r>
    </w:p>
    <w:p>
      <w:pPr>
        <w:spacing w:after="0" w:line="78" w:lineRule="exact"/>
        <w:rPr>
          <w:sz w:val="20"/>
          <w:szCs w:val="20"/>
          <w:color w:val="auto"/>
        </w:rPr>
      </w:pPr>
    </w:p>
    <w:p>
      <w:pPr>
        <w:ind w:right="2899" w:firstLine="844"/>
        <w:spacing w:after="0" w:line="257" w:lineRule="auto"/>
        <w:rPr>
          <w:sz w:val="20"/>
          <w:szCs w:val="20"/>
          <w:color w:val="auto"/>
        </w:rPr>
      </w:pPr>
      <w:r>
        <w:rPr>
          <w:rFonts w:ascii="Courier New" w:cs="Courier New" w:eastAsia="Courier New" w:hAnsi="Courier New"/>
          <w:sz w:val="16"/>
          <w:szCs w:val="16"/>
          <w:color w:val="auto"/>
        </w:rPr>
        <w:t>Rental expenses have decreased from $10.1 million in the first quarter of 1994 to $8.0 million in the first quarter of 1995, despite the acquisition of new properties in 1994 and 1995. The major decrease is in snow removal expense, but there was also a significant decrease in bad debt and related expenses. Real estate tax expense has increased because of the new properties and because of increased assessments at several centers.</w:t>
      </w:r>
    </w:p>
    <w:p>
      <w:pPr>
        <w:spacing w:after="0" w:line="265" w:lineRule="exact"/>
        <w:rPr>
          <w:sz w:val="20"/>
          <w:szCs w:val="20"/>
          <w:color w:val="auto"/>
        </w:rPr>
      </w:pPr>
    </w:p>
    <w:p>
      <w:pPr>
        <w:ind w:right="2819" w:firstLine="844"/>
        <w:spacing w:after="0" w:line="288" w:lineRule="auto"/>
        <w:rPr>
          <w:sz w:val="20"/>
          <w:szCs w:val="20"/>
          <w:color w:val="auto"/>
        </w:rPr>
      </w:pPr>
      <w:r>
        <w:rPr>
          <w:rFonts w:ascii="Courier New" w:cs="Courier New" w:eastAsia="Courier New" w:hAnsi="Courier New"/>
          <w:sz w:val="15"/>
          <w:szCs w:val="15"/>
          <w:color w:val="auto"/>
        </w:rPr>
        <w:t>Interest expense has increased from $8.2 million during the first quarter of 1994 to $9.2 million during the comparable period of 1995. Interest expense on the $100 million of senior notes issued January 1995 exceeds the interest saved due to the redemption in April 1994 of most of the convertible subordinated debentures due 2002. The ratio of earnings</w:t>
      </w:r>
    </w:p>
    <w:p>
      <w:pPr>
        <w:spacing w:after="0" w:line="6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759"/>
          </w:cols>
          <w:pgMar w:left="700" w:top="1440" w:right="1440" w:bottom="1440" w:gutter="0" w:footer="0" w:header="0"/>
        </w:sectPr>
      </w:pPr>
    </w:p>
    <w:bookmarkStart w:id="18" w:name="page19"/>
    <w:bookmarkEnd w:id="18"/>
    <w:p>
      <w:pPr>
        <w:spacing w:after="0" w:line="93" w:lineRule="exact"/>
        <w:rPr>
          <w:sz w:val="20"/>
          <w:szCs w:val="20"/>
          <w:color w:val="auto"/>
        </w:rPr>
      </w:pPr>
    </w:p>
    <w:p>
      <w:pPr>
        <w:ind w:right="2899"/>
        <w:spacing w:after="0" w:line="382" w:lineRule="auto"/>
        <w:rPr>
          <w:sz w:val="20"/>
          <w:szCs w:val="20"/>
          <w:color w:val="auto"/>
        </w:rPr>
      </w:pPr>
      <w:r>
        <w:rPr>
          <w:rFonts w:ascii="Courier New" w:cs="Courier New" w:eastAsia="Courier New" w:hAnsi="Courier New"/>
          <w:sz w:val="15"/>
          <w:szCs w:val="15"/>
          <w:color w:val="auto"/>
        </w:rPr>
        <w:t>to fixed charges was 1.69x in 1995 and 1.47x in 1994. The ratio of funds from operations to fixed charges was 2.53x in 1995 and 2.26x in 1994.</w:t>
      </w:r>
    </w:p>
    <w:p>
      <w:pPr>
        <w:ind w:right="3099" w:firstLine="844"/>
        <w:spacing w:after="0" w:line="293" w:lineRule="auto"/>
        <w:rPr>
          <w:sz w:val="20"/>
          <w:szCs w:val="20"/>
          <w:color w:val="auto"/>
        </w:rPr>
      </w:pPr>
      <w:r>
        <w:rPr>
          <w:rFonts w:ascii="Courier New" w:cs="Courier New" w:eastAsia="Courier New" w:hAnsi="Courier New"/>
          <w:sz w:val="16"/>
          <w:szCs w:val="16"/>
          <w:color w:val="auto"/>
        </w:rPr>
        <w:t>Depreciation and amortization expense has increased because of the recent acquisitions and because of depreciation on tenant work and recent property improvements.</w:t>
      </w:r>
    </w:p>
    <w:p>
      <w:pPr>
        <w:spacing w:after="0" w:line="58" w:lineRule="exact"/>
        <w:rPr>
          <w:sz w:val="20"/>
          <w:szCs w:val="20"/>
          <w:color w:val="auto"/>
        </w:rPr>
      </w:pPr>
    </w:p>
    <w:p>
      <w:pPr>
        <w:ind w:right="2819" w:firstLine="1594"/>
        <w:spacing w:after="0" w:line="275" w:lineRule="auto"/>
        <w:rPr>
          <w:sz w:val="20"/>
          <w:szCs w:val="20"/>
          <w:color w:val="auto"/>
        </w:rPr>
      </w:pPr>
      <w:r>
        <w:rPr>
          <w:rFonts w:ascii="Courier New" w:cs="Courier New" w:eastAsia="Courier New" w:hAnsi="Courier New"/>
          <w:sz w:val="16"/>
          <w:szCs w:val="16"/>
          <w:color w:val="auto"/>
        </w:rPr>
        <w:t>As a result of the foregoing items, primarily the increases in rental income and the decreases in rental expense, net income rose from $4.1 million in the first quarter of 1994 to $6.6 million in the first quarter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759"/>
          </w:cols>
          <w:pgMar w:left="700" w:top="1440" w:right="1440" w:bottom="1440" w:gutter="0" w:footer="0" w:header="0"/>
        </w:sectPr>
      </w:pPr>
    </w:p>
    <w:bookmarkStart w:id="19" w:name="page20"/>
    <w:bookmarkEnd w:id="19"/>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26" w:lineRule="exact"/>
        <w:rPr>
          <w:sz w:val="20"/>
          <w:szCs w:val="20"/>
          <w:color w:val="auto"/>
        </w:rPr>
      </w:pPr>
    </w:p>
    <w:p>
      <w:pPr>
        <w:ind w:left="380" w:hanging="375"/>
        <w:spacing w:after="0"/>
        <w:tabs>
          <w:tab w:leader="none" w:pos="3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ind w:left="840" w:hanging="460"/>
        <w:spacing w:after="0"/>
        <w:tabs>
          <w:tab w:leader="none" w:pos="84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Exclusive Brokerage Agreement between Street Retail Inc.</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Westport Advisors Corporation</w:t>
      </w:r>
    </w:p>
    <w:p>
      <w:pPr>
        <w:spacing w:after="0" w:line="151" w:lineRule="exact"/>
        <w:rPr>
          <w:sz w:val="20"/>
          <w:szCs w:val="20"/>
          <w:color w:val="auto"/>
        </w:rPr>
      </w:pPr>
    </w:p>
    <w:p>
      <w:pPr>
        <w:ind w:right="3179" w:firstLine="375"/>
        <w:spacing w:after="0" w:line="348" w:lineRule="auto"/>
        <w:rPr>
          <w:sz w:val="20"/>
          <w:szCs w:val="20"/>
          <w:color w:val="auto"/>
        </w:rPr>
      </w:pPr>
      <w:r>
        <w:rPr>
          <w:rFonts w:ascii="Courier New" w:cs="Courier New" w:eastAsia="Courier New" w:hAnsi="Courier New"/>
          <w:sz w:val="16"/>
          <w:szCs w:val="16"/>
          <w:color w:val="auto"/>
        </w:rPr>
        <w:t>(27) Financial Data Schedule.................................Edgar filing only</w:t>
      </w:r>
    </w:p>
    <w:p>
      <w:pPr>
        <w:spacing w:after="0" w:line="15" w:lineRule="exact"/>
        <w:rPr>
          <w:sz w:val="20"/>
          <w:szCs w:val="20"/>
          <w:color w:val="auto"/>
        </w:rPr>
      </w:pPr>
    </w:p>
    <w:p>
      <w:pPr>
        <w:ind w:left="380" w:hanging="375"/>
        <w:spacing w:after="0"/>
        <w:tabs>
          <w:tab w:leader="none" w:pos="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27"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A Form 8-K, dated March 31, 1995, was filed in response to Item 7.(c)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099" w:firstLine="844"/>
        <w:spacing w:after="0" w:line="29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40" w:type="dxa"/>
            <w:vAlign w:val="bottom"/>
          </w:tcPr>
          <w:p>
            <w:pPr>
              <w:spacing w:after="0"/>
              <w:rPr>
                <w:sz w:val="15"/>
                <w:szCs w:val="15"/>
                <w:color w:val="auto"/>
              </w:rPr>
            </w:pPr>
          </w:p>
        </w:tc>
        <w:tc>
          <w:tcPr>
            <w:tcW w:w="4040" w:type="dxa"/>
            <w:vAlign w:val="bottom"/>
          </w:tcPr>
          <w:p>
            <w:pPr>
              <w:ind w:left="760"/>
              <w:spacing w:after="0"/>
              <w:rPr>
                <w:sz w:val="20"/>
                <w:szCs w:val="20"/>
                <w:color w:val="auto"/>
              </w:rPr>
            </w:pPr>
            <w:r>
              <w:rPr>
                <w:rFonts w:ascii="Courier New" w:cs="Courier New" w:eastAsia="Courier New" w:hAnsi="Courier New"/>
                <w:sz w:val="16"/>
                <w:szCs w:val="16"/>
                <w:color w:val="auto"/>
              </w:rPr>
              <w:t>FEDERAL REALTY INVESTMENT TRUST</w:t>
            </w:r>
          </w:p>
        </w:tc>
      </w:tr>
      <w:tr>
        <w:trPr>
          <w:trHeight w:val="180"/>
        </w:trPr>
        <w:tc>
          <w:tcPr>
            <w:tcW w:w="2440" w:type="dxa"/>
            <w:vAlign w:val="bottom"/>
          </w:tcPr>
          <w:p>
            <w:pPr>
              <w:spacing w:after="0"/>
              <w:rPr>
                <w:sz w:val="15"/>
                <w:szCs w:val="15"/>
                <w:color w:val="auto"/>
              </w:rPr>
            </w:pPr>
          </w:p>
        </w:tc>
        <w:tc>
          <w:tcPr>
            <w:tcW w:w="404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r>
      <w:tr>
        <w:trPr>
          <w:trHeight w:val="264"/>
        </w:trPr>
        <w:tc>
          <w:tcPr>
            <w:tcW w:w="2440" w:type="dxa"/>
            <w:vAlign w:val="bottom"/>
          </w:tcPr>
          <w:p>
            <w:pPr>
              <w:spacing w:after="0"/>
              <w:rPr>
                <w:sz w:val="22"/>
                <w:szCs w:val="22"/>
                <w:color w:val="auto"/>
              </w:rPr>
            </w:pPr>
          </w:p>
        </w:tc>
        <w:tc>
          <w:tcPr>
            <w:tcW w:w="4040" w:type="dxa"/>
            <w:vAlign w:val="bottom"/>
          </w:tcPr>
          <w:p>
            <w:pPr>
              <w:ind w:left="2540"/>
              <w:spacing w:after="0"/>
              <w:rPr>
                <w:sz w:val="20"/>
                <w:szCs w:val="20"/>
                <w:color w:val="auto"/>
              </w:rPr>
            </w:pPr>
            <w:r>
              <w:rPr>
                <w:rFonts w:ascii="Courier New" w:cs="Courier New" w:eastAsia="Courier New" w:hAnsi="Courier New"/>
                <w:sz w:val="16"/>
                <w:szCs w:val="16"/>
                <w:color w:val="auto"/>
              </w:rPr>
              <w:t>(Registrant)</w:t>
            </w:r>
          </w:p>
        </w:tc>
      </w:tr>
      <w:tr>
        <w:trPr>
          <w:trHeight w:val="998"/>
        </w:trPr>
        <w:tc>
          <w:tcPr>
            <w:tcW w:w="2440" w:type="dxa"/>
            <w:vAlign w:val="bottom"/>
          </w:tcPr>
          <w:p>
            <w:pPr>
              <w:spacing w:after="0"/>
              <w:rPr>
                <w:sz w:val="20"/>
                <w:szCs w:val="20"/>
                <w:color w:val="auto"/>
              </w:rPr>
            </w:pPr>
            <w:r>
              <w:rPr>
                <w:rFonts w:ascii="Courier New" w:cs="Courier New" w:eastAsia="Courier New" w:hAnsi="Courier New"/>
                <w:sz w:val="16"/>
                <w:szCs w:val="16"/>
                <w:color w:val="auto"/>
              </w:rPr>
              <w:t>Date: May 9, 1995</w:t>
            </w:r>
          </w:p>
        </w:tc>
        <w:tc>
          <w:tcPr>
            <w:tcW w:w="4040" w:type="dxa"/>
            <w:vAlign w:val="bottom"/>
          </w:tcPr>
          <w:p>
            <w:pPr>
              <w:ind w:left="760"/>
              <w:spacing w:after="0"/>
              <w:rPr>
                <w:sz w:val="20"/>
                <w:szCs w:val="20"/>
                <w:color w:val="auto"/>
              </w:rPr>
            </w:pPr>
            <w:r>
              <w:rPr>
                <w:rFonts w:ascii="Courier New" w:cs="Courier New" w:eastAsia="Courier New" w:hAnsi="Courier New"/>
                <w:sz w:val="16"/>
                <w:szCs w:val="16"/>
                <w:color w:val="auto"/>
              </w:rPr>
              <w:t>/s/ Steven J. Guttman</w:t>
            </w:r>
          </w:p>
        </w:tc>
      </w:tr>
      <w:tr>
        <w:trPr>
          <w:trHeight w:val="180"/>
        </w:trPr>
        <w:tc>
          <w:tcPr>
            <w:tcW w:w="244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4040" w:type="dxa"/>
            <w:vAlign w:val="bottom"/>
          </w:tcPr>
          <w:p>
            <w:pPr>
              <w:ind w:left="760"/>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2440" w:type="dxa"/>
            <w:vAlign w:val="bottom"/>
          </w:tcPr>
          <w:p>
            <w:pPr>
              <w:spacing w:after="0"/>
              <w:rPr>
                <w:sz w:val="15"/>
                <w:szCs w:val="15"/>
                <w:color w:val="auto"/>
              </w:rPr>
            </w:pPr>
          </w:p>
        </w:tc>
        <w:tc>
          <w:tcPr>
            <w:tcW w:w="4040" w:type="dxa"/>
            <w:vAlign w:val="bottom"/>
          </w:tcPr>
          <w:p>
            <w:pPr>
              <w:ind w:left="760"/>
              <w:spacing w:after="0"/>
              <w:rPr>
                <w:sz w:val="20"/>
                <w:szCs w:val="20"/>
                <w:color w:val="auto"/>
              </w:rPr>
            </w:pPr>
            <w:r>
              <w:rPr>
                <w:rFonts w:ascii="Courier New" w:cs="Courier New" w:eastAsia="Courier New" w:hAnsi="Courier New"/>
                <w:sz w:val="16"/>
                <w:szCs w:val="16"/>
                <w:color w:val="auto"/>
              </w:rPr>
              <w:t>Steven J. Guttman, President</w:t>
            </w:r>
          </w:p>
        </w:tc>
      </w:tr>
      <w:tr>
        <w:trPr>
          <w:trHeight w:val="264"/>
        </w:trPr>
        <w:tc>
          <w:tcPr>
            <w:tcW w:w="2440" w:type="dxa"/>
            <w:vAlign w:val="bottom"/>
          </w:tcPr>
          <w:p>
            <w:pPr>
              <w:spacing w:after="0"/>
              <w:rPr>
                <w:sz w:val="22"/>
                <w:szCs w:val="22"/>
                <w:color w:val="auto"/>
              </w:rPr>
            </w:pPr>
          </w:p>
        </w:tc>
        <w:tc>
          <w:tcPr>
            <w:tcW w:w="4040" w:type="dxa"/>
            <w:vAlign w:val="bottom"/>
          </w:tcPr>
          <w:p>
            <w:pPr>
              <w:ind w:left="760"/>
              <w:spacing w:after="0"/>
              <w:rPr>
                <w:sz w:val="20"/>
                <w:szCs w:val="20"/>
                <w:color w:val="auto"/>
              </w:rPr>
            </w:pPr>
            <w:r>
              <w:rPr>
                <w:rFonts w:ascii="Courier New" w:cs="Courier New" w:eastAsia="Courier New" w:hAnsi="Courier New"/>
                <w:sz w:val="16"/>
                <w:szCs w:val="16"/>
                <w:color w:val="auto"/>
              </w:rPr>
              <w:t>(Chief Executive Officer)</w:t>
            </w:r>
          </w:p>
        </w:tc>
      </w:tr>
      <w:tr>
        <w:trPr>
          <w:trHeight w:val="818"/>
        </w:trPr>
        <w:tc>
          <w:tcPr>
            <w:tcW w:w="2440" w:type="dxa"/>
            <w:vAlign w:val="bottom"/>
          </w:tcPr>
          <w:p>
            <w:pPr>
              <w:spacing w:after="0"/>
              <w:rPr>
                <w:sz w:val="20"/>
                <w:szCs w:val="20"/>
                <w:color w:val="auto"/>
              </w:rPr>
            </w:pPr>
            <w:r>
              <w:rPr>
                <w:rFonts w:ascii="Courier New" w:cs="Courier New" w:eastAsia="Courier New" w:hAnsi="Courier New"/>
                <w:sz w:val="16"/>
                <w:szCs w:val="16"/>
                <w:color w:val="auto"/>
              </w:rPr>
              <w:t>Date: May 9, 1995</w:t>
            </w:r>
          </w:p>
        </w:tc>
        <w:tc>
          <w:tcPr>
            <w:tcW w:w="4040" w:type="dxa"/>
            <w:vAlign w:val="bottom"/>
          </w:tcPr>
          <w:p>
            <w:pPr>
              <w:ind w:left="760"/>
              <w:spacing w:after="0"/>
              <w:rPr>
                <w:sz w:val="20"/>
                <w:szCs w:val="20"/>
                <w:color w:val="auto"/>
              </w:rPr>
            </w:pPr>
            <w:r>
              <w:rPr>
                <w:rFonts w:ascii="Courier New" w:cs="Courier New" w:eastAsia="Courier New" w:hAnsi="Courier New"/>
                <w:sz w:val="16"/>
                <w:szCs w:val="16"/>
                <w:color w:val="auto"/>
              </w:rPr>
              <w:t>/s/ Cecily A. Ward</w:t>
            </w:r>
          </w:p>
        </w:tc>
      </w:tr>
      <w:tr>
        <w:trPr>
          <w:trHeight w:val="180"/>
        </w:trPr>
        <w:tc>
          <w:tcPr>
            <w:tcW w:w="244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4040" w:type="dxa"/>
            <w:vAlign w:val="bottom"/>
          </w:tcPr>
          <w:p>
            <w:pPr>
              <w:ind w:left="76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2440" w:type="dxa"/>
            <w:vAlign w:val="bottom"/>
          </w:tcPr>
          <w:p>
            <w:pPr>
              <w:spacing w:after="0"/>
              <w:rPr>
                <w:sz w:val="15"/>
                <w:szCs w:val="15"/>
                <w:color w:val="auto"/>
              </w:rPr>
            </w:pPr>
          </w:p>
        </w:tc>
        <w:tc>
          <w:tcPr>
            <w:tcW w:w="4040" w:type="dxa"/>
            <w:vAlign w:val="bottom"/>
          </w:tcPr>
          <w:p>
            <w:pPr>
              <w:ind w:left="760"/>
              <w:spacing w:after="0"/>
              <w:rPr>
                <w:sz w:val="20"/>
                <w:szCs w:val="20"/>
                <w:color w:val="auto"/>
              </w:rPr>
            </w:pPr>
            <w:r>
              <w:rPr>
                <w:rFonts w:ascii="Courier New" w:cs="Courier New" w:eastAsia="Courier New" w:hAnsi="Courier New"/>
                <w:sz w:val="16"/>
                <w:szCs w:val="16"/>
                <w:color w:val="auto"/>
              </w:rPr>
              <w:t>Cecily A. Ward</w:t>
            </w:r>
          </w:p>
        </w:tc>
      </w:tr>
      <w:tr>
        <w:trPr>
          <w:trHeight w:val="264"/>
        </w:trPr>
        <w:tc>
          <w:tcPr>
            <w:tcW w:w="2440" w:type="dxa"/>
            <w:vAlign w:val="bottom"/>
          </w:tcPr>
          <w:p>
            <w:pPr>
              <w:spacing w:after="0"/>
              <w:rPr>
                <w:sz w:val="22"/>
                <w:szCs w:val="22"/>
                <w:color w:val="auto"/>
              </w:rPr>
            </w:pPr>
          </w:p>
        </w:tc>
        <w:tc>
          <w:tcPr>
            <w:tcW w:w="4040" w:type="dxa"/>
            <w:vAlign w:val="bottom"/>
          </w:tcPr>
          <w:p>
            <w:pPr>
              <w:ind w:left="760"/>
              <w:spacing w:after="0"/>
              <w:rPr>
                <w:sz w:val="20"/>
                <w:szCs w:val="20"/>
                <w:color w:val="auto"/>
              </w:rPr>
            </w:pPr>
            <w:r>
              <w:rPr>
                <w:rFonts w:ascii="Courier New" w:cs="Courier New" w:eastAsia="Courier New" w:hAnsi="Courier New"/>
                <w:sz w:val="16"/>
                <w:szCs w:val="16"/>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759"/>
          </w:cols>
          <w:pgMar w:left="700" w:top="1440" w:right="1440" w:bottom="1440"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spacing w:after="0" w:line="13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EXCLUSIVE BROKERAGE AGREEMENT</w:t>
      </w:r>
    </w:p>
    <w:p>
      <w:pPr>
        <w:spacing w:after="0" w:line="179" w:lineRule="exact"/>
        <w:rPr>
          <w:sz w:val="20"/>
          <w:szCs w:val="20"/>
          <w:color w:val="auto"/>
        </w:rPr>
      </w:pPr>
    </w:p>
    <w:p>
      <w:pPr>
        <w:ind w:right="2899"/>
        <w:spacing w:after="0" w:line="275" w:lineRule="auto"/>
        <w:rPr>
          <w:sz w:val="20"/>
          <w:szCs w:val="20"/>
          <w:color w:val="auto"/>
        </w:rPr>
      </w:pPr>
      <w:r>
        <w:rPr>
          <w:rFonts w:ascii="Courier New" w:cs="Courier New" w:eastAsia="Courier New" w:hAnsi="Courier New"/>
          <w:sz w:val="16"/>
          <w:szCs w:val="16"/>
          <w:color w:val="auto"/>
        </w:rPr>
        <w:t>This Agreement is made and entered into on this 6th day of February, 1995 by and between Street Retail, Inc., a Maryland corporation and wholly-owned subsidiary of Federal Realty Investment Trust ("Client"), and Westport Advisors Corporation ("Broker").</w:t>
      </w:r>
    </w:p>
    <w:p>
      <w:pPr>
        <w:spacing w:after="0" w:line="71" w:lineRule="exact"/>
        <w:rPr>
          <w:sz w:val="20"/>
          <w:szCs w:val="20"/>
          <w:color w:val="auto"/>
        </w:rPr>
      </w:pPr>
    </w:p>
    <w:p>
      <w:pPr>
        <w:ind w:right="2899"/>
        <w:spacing w:after="0" w:line="348" w:lineRule="auto"/>
        <w:rPr>
          <w:sz w:val="20"/>
          <w:szCs w:val="20"/>
          <w:color w:val="auto"/>
        </w:rPr>
      </w:pPr>
      <w:r>
        <w:rPr>
          <w:rFonts w:ascii="Courier New" w:cs="Courier New" w:eastAsia="Courier New" w:hAnsi="Courier New"/>
          <w:sz w:val="16"/>
          <w:szCs w:val="16"/>
          <w:color w:val="auto"/>
        </w:rPr>
        <w:t>In consideration of the mutual covenants set forth in this Agreement, the parties agree as follows:</w:t>
      </w:r>
    </w:p>
    <w:p>
      <w:pPr>
        <w:spacing w:after="0" w:line="15" w:lineRule="exact"/>
        <w:rPr>
          <w:sz w:val="20"/>
          <w:szCs w:val="20"/>
          <w:color w:val="auto"/>
        </w:rPr>
      </w:pPr>
    </w:p>
    <w:p>
      <w:pPr>
        <w:ind w:right="2819" w:firstLine="5"/>
        <w:spacing w:after="0" w:line="266" w:lineRule="auto"/>
        <w:tabs>
          <w:tab w:leader="none" w:pos="84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hereby appoints Broker as its exclusive real estate advisor for the purchase of urban retail buildings (i.e. not traditional "strip" shopping centers or shopping malls) located in Connecticut and Westchester County, New York (the "Metro Area"). Broker shall perform the duties of a real estate advisor; specifically, Broker shall conduct searches for properties which fit the criteria established by Client and assist Client with all aspects of the due diligence process in order to enable Client to evaluate the desirability and feasibility of acquiring such properties or any interest therein; such assistance shall include collecting and providing Client with market information such as demographics, information on competing properties, comparable rentals and sales and assistance in the appraisal and underwriting of the properties.</w:t>
      </w:r>
    </w:p>
    <w:p>
      <w:pPr>
        <w:spacing w:after="0" w:line="84" w:lineRule="exact"/>
        <w:rPr>
          <w:rFonts w:ascii="Courier New" w:cs="Courier New" w:eastAsia="Courier New" w:hAnsi="Courier New"/>
          <w:sz w:val="15"/>
          <w:szCs w:val="15"/>
          <w:color w:val="auto"/>
        </w:rPr>
      </w:pPr>
    </w:p>
    <w:p>
      <w:pPr>
        <w:ind w:left="840" w:hanging="835"/>
        <w:spacing w:after="0"/>
        <w:tabs>
          <w:tab w:leader="none" w:pos="8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 represents and warrants that:</w:t>
      </w:r>
    </w:p>
    <w:p>
      <w:pPr>
        <w:spacing w:after="0" w:line="179" w:lineRule="exact"/>
        <w:rPr>
          <w:rFonts w:ascii="Courier New" w:cs="Courier New" w:eastAsia="Courier New" w:hAnsi="Courier New"/>
          <w:sz w:val="16"/>
          <w:szCs w:val="16"/>
          <w:color w:val="auto"/>
        </w:rPr>
      </w:pPr>
    </w:p>
    <w:p>
      <w:pPr>
        <w:ind w:left="1600" w:right="2899" w:hanging="751"/>
        <w:spacing w:after="0" w:line="275" w:lineRule="auto"/>
        <w:tabs>
          <w:tab w:leader="none" w:pos="160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 will act in accordance with the highest professional standards of the industry and in compliance with all applicable laws, regulations, codes, ordinances and orders.</w:t>
      </w:r>
    </w:p>
    <w:p>
      <w:pPr>
        <w:spacing w:after="0" w:line="71" w:lineRule="exact"/>
        <w:rPr>
          <w:rFonts w:ascii="Courier New" w:cs="Courier New" w:eastAsia="Courier New" w:hAnsi="Courier New"/>
          <w:sz w:val="16"/>
          <w:szCs w:val="16"/>
          <w:color w:val="auto"/>
        </w:rPr>
      </w:pPr>
    </w:p>
    <w:p>
      <w:pPr>
        <w:ind w:left="1600" w:right="2899" w:hanging="751"/>
        <w:spacing w:after="0" w:line="275" w:lineRule="auto"/>
        <w:tabs>
          <w:tab w:leader="none" w:pos="160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obligations, commitments, or impediments of any kind that will limit or prevent the Broker's performance of its services and obligations pursuant to this Agreement.</w:t>
      </w:r>
    </w:p>
    <w:p>
      <w:pPr>
        <w:spacing w:after="0" w:line="71" w:lineRule="exact"/>
        <w:rPr>
          <w:rFonts w:ascii="Courier New" w:cs="Courier New" w:eastAsia="Courier New" w:hAnsi="Courier New"/>
          <w:sz w:val="16"/>
          <w:szCs w:val="16"/>
          <w:color w:val="auto"/>
        </w:rPr>
      </w:pPr>
    </w:p>
    <w:p>
      <w:pPr>
        <w:ind w:left="1600" w:right="3099" w:hanging="751"/>
        <w:spacing w:after="0" w:line="348" w:lineRule="auto"/>
        <w:tabs>
          <w:tab w:leader="none" w:pos="160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Broker is duly licensed as a real estate broker in the State of Connecticut and New York.</w:t>
      </w:r>
    </w:p>
    <w:p>
      <w:pPr>
        <w:spacing w:after="0" w:line="15" w:lineRule="exact"/>
        <w:rPr>
          <w:rFonts w:ascii="Courier New" w:cs="Courier New" w:eastAsia="Courier New" w:hAnsi="Courier New"/>
          <w:sz w:val="16"/>
          <w:szCs w:val="16"/>
          <w:color w:val="auto"/>
        </w:rPr>
      </w:pPr>
    </w:p>
    <w:p>
      <w:pPr>
        <w:ind w:left="1600" w:right="2819" w:hanging="751"/>
        <w:spacing w:after="0" w:line="293" w:lineRule="auto"/>
        <w:tabs>
          <w:tab w:leader="none" w:pos="160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 will perform its services in a professional manner and in the most expeditious and economical manner consistent with the interest of Client.</w:t>
      </w:r>
    </w:p>
    <w:p>
      <w:pPr>
        <w:spacing w:after="0" w:line="57" w:lineRule="exact"/>
        <w:rPr>
          <w:rFonts w:ascii="Courier New" w:cs="Courier New" w:eastAsia="Courier New" w:hAnsi="Courier New"/>
          <w:sz w:val="16"/>
          <w:szCs w:val="16"/>
          <w:color w:val="auto"/>
        </w:rPr>
      </w:pPr>
    </w:p>
    <w:p>
      <w:pPr>
        <w:ind w:left="1600" w:right="2899" w:hanging="751"/>
        <w:spacing w:after="0" w:line="348" w:lineRule="auto"/>
        <w:tabs>
          <w:tab w:leader="none" w:pos="160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Advisor is an independent contractor and not an employee of Client.</w:t>
      </w:r>
    </w:p>
    <w:p>
      <w:pPr>
        <w:spacing w:after="0" w:line="15" w:lineRule="exact"/>
        <w:rPr>
          <w:rFonts w:ascii="Courier New" w:cs="Courier New" w:eastAsia="Courier New" w:hAnsi="Courier New"/>
          <w:sz w:val="16"/>
          <w:szCs w:val="16"/>
          <w:color w:val="auto"/>
        </w:rPr>
      </w:pPr>
    </w:p>
    <w:p>
      <w:pPr>
        <w:ind w:right="2899" w:firstLine="5"/>
        <w:spacing w:after="0" w:line="276" w:lineRule="auto"/>
        <w:tabs>
          <w:tab w:leader="none" w:pos="84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authority is limited to performing the services in accordance with the terms of this Agreement. Broker does not have any authority to enter into or execute any agreement for or on behalf of Client. No written proposals, offers or other information concerning Client shall be distributed without Client's prior written consent, which may be withheld in Client's sole and absolute discretion. Client shall have the right to specify Broker's degree of involvement, if any, with</w:t>
      </w:r>
    </w:p>
    <w:p>
      <w:pPr>
        <w:spacing w:after="0" w:line="7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6"/>
          <w:szCs w:val="16"/>
          <w:color w:val="auto"/>
        </w:rPr>
        <w:t>respect to any negotiation of any contract of sale ("Contract of Sale"). Broker acknowledges that entering into a Contract of Sale involves negotiation of complex provisions and issues, including business, tax and operational issues and liabilities relating to a property, and that Client, therefore, expressly reserves the right to reject any and all proposals for a Contract of Sale and to approve any and all terms and conditions of any proposed Contract of Sale as Client sees fit, in Client's sole and absolute discretion.</w:t>
      </w:r>
    </w:p>
    <w:p>
      <w:pPr>
        <w:spacing w:after="0" w:line="89" w:lineRule="exact"/>
        <w:rPr>
          <w:sz w:val="20"/>
          <w:szCs w:val="20"/>
          <w:color w:val="auto"/>
        </w:rPr>
      </w:pPr>
    </w:p>
    <w:p>
      <w:pPr>
        <w:ind w:right="2819" w:firstLine="5"/>
        <w:spacing w:after="0" w:line="293" w:lineRule="auto"/>
        <w:tabs>
          <w:tab w:leader="none" w:pos="84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of this Agreement ("Term") shall commence on January 1, 1995 and end at midnight on December 31, 1995, unless sooner terminated in accordance with the provisions of this Agreement.</w:t>
      </w:r>
    </w:p>
    <w:p>
      <w:pPr>
        <w:spacing w:after="0" w:line="57" w:lineRule="exact"/>
        <w:rPr>
          <w:rFonts w:ascii="Courier New" w:cs="Courier New" w:eastAsia="Courier New" w:hAnsi="Courier New"/>
          <w:sz w:val="16"/>
          <w:szCs w:val="16"/>
          <w:color w:val="auto"/>
        </w:rPr>
      </w:pPr>
    </w:p>
    <w:p>
      <w:pPr>
        <w:ind w:right="2819" w:firstLine="5"/>
        <w:spacing w:after="0" w:line="263" w:lineRule="auto"/>
        <w:tabs>
          <w:tab w:leader="none" w:pos="84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shall pay Broker a commission (the "Commission") equal to 1.50% (one and one-half percent) of the first twenty-five million dollars ($25,000,000) of the aggregate gross sales price of the properties acquired subject to this Agreement (i.e. each urban retail building, or buildings located in the Metro Area) (hereinafter, the "Properties") and 2.00% (two percent) of the aggregate gross sales price of the Properties acquired subject to this Agreement thereafter. Notwithstanding the foregoing, Commissions on the Udolf Portfolio, People's Bank and Mel Gordon Properties will be paid in accordance with Exhibit A attached hereto and will be specifically excluded from the $25,000,000 amount referenced above. Notwithstanding the foregoing, in the event a seller of one or more Properties has a broker representing its interest and the seller is paying a commission to such broker, Broker shall negotiate with the seller's broker to receive a portion of the commission paid by seller. Notwithstanding anything to the contrary contained in this Agreement, the following shall be conditions precedent to Client's obligation to pay the</w:t>
      </w:r>
    </w:p>
    <w:p>
      <w:pPr>
        <w:sectPr>
          <w:pgSz w:w="11900" w:h="16978" w:orient="portrait"/>
          <w:cols w:equalWidth="0" w:num="1">
            <w:col w:w="9759"/>
          </w:cols>
          <w:pgMar w:left="700" w:top="294"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Commission:</w:t>
      </w:r>
    </w:p>
    <w:p>
      <w:pPr>
        <w:spacing w:after="0" w:line="179" w:lineRule="exact"/>
        <w:rPr>
          <w:sz w:val="20"/>
          <w:szCs w:val="20"/>
          <w:color w:val="auto"/>
        </w:rPr>
      </w:pPr>
    </w:p>
    <w:p>
      <w:pPr>
        <w:ind w:left="1600" w:right="2819" w:hanging="751"/>
        <w:spacing w:after="0" w:line="275" w:lineRule="auto"/>
        <w:tabs>
          <w:tab w:leader="none" w:pos="16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Client and seller of a Contract of Sale for one or more Properties acceptable in form and substance to Client, in Client's sole and absolute discretion; and</w:t>
      </w:r>
    </w:p>
    <w:p>
      <w:pPr>
        <w:spacing w:after="0" w:line="71" w:lineRule="exact"/>
        <w:rPr>
          <w:rFonts w:ascii="Courier New" w:cs="Courier New" w:eastAsia="Courier New" w:hAnsi="Courier New"/>
          <w:sz w:val="16"/>
          <w:szCs w:val="16"/>
          <w:color w:val="auto"/>
        </w:rPr>
      </w:pPr>
    </w:p>
    <w:p>
      <w:pPr>
        <w:ind w:left="1600" w:right="3179" w:hanging="751"/>
        <w:spacing w:after="0" w:line="321" w:lineRule="auto"/>
        <w:tabs>
          <w:tab w:leader="none" w:pos="16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actual closing of the sale, including Client's payment of all monies due at closing, and transfer of title, or other evidence of ownership, to Client.</w:t>
      </w:r>
    </w:p>
    <w:p>
      <w:pPr>
        <w:spacing w:after="0" w:line="40" w:lineRule="exact"/>
        <w:rPr>
          <w:sz w:val="20"/>
          <w:szCs w:val="20"/>
          <w:color w:val="auto"/>
        </w:rPr>
      </w:pPr>
    </w:p>
    <w:p>
      <w:pPr>
        <w:ind w:right="3379"/>
        <w:spacing w:after="0" w:line="348" w:lineRule="auto"/>
        <w:rPr>
          <w:sz w:val="20"/>
          <w:szCs w:val="20"/>
          <w:color w:val="auto"/>
        </w:rPr>
      </w:pPr>
      <w:r>
        <w:rPr>
          <w:rFonts w:ascii="Courier New" w:cs="Courier New" w:eastAsia="Courier New" w:hAnsi="Courier New"/>
          <w:sz w:val="16"/>
          <w:szCs w:val="16"/>
          <w:color w:val="auto"/>
        </w:rPr>
        <w:t>Failure of either of these conditions shall preclude any claim for a Commission by Broker.</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 is further understood that the Commission shall be paid to Broker if,</w:t>
      </w:r>
    </w:p>
    <w:p>
      <w:pPr>
        <w:spacing w:after="0" w:line="27" w:lineRule="exact"/>
        <w:rPr>
          <w:sz w:val="20"/>
          <w:szCs w:val="20"/>
          <w:color w:val="auto"/>
        </w:rPr>
      </w:pPr>
    </w:p>
    <w:p>
      <w:pPr>
        <w:ind w:right="2819" w:firstLine="5"/>
        <w:spacing w:after="0" w:line="268" w:lineRule="auto"/>
        <w:tabs>
          <w:tab w:leader="none" w:pos="37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One Hundred Eighty (180) days after the expiration or termination of the Term, Client enters into a Contract of Sale for one or more Properties presented by Broker during the Term and named in a written list delivered to Client by Broker within ten (10) days following the expiration of the Term or the termination of this Agreement, (ii) such purchase is ultimately consummated, and (iii) the two conditions precedent to Client's obligation to pay the Commission, as set forth above, have been met. Broker's Commission shall be the sole compensation paid to</w:t>
      </w:r>
    </w:p>
    <w:p>
      <w:pPr>
        <w:spacing w:after="0" w:line="7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759"/>
          </w:cols>
          <w:pgMar w:left="700" w:top="114" w:right="1440" w:bottom="1440" w:gutter="0" w:footer="0" w:header="0"/>
        </w:sectPr>
      </w:pPr>
    </w:p>
    <w:bookmarkStart w:id="23" w:name="page24"/>
    <w:bookmarkEnd w:id="23"/>
    <w:p>
      <w:pPr>
        <w:spacing w:after="0" w:line="9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6"/>
          <w:szCs w:val="16"/>
          <w:color w:val="auto"/>
        </w:rPr>
        <w:t>Broker and Broker shall not be entitled to reimbursement for any expenses or any other sums Broker incurs related to or involving the performance of the services. The Commission shall be paid to Broker at closing and Client hereby authorizes the attorney or title company conducting the closing to disburse the Commission to Broker at such closing. The Commission shall be payable if the transfer or sale is structured as a cash sale, like-kind exchange, partial sale, joint venture, newly formed partnership or transfer of stock.</w:t>
      </w:r>
    </w:p>
    <w:p>
      <w:pPr>
        <w:spacing w:after="0" w:line="89" w:lineRule="exact"/>
        <w:rPr>
          <w:sz w:val="20"/>
          <w:szCs w:val="20"/>
          <w:color w:val="auto"/>
        </w:rPr>
      </w:pPr>
    </w:p>
    <w:p>
      <w:pPr>
        <w:ind w:right="2819" w:firstLine="5"/>
        <w:spacing w:after="0" w:line="243" w:lineRule="auto"/>
        <w:tabs>
          <w:tab w:leader="none" w:pos="84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 event shall Client be responsible to pay any persons or entities, other than Broker, any commissions or other remunerations of any kind in connection with this Agreement or by virtue of their association with Broker. Further, Client shall not be obligated to see to the application of the Commission, if any, due under this Agreement or the payment of any other remuneration for the benefit of any persons or entities other than Broker, and no other persons or entity shall be a third party beneficiary of this Agreement. Broker shall be solely responsible for the direct payment of any commissions or other remuneration of any kind due to other persons or entities claiming entitlement to a share of the Commission or any other remuneration under this Agreement or by virtue of their association with Broker. Broker hereby agrees to indemnify and hold Client harmless from and against any and all claims, demands, obligations, liabilities, losses and damages (including, without limitation, attorney's fees of counsel selected by Client) arising directly or indirectly out of or in connection with any claim for commissions or other remuneration of any kind for any person or entity claiming by, through or under Broker or relating in any way to this Agreement, or Broker's actions or failure to act pursuant to this Agreement; it being understood and agreed that Client's liability hereunder shall be limited to the payment to Broker of the Commission, if any, owed under the Agreement. This provision shall survive any termination of this Agreement.</w:t>
      </w:r>
    </w:p>
    <w:p>
      <w:pPr>
        <w:spacing w:after="0" w:line="108" w:lineRule="exact"/>
        <w:rPr>
          <w:rFonts w:ascii="Courier New" w:cs="Courier New" w:eastAsia="Courier New" w:hAnsi="Courier New"/>
          <w:sz w:val="16"/>
          <w:szCs w:val="16"/>
          <w:color w:val="auto"/>
        </w:rPr>
      </w:pPr>
    </w:p>
    <w:p>
      <w:pPr>
        <w:ind w:right="2819" w:firstLine="5"/>
        <w:spacing w:after="0" w:line="266" w:lineRule="auto"/>
        <w:tabs>
          <w:tab w:leader="none" w:pos="84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terminated by either party upon thirty (30) days' written notice. In the event of termination by either party, Broker shall be entitled to receive only that Commission which it has earned pursuant to and in accordance with Section 5 of this Agreement and Client shall have no further obligations or liabilities hereunder.</w:t>
      </w:r>
    </w:p>
    <w:p>
      <w:pPr>
        <w:spacing w:after="0" w:line="77" w:lineRule="exact"/>
        <w:rPr>
          <w:rFonts w:ascii="Courier New" w:cs="Courier New" w:eastAsia="Courier New" w:hAnsi="Courier New"/>
          <w:sz w:val="16"/>
          <w:szCs w:val="16"/>
          <w:color w:val="auto"/>
        </w:rPr>
      </w:pPr>
    </w:p>
    <w:p>
      <w:pPr>
        <w:ind w:right="2819" w:firstLine="5"/>
        <w:spacing w:after="0" w:line="268" w:lineRule="auto"/>
        <w:tabs>
          <w:tab w:leader="none" w:pos="84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failure or refusal to perform or observe any obligation, covenant, or condition of this Agreement shall constitute an Event of Default. Should an Event of Default occur, Client may, at its option, terminate this Agreement without affecting any other remedy which it may have at law or in equity. Such termination shall be effective immediately upon Broker's receipt of written notice from Client. In such event, Broker shall be entitled to receive only that Commission which it has earned pursuant to and in accordance with Section 5 of this Agreement, less any and all damages, losses, claims, costs and expenses incurred or suffered by Client as a result of Broker's failure or refusal to perform and Client shall have no further obligations or liabilities hereunder.</w:t>
      </w:r>
    </w:p>
    <w:p>
      <w:pPr>
        <w:spacing w:after="0" w:line="200" w:lineRule="exact"/>
        <w:rPr>
          <w:sz w:val="20"/>
          <w:szCs w:val="20"/>
          <w:color w:val="auto"/>
        </w:rPr>
      </w:pPr>
    </w:p>
    <w:p>
      <w:pPr>
        <w:spacing w:after="0" w:line="23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759"/>
          </w:cols>
          <w:pgMar w:left="700" w:top="1440" w:right="1440" w:bottom="1440" w:gutter="0" w:footer="0" w:header="0"/>
        </w:sectPr>
      </w:pPr>
    </w:p>
    <w:bookmarkStart w:id="24" w:name="page25"/>
    <w:bookmarkEnd w:id="24"/>
    <w:p>
      <w:pPr>
        <w:spacing w:after="0" w:line="93" w:lineRule="exact"/>
        <w:rPr>
          <w:sz w:val="20"/>
          <w:szCs w:val="20"/>
          <w:color w:val="auto"/>
        </w:rPr>
      </w:pPr>
    </w:p>
    <w:p>
      <w:pPr>
        <w:ind w:left="-5" w:right="2819" w:firstLine="5"/>
        <w:spacing w:after="0" w:line="246" w:lineRule="auto"/>
        <w:tabs>
          <w:tab w:leader="none" w:pos="83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"Federal Realty Investment Trust," refers to the Trustees, as trustees, but not individually or personally, under a Third Amended and Restated Declaration of Trust on file in the office of the Recorder of Deeds of the District of Columbia, which Declaration provides that neither the shareholders nor the Trustees, nor any officer, employee, representative or agent of Federal Realty Investment Trust shall be personally liable for the satisfaction of obligations of any nature whatsoever of Federal Realty Investment Trust. Accordingly, and in addition to the other limitations on liability set forth herein, Broker hereby agrees to look solely to Street Retail, Inc.'s property or Federal Realty Investment Trust's trust property for the satisfaction of any claim arising from this Agreement and shall not seek to impose personal liability on any shareholder, Trustee, officer, employee, representative or agent of Federal Realty Investment Trust. A similar limitation on liability shall be inserted in each document executed by Street Retail, Inc. (if any) pursuant to this Agreement.</w:t>
      </w:r>
    </w:p>
    <w:p>
      <w:pPr>
        <w:spacing w:after="0" w:line="93" w:lineRule="exact"/>
        <w:rPr>
          <w:rFonts w:ascii="Courier New" w:cs="Courier New" w:eastAsia="Courier New" w:hAnsi="Courier New"/>
          <w:sz w:val="16"/>
          <w:szCs w:val="16"/>
          <w:color w:val="auto"/>
        </w:rPr>
      </w:pPr>
    </w:p>
    <w:p>
      <w:pPr>
        <w:ind w:left="-5" w:right="2819" w:firstLine="5"/>
        <w:spacing w:after="0" w:line="247" w:lineRule="auto"/>
        <w:tabs>
          <w:tab w:leader="none" w:pos="83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any demand, request, approval consent or notice ("Notice") shall or may be given by one party to the other, Notice shall be addressed to the parties at their respective addresses as set forth below and delivered by (i) hand, (ii) facsimile, (iii) a nationally recognized overnight express courier, or (iv) registered or certified mail return receipt requested. The date of actual receipt shall be deemed the date of service of Notice. In the event an addressee refuses to accept delivery, however, then Notice shall be deemed to have been served on either (i) the date hand delivery is refused, (ii) the next business day in the case of delivery by overnight courier, or (iii) three (3) business days after mailing the notice in the case of registered or certified mail. Either party may, at any time, change its Notice address by giving the other party Notice, in accordance with the above, stating the change and setting forth the new address.</w:t>
      </w:r>
    </w:p>
    <w:p>
      <w:pPr>
        <w:spacing w:after="0" w:line="93" w:lineRule="exact"/>
        <w:rPr>
          <w:sz w:val="20"/>
          <w:szCs w:val="20"/>
          <w:color w:val="auto"/>
        </w:rPr>
      </w:pPr>
    </w:p>
    <w:tbl>
      <w:tblPr>
        <w:tblLayout w:type="fixed"/>
        <w:tblInd w:w="835" w:type="dxa"/>
        <w:tblCellMar>
          <w:top w:w="0" w:type="dxa"/>
          <w:left w:w="0" w:type="dxa"/>
          <w:bottom w:w="0" w:type="dxa"/>
          <w:right w:w="0" w:type="dxa"/>
        </w:tblCellMar>
      </w:tblPr>
      <w:tr>
        <w:trPr>
          <w:trHeight w:val="181"/>
        </w:trPr>
        <w:tc>
          <w:tcPr>
            <w:tcW w:w="1520" w:type="dxa"/>
            <w:vAlign w:val="bottom"/>
          </w:tcPr>
          <w:p>
            <w:pPr>
              <w:spacing w:after="0"/>
              <w:rPr>
                <w:sz w:val="20"/>
                <w:szCs w:val="20"/>
                <w:color w:val="auto"/>
              </w:rPr>
            </w:pPr>
            <w:r>
              <w:rPr>
                <w:rFonts w:ascii="Courier New" w:cs="Courier New" w:eastAsia="Courier New" w:hAnsi="Courier New"/>
                <w:sz w:val="16"/>
                <w:szCs w:val="16"/>
                <w:color w:val="auto"/>
              </w:rPr>
              <w:t>Client:</w:t>
            </w:r>
          </w:p>
        </w:tc>
        <w:tc>
          <w:tcPr>
            <w:tcW w:w="196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6"/>
              </w:rPr>
              <w:t>Charles E. Garner II</w:t>
            </w:r>
          </w:p>
        </w:tc>
        <w:tc>
          <w:tcPr>
            <w:tcW w:w="1400" w:type="dxa"/>
            <w:vAlign w:val="bottom"/>
          </w:tcPr>
          <w:p>
            <w:pPr>
              <w:spacing w:after="0"/>
              <w:rPr>
                <w:sz w:val="15"/>
                <w:szCs w:val="15"/>
                <w:color w:val="auto"/>
              </w:rPr>
            </w:pPr>
          </w:p>
        </w:tc>
      </w:tr>
      <w:tr>
        <w:trPr>
          <w:trHeight w:val="180"/>
        </w:trPr>
        <w:tc>
          <w:tcPr>
            <w:tcW w:w="1520" w:type="dxa"/>
            <w:vAlign w:val="bottom"/>
          </w:tcPr>
          <w:p>
            <w:pPr>
              <w:spacing w:after="0"/>
              <w:rPr>
                <w:sz w:val="15"/>
                <w:szCs w:val="15"/>
                <w:color w:val="auto"/>
              </w:rPr>
            </w:pPr>
          </w:p>
        </w:tc>
        <w:tc>
          <w:tcPr>
            <w:tcW w:w="19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Vice President</w:t>
            </w:r>
          </w:p>
        </w:tc>
        <w:tc>
          <w:tcPr>
            <w:tcW w:w="1400" w:type="dxa"/>
            <w:vAlign w:val="bottom"/>
          </w:tcPr>
          <w:p>
            <w:pPr>
              <w:spacing w:after="0"/>
              <w:rPr>
                <w:sz w:val="15"/>
                <w:szCs w:val="15"/>
                <w:color w:val="auto"/>
              </w:rPr>
            </w:pPr>
          </w:p>
        </w:tc>
      </w:tr>
      <w:tr>
        <w:trPr>
          <w:trHeight w:val="180"/>
        </w:trPr>
        <w:tc>
          <w:tcPr>
            <w:tcW w:w="1520" w:type="dxa"/>
            <w:vAlign w:val="bottom"/>
          </w:tcPr>
          <w:p>
            <w:pPr>
              <w:spacing w:after="0"/>
              <w:rPr>
                <w:sz w:val="15"/>
                <w:szCs w:val="15"/>
                <w:color w:val="auto"/>
              </w:rPr>
            </w:pPr>
          </w:p>
        </w:tc>
        <w:tc>
          <w:tcPr>
            <w:tcW w:w="19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Street Retail, Inc.</w:t>
            </w:r>
          </w:p>
        </w:tc>
        <w:tc>
          <w:tcPr>
            <w:tcW w:w="1400" w:type="dxa"/>
            <w:vAlign w:val="bottom"/>
          </w:tcPr>
          <w:p>
            <w:pPr>
              <w:spacing w:after="0"/>
              <w:rPr>
                <w:sz w:val="15"/>
                <w:szCs w:val="15"/>
                <w:color w:val="auto"/>
              </w:rPr>
            </w:pPr>
          </w:p>
        </w:tc>
      </w:tr>
      <w:tr>
        <w:trPr>
          <w:trHeight w:val="180"/>
        </w:trPr>
        <w:tc>
          <w:tcPr>
            <w:tcW w:w="1520" w:type="dxa"/>
            <w:vAlign w:val="bottom"/>
          </w:tcPr>
          <w:p>
            <w:pPr>
              <w:spacing w:after="0"/>
              <w:rPr>
                <w:sz w:val="15"/>
                <w:szCs w:val="15"/>
                <w:color w:val="auto"/>
              </w:rPr>
            </w:pPr>
          </w:p>
        </w:tc>
        <w:tc>
          <w:tcPr>
            <w:tcW w:w="336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4800 Hampden Lane, Suite 500</w:t>
            </w:r>
          </w:p>
        </w:tc>
      </w:tr>
      <w:tr>
        <w:trPr>
          <w:trHeight w:val="264"/>
        </w:trPr>
        <w:tc>
          <w:tcPr>
            <w:tcW w:w="1520" w:type="dxa"/>
            <w:vAlign w:val="bottom"/>
          </w:tcPr>
          <w:p>
            <w:pPr>
              <w:spacing w:after="0"/>
              <w:rPr>
                <w:sz w:val="22"/>
                <w:szCs w:val="22"/>
                <w:color w:val="auto"/>
              </w:rPr>
            </w:pPr>
          </w:p>
        </w:tc>
        <w:tc>
          <w:tcPr>
            <w:tcW w:w="19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Bethesda, Maryland</w:t>
            </w:r>
          </w:p>
        </w:tc>
        <w:tc>
          <w:tcPr>
            <w:tcW w:w="1400" w:type="dxa"/>
            <w:vAlign w:val="bottom"/>
          </w:tcPr>
          <w:p>
            <w:pPr>
              <w:jc w:val="right"/>
              <w:ind w:right="862"/>
              <w:spacing w:after="0"/>
              <w:rPr>
                <w:sz w:val="20"/>
                <w:szCs w:val="20"/>
                <w:color w:val="auto"/>
              </w:rPr>
            </w:pPr>
            <w:r>
              <w:rPr>
                <w:rFonts w:ascii="Courier New" w:cs="Courier New" w:eastAsia="Courier New" w:hAnsi="Courier New"/>
                <w:sz w:val="16"/>
                <w:szCs w:val="16"/>
                <w:color w:val="auto"/>
                <w:w w:val="91"/>
              </w:rPr>
              <w:t>20814</w:t>
            </w:r>
          </w:p>
        </w:tc>
      </w:tr>
      <w:tr>
        <w:trPr>
          <w:trHeight w:val="361"/>
        </w:trPr>
        <w:tc>
          <w:tcPr>
            <w:tcW w:w="1520" w:type="dxa"/>
            <w:vAlign w:val="bottom"/>
          </w:tcPr>
          <w:p>
            <w:pPr>
              <w:spacing w:after="0"/>
              <w:rPr>
                <w:sz w:val="20"/>
                <w:szCs w:val="20"/>
                <w:color w:val="auto"/>
              </w:rPr>
            </w:pPr>
            <w:r>
              <w:rPr>
                <w:rFonts w:ascii="Courier New" w:cs="Courier New" w:eastAsia="Courier New" w:hAnsi="Courier New"/>
                <w:sz w:val="16"/>
                <w:szCs w:val="16"/>
                <w:color w:val="auto"/>
              </w:rPr>
              <w:t>with a copy to:</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7"/>
        </w:trPr>
        <w:tc>
          <w:tcPr>
            <w:tcW w:w="152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Street Retail, Inc.</w:t>
            </w:r>
          </w:p>
        </w:tc>
        <w:tc>
          <w:tcPr>
            <w:tcW w:w="1400" w:type="dxa"/>
            <w:vAlign w:val="bottom"/>
          </w:tcPr>
          <w:p>
            <w:pPr>
              <w:spacing w:after="0"/>
              <w:rPr>
                <w:sz w:val="24"/>
                <w:szCs w:val="24"/>
                <w:color w:val="auto"/>
              </w:rPr>
            </w:pPr>
          </w:p>
        </w:tc>
      </w:tr>
      <w:tr>
        <w:trPr>
          <w:trHeight w:val="180"/>
        </w:trPr>
        <w:tc>
          <w:tcPr>
            <w:tcW w:w="1520" w:type="dxa"/>
            <w:vAlign w:val="bottom"/>
          </w:tcPr>
          <w:p>
            <w:pPr>
              <w:spacing w:after="0"/>
              <w:rPr>
                <w:sz w:val="15"/>
                <w:szCs w:val="15"/>
                <w:color w:val="auto"/>
              </w:rPr>
            </w:pPr>
          </w:p>
        </w:tc>
        <w:tc>
          <w:tcPr>
            <w:tcW w:w="336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4800 Hampden Lane, Suite 500</w:t>
            </w:r>
          </w:p>
        </w:tc>
      </w:tr>
      <w:tr>
        <w:trPr>
          <w:trHeight w:val="180"/>
        </w:trPr>
        <w:tc>
          <w:tcPr>
            <w:tcW w:w="1520" w:type="dxa"/>
            <w:vAlign w:val="bottom"/>
          </w:tcPr>
          <w:p>
            <w:pPr>
              <w:spacing w:after="0"/>
              <w:rPr>
                <w:sz w:val="15"/>
                <w:szCs w:val="15"/>
                <w:color w:val="auto"/>
              </w:rPr>
            </w:pPr>
          </w:p>
        </w:tc>
        <w:tc>
          <w:tcPr>
            <w:tcW w:w="19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Bethesda, Maryland</w:t>
            </w:r>
          </w:p>
        </w:tc>
        <w:tc>
          <w:tcPr>
            <w:tcW w:w="1400" w:type="dxa"/>
            <w:vAlign w:val="bottom"/>
          </w:tcPr>
          <w:p>
            <w:pPr>
              <w:jc w:val="right"/>
              <w:ind w:right="862"/>
              <w:spacing w:after="0"/>
              <w:rPr>
                <w:sz w:val="20"/>
                <w:szCs w:val="20"/>
                <w:color w:val="auto"/>
              </w:rPr>
            </w:pPr>
            <w:r>
              <w:rPr>
                <w:rFonts w:ascii="Courier New" w:cs="Courier New" w:eastAsia="Courier New" w:hAnsi="Courier New"/>
                <w:sz w:val="16"/>
                <w:szCs w:val="16"/>
                <w:color w:val="auto"/>
                <w:w w:val="91"/>
              </w:rPr>
              <w:t>20814</w:t>
            </w:r>
          </w:p>
        </w:tc>
      </w:tr>
      <w:tr>
        <w:trPr>
          <w:trHeight w:val="264"/>
        </w:trPr>
        <w:tc>
          <w:tcPr>
            <w:tcW w:w="152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Courier New" w:cs="Courier New" w:eastAsia="Courier New" w:hAnsi="Courier New"/>
                <w:sz w:val="16"/>
                <w:szCs w:val="16"/>
                <w:color w:val="auto"/>
              </w:rPr>
              <w:t>Attn:</w:t>
            </w:r>
          </w:p>
        </w:tc>
        <w:tc>
          <w:tcPr>
            <w:tcW w:w="1320" w:type="dxa"/>
            <w:vAlign w:val="bottom"/>
          </w:tcPr>
          <w:p>
            <w:pPr>
              <w:ind w:left="100"/>
              <w:spacing w:after="0"/>
              <w:rPr>
                <w:sz w:val="20"/>
                <w:szCs w:val="20"/>
                <w:color w:val="auto"/>
              </w:rPr>
            </w:pPr>
            <w:r>
              <w:rPr>
                <w:rFonts w:ascii="Courier New" w:cs="Courier New" w:eastAsia="Courier New" w:hAnsi="Courier New"/>
                <w:sz w:val="16"/>
                <w:szCs w:val="16"/>
                <w:color w:val="auto"/>
              </w:rPr>
              <w:t>Secretary</w:t>
            </w:r>
          </w:p>
        </w:tc>
        <w:tc>
          <w:tcPr>
            <w:tcW w:w="1400" w:type="dxa"/>
            <w:vAlign w:val="bottom"/>
          </w:tcPr>
          <w:p>
            <w:pPr>
              <w:spacing w:after="0"/>
              <w:rPr>
                <w:sz w:val="22"/>
                <w:szCs w:val="22"/>
                <w:color w:val="auto"/>
              </w:rPr>
            </w:pPr>
          </w:p>
        </w:tc>
      </w:tr>
      <w:tr>
        <w:trPr>
          <w:trHeight w:val="277"/>
        </w:trPr>
        <w:tc>
          <w:tcPr>
            <w:tcW w:w="1520" w:type="dxa"/>
            <w:vAlign w:val="bottom"/>
          </w:tcPr>
          <w:p>
            <w:pPr>
              <w:spacing w:after="0"/>
              <w:rPr>
                <w:sz w:val="20"/>
                <w:szCs w:val="20"/>
                <w:color w:val="auto"/>
              </w:rPr>
            </w:pPr>
            <w:r>
              <w:rPr>
                <w:rFonts w:ascii="Courier New" w:cs="Courier New" w:eastAsia="Courier New" w:hAnsi="Courier New"/>
                <w:sz w:val="16"/>
                <w:szCs w:val="16"/>
                <w:color w:val="auto"/>
              </w:rPr>
              <w:t>Broker:</w:t>
            </w:r>
          </w:p>
        </w:tc>
        <w:tc>
          <w:tcPr>
            <w:tcW w:w="336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Westport Advisors Corporation</w:t>
            </w:r>
          </w:p>
        </w:tc>
      </w:tr>
      <w:tr>
        <w:trPr>
          <w:trHeight w:val="180"/>
        </w:trPr>
        <w:tc>
          <w:tcPr>
            <w:tcW w:w="1520" w:type="dxa"/>
            <w:vAlign w:val="bottom"/>
          </w:tcPr>
          <w:p>
            <w:pPr>
              <w:spacing w:after="0"/>
              <w:rPr>
                <w:sz w:val="15"/>
                <w:szCs w:val="15"/>
                <w:color w:val="auto"/>
              </w:rPr>
            </w:pPr>
          </w:p>
        </w:tc>
        <w:tc>
          <w:tcPr>
            <w:tcW w:w="336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25 Sylvan Road South, Building F</w:t>
            </w:r>
          </w:p>
        </w:tc>
      </w:tr>
      <w:tr>
        <w:trPr>
          <w:trHeight w:val="180"/>
        </w:trPr>
        <w:tc>
          <w:tcPr>
            <w:tcW w:w="1520" w:type="dxa"/>
            <w:vAlign w:val="bottom"/>
          </w:tcPr>
          <w:p>
            <w:pPr>
              <w:spacing w:after="0"/>
              <w:rPr>
                <w:sz w:val="15"/>
                <w:szCs w:val="15"/>
                <w:color w:val="auto"/>
              </w:rPr>
            </w:pPr>
          </w:p>
        </w:tc>
        <w:tc>
          <w:tcPr>
            <w:tcW w:w="336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Westport, Connecticut  06880</w:t>
            </w:r>
          </w:p>
        </w:tc>
      </w:tr>
      <w:tr>
        <w:trPr>
          <w:trHeight w:val="264"/>
        </w:trPr>
        <w:tc>
          <w:tcPr>
            <w:tcW w:w="152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Courier New" w:cs="Courier New" w:eastAsia="Courier New" w:hAnsi="Courier New"/>
                <w:sz w:val="16"/>
                <w:szCs w:val="16"/>
                <w:color w:val="auto"/>
              </w:rPr>
              <w:t>Attn:</w:t>
            </w:r>
          </w:p>
        </w:tc>
        <w:tc>
          <w:tcPr>
            <w:tcW w:w="27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Jack Alan Guttman, President</w:t>
            </w:r>
          </w:p>
        </w:tc>
      </w:tr>
    </w:tbl>
    <w:p>
      <w:pPr>
        <w:spacing w:after="0" w:line="97" w:lineRule="exact"/>
        <w:rPr>
          <w:sz w:val="20"/>
          <w:szCs w:val="20"/>
          <w:color w:val="auto"/>
        </w:rPr>
      </w:pPr>
    </w:p>
    <w:p>
      <w:pPr>
        <w:ind w:left="-5" w:right="2999" w:firstLine="5"/>
        <w:spacing w:after="0" w:line="382" w:lineRule="auto"/>
        <w:tabs>
          <w:tab w:leader="none" w:pos="83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contains the entire agreement between Client and Broker, supersedes any prior agreements or understandings, and no oral</w:t>
      </w:r>
    </w:p>
    <w:p>
      <w:pPr>
        <w:ind w:left="347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754"/>
          </w:cols>
          <w:pgMar w:left="705" w:top="1440" w:right="1440" w:bottom="1440" w:gutter="0" w:footer="0" w:header="0"/>
        </w:sectPr>
      </w:pPr>
    </w:p>
    <w:bookmarkStart w:id="25" w:name="page26"/>
    <w:bookmarkEnd w:id="25"/>
    <w:p>
      <w:pPr>
        <w:spacing w:after="0" w:line="93" w:lineRule="exact"/>
        <w:rPr>
          <w:sz w:val="20"/>
          <w:szCs w:val="20"/>
          <w:color w:val="auto"/>
        </w:rPr>
      </w:pPr>
    </w:p>
    <w:p>
      <w:pPr>
        <w:ind w:right="2999"/>
        <w:spacing w:after="0" w:line="288" w:lineRule="auto"/>
        <w:rPr>
          <w:sz w:val="20"/>
          <w:szCs w:val="20"/>
          <w:color w:val="auto"/>
        </w:rPr>
      </w:pPr>
      <w:r>
        <w:rPr>
          <w:rFonts w:ascii="Courier New" w:cs="Courier New" w:eastAsia="Courier New" w:hAnsi="Courier New"/>
          <w:sz w:val="15"/>
          <w:szCs w:val="15"/>
          <w:color w:val="auto"/>
        </w:rPr>
        <w:t>statements or prior written matter not specifically incorporated in this Agreement shall be of any force and effect. No variation, modification, or changes of this Agreement shall be binding on either party to the Agreement unless set forth in a document executed by these parties or a duly authorized agent, officer, or representative hereof.</w:t>
      </w:r>
    </w:p>
    <w:p>
      <w:pPr>
        <w:spacing w:after="0" w:line="63" w:lineRule="exact"/>
        <w:rPr>
          <w:sz w:val="20"/>
          <w:szCs w:val="20"/>
          <w:color w:val="auto"/>
        </w:rPr>
      </w:pPr>
    </w:p>
    <w:p>
      <w:pPr>
        <w:ind w:right="2899" w:firstLine="5"/>
        <w:spacing w:after="0" w:line="348" w:lineRule="auto"/>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Client nor Broker shall file or record any instrument or document relative to this Agreement in any public records.</w:t>
      </w:r>
    </w:p>
    <w:p>
      <w:pPr>
        <w:spacing w:after="0" w:line="15" w:lineRule="exact"/>
        <w:rPr>
          <w:rFonts w:ascii="Courier New" w:cs="Courier New" w:eastAsia="Courier New" w:hAnsi="Courier New"/>
          <w:sz w:val="16"/>
          <w:szCs w:val="16"/>
          <w:color w:val="auto"/>
        </w:rPr>
      </w:pPr>
    </w:p>
    <w:p>
      <w:pPr>
        <w:ind w:right="2999" w:firstLine="5"/>
        <w:spacing w:after="0" w:line="321" w:lineRule="auto"/>
        <w:tabs>
          <w:tab w:leader="none" w:pos="84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heirs, transferees, successors, and assigns of the parties hereof shall be duly bound by the provisions hereof, provided Broker may not assign or otherwise transfer its right or obligation hereunder.</w:t>
      </w:r>
    </w:p>
    <w:p>
      <w:pPr>
        <w:spacing w:after="0" w:line="39" w:lineRule="exact"/>
        <w:rPr>
          <w:rFonts w:ascii="Courier New" w:cs="Courier New" w:eastAsia="Courier New" w:hAnsi="Courier New"/>
          <w:sz w:val="15"/>
          <w:szCs w:val="15"/>
          <w:color w:val="auto"/>
        </w:rPr>
      </w:pPr>
    </w:p>
    <w:p>
      <w:pPr>
        <w:ind w:right="2899" w:firstLine="5"/>
        <w:spacing w:after="0" w:line="348" w:lineRule="auto"/>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the Agreement shall be governed by and construed in accordance with the laws of the State of Maryland.</w:t>
      </w:r>
    </w:p>
    <w:p>
      <w:pPr>
        <w:spacing w:after="0" w:line="15" w:lineRule="exact"/>
        <w:rPr>
          <w:rFonts w:ascii="Courier New" w:cs="Courier New" w:eastAsia="Courier New" w:hAnsi="Courier New"/>
          <w:sz w:val="16"/>
          <w:szCs w:val="16"/>
          <w:color w:val="auto"/>
        </w:rPr>
      </w:pPr>
    </w:p>
    <w:p>
      <w:pPr>
        <w:ind w:right="3099" w:firstLine="5"/>
        <w:spacing w:after="0" w:line="293" w:lineRule="auto"/>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in counterparts, each of which shall be deemed to be an original and shall together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59"/>
          </w:cols>
          <w:pgMar w:left="700" w:top="1440" w:right="1440" w:bottom="1440" w:gutter="0" w:footer="0" w:header="0"/>
        </w:sectPr>
      </w:pPr>
    </w:p>
    <w:bookmarkStart w:id="26" w:name="page27"/>
    <w:bookmarkEnd w:id="26"/>
    <w:p>
      <w:pPr>
        <w:spacing w:after="0" w:line="93" w:lineRule="exact"/>
        <w:rPr>
          <w:sz w:val="20"/>
          <w:szCs w:val="20"/>
          <w:color w:val="auto"/>
        </w:rPr>
      </w:pPr>
    </w:p>
    <w:p>
      <w:pPr>
        <w:ind w:right="2819" w:firstLine="844"/>
        <w:spacing w:after="0" w:line="348" w:lineRule="auto"/>
        <w:rPr>
          <w:sz w:val="20"/>
          <w:szCs w:val="20"/>
          <w:color w:val="auto"/>
        </w:rPr>
      </w:pPr>
      <w:r>
        <w:rPr>
          <w:rFonts w:ascii="Courier New" w:cs="Courier New" w:eastAsia="Courier New" w:hAnsi="Courier New"/>
          <w:sz w:val="16"/>
          <w:szCs w:val="16"/>
          <w:color w:val="auto"/>
        </w:rPr>
        <w:t>IN WITNESS WHEREOF, the parties have duly executed this Agreement as of the day and year first above stated.</w:t>
      </w:r>
    </w:p>
    <w:p>
      <w:pPr>
        <w:spacing w:after="0" w:line="15"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CLIENT:</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STREET RETAIL, INC.</w:t>
      </w:r>
    </w:p>
    <w:p>
      <w:pPr>
        <w:spacing w:after="0" w:line="360" w:lineRule="exact"/>
        <w:rPr>
          <w:sz w:val="20"/>
          <w:szCs w:val="20"/>
          <w:color w:val="auto"/>
        </w:rPr>
      </w:pPr>
    </w:p>
    <w:p>
      <w:pPr>
        <w:ind w:left="840"/>
        <w:spacing w:after="0"/>
        <w:tabs>
          <w:tab w:leader="none" w:pos="1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Charles E. Garner II</w:t>
      </w:r>
    </w:p>
    <w:p>
      <w:pPr>
        <w:spacing w:after="0" w:line="26"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Charles E. Garner II</w:t>
      </w:r>
    </w:p>
    <w:p>
      <w:pPr>
        <w:ind w:left="1600"/>
        <w:spacing w:after="0"/>
        <w:rPr>
          <w:sz w:val="20"/>
          <w:szCs w:val="20"/>
          <w:color w:val="auto"/>
        </w:rPr>
      </w:pPr>
      <w:r>
        <w:rPr>
          <w:rFonts w:ascii="Courier New" w:cs="Courier New" w:eastAsia="Courier New" w:hAnsi="Courier New"/>
          <w:sz w:val="16"/>
          <w:szCs w:val="16"/>
          <w:color w:val="auto"/>
        </w:rPr>
        <w:t>Vice President</w:t>
      </w:r>
    </w:p>
    <w:p>
      <w:pPr>
        <w:spacing w:after="0" w:line="332"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BROKER:</w:t>
      </w:r>
    </w:p>
    <w:p>
      <w:pPr>
        <w:spacing w:after="0" w:line="1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WESTPORT ADVISORS CORPORATION</w:t>
      </w:r>
    </w:p>
    <w:p>
      <w:pPr>
        <w:sectPr>
          <w:pgSz w:w="11900" w:h="16838" w:orient="portrait"/>
          <w:cols w:equalWidth="0" w:num="1">
            <w:col w:w="9759"/>
          </w:cols>
          <w:pgMar w:left="700" w:top="1440"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 Alan Guttman</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 Alan Guttman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ectPr>
          <w:pgSz w:w="11900" w:h="16838" w:orient="portrait"/>
          <w:cols w:equalWidth="0" w:num="2">
            <w:col w:w="1880" w:space="560"/>
            <w:col w:w="7319"/>
          </w:cols>
          <w:pgMar w:left="70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9759"/>
          </w:cols>
          <w:pgMar w:left="700" w:top="1440" w:right="1440" w:bottom="1440" w:gutter="0" w:footer="0" w:header="0"/>
          <w:type w:val="continuous"/>
        </w:sectPr>
      </w:pPr>
    </w:p>
    <w:bookmarkStart w:id="27" w:name="page28"/>
    <w:bookmarkEnd w:id="27"/>
    <w:p>
      <w:pPr>
        <w:spacing w:after="0" w:line="93" w:lineRule="exact"/>
        <w:rPr>
          <w:sz w:val="20"/>
          <w:szCs w:val="20"/>
          <w:color w:val="auto"/>
        </w:rPr>
      </w:pPr>
    </w:p>
    <w:p>
      <w:pPr>
        <w:ind w:left="3095"/>
        <w:spacing w:after="0"/>
        <w:rPr>
          <w:sz w:val="20"/>
          <w:szCs w:val="20"/>
          <w:color w:val="auto"/>
        </w:rPr>
      </w:pPr>
      <w:r>
        <w:rPr>
          <w:rFonts w:ascii="Courier New" w:cs="Courier New" w:eastAsia="Courier New" w:hAnsi="Courier New"/>
          <w:sz w:val="16"/>
          <w:szCs w:val="16"/>
          <w:color w:val="auto"/>
        </w:rPr>
        <w:t>EXHIBIT A</w:t>
      </w:r>
    </w:p>
    <w:p>
      <w:pPr>
        <w:spacing w:after="0" w:line="360" w:lineRule="exact"/>
        <w:rPr>
          <w:sz w:val="20"/>
          <w:szCs w:val="20"/>
          <w:color w:val="auto"/>
        </w:rPr>
      </w:pPr>
    </w:p>
    <w:p>
      <w:pPr>
        <w:ind w:left="-5" w:right="3379" w:firstLine="5"/>
        <w:spacing w:after="0" w:line="348" w:lineRule="auto"/>
        <w:tabs>
          <w:tab w:leader="none" w:pos="83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Udolf Properties - West Hartford and Avon, CT - Two percent (2.00%) commission.</w:t>
      </w:r>
    </w:p>
    <w:p>
      <w:pPr>
        <w:spacing w:after="0" w:line="15" w:lineRule="exact"/>
        <w:rPr>
          <w:rFonts w:ascii="Courier New" w:cs="Courier New" w:eastAsia="Courier New" w:hAnsi="Courier New"/>
          <w:sz w:val="16"/>
          <w:szCs w:val="16"/>
          <w:color w:val="auto"/>
        </w:rPr>
      </w:pPr>
    </w:p>
    <w:p>
      <w:pPr>
        <w:ind w:left="-5" w:right="2819" w:firstLine="5"/>
        <w:spacing w:after="0" w:line="348" w:lineRule="auto"/>
        <w:tabs>
          <w:tab w:leader="none" w:pos="83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Peoples Bank (410 Greenwich Avenue) - Greenwich, CT - Two percent (2.00%) commission.</w:t>
      </w:r>
    </w:p>
    <w:p>
      <w:pPr>
        <w:spacing w:after="0" w:line="15" w:lineRule="exact"/>
        <w:rPr>
          <w:rFonts w:ascii="Courier New" w:cs="Courier New" w:eastAsia="Courier New" w:hAnsi="Courier New"/>
          <w:sz w:val="16"/>
          <w:szCs w:val="16"/>
          <w:color w:val="auto"/>
        </w:rPr>
      </w:pPr>
    </w:p>
    <w:p>
      <w:pPr>
        <w:ind w:left="-5" w:right="3279" w:firstLine="5"/>
        <w:spacing w:after="0" w:line="348" w:lineRule="auto"/>
        <w:tabs>
          <w:tab w:leader="none" w:pos="83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Mel Gordon Properties - Bronxville, NY - Two percent (2.00%)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7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54"/>
          </w:cols>
          <w:pgMar w:left="705" w:top="1440" w:right="1440" w:bottom="1440" w:gutter="0" w:footer="0" w:header="0"/>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ind w:left="100"/>
        <w:spacing w:after="0"/>
        <w:rPr>
          <w:sz w:val="20"/>
          <w:szCs w:val="20"/>
          <w:color w:val="auto"/>
        </w:rPr>
      </w:pPr>
      <w:r>
        <w:rPr>
          <w:rFonts w:ascii="Courier New" w:cs="Courier New" w:eastAsia="Courier New" w:hAnsi="Courier New"/>
          <w:sz w:val="16"/>
          <w:szCs w:val="16"/>
          <w:color w:val="auto"/>
        </w:rPr>
        <w:t>5</w:t>
      </w:r>
    </w:p>
    <w:p>
      <w:pPr>
        <w:spacing w:after="0" w:line="179" w:lineRule="exact"/>
        <w:rPr>
          <w:sz w:val="20"/>
          <w:szCs w:val="20"/>
          <w:color w:val="auto"/>
        </w:rPr>
      </w:pPr>
    </w:p>
    <w:p>
      <w:pPr>
        <w:ind w:left="20" w:right="2879"/>
        <w:spacing w:after="0" w:line="266"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of Federal Realty Investment Trust as of March 31, 1995 and the related consolidated statement of operations for the three months ended March 31, 1995 and is qualified in its entirety by reference to such financial statements.</w:t>
      </w:r>
    </w:p>
    <w:p>
      <w:pPr>
        <w:spacing w:after="0" w:line="7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1,000</w:t>
      </w:r>
    </w:p>
    <w:p>
      <w:pPr>
        <w:spacing w:after="0" w:line="36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3-MOS</w:t>
      </w:r>
    </w:p>
    <w:p>
      <w:pPr>
        <w:spacing w:after="0" w:line="26"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DEC-31-1995</w:t>
      </w:r>
    </w:p>
    <w:p>
      <w:pPr>
        <w:ind w:left="2900"/>
        <w:spacing w:after="0"/>
        <w:rPr>
          <w:sz w:val="20"/>
          <w:szCs w:val="20"/>
          <w:color w:val="auto"/>
        </w:rPr>
      </w:pPr>
      <w:r>
        <w:rPr>
          <w:rFonts w:ascii="Courier New" w:cs="Courier New" w:eastAsia="Courier New" w:hAnsi="Courier New"/>
          <w:sz w:val="16"/>
          <w:szCs w:val="16"/>
          <w:color w:val="auto"/>
        </w:rPr>
        <w:t>MAR-31-1995</w:t>
      </w:r>
    </w:p>
    <w:p>
      <w:pPr>
        <w:ind w:left="3840"/>
        <w:spacing w:after="0"/>
        <w:rPr>
          <w:sz w:val="20"/>
          <w:szCs w:val="20"/>
          <w:color w:val="auto"/>
        </w:rPr>
      </w:pPr>
      <w:r>
        <w:rPr>
          <w:rFonts w:ascii="Courier New" w:cs="Courier New" w:eastAsia="Courier New" w:hAnsi="Courier New"/>
          <w:sz w:val="16"/>
          <w:szCs w:val="16"/>
          <w:color w:val="auto"/>
        </w:rPr>
        <w:t>$17,959</w:t>
      </w:r>
    </w:p>
    <w:p>
      <w:pPr>
        <w:ind w:left="3460"/>
        <w:spacing w:after="0"/>
        <w:rPr>
          <w:sz w:val="20"/>
          <w:szCs w:val="20"/>
          <w:color w:val="auto"/>
        </w:rPr>
      </w:pPr>
      <w:r>
        <w:rPr>
          <w:rFonts w:ascii="Courier New" w:cs="Courier New" w:eastAsia="Courier New" w:hAnsi="Courier New"/>
          <w:sz w:val="16"/>
          <w:szCs w:val="16"/>
          <w:color w:val="auto"/>
        </w:rPr>
        <w:t>3,567</w:t>
      </w:r>
    </w:p>
    <w:p>
      <w:pPr>
        <w:ind w:left="3280"/>
        <w:spacing w:after="0"/>
        <w:rPr>
          <w:sz w:val="20"/>
          <w:szCs w:val="20"/>
          <w:color w:val="auto"/>
        </w:rPr>
      </w:pPr>
      <w:r>
        <w:rPr>
          <w:rFonts w:ascii="Courier New" w:cs="Courier New" w:eastAsia="Courier New" w:hAnsi="Courier New"/>
          <w:sz w:val="16"/>
          <w:szCs w:val="16"/>
          <w:color w:val="auto"/>
        </w:rPr>
        <w:t>17,281</w:t>
      </w:r>
    </w:p>
    <w:p>
      <w:pPr>
        <w:ind w:left="3840"/>
        <w:spacing w:after="0"/>
        <w:rPr>
          <w:sz w:val="20"/>
          <w:szCs w:val="20"/>
          <w:color w:val="auto"/>
        </w:rPr>
      </w:pPr>
      <w:r>
        <w:rPr>
          <w:rFonts w:ascii="Courier New" w:cs="Courier New" w:eastAsia="Courier New" w:hAnsi="Courier New"/>
          <w:sz w:val="16"/>
          <w:szCs w:val="16"/>
          <w:color w:val="auto"/>
        </w:rPr>
        <w:t>0</w:t>
      </w:r>
    </w:p>
    <w:p>
      <w:pPr>
        <w:ind w:left="3940"/>
        <w:spacing w:after="0"/>
        <w:rPr>
          <w:sz w:val="20"/>
          <w:szCs w:val="20"/>
          <w:color w:val="auto"/>
        </w:rPr>
      </w:pPr>
      <w:r>
        <w:rPr>
          <w:rFonts w:ascii="Courier New" w:cs="Courier New" w:eastAsia="Courier New" w:hAnsi="Courier New"/>
          <w:sz w:val="16"/>
          <w:szCs w:val="16"/>
          <w:color w:val="auto"/>
        </w:rPr>
        <w:t>0</w:t>
      </w:r>
    </w:p>
    <w:p>
      <w:pPr>
        <w:ind w:left="3460"/>
        <w:spacing w:after="0"/>
        <w:rPr>
          <w:sz w:val="20"/>
          <w:szCs w:val="20"/>
          <w:color w:val="auto"/>
        </w:rPr>
      </w:pPr>
      <w:r>
        <w:rPr>
          <w:rFonts w:ascii="Courier New" w:cs="Courier New" w:eastAsia="Courier New" w:hAnsi="Courier New"/>
          <w:sz w:val="16"/>
          <w:szCs w:val="16"/>
          <w:color w:val="auto"/>
        </w:rPr>
        <w:t>0</w:t>
      </w:r>
    </w:p>
    <w:p>
      <w:pPr>
        <w:ind w:left="3840"/>
        <w:spacing w:after="0"/>
        <w:rPr>
          <w:sz w:val="20"/>
          <w:szCs w:val="20"/>
          <w:color w:val="auto"/>
        </w:rPr>
      </w:pPr>
      <w:r>
        <w:rPr>
          <w:rFonts w:ascii="Courier New" w:cs="Courier New" w:eastAsia="Courier New" w:hAnsi="Courier New"/>
          <w:sz w:val="16"/>
          <w:szCs w:val="16"/>
          <w:color w:val="auto"/>
        </w:rPr>
        <w:t>863,916</w:t>
      </w:r>
    </w:p>
    <w:p>
      <w:pPr>
        <w:jc w:val="right"/>
        <w:ind w:right="6479"/>
        <w:spacing w:after="0"/>
        <w:rPr>
          <w:sz w:val="20"/>
          <w:szCs w:val="20"/>
          <w:color w:val="auto"/>
        </w:rPr>
      </w:pPr>
      <w:r>
        <w:rPr>
          <w:rFonts w:ascii="Courier New" w:cs="Courier New" w:eastAsia="Courier New" w:hAnsi="Courier New"/>
          <w:sz w:val="16"/>
          <w:szCs w:val="16"/>
          <w:color w:val="auto"/>
        </w:rPr>
        <w:t>(168,006)</w:t>
      </w:r>
    </w:p>
    <w:p>
      <w:pPr>
        <w:jc w:val="right"/>
        <w:ind w:right="6479"/>
        <w:spacing w:after="0"/>
        <w:rPr>
          <w:sz w:val="20"/>
          <w:szCs w:val="20"/>
          <w:color w:val="auto"/>
        </w:rPr>
      </w:pPr>
      <w:r>
        <w:rPr>
          <w:rFonts w:ascii="Courier New" w:cs="Courier New" w:eastAsia="Courier New" w:hAnsi="Courier New"/>
          <w:sz w:val="16"/>
          <w:szCs w:val="16"/>
          <w:color w:val="auto"/>
        </w:rPr>
        <w:t>771,905</w:t>
      </w:r>
    </w:p>
    <w:p>
      <w:pPr>
        <w:ind w:left="3000"/>
        <w:spacing w:after="0"/>
        <w:rPr>
          <w:sz w:val="20"/>
          <w:szCs w:val="20"/>
          <w:color w:val="auto"/>
        </w:rPr>
      </w:pPr>
      <w:r>
        <w:rPr>
          <w:rFonts w:ascii="Courier New" w:cs="Courier New" w:eastAsia="Courier New" w:hAnsi="Courier New"/>
          <w:sz w:val="16"/>
          <w:szCs w:val="16"/>
          <w:color w:val="auto"/>
        </w:rPr>
        <w:t>0</w:t>
      </w:r>
    </w:p>
    <w:p>
      <w:pPr>
        <w:ind w:left="3740"/>
        <w:spacing w:after="0"/>
        <w:rPr>
          <w:sz w:val="20"/>
          <w:szCs w:val="20"/>
          <w:color w:val="auto"/>
        </w:rPr>
      </w:pPr>
      <w:r>
        <w:rPr>
          <w:rFonts w:ascii="Courier New" w:cs="Courier New" w:eastAsia="Courier New" w:hAnsi="Courier New"/>
          <w:sz w:val="16"/>
          <w:szCs w:val="16"/>
          <w:color w:val="auto"/>
        </w:rPr>
        <w:t>395,379</w:t>
      </w:r>
    </w:p>
    <w:p>
      <w:pPr>
        <w:ind w:left="3660"/>
        <w:spacing w:after="0"/>
        <w:rPr>
          <w:sz w:val="20"/>
          <w:szCs w:val="20"/>
          <w:color w:val="auto"/>
        </w:rPr>
      </w:pPr>
      <w:r>
        <w:rPr>
          <w:rFonts w:ascii="Courier New" w:cs="Courier New" w:eastAsia="Courier New" w:hAnsi="Courier New"/>
          <w:sz w:val="16"/>
          <w:szCs w:val="16"/>
          <w:color w:val="auto"/>
        </w:rPr>
        <w:t>498,116</w:t>
      </w:r>
    </w:p>
    <w:p>
      <w:pPr>
        <w:ind w:left="3000"/>
        <w:spacing w:after="0"/>
        <w:rPr>
          <w:sz w:val="20"/>
          <w:szCs w:val="20"/>
          <w:color w:val="auto"/>
        </w:rPr>
      </w:pPr>
      <w:r>
        <w:rPr>
          <w:rFonts w:ascii="Courier New" w:cs="Courier New" w:eastAsia="Courier New" w:hAnsi="Courier New"/>
          <w:sz w:val="16"/>
          <w:szCs w:val="16"/>
          <w:color w:val="auto"/>
        </w:rPr>
        <w:t>0</w:t>
      </w:r>
    </w:p>
    <w:p>
      <w:pPr>
        <w:ind w:left="3940"/>
        <w:spacing w:after="0"/>
        <w:rPr>
          <w:sz w:val="20"/>
          <w:szCs w:val="20"/>
          <w:color w:val="auto"/>
        </w:rPr>
      </w:pPr>
      <w:r>
        <w:rPr>
          <w:rFonts w:ascii="Courier New" w:cs="Courier New" w:eastAsia="Courier New" w:hAnsi="Courier New"/>
          <w:sz w:val="16"/>
          <w:szCs w:val="16"/>
          <w:color w:val="auto"/>
        </w:rPr>
        <w:t>0</w:t>
      </w:r>
    </w:p>
    <w:p>
      <w:pPr>
        <w:ind w:left="3280"/>
        <w:spacing w:after="0"/>
        <w:rPr>
          <w:sz w:val="20"/>
          <w:szCs w:val="20"/>
          <w:color w:val="auto"/>
        </w:rPr>
      </w:pPr>
      <w:r>
        <w:rPr>
          <w:rFonts w:ascii="Courier New" w:cs="Courier New" w:eastAsia="Courier New" w:hAnsi="Courier New"/>
          <w:sz w:val="16"/>
          <w:szCs w:val="16"/>
          <w:color w:val="auto"/>
        </w:rPr>
        <w:t>(157,095)</w:t>
      </w:r>
    </w:p>
    <w:p>
      <w:pPr>
        <w:ind w:left="1780"/>
        <w:spacing w:after="0"/>
        <w:rPr>
          <w:sz w:val="20"/>
          <w:szCs w:val="20"/>
          <w:color w:val="auto"/>
        </w:rPr>
      </w:pPr>
      <w:r>
        <w:rPr>
          <w:rFonts w:ascii="Courier New" w:cs="Courier New" w:eastAsia="Courier New" w:hAnsi="Courier New"/>
          <w:sz w:val="16"/>
          <w:szCs w:val="16"/>
          <w:color w:val="auto"/>
        </w:rPr>
        <w:t>771,905</w:t>
      </w:r>
    </w:p>
    <w:p>
      <w:pPr>
        <w:ind w:left="4320"/>
        <w:spacing w:after="0"/>
        <w:rPr>
          <w:sz w:val="20"/>
          <w:szCs w:val="20"/>
          <w:color w:val="auto"/>
        </w:rPr>
      </w:pPr>
      <w:r>
        <w:rPr>
          <w:rFonts w:ascii="Courier New" w:cs="Courier New" w:eastAsia="Courier New" w:hAnsi="Courier New"/>
          <w:sz w:val="16"/>
          <w:szCs w:val="16"/>
          <w:color w:val="auto"/>
        </w:rPr>
        <w:t>0</w:t>
      </w:r>
    </w:p>
    <w:p>
      <w:pPr>
        <w:ind w:left="3000"/>
        <w:spacing w:after="0"/>
        <w:rPr>
          <w:sz w:val="20"/>
          <w:szCs w:val="20"/>
          <w:color w:val="auto"/>
        </w:rPr>
      </w:pPr>
      <w:r>
        <w:rPr>
          <w:rFonts w:ascii="Courier New" w:cs="Courier New" w:eastAsia="Courier New" w:hAnsi="Courier New"/>
          <w:sz w:val="16"/>
          <w:szCs w:val="16"/>
          <w:color w:val="auto"/>
        </w:rPr>
        <w:t>35,921</w:t>
      </w:r>
    </w:p>
    <w:p>
      <w:pPr>
        <w:ind w:left="4500"/>
        <w:spacing w:after="0"/>
        <w:rPr>
          <w:sz w:val="20"/>
          <w:szCs w:val="20"/>
          <w:color w:val="auto"/>
        </w:rPr>
      </w:pPr>
      <w:r>
        <w:rPr>
          <w:rFonts w:ascii="Courier New" w:cs="Courier New" w:eastAsia="Courier New" w:hAnsi="Courier New"/>
          <w:sz w:val="16"/>
          <w:szCs w:val="16"/>
          <w:color w:val="auto"/>
        </w:rPr>
        <w:t>0</w:t>
      </w:r>
    </w:p>
    <w:p>
      <w:pPr>
        <w:ind w:left="3280"/>
        <w:spacing w:after="0"/>
        <w:rPr>
          <w:sz w:val="20"/>
          <w:szCs w:val="20"/>
          <w:color w:val="auto"/>
        </w:rPr>
      </w:pPr>
      <w:r>
        <w:rPr>
          <w:rFonts w:ascii="Courier New" w:cs="Courier New" w:eastAsia="Courier New" w:hAnsi="Courier New"/>
          <w:sz w:val="16"/>
          <w:szCs w:val="16"/>
          <w:color w:val="auto"/>
        </w:rPr>
        <w:t>11,352</w:t>
      </w:r>
    </w:p>
    <w:p>
      <w:pPr>
        <w:ind w:left="3460"/>
        <w:spacing w:after="0"/>
        <w:rPr>
          <w:sz w:val="20"/>
          <w:szCs w:val="20"/>
          <w:color w:val="auto"/>
        </w:rPr>
      </w:pPr>
      <w:r>
        <w:rPr>
          <w:rFonts w:ascii="Courier New" w:cs="Courier New" w:eastAsia="Courier New" w:hAnsi="Courier New"/>
          <w:sz w:val="16"/>
          <w:szCs w:val="16"/>
          <w:color w:val="auto"/>
        </w:rPr>
        <w:t>0</w:t>
      </w:r>
    </w:p>
    <w:p>
      <w:pPr>
        <w:ind w:left="3460"/>
        <w:spacing w:after="0"/>
        <w:rPr>
          <w:sz w:val="20"/>
          <w:szCs w:val="20"/>
          <w:color w:val="auto"/>
        </w:rPr>
      </w:pPr>
      <w:r>
        <w:rPr>
          <w:rFonts w:ascii="Courier New" w:cs="Courier New" w:eastAsia="Courier New" w:hAnsi="Courier New"/>
          <w:sz w:val="16"/>
          <w:szCs w:val="16"/>
          <w:color w:val="auto"/>
        </w:rPr>
        <w:t>0</w:t>
      </w:r>
    </w:p>
    <w:p>
      <w:pPr>
        <w:ind w:left="2900"/>
        <w:spacing w:after="0"/>
        <w:rPr>
          <w:sz w:val="20"/>
          <w:szCs w:val="20"/>
          <w:color w:val="auto"/>
        </w:rPr>
      </w:pPr>
      <w:r>
        <w:rPr>
          <w:rFonts w:ascii="Courier New" w:cs="Courier New" w:eastAsia="Courier New" w:hAnsi="Courier New"/>
          <w:sz w:val="16"/>
          <w:szCs w:val="16"/>
          <w:color w:val="auto"/>
        </w:rPr>
        <w:t>9,157</w:t>
      </w:r>
    </w:p>
    <w:p>
      <w:pPr>
        <w:ind w:left="3180"/>
        <w:spacing w:after="0"/>
        <w:rPr>
          <w:sz w:val="20"/>
          <w:szCs w:val="20"/>
          <w:color w:val="auto"/>
        </w:rPr>
      </w:pPr>
      <w:r>
        <w:rPr>
          <w:rFonts w:ascii="Courier New" w:cs="Courier New" w:eastAsia="Courier New" w:hAnsi="Courier New"/>
          <w:sz w:val="16"/>
          <w:szCs w:val="16"/>
          <w:color w:val="auto"/>
        </w:rPr>
        <w:t>6,623</w:t>
      </w:r>
    </w:p>
    <w:p>
      <w:pPr>
        <w:ind w:left="3840"/>
        <w:spacing w:after="0"/>
        <w:rPr>
          <w:sz w:val="20"/>
          <w:szCs w:val="20"/>
          <w:color w:val="auto"/>
        </w:rPr>
      </w:pPr>
      <w:r>
        <w:rPr>
          <w:rFonts w:ascii="Courier New" w:cs="Courier New" w:eastAsia="Courier New" w:hAnsi="Courier New"/>
          <w:sz w:val="16"/>
          <w:szCs w:val="16"/>
          <w:color w:val="auto"/>
        </w:rPr>
        <w:t>0</w:t>
      </w:r>
    </w:p>
    <w:p>
      <w:pPr>
        <w:ind w:left="3180"/>
        <w:spacing w:after="0"/>
        <w:rPr>
          <w:sz w:val="20"/>
          <w:szCs w:val="20"/>
          <w:color w:val="auto"/>
        </w:rPr>
      </w:pPr>
      <w:r>
        <w:rPr>
          <w:rFonts w:ascii="Courier New" w:cs="Courier New" w:eastAsia="Courier New" w:hAnsi="Courier New"/>
          <w:sz w:val="16"/>
          <w:szCs w:val="16"/>
          <w:color w:val="auto"/>
        </w:rPr>
        <w:t>0</w:t>
      </w:r>
    </w:p>
    <w:p>
      <w:pPr>
        <w:ind w:left="3660"/>
        <w:spacing w:after="0"/>
        <w:rPr>
          <w:sz w:val="20"/>
          <w:szCs w:val="20"/>
          <w:color w:val="auto"/>
        </w:rPr>
      </w:pPr>
      <w:r>
        <w:rPr>
          <w:rFonts w:ascii="Courier New" w:cs="Courier New" w:eastAsia="Courier New" w:hAnsi="Courier New"/>
          <w:sz w:val="16"/>
          <w:szCs w:val="16"/>
          <w:color w:val="auto"/>
        </w:rPr>
        <w:t>0</w:t>
      </w:r>
    </w:p>
    <w:p>
      <w:pPr>
        <w:ind w:left="3560"/>
        <w:spacing w:after="0"/>
        <w:rPr>
          <w:sz w:val="20"/>
          <w:szCs w:val="20"/>
          <w:color w:val="auto"/>
        </w:rPr>
      </w:pPr>
      <w:r>
        <w:rPr>
          <w:rFonts w:ascii="Courier New" w:cs="Courier New" w:eastAsia="Courier New" w:hAnsi="Courier New"/>
          <w:sz w:val="16"/>
          <w:szCs w:val="16"/>
          <w:color w:val="auto"/>
        </w:rPr>
        <w:t>0</w:t>
      </w:r>
    </w:p>
    <w:p>
      <w:pPr>
        <w:ind w:left="4120"/>
        <w:spacing w:after="0"/>
        <w:rPr>
          <w:sz w:val="20"/>
          <w:szCs w:val="20"/>
          <w:color w:val="auto"/>
        </w:rPr>
      </w:pPr>
      <w:r>
        <w:rPr>
          <w:rFonts w:ascii="Courier New" w:cs="Courier New" w:eastAsia="Courier New" w:hAnsi="Courier New"/>
          <w:sz w:val="16"/>
          <w:szCs w:val="16"/>
          <w:color w:val="auto"/>
        </w:rPr>
        <w:t>0</w:t>
      </w:r>
    </w:p>
    <w:p>
      <w:pPr>
        <w:jc w:val="center"/>
        <w:ind w:right="2819"/>
        <w:spacing w:after="0"/>
        <w:rPr>
          <w:sz w:val="20"/>
          <w:szCs w:val="20"/>
          <w:color w:val="auto"/>
        </w:rPr>
      </w:pPr>
      <w:r>
        <w:rPr>
          <w:rFonts w:ascii="Courier New" w:cs="Courier New" w:eastAsia="Courier New" w:hAnsi="Courier New"/>
          <w:sz w:val="16"/>
          <w:szCs w:val="16"/>
          <w:color w:val="auto"/>
        </w:rPr>
        <w:t>6,623</w:t>
      </w:r>
    </w:p>
    <w:p>
      <w:pPr>
        <w:jc w:val="center"/>
        <w:ind w:right="2819"/>
        <w:spacing w:after="0"/>
        <w:rPr>
          <w:sz w:val="20"/>
          <w:szCs w:val="20"/>
          <w:color w:val="auto"/>
        </w:rPr>
      </w:pPr>
      <w:r>
        <w:rPr>
          <w:rFonts w:ascii="Courier New" w:cs="Courier New" w:eastAsia="Courier New" w:hAnsi="Courier New"/>
          <w:sz w:val="16"/>
          <w:szCs w:val="16"/>
          <w:color w:val="auto"/>
        </w:rPr>
        <w:t>.21</w:t>
      </w:r>
    </w:p>
    <w:p>
      <w:pPr>
        <w:jc w:val="center"/>
        <w:ind w:right="2619"/>
        <w:spacing w:after="0"/>
        <w:rPr>
          <w:sz w:val="20"/>
          <w:szCs w:val="20"/>
          <w:color w:val="auto"/>
        </w:rPr>
      </w:pPr>
      <w:r>
        <w:rPr>
          <w:rFonts w:ascii="Courier New" w:cs="Courier New" w:eastAsia="Courier New" w:hAnsi="Courier New"/>
          <w:sz w:val="16"/>
          <w:szCs w:val="16"/>
          <w:color w:val="auto"/>
        </w:rPr>
        <w:t>0</w:t>
      </w:r>
    </w:p>
    <w:p>
      <w:pPr>
        <w:spacing w:after="0" w:line="151" w:lineRule="exact"/>
        <w:rPr>
          <w:sz w:val="20"/>
          <w:szCs w:val="20"/>
          <w:color w:val="auto"/>
        </w:rPr>
      </w:pPr>
    </w:p>
    <w:p>
      <w:pPr>
        <w:ind w:right="3279"/>
        <w:spacing w:after="0" w:line="348" w:lineRule="auto"/>
        <w:rPr>
          <w:sz w:val="20"/>
          <w:szCs w:val="20"/>
          <w:color w:val="auto"/>
        </w:rPr>
      </w:pPr>
      <w:r>
        <w:rPr>
          <w:rFonts w:ascii="Courier New" w:cs="Courier New" w:eastAsia="Courier New" w:hAnsi="Courier New"/>
          <w:sz w:val="16"/>
          <w:szCs w:val="16"/>
          <w:color w:val="auto"/>
        </w:rPr>
        <w:t>Current assets and current liabilities are not listed since Federal Realty does not prepare a classified balance sheet.</w:t>
      </w:r>
    </w:p>
    <w:p>
      <w:pPr>
        <w:sectPr>
          <w:pgSz w:w="11900" w:h="16838" w:orient="portrait"/>
          <w:cols w:equalWidth="0" w:num="1">
            <w:col w:w="10219"/>
          </w:cols>
          <w:pgMar w:left="240" w:top="474" w:right="1440"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1"/>
    </w:lvl>
    <w:lvl w:ilvl="1">
      <w:lvlJc w:val="left"/>
      <w:lvlText w:val="(%2)"/>
      <w:numFmt w:val="decimal"/>
      <w:start w:val="10"/>
    </w:lvl>
  </w:abstractNum>
  <w:abstractNum w:abstractNumId="1">
    <w:nsid w:val="2EB141F2"/>
    <w:multiLevelType w:val="hybridMultilevel"/>
    <w:lvl w:ilvl="0">
      <w:lvlJc w:val="left"/>
      <w:lvlText w:val="(%1)"/>
      <w:numFmt w:val="upperLetter"/>
      <w:start w:val="2"/>
    </w:lvl>
  </w:abstractNum>
  <w:abstractNum w:abstractNumId="2">
    <w:nsid w:val="41B71EFB"/>
    <w:multiLevelType w:val="hybridMultilevel"/>
    <w:lvl w:ilvl="0">
      <w:lvlJc w:val="left"/>
      <w:lvlText w:val="%1."/>
      <w:numFmt w:val="decimal"/>
      <w:start w:val="1"/>
    </w:lvl>
    <w:lvl w:ilvl="1">
      <w:lvlJc w:val="left"/>
      <w:lvlText w:val="%2)"/>
      <w:numFmt w:val="lowerLetter"/>
      <w:start w:val="1"/>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9"/>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decimal"/>
      <w:start w:val="12"/>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2019-12-13T00:57:13Z</dcterms:created>
  <dcterms:modified xsi:type="dcterms:W3CDTF">2019-12-13T00:57:13Z</dcterms:modified>
</cp:coreProperties>
</file>