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64" w:lineRule="exact"/>
        <w:rPr>
          <w:sz w:val="24"/>
          <w:szCs w:val="24"/>
          <w:color w:val="auto"/>
        </w:rPr>
      </w:pPr>
    </w:p>
    <w:p>
      <w:pPr>
        <w:jc w:val="right"/>
        <w:spacing w:after="0"/>
        <w:rPr>
          <w:sz w:val="20"/>
          <w:szCs w:val="20"/>
          <w:color w:val="auto"/>
        </w:rPr>
      </w:pPr>
      <w:r>
        <w:rPr>
          <w:rFonts w:ascii="Arial" w:cs="Arial" w:eastAsia="Arial" w:hAnsi="Arial"/>
          <w:sz w:val="18"/>
          <w:szCs w:val="18"/>
          <w:color w:val="32406B"/>
        </w:rPr>
        <w:t>Filed pursuant to Rule 424(b)(5)</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32406B"/>
        </w:rPr>
        <w:t>Registration No. 333-100819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32406B"/>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32406B"/>
        </w:rPr>
        <w:t>(To Prospectus dated May 9, 2003)</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32406B"/>
        </w:rPr>
        <w:t>2,814,126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160020</wp:posOffset>
            </wp:positionV>
            <wp:extent cx="4725035"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25035"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32406B"/>
        </w:rPr>
        <w:t>Common Shares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right="220" w:firstLine="456"/>
        <w:spacing w:after="0" w:line="370" w:lineRule="auto"/>
        <w:rPr>
          <w:sz w:val="20"/>
          <w:szCs w:val="20"/>
          <w:color w:val="auto"/>
        </w:rPr>
      </w:pPr>
      <w:r>
        <w:rPr>
          <w:rFonts w:ascii="Arial" w:cs="Arial" w:eastAsia="Arial" w:hAnsi="Arial"/>
          <w:sz w:val="15"/>
          <w:szCs w:val="15"/>
          <w:color w:val="32406B"/>
        </w:rPr>
        <w:t>Federal Realty Investment Trust is offering 2,814,126 of its common shares of beneficial interest. Our common shares are listed on the New York Stock Exchange under the symbol “FRT.” The last reported sale price of our common shares on the New York Stock Exchange on May 8, 2003 was $31.48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32406B"/>
        </w:rPr>
        <w:t>Investing in our common shares involves risks. See “Risk Factors” on page S-3.</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59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32406B"/>
                <w:w w:val="87"/>
              </w:rPr>
              <w:t>Per Share</w:t>
            </w:r>
          </w:p>
        </w:tc>
        <w:tc>
          <w:tcPr>
            <w:tcW w:w="260" w:type="dxa"/>
            <w:vAlign w:val="bottom"/>
          </w:tcPr>
          <w:p>
            <w:pPr>
              <w:spacing w:after="0"/>
              <w:rPr>
                <w:sz w:val="19"/>
                <w:szCs w:val="19"/>
                <w:color w:val="auto"/>
              </w:rPr>
            </w:pPr>
          </w:p>
        </w:tc>
        <w:tc>
          <w:tcPr>
            <w:tcW w:w="1220" w:type="dxa"/>
            <w:vAlign w:val="bottom"/>
            <w:gridSpan w:val="2"/>
          </w:tcPr>
          <w:p>
            <w:pPr>
              <w:ind w:left="280"/>
              <w:spacing w:after="0"/>
              <w:rPr>
                <w:sz w:val="20"/>
                <w:szCs w:val="20"/>
                <w:color w:val="auto"/>
              </w:rPr>
            </w:pPr>
            <w:r>
              <w:rPr>
                <w:rFonts w:ascii="Arial" w:cs="Arial" w:eastAsia="Arial" w:hAnsi="Arial"/>
                <w:sz w:val="18"/>
                <w:szCs w:val="18"/>
                <w:b w:val="1"/>
                <w:bCs w:val="1"/>
                <w:color w:val="32406B"/>
              </w:rPr>
              <w:t>Total</w:t>
            </w:r>
          </w:p>
        </w:tc>
        <w:tc>
          <w:tcPr>
            <w:tcW w:w="0" w:type="dxa"/>
            <w:vAlign w:val="bottom"/>
          </w:tcPr>
          <w:p>
            <w:pPr>
              <w:spacing w:after="0"/>
              <w:rPr>
                <w:sz w:val="1"/>
                <w:szCs w:val="1"/>
                <w:color w:val="auto"/>
              </w:rPr>
            </w:pPr>
          </w:p>
        </w:tc>
      </w:tr>
      <w:tr>
        <w:trPr>
          <w:trHeight w:val="110"/>
        </w:trPr>
        <w:tc>
          <w:tcPr>
            <w:tcW w:w="59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Borders>
              <w:bottom w:val="single" w:sz="8" w:color="32406B"/>
            </w:tcBorders>
          </w:tcPr>
          <w:p>
            <w:pPr>
              <w:spacing w:after="0"/>
              <w:rPr>
                <w:sz w:val="9"/>
                <w:szCs w:val="9"/>
                <w:color w:val="auto"/>
              </w:rPr>
            </w:pPr>
          </w:p>
        </w:tc>
        <w:tc>
          <w:tcPr>
            <w:tcW w:w="860" w:type="dxa"/>
            <w:vAlign w:val="bottom"/>
            <w:tcBorders>
              <w:bottom w:val="single" w:sz="8" w:color="32406B"/>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32406B"/>
            </w:tcBorders>
          </w:tcPr>
          <w:p>
            <w:pPr>
              <w:spacing w:after="0"/>
              <w:rPr>
                <w:sz w:val="9"/>
                <w:szCs w:val="9"/>
                <w:color w:val="auto"/>
              </w:rPr>
            </w:pPr>
          </w:p>
        </w:tc>
        <w:tc>
          <w:tcPr>
            <w:tcW w:w="1200" w:type="dxa"/>
            <w:vAlign w:val="bottom"/>
            <w:tcBorders>
              <w:bottom w:val="single" w:sz="8" w:color="32406B"/>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9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Public offering price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30.900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32406B"/>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86,956,493.40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32406B"/>
              </w:rPr>
              <w:t>Underwriting discounts and commissions</w:t>
            </w:r>
          </w:p>
        </w:tc>
        <w:tc>
          <w:tcPr>
            <w:tcW w:w="28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32406B"/>
              </w:rPr>
              <w:t>.443</w:t>
            </w:r>
          </w:p>
        </w:tc>
        <w:tc>
          <w:tcPr>
            <w:tcW w:w="260" w:type="dxa"/>
            <w:vAlign w:val="bottom"/>
          </w:tcPr>
          <w:p>
            <w:pPr>
              <w:jc w:val="right"/>
              <w:ind w:right="103"/>
              <w:spacing w:after="0"/>
              <w:rPr>
                <w:sz w:val="20"/>
                <w:szCs w:val="20"/>
                <w:color w:val="auto"/>
              </w:rPr>
            </w:pPr>
            <w:r>
              <w:rPr>
                <w:rFonts w:ascii="Arial" w:cs="Arial" w:eastAsia="Arial" w:hAnsi="Arial"/>
                <w:sz w:val="15"/>
                <w:szCs w:val="15"/>
                <w:color w:val="32406B"/>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32406B"/>
              </w:rPr>
              <w:t>1,246,657.82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Proceeds, before expenses, to Federal Realty</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30.457</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32406B"/>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85,709,835.58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460"/>
        <w:spacing w:after="0"/>
        <w:rPr>
          <w:sz w:val="20"/>
          <w:szCs w:val="20"/>
          <w:color w:val="auto"/>
        </w:rPr>
      </w:pPr>
      <w:r>
        <w:rPr>
          <w:rFonts w:ascii="Arial" w:cs="Arial" w:eastAsia="Arial" w:hAnsi="Arial"/>
          <w:sz w:val="18"/>
          <w:szCs w:val="18"/>
          <w:color w:val="32406B"/>
        </w:rPr>
        <w:t>Delivery of the common shares will be made on or about May 14, 2003.</w:t>
      </w:r>
    </w:p>
    <w:p>
      <w:pPr>
        <w:spacing w:after="0" w:line="152" w:lineRule="exact"/>
        <w:rPr>
          <w:sz w:val="24"/>
          <w:szCs w:val="24"/>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32406B"/>
        </w:rPr>
        <w:t>Neither the Securities and Exchange Commission nor any state securities commission has approved or disapproved of these securities or determined if this prospectus supplement or the prospectus to which it relates are truthful or complete. Any representation to the contrary is a criminal offense.</w:t>
      </w:r>
    </w:p>
    <w:p>
      <w:pPr>
        <w:spacing w:after="0" w:line="125" w:lineRule="exact"/>
        <w:rPr>
          <w:sz w:val="24"/>
          <w:szCs w:val="24"/>
          <w:color w:val="auto"/>
        </w:rPr>
      </w:pPr>
    </w:p>
    <w:p>
      <w:pPr>
        <w:ind w:left="460"/>
        <w:spacing w:after="0"/>
        <w:rPr>
          <w:sz w:val="20"/>
          <w:szCs w:val="20"/>
          <w:color w:val="auto"/>
        </w:rPr>
      </w:pPr>
      <w:r>
        <w:rPr>
          <w:rFonts w:ascii="Arial" w:cs="Arial" w:eastAsia="Arial" w:hAnsi="Arial"/>
          <w:sz w:val="18"/>
          <w:szCs w:val="18"/>
          <w:color w:val="32406B"/>
        </w:rPr>
        <w:t>We have granted the underwriter a 30-day option to purchase up to an additional 422,119 common shares to cover over-allotments.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32406B"/>
        </w:rPr>
        <w:t>Wachovia Securities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32406B"/>
        </w:rPr>
        <w:t>The date of this prospectus supplement is May 9, 2003.</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00" w:type="dxa"/>
            <w:vAlign w:val="bottom"/>
            <w:gridSpan w:val="2"/>
          </w:tcPr>
          <w:p>
            <w:pPr>
              <w:jc w:val="center"/>
              <w:ind w:right="2580"/>
              <w:spacing w:after="0"/>
              <w:rPr>
                <w:sz w:val="20"/>
                <w:szCs w:val="20"/>
                <w:color w:val="auto"/>
              </w:rPr>
            </w:pPr>
            <w:r>
              <w:rPr>
                <w:rFonts w:ascii="Arial" w:cs="Arial" w:eastAsia="Arial" w:hAnsi="Arial"/>
                <w:sz w:val="18"/>
                <w:szCs w:val="18"/>
                <w:b w:val="1"/>
                <w:bCs w:val="1"/>
                <w:color w:val="auto"/>
                <w:w w:val="96"/>
              </w:rPr>
              <w:t>TABLE OF CONTENTS</w:t>
            </w:r>
          </w:p>
        </w:tc>
        <w:tc>
          <w:tcPr>
            <w:tcW w:w="46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00" w:type="dxa"/>
            <w:vAlign w:val="bottom"/>
            <w:gridSpan w:val="2"/>
          </w:tcPr>
          <w:p>
            <w:pPr>
              <w:jc w:val="center"/>
              <w:ind w:right="2580"/>
              <w:spacing w:after="0"/>
              <w:rPr>
                <w:sz w:val="20"/>
                <w:szCs w:val="20"/>
                <w:color w:val="auto"/>
              </w:rPr>
            </w:pPr>
            <w:r>
              <w:rPr>
                <w:rFonts w:ascii="Arial" w:cs="Arial" w:eastAsia="Arial" w:hAnsi="Arial"/>
                <w:sz w:val="18"/>
                <w:szCs w:val="18"/>
                <w:b w:val="1"/>
                <w:bCs w:val="1"/>
                <w:color w:val="auto"/>
                <w:w w:val="85"/>
              </w:rPr>
              <w:t>Prospectus Supplement</w:t>
            </w:r>
          </w:p>
        </w:tc>
        <w:tc>
          <w:tcPr>
            <w:tcW w:w="4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2"/>
              </w:rPr>
              <w:t>Page</w:t>
            </w:r>
          </w:p>
        </w:tc>
      </w:tr>
      <w:tr>
        <w:trPr>
          <w:trHeight w:val="110"/>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54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r>
      <w:tr>
        <w:trPr>
          <w:trHeight w:val="277"/>
        </w:trPr>
        <w:tc>
          <w:tcPr>
            <w:tcW w:w="20" w:type="dxa"/>
            <w:vAlign w:val="bottom"/>
          </w:tcPr>
          <w:p>
            <w:pPr>
              <w:spacing w:after="0"/>
              <w:rPr>
                <w:sz w:val="24"/>
                <w:szCs w:val="24"/>
                <w:color w:val="auto"/>
              </w:rPr>
            </w:pP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Risk Factors</w:t>
              </w:r>
            </w:hyperlink>
          </w:p>
        </w:tc>
        <w:tc>
          <w:tcPr>
            <w:tcW w:w="10060" w:type="dxa"/>
            <w:vAlign w:val="bottom"/>
            <w:gridSpan w:val="1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S-3</w:t>
            </w:r>
          </w:p>
        </w:tc>
      </w:tr>
      <w:tr>
        <w:trPr>
          <w:trHeight w:val="196"/>
        </w:trPr>
        <w:tc>
          <w:tcPr>
            <w:tcW w:w="20" w:type="dxa"/>
            <w:vAlign w:val="bottom"/>
          </w:tcPr>
          <w:p>
            <w:pPr>
              <w:spacing w:after="0"/>
              <w:rPr>
                <w:sz w:val="17"/>
                <w:szCs w:val="17"/>
                <w:color w:val="auto"/>
              </w:rPr>
            </w:pPr>
          </w:p>
        </w:tc>
        <w:tc>
          <w:tcPr>
            <w:tcW w:w="1094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2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Use of Proceeds</w:t>
              </w:r>
            </w:hyperlink>
          </w:p>
        </w:tc>
        <w:tc>
          <w:tcPr>
            <w:tcW w:w="1220" w:type="dxa"/>
            <w:vAlign w:val="bottom"/>
            <w:tcBorders>
              <w:top w:val="single" w:sz="8" w:color="0000EE"/>
            </w:tcBorders>
            <w:gridSpan w:val="4"/>
          </w:tcPr>
          <w:p>
            <w:pPr>
              <w:spacing w:after="0"/>
              <w:rPr>
                <w:sz w:val="17"/>
                <w:szCs w:val="17"/>
                <w:color w:val="auto"/>
              </w:rPr>
            </w:pPr>
          </w:p>
        </w:tc>
        <w:tc>
          <w:tcPr>
            <w:tcW w:w="8580" w:type="dxa"/>
            <w:vAlign w:val="bottom"/>
            <w:gridSpan w:val="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20" w:type="dxa"/>
            <w:vAlign w:val="bottom"/>
          </w:tcPr>
          <w:p>
            <w:pPr>
              <w:spacing w:after="0"/>
              <w:rPr>
                <w:sz w:val="17"/>
                <w:szCs w:val="17"/>
                <w:color w:val="auto"/>
              </w:rPr>
            </w:pPr>
          </w:p>
        </w:tc>
        <w:tc>
          <w:tcPr>
            <w:tcW w:w="9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Underwriting</w:t>
              </w:r>
            </w:hyperlink>
          </w:p>
        </w:tc>
        <w:tc>
          <w:tcPr>
            <w:tcW w:w="10000" w:type="dxa"/>
            <w:vAlign w:val="bottom"/>
            <w:gridSpan w:val="1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20" w:type="dxa"/>
            <w:vAlign w:val="bottom"/>
          </w:tcPr>
          <w:p>
            <w:pPr>
              <w:spacing w:after="0"/>
              <w:rPr>
                <w:sz w:val="17"/>
                <w:szCs w:val="17"/>
                <w:color w:val="auto"/>
              </w:rPr>
            </w:pPr>
          </w:p>
        </w:tc>
        <w:tc>
          <w:tcPr>
            <w:tcW w:w="1094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Experts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Legal Matters</w:t>
              </w:r>
            </w:hyperlink>
          </w:p>
        </w:tc>
        <w:tc>
          <w:tcPr>
            <w:tcW w:w="9940" w:type="dxa"/>
            <w:vAlign w:val="bottom"/>
            <w:gridSpan w:val="1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20" w:type="dxa"/>
            <w:vAlign w:val="bottom"/>
          </w:tcPr>
          <w:p>
            <w:pPr>
              <w:spacing w:after="0"/>
              <w:rPr>
                <w:sz w:val="17"/>
                <w:szCs w:val="17"/>
                <w:color w:val="auto"/>
              </w:rPr>
            </w:pPr>
          </w:p>
        </w:tc>
        <w:tc>
          <w:tcPr>
            <w:tcW w:w="10940" w:type="dxa"/>
            <w:vAlign w:val="bottom"/>
            <w:gridSpan w:val="1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Where You Can Find More Information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44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00" w:type="dxa"/>
            <w:vAlign w:val="bottom"/>
            <w:gridSpan w:val="2"/>
          </w:tcPr>
          <w:p>
            <w:pPr>
              <w:jc w:val="center"/>
              <w:ind w:right="2600"/>
              <w:spacing w:after="0"/>
              <w:rPr>
                <w:sz w:val="20"/>
                <w:szCs w:val="20"/>
                <w:color w:val="auto"/>
              </w:rPr>
            </w:pPr>
            <w:r>
              <w:rPr>
                <w:rFonts w:ascii="Arial" w:cs="Arial" w:eastAsia="Arial" w:hAnsi="Arial"/>
                <w:sz w:val="18"/>
                <w:szCs w:val="18"/>
                <w:b w:val="1"/>
                <w:bCs w:val="1"/>
                <w:color w:val="auto"/>
                <w:w w:val="83"/>
              </w:rPr>
              <w:t>Prospectus</w:t>
            </w:r>
          </w:p>
        </w:tc>
        <w:tc>
          <w:tcPr>
            <w:tcW w:w="460" w:type="dxa"/>
            <w:vAlign w:val="bottom"/>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1540" w:type="dxa"/>
            <w:vAlign w:val="bottom"/>
            <w:tcBorders>
              <w:bottom w:val="single" w:sz="8" w:color="0000EE"/>
            </w:tcBorders>
            <w:gridSpan w:val="8"/>
          </w:tcPr>
          <w:p>
            <w:pPr>
              <w:spacing w:after="0" w:line="184" w:lineRule="exact"/>
              <w:rPr>
                <w:rFonts w:ascii="Arial" w:cs="Arial" w:eastAsia="Arial" w:hAnsi="Arial"/>
                <w:sz w:val="18"/>
                <w:szCs w:val="18"/>
                <w:color w:val="0000EE"/>
                <w:w w:val="86"/>
              </w:rPr>
            </w:pPr>
            <w:hyperlink w:anchor="page12">
              <w:r>
                <w:rPr>
                  <w:rFonts w:ascii="Arial" w:cs="Arial" w:eastAsia="Arial" w:hAnsi="Arial"/>
                  <w:sz w:val="18"/>
                  <w:szCs w:val="18"/>
                  <w:color w:val="0000EE"/>
                  <w:w w:val="86"/>
                </w:rPr>
                <w:t>About this Prospectus</w:t>
              </w:r>
            </w:hyperlink>
          </w:p>
        </w:tc>
        <w:tc>
          <w:tcPr>
            <w:tcW w:w="9400" w:type="dxa"/>
            <w:vAlign w:val="bottom"/>
            <w:gridSpan w:val="8"/>
          </w:tcPr>
          <w:p>
            <w:pPr>
              <w:spacing w:after="0"/>
              <w:rPr>
                <w:sz w:val="15"/>
                <w:szCs w:val="15"/>
                <w:color w:val="auto"/>
              </w:rPr>
            </w:pPr>
          </w:p>
        </w:tc>
        <w:tc>
          <w:tcPr>
            <w:tcW w:w="460" w:type="dxa"/>
            <w:vAlign w:val="bottom"/>
          </w:tcPr>
          <w:p>
            <w:pPr>
              <w:jc w:val="right"/>
              <w:spacing w:after="0" w:line="184" w:lineRule="exact"/>
              <w:rPr>
                <w:sz w:val="20"/>
                <w:szCs w:val="20"/>
                <w:color w:val="auto"/>
              </w:rPr>
            </w:pPr>
            <w:r>
              <w:rPr>
                <w:rFonts w:ascii="Arial" w:cs="Arial" w:eastAsia="Arial" w:hAnsi="Arial"/>
                <w:sz w:val="18"/>
                <w:szCs w:val="18"/>
                <w:color w:val="auto"/>
              </w:rPr>
              <w:t>2</w:t>
            </w:r>
          </w:p>
        </w:tc>
      </w:tr>
      <w:tr>
        <w:trPr>
          <w:trHeight w:val="196"/>
        </w:trPr>
        <w:tc>
          <w:tcPr>
            <w:tcW w:w="20" w:type="dxa"/>
            <w:vAlign w:val="bottom"/>
          </w:tcPr>
          <w:p>
            <w:pPr>
              <w:spacing w:after="0"/>
              <w:rPr>
                <w:sz w:val="17"/>
                <w:szCs w:val="17"/>
                <w:color w:val="auto"/>
              </w:rPr>
            </w:pPr>
          </w:p>
        </w:tc>
        <w:tc>
          <w:tcPr>
            <w:tcW w:w="10940" w:type="dxa"/>
            <w:vAlign w:val="bottom"/>
            <w:gridSpan w:val="1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Forward-Looking Information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w:anchor="page12">
              <w:r>
                <w:rPr>
                  <w:rFonts w:ascii="Arial" w:cs="Arial" w:eastAsia="Arial" w:hAnsi="Arial"/>
                  <w:sz w:val="18"/>
                  <w:szCs w:val="18"/>
                  <w:color w:val="0000EE"/>
                  <w:w w:val="86"/>
                </w:rPr>
                <w:t>The Company</w:t>
              </w:r>
            </w:hyperlink>
          </w:p>
        </w:tc>
        <w:tc>
          <w:tcPr>
            <w:tcW w:w="1120" w:type="dxa"/>
            <w:vAlign w:val="bottom"/>
            <w:tcBorders>
              <w:top w:val="single" w:sz="8" w:color="0000EE"/>
            </w:tcBorders>
            <w:gridSpan w:val="4"/>
          </w:tcPr>
          <w:p>
            <w:pPr>
              <w:spacing w:after="0"/>
              <w:rPr>
                <w:sz w:val="17"/>
                <w:szCs w:val="17"/>
                <w:color w:val="auto"/>
              </w:rPr>
            </w:pPr>
          </w:p>
        </w:tc>
        <w:tc>
          <w:tcPr>
            <w:tcW w:w="8820" w:type="dxa"/>
            <w:vAlign w:val="bottom"/>
            <w:gridSpan w:val="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 w:type="dxa"/>
            <w:vAlign w:val="bottom"/>
          </w:tcPr>
          <w:p>
            <w:pPr>
              <w:spacing w:after="0"/>
              <w:rPr>
                <w:sz w:val="17"/>
                <w:szCs w:val="17"/>
                <w:color w:val="auto"/>
              </w:rPr>
            </w:pPr>
          </w:p>
        </w:tc>
        <w:tc>
          <w:tcPr>
            <w:tcW w:w="1140" w:type="dxa"/>
            <w:vAlign w:val="bottom"/>
            <w:tcBorders>
              <w:bottom w:val="single" w:sz="8" w:color="0000EE"/>
            </w:tcBorders>
            <w:gridSpan w:val="6"/>
          </w:tcPr>
          <w:p>
            <w:pPr>
              <w:spacing w:after="0" w:line="196" w:lineRule="exact"/>
              <w:rPr>
                <w:rFonts w:ascii="Arial" w:cs="Arial" w:eastAsia="Arial" w:hAnsi="Arial"/>
                <w:sz w:val="18"/>
                <w:szCs w:val="18"/>
                <w:color w:val="0000EE"/>
                <w:w w:val="84"/>
              </w:rPr>
            </w:pPr>
            <w:hyperlink w:anchor="page13">
              <w:r>
                <w:rPr>
                  <w:rFonts w:ascii="Arial" w:cs="Arial" w:eastAsia="Arial" w:hAnsi="Arial"/>
                  <w:sz w:val="18"/>
                  <w:szCs w:val="18"/>
                  <w:color w:val="0000EE"/>
                  <w:w w:val="84"/>
                </w:rPr>
                <w:t>Use of Proceeds</w:t>
              </w:r>
            </w:hyperlink>
          </w:p>
        </w:tc>
        <w:tc>
          <w:tcPr>
            <w:tcW w:w="9800" w:type="dxa"/>
            <w:vAlign w:val="bottom"/>
            <w:gridSpan w:val="1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 w:type="dxa"/>
            <w:vAlign w:val="bottom"/>
          </w:tcPr>
          <w:p>
            <w:pPr>
              <w:spacing w:after="0"/>
              <w:rPr>
                <w:sz w:val="17"/>
                <w:szCs w:val="17"/>
                <w:color w:val="auto"/>
              </w:rPr>
            </w:pPr>
          </w:p>
        </w:tc>
        <w:tc>
          <w:tcPr>
            <w:tcW w:w="55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Ratios of Earnings to Combined Fixed Charges and Preferred Share Dividends</w:t>
              </w:r>
            </w:hyperlink>
          </w:p>
        </w:tc>
        <w:tc>
          <w:tcPr>
            <w:tcW w:w="54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 w:type="dxa"/>
            <w:vAlign w:val="bottom"/>
          </w:tcPr>
          <w:p>
            <w:pPr>
              <w:spacing w:after="0"/>
              <w:rPr>
                <w:sz w:val="17"/>
                <w:szCs w:val="17"/>
                <w:color w:val="auto"/>
              </w:rPr>
            </w:pPr>
          </w:p>
        </w:tc>
        <w:tc>
          <w:tcPr>
            <w:tcW w:w="10940" w:type="dxa"/>
            <w:vAlign w:val="bottom"/>
            <w:gridSpan w:val="1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Debt Securities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Description of Shares of Beneficial Interest</w:t>
              </w:r>
            </w:hyperlink>
          </w:p>
        </w:tc>
        <w:tc>
          <w:tcPr>
            <w:tcW w:w="790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 w:type="dxa"/>
            <w:vAlign w:val="bottom"/>
          </w:tcPr>
          <w:p>
            <w:pPr>
              <w:spacing w:after="0"/>
              <w:rPr>
                <w:sz w:val="17"/>
                <w:szCs w:val="17"/>
                <w:color w:val="auto"/>
              </w:rPr>
            </w:pPr>
          </w:p>
        </w:tc>
        <w:tc>
          <w:tcPr>
            <w:tcW w:w="10940" w:type="dxa"/>
            <w:vAlign w:val="bottom"/>
            <w:gridSpan w:val="1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Federal Income Tax Consequences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0" w:type="dxa"/>
            <w:vAlign w:val="bottom"/>
          </w:tcPr>
          <w:p>
            <w:pPr>
              <w:spacing w:after="0"/>
              <w:rPr>
                <w:sz w:val="17"/>
                <w:szCs w:val="17"/>
                <w:color w:val="auto"/>
              </w:rPr>
            </w:pPr>
          </w:p>
        </w:tc>
        <w:tc>
          <w:tcPr>
            <w:tcW w:w="24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8500" w:type="dxa"/>
            <w:vAlign w:val="bottom"/>
            <w:gridSpan w:val="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20" w:type="dxa"/>
            <w:vAlign w:val="bottom"/>
          </w:tcPr>
          <w:p>
            <w:pPr>
              <w:spacing w:after="0"/>
              <w:rPr>
                <w:sz w:val="17"/>
                <w:szCs w:val="17"/>
                <w:color w:val="auto"/>
              </w:rPr>
            </w:pPr>
          </w:p>
        </w:tc>
        <w:tc>
          <w:tcPr>
            <w:tcW w:w="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Legal Matters</w:t>
              </w:r>
            </w:hyperlink>
          </w:p>
        </w:tc>
        <w:tc>
          <w:tcPr>
            <w:tcW w:w="400" w:type="dxa"/>
            <w:vAlign w:val="bottom"/>
            <w:tcBorders>
              <w:top w:val="single" w:sz="8" w:color="0000EE"/>
            </w:tcBorders>
            <w:gridSpan w:val="3"/>
          </w:tcPr>
          <w:p>
            <w:pPr>
              <w:spacing w:after="0"/>
              <w:rPr>
                <w:sz w:val="17"/>
                <w:szCs w:val="17"/>
                <w:color w:val="auto"/>
              </w:rPr>
            </w:pPr>
          </w:p>
        </w:tc>
        <w:tc>
          <w:tcPr>
            <w:tcW w:w="9560" w:type="dxa"/>
            <w:vAlign w:val="bottom"/>
            <w:gridSpan w:val="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20" w:type="dxa"/>
            <w:vAlign w:val="bottom"/>
          </w:tcPr>
          <w:p>
            <w:pPr>
              <w:spacing w:after="0"/>
              <w:rPr>
                <w:sz w:val="17"/>
                <w:szCs w:val="17"/>
                <w:color w:val="auto"/>
              </w:rPr>
            </w:pPr>
          </w:p>
        </w:tc>
        <w:tc>
          <w:tcPr>
            <w:tcW w:w="10940" w:type="dxa"/>
            <w:vAlign w:val="bottom"/>
            <w:gridSpan w:val="1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300" w:type="dxa"/>
            <w:vAlign w:val="bottom"/>
            <w:gridSpan w:val="12"/>
          </w:tcPr>
          <w:p>
            <w:pPr>
              <w:spacing w:after="0" w:line="20" w:lineRule="exact"/>
              <w:rPr>
                <w:sz w:val="1"/>
                <w:szCs w:val="1"/>
                <w:color w:val="auto"/>
              </w:rPr>
            </w:pPr>
          </w:p>
        </w:tc>
        <w:tc>
          <w:tcPr>
            <w:tcW w:w="8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940" w:type="dxa"/>
            <w:vAlign w:val="bottom"/>
            <w:gridSpan w:val="1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Notice Regarding Arthur Andersen LLP</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20" w:type="dxa"/>
            <w:vAlign w:val="bottom"/>
          </w:tcPr>
          <w:p>
            <w:pPr>
              <w:spacing w:after="0"/>
              <w:rPr>
                <w:sz w:val="17"/>
                <w:szCs w:val="17"/>
                <w:color w:val="auto"/>
              </w:rPr>
            </w:pPr>
          </w:p>
        </w:tc>
        <w:tc>
          <w:tcPr>
            <w:tcW w:w="2820" w:type="dxa"/>
            <w:vAlign w:val="bottom"/>
            <w:tcBorders>
              <w:top w:val="single" w:sz="8" w:color="0000EE"/>
            </w:tcBorders>
            <w:gridSpan w:val="13"/>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Where You Can Find More Information</w:t>
              </w:r>
            </w:hyperlink>
          </w:p>
        </w:tc>
        <w:tc>
          <w:tcPr>
            <w:tcW w:w="812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77"/>
        </w:trPr>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supplement and the accompanying prospectus. We have not, and the underwriter has not, authorized any other person to provide you with different or additional information. If anyone provides you with different or additional information, you should not rely on it. We are not, and the underwriter is not, making an offer to sell these securities in any jurisdiction where the offer or sale of these securities is not permitted. You should not assume that the information appearing in this prospectus supplement, the accompanying prospectus and the documents incorporated by reference is accurate as of any date other than their respective dates. Our business, financial condition, results of operations and prospects may have changed since those dates.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prospectus supplement and the accompanying prospectus contain forward-looking statements within the meaning of Section 27A of the Securities Act of 1933, Section 21E of the Securities Exchange Act of 1934 and the Private Securities Litigation Reform Act of 1995. Also, documents that we “incorporate by reference” into this prospectus supplement and the accompanying prospectus, including documents that we subsequently file with the Securities and Exchange Commission, or the SEC, will contain forward-looking statements. When we refer to forward-looking statements or information, sometimes we use words such as “may,” “will,” “could,” “should,” “plans,” “intends,” “expects,” “believes,” “estimates,” “anticipates” and “continues.” In particular, the risk factors included and incorporated by reference in this prospectus supplement and the accompanying prospectus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30" w:lineRule="exact"/>
        <w:rPr>
          <w:sz w:val="20"/>
          <w:szCs w:val="20"/>
          <w:color w:val="auto"/>
        </w:rPr>
      </w:pPr>
    </w:p>
    <w:p>
      <w:pPr>
        <w:ind w:left="640" w:hanging="18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will not pay rent;</w:t>
      </w:r>
    </w:p>
    <w:p>
      <w:pPr>
        <w:spacing w:after="0" w:line="103" w:lineRule="exact"/>
        <w:rPr>
          <w:rFonts w:ascii="Arial" w:cs="Arial" w:eastAsia="Arial" w:hAnsi="Arial"/>
          <w:sz w:val="18"/>
          <w:szCs w:val="18"/>
          <w:color w:val="auto"/>
        </w:rPr>
      </w:pPr>
    </w:p>
    <w:p>
      <w:pPr>
        <w:ind w:left="640" w:right="40" w:hanging="186"/>
        <w:spacing w:after="0" w:line="325" w:lineRule="auto"/>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of financing, such as our ability to consummate additional financings or obtain replacement financing on terms that are acceptable to us, our ability to comply with our existing financial covenants and the possibility of increases in interest rates that would result in increased interest expense;</w:t>
      </w:r>
    </w:p>
    <w:p>
      <w:pPr>
        <w:spacing w:after="0" w:line="1" w:lineRule="exact"/>
        <w:rPr>
          <w:rFonts w:ascii="Arial" w:cs="Arial" w:eastAsia="Arial" w:hAnsi="Arial"/>
          <w:sz w:val="16"/>
          <w:szCs w:val="16"/>
          <w:color w:val="auto"/>
        </w:rPr>
      </w:pPr>
    </w:p>
    <w:p>
      <w:pPr>
        <w:ind w:left="640" w:right="20" w:hanging="186"/>
        <w:spacing w:after="0" w:line="256"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 we may be unable to renew leases or relet space at favorable rents, or at all, as leases expire, that new acquisitions and our development, construction and renovation projects, including our Santana Row project, may fail to perform as expected, that competition for acquisitions could result in increased prices, environmental risks, and, because real estate is illiquid, that we may not be able to sell properties when appropriate;</w:t>
      </w:r>
    </w:p>
    <w:p>
      <w:pPr>
        <w:spacing w:after="0" w:line="48" w:lineRule="exact"/>
        <w:rPr>
          <w:rFonts w:ascii="Arial" w:cs="Arial" w:eastAsia="Arial" w:hAnsi="Arial"/>
          <w:sz w:val="18"/>
          <w:szCs w:val="18"/>
          <w:color w:val="auto"/>
        </w:rPr>
      </w:pPr>
    </w:p>
    <w:p>
      <w:pPr>
        <w:ind w:left="640" w:hanging="18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 and</w:t>
      </w:r>
    </w:p>
    <w:p>
      <w:pPr>
        <w:spacing w:after="0" w:line="103" w:lineRule="exact"/>
        <w:rPr>
          <w:rFonts w:ascii="Arial" w:cs="Arial" w:eastAsia="Arial" w:hAnsi="Arial"/>
          <w:sz w:val="18"/>
          <w:szCs w:val="18"/>
          <w:color w:val="auto"/>
        </w:rPr>
      </w:pPr>
    </w:p>
    <w:p>
      <w:pPr>
        <w:ind w:left="640" w:right="300" w:hanging="186"/>
        <w:spacing w:after="0" w:line="306" w:lineRule="auto"/>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our status as a real estate investment trust, commonly referred to as a REIT, for federal income tax purposes, such as our obligation to comply with complex tax regulations relating to our status as a REIT, the effect of future changes in REIT requirements and in the desirability of an investment in a REIT relative to other investments as a result of new legislation and the adverse consequences if we fail to qualify as a REIT.</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Given these uncertainties, readers are cautioned not to place undue reliance on these forward-looking statements or those incorporated into this prospectus supplement or the accompanying prospectus. We also make no promise to update any of the forward-looking statements. Investing in our common shares involves risk, and you should carefully review the risks and the risk factors incorporated by reference into this prospectus supplement and the accompanying prospectus, including those included in our Current Report on Form 8-K filed with the SEC on March 25, 2003, as well as the other information in this prospectus supplement and the accompanying prospectus before buying our common shares.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SUPPLEMENT SUMMARY</w:t>
      </w:r>
    </w:p>
    <w:p>
      <w:pPr>
        <w:spacing w:after="0" w:line="164"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Trust</w:t>
      </w:r>
    </w:p>
    <w:p>
      <w:pPr>
        <w:spacing w:after="0" w:line="164"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and mixed-use properties. We own or have an interest in 115 community and neighborhood shopping centers and urban retail and mixed-use properties, comprising approximately 15.5 million square feet, and one apartment complex, all in strategic metropolitan markets across the United States.</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operate in a manner intended to qualify as a real estate investment trust pursuant to provisions of the Internal Revenue Code. Our offices are located at 1626 East Jefferson Street, Rockville, Maryland 20852. Our telephone number is (301) 998-8100 or (800) 658-8980.</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00"/>
          </w:cols>
          <w:pgMar w:left="240" w:top="459" w:right="25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Common shares offered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2,814,126 shares (1)</w:t>
      </w:r>
    </w:p>
    <w:p>
      <w:pPr>
        <w:spacing w:after="0" w:line="192"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Common shares to be outstanding after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48,403,202 shares (1) (2)</w:t>
      </w:r>
    </w:p>
    <w:p>
      <w:pPr>
        <w:spacing w:after="0" w:line="192" w:lineRule="exact"/>
        <w:rPr>
          <w:sz w:val="20"/>
          <w:szCs w:val="20"/>
          <w:color w:val="auto"/>
        </w:rPr>
      </w:pPr>
    </w:p>
    <w:p>
      <w:pPr>
        <w:sectPr>
          <w:pgSz w:w="11900" w:h="16838" w:orient="portrait"/>
          <w:cols w:equalWidth="0" w:num="2">
            <w:col w:w="3620" w:space="50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Public offering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$30.90</w:t>
      </w:r>
    </w:p>
    <w:p>
      <w:pPr>
        <w:spacing w:after="0" w:line="192"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New York Stock Exchange symbol</w:t>
      </w:r>
    </w:p>
    <w:p>
      <w:pPr>
        <w:spacing w:after="0" w:line="20" w:lineRule="exact"/>
        <w:rPr>
          <w:sz w:val="20"/>
          <w:szCs w:val="20"/>
          <w:color w:val="auto"/>
        </w:rPr>
      </w:pPr>
      <w:r>
        <w:rPr>
          <w:sz w:val="20"/>
          <w:szCs w:val="20"/>
          <w:color w:val="auto"/>
        </w:rPr>
        <w:br w:type="column"/>
      </w:r>
    </w:p>
    <w:p>
      <w:pPr>
        <w:ind w:right="60"/>
        <w:spacing w:after="0" w:line="288" w:lineRule="auto"/>
        <w:rPr>
          <w:sz w:val="20"/>
          <w:szCs w:val="20"/>
          <w:color w:val="auto"/>
        </w:rPr>
      </w:pPr>
      <w:r>
        <w:rPr>
          <w:rFonts w:ascii="Arial" w:cs="Arial" w:eastAsia="Arial" w:hAnsi="Arial"/>
          <w:sz w:val="16"/>
          <w:szCs w:val="16"/>
          <w:color w:val="auto"/>
        </w:rPr>
        <w:t>We intend to use the net proceeds of the offering to redeem all or a portion of our outstanding 7.95% Series A Cumulative Redeemable Preferred Shares, par value $.01 per share, which we refer to as the Series A preferred shares. If additional funds are necessary to complete the redemption of the Series A preferred shares designated for redemption, we may use borrowings under our revolving credit facility. Pending redemption of the Series A preferred shares, which may not take place until 30 days after we provide written notice of the redemption to the holders of our Series A preferred shares, we expect to use the proceeds of the offering to reduce, temporarily, the indebtedness outstanding under our revolving credit facility, or for general corporate purposes. FRT</w:t>
      </w:r>
    </w:p>
    <w:p>
      <w:pPr>
        <w:spacing w:after="0" w:line="327"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Federal income tax consequences</w:t>
      </w:r>
    </w:p>
    <w:p>
      <w:pPr>
        <w:spacing w:after="0" w:line="20" w:lineRule="exact"/>
        <w:rPr>
          <w:sz w:val="20"/>
          <w:szCs w:val="20"/>
          <w:color w:val="auto"/>
        </w:rPr>
      </w:pPr>
      <w:r>
        <w:rPr>
          <w:sz w:val="20"/>
          <w:szCs w:val="20"/>
          <w:color w:val="auto"/>
        </w:rPr>
        <w:br w:type="column"/>
      </w:r>
    </w:p>
    <w:p>
      <w:pPr>
        <w:ind w:right="240"/>
        <w:spacing w:after="0" w:line="259" w:lineRule="auto"/>
        <w:rPr>
          <w:sz w:val="20"/>
          <w:szCs w:val="20"/>
          <w:color w:val="auto"/>
        </w:rPr>
      </w:pPr>
      <w:r>
        <w:rPr>
          <w:rFonts w:ascii="Arial" w:cs="Arial" w:eastAsia="Arial" w:hAnsi="Arial"/>
          <w:sz w:val="18"/>
          <w:szCs w:val="18"/>
          <w:color w:val="auto"/>
        </w:rPr>
        <w:t>For a description of the material federal income tax consequences of an investment in our common shares, please review the disclosure contained in the attached prospectus under “Federal Income Tax Consequences.”</w:t>
      </w:r>
    </w:p>
    <w:p>
      <w:pPr>
        <w:spacing w:after="0" w:line="127"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1012190</wp:posOffset>
            </wp:positionV>
            <wp:extent cx="746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Investing in our common shares involves risks. Please review the “Risk Factors” section on page S-3, the risk factors discussed in our Current Report on Form 8-K filed with the SEC on March 25, 2003, and the other information contained and incorporated by reference in this prospectus supplement and the accompanying prospectus for a discussion of factors you should consider before deciding to invest in our common shares. You may obtain a copy of that Current Report and the other documents incorporated by reference in this prospectus supplement and the accompanying prospectus by following the procedures described below under “Where You Can Find More Information.”</w:t>
      </w:r>
    </w:p>
    <w:p>
      <w:pPr>
        <w:spacing w:after="0" w:line="20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no exercise by the underwriter of its 422,119 share over-allotment option.</w:t>
      </w:r>
    </w:p>
    <w:p>
      <w:pPr>
        <w:spacing w:after="0" w:line="15" w:lineRule="exact"/>
        <w:rPr>
          <w:rFonts w:ascii="Arial" w:cs="Arial" w:eastAsia="Arial" w:hAnsi="Arial"/>
          <w:sz w:val="18"/>
          <w:szCs w:val="18"/>
          <w:color w:val="auto"/>
        </w:rPr>
      </w:pPr>
    </w:p>
    <w:p>
      <w:pPr>
        <w:jc w:val="both"/>
        <w:ind w:left="460" w:right="260" w:hanging="452"/>
        <w:spacing w:after="0" w:line="25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upon common shares outstanding as of May 8, 2003. Excludes shares that may be issued by Federal Realty upon (i) exercise of outstanding share options, (ii) conversion, exchange or redemption of downREIT partnership units, and (iii) exercise of contractual or put rights by current or former joint venture and other business partners.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net proceeds from the sale of common shares offered hereby are estimated to be approximately $85.5 million, or approximately $98.4 million if the underwriter’s over-allotment option is exercised in full. “Net proceeds” are what we expect to receive after deducting underwriting discounts and commissions and paying certain expenses of the offering, which expenses we estimate to be approximately $170,000.</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intend to use the net proceeds of the offering to redeem all or a portion of our outstanding Series A preferred shares. If additional funds are necessary to complete the redemption of the Series A preferred shares designated for redemption, we may use borrowings under our revolving credit facility. Pending redemption of the Series A preferred shares, which may not take place until 30 days after we provide written notice of the redemption to the holders of our Series A preferred shares, we expect to use the proceeds of the offering to reduce, temporarily, the indebtedness outstanding under our revolving credit facility, or for general corporate purposes. We expect to redeem the Series A preferred shares by the end of June 2003. Amounts that we repay under our revolving credit facility may be reborrowed, subject to compliance with financial covenants and other customary conditions to borrowing. Our revolving credit facility, which we have used to repay existing debt and for other general corporate purposes, bears interest at a spread over LIBOR determined by our credit rating and matures in December 2003. The weighted average interest rate on borrowings under our revolving credit facility for the three months ended March 31, 2003 was 2.17%.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Subject to the terms and conditions stated in the underwriting agreement and the related pricing agreement, each dated the date of this prospectus supplement, we have agreed to sell to Wachovia Securities, Inc., and Wachovia Securities, Inc. has agreed to purchase all of the 2,814,126 common shares offered by this prospectus supplement.</w:t>
      </w:r>
    </w:p>
    <w:p>
      <w:pPr>
        <w:spacing w:after="0" w:line="12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underwriter has agreed to purchase all of the shares (other than those covered by the over-allotment option described below) if any of those shares are purchased.</w:t>
      </w:r>
    </w:p>
    <w:p>
      <w:pPr>
        <w:ind w:right="400" w:firstLine="456"/>
        <w:spacing w:after="0" w:line="255" w:lineRule="auto"/>
        <w:rPr>
          <w:sz w:val="20"/>
          <w:szCs w:val="20"/>
          <w:color w:val="auto"/>
        </w:rPr>
      </w:pPr>
      <w:r>
        <w:rPr>
          <w:rFonts w:ascii="Arial" w:cs="Arial" w:eastAsia="Arial" w:hAnsi="Arial"/>
          <w:sz w:val="18"/>
          <w:szCs w:val="18"/>
          <w:color w:val="auto"/>
        </w:rPr>
        <w:t>The common shares are offered by the underwriter, subject to prior sale, when, as and if issued to and accepted by them, subject to approval of legal matters by counsel for the underwriter and other conditions. The underwriter reserves the right to withdraw, cancel or modify the offer and to reject orders in whole or in part.</w:t>
      </w:r>
    </w:p>
    <w:p>
      <w:pPr>
        <w:spacing w:after="0" w:line="131"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i w:val="1"/>
          <w:iCs w:val="1"/>
          <w:color w:val="auto"/>
        </w:rPr>
        <w:t xml:space="preserve">Commissions and Discounts. </w:t>
      </w:r>
      <w:r>
        <w:rPr>
          <w:rFonts w:ascii="Arial" w:cs="Arial" w:eastAsia="Arial" w:hAnsi="Arial"/>
          <w:sz w:val="15"/>
          <w:szCs w:val="15"/>
          <w:color w:val="auto"/>
        </w:rPr>
        <w:t>The underwriter has advised us that it proposes to offer the common shares to the public at the public offering price</w:t>
      </w:r>
      <w:r>
        <w:rPr>
          <w:rFonts w:ascii="Arial" w:cs="Arial" w:eastAsia="Arial" w:hAnsi="Arial"/>
          <w:sz w:val="15"/>
          <w:szCs w:val="15"/>
          <w:i w:val="1"/>
          <w:iCs w:val="1"/>
          <w:color w:val="auto"/>
        </w:rPr>
        <w:t xml:space="preserve"> </w:t>
      </w:r>
      <w:r>
        <w:rPr>
          <w:rFonts w:ascii="Arial" w:cs="Arial" w:eastAsia="Arial" w:hAnsi="Arial"/>
          <w:sz w:val="15"/>
          <w:szCs w:val="15"/>
          <w:color w:val="auto"/>
        </w:rPr>
        <w:t>appearing on the cover page of this prospectus supplement and to certain dealers at that price less a concession of not more than $.29 per share, of which $.10 may be reallowed to other dealers. After the completion of this offering, the public offering price, concession and reallowance to dealers may be changed.</w:t>
      </w:r>
    </w:p>
    <w:p>
      <w:pPr>
        <w:spacing w:after="0" w:line="7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us, both on a per share basis and in total, assuming either no exercise or full exercise by the underwriter of its over-allotment option.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9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9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Per Share</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Without Option</w:t>
            </w:r>
          </w:p>
        </w:tc>
        <w:tc>
          <w:tcPr>
            <w:tcW w:w="240" w:type="dxa"/>
            <w:vAlign w:val="bottom"/>
          </w:tcPr>
          <w:p>
            <w:pPr>
              <w:spacing w:after="0"/>
              <w:rPr>
                <w:sz w:val="22"/>
                <w:szCs w:val="22"/>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With Option</w:t>
            </w:r>
          </w:p>
        </w:tc>
        <w:tc>
          <w:tcPr>
            <w:tcW w:w="0" w:type="dxa"/>
            <w:vAlign w:val="bottom"/>
          </w:tcPr>
          <w:p>
            <w:pPr>
              <w:spacing w:after="0"/>
              <w:rPr>
                <w:sz w:val="1"/>
                <w:szCs w:val="1"/>
                <w:color w:val="auto"/>
              </w:rPr>
            </w:pPr>
          </w:p>
        </w:tc>
      </w:tr>
      <w:tr>
        <w:trPr>
          <w:trHeight w:val="95"/>
        </w:trPr>
        <w:tc>
          <w:tcPr>
            <w:tcW w:w="49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9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86,956,493.40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99,999,970.50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Underwriting discounts and commissions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1,246,657.82</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1,433,656.54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85,709,835.58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98,566,313.96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expenses of this offering payable by us, not including underwriting discounts and commissions, will be approximately $170,000.</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Over-allotment Option. </w:t>
      </w:r>
      <w:r>
        <w:rPr>
          <w:rFonts w:ascii="Arial" w:cs="Arial" w:eastAsia="Arial" w:hAnsi="Arial"/>
          <w:sz w:val="18"/>
          <w:szCs w:val="18"/>
          <w:color w:val="auto"/>
        </w:rPr>
        <w:t>We have granted to the underwriter an option, exercisable during the 30-day period after the date of this prospectus supplement,</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 up to a total of 422,119 additional common shares at the public offering price per share less the underwriting discounts and commissions per share shown on the cover page of this prospectus supplement.</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 xml:space="preserve">Indemnity. </w:t>
      </w:r>
      <w:r>
        <w:rPr>
          <w:rFonts w:ascii="Arial" w:cs="Arial" w:eastAsia="Arial" w:hAnsi="Arial"/>
          <w:sz w:val="18"/>
          <w:szCs w:val="18"/>
          <w:color w:val="auto"/>
        </w:rPr>
        <w:t>We have agreed to indemnify the underwriter against specified liabilities, including liabilities under the Securities Act, or to contribute to</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that the underwriter may be required to make in respect of those liabilities.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Lock-up Agreements. </w:t>
      </w:r>
      <w:r>
        <w:rPr>
          <w:rFonts w:ascii="Arial" w:cs="Arial" w:eastAsia="Arial" w:hAnsi="Arial"/>
          <w:sz w:val="18"/>
          <w:szCs w:val="18"/>
          <w:color w:val="auto"/>
        </w:rPr>
        <w:t>We, the chairman of our Board of Trustees, our chief executive officer and our chief financial officer have agreed that, for a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60 days from the date of this prospectus supplement, we and they will not, without the prior written consent of Wachovia Securities, Inc., dispose of or hedge any of our common shares or any securities convertible into or exercisable, exchangeable or redeemable for our common shares. While in effect, our lock-up agreement will not prevent us from issuing:</w:t>
      </w:r>
    </w:p>
    <w:p>
      <w:pPr>
        <w:spacing w:after="0" w:line="49" w:lineRule="exact"/>
        <w:rPr>
          <w:sz w:val="20"/>
          <w:szCs w:val="20"/>
          <w:color w:val="auto"/>
        </w:rPr>
      </w:pPr>
    </w:p>
    <w:p>
      <w:pPr>
        <w:ind w:left="640" w:hanging="18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shares pursuant to our Dividend Reinvestment and Share Purchase Plan;</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common shares pursuant to our employee or trustee benefit plans, including as a result of exercises of options granted under these plans;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640" w:right="160" w:hanging="186"/>
        <w:spacing w:after="0" w:line="26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shares pursuant to any exercise of contractual rights that may require us to issue common shares to current or former holders of partnership or other interests in certain of our “downREIT” partnerships or other subsidiaries;</w:t>
      </w:r>
    </w:p>
    <w:p>
      <w:pPr>
        <w:spacing w:after="0" w:line="37" w:lineRule="exact"/>
        <w:rPr>
          <w:rFonts w:ascii="Arial" w:cs="Arial" w:eastAsia="Arial" w:hAnsi="Arial"/>
          <w:sz w:val="18"/>
          <w:szCs w:val="18"/>
          <w:color w:val="auto"/>
        </w:rPr>
      </w:pPr>
    </w:p>
    <w:p>
      <w:pPr>
        <w:ind w:left="640" w:right="720" w:hanging="186"/>
        <w:spacing w:after="0" w:line="26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certain conditions, securities convertible into or exercisable, exchangeable or redeemable for common shares as consideration for the acquisition of real property.</w:t>
      </w:r>
    </w:p>
    <w:p>
      <w:pPr>
        <w:spacing w:after="0" w:line="11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lock-up agreements do not prohibit the senior officers from exercising options or purchasing shares under employee or trustee benefit plans, from making gifts of common shares or securities convertible into or exercisable, exchangeable or redeemable for common shares for the benefit of their immediate families or for charitable purposes as long as the donee enters into a similar lock-up agreement, or from making certain other transfers.</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Wachovia Securities, Inc. may, in its sole discretion and at any time or from time to time, without notice, release all or any portion of the common shares or other securities subject to the lock-up agreements.</w:t>
      </w:r>
    </w:p>
    <w:p>
      <w:pPr>
        <w:spacing w:after="0" w:line="118" w:lineRule="exact"/>
        <w:rPr>
          <w:sz w:val="20"/>
          <w:szCs w:val="20"/>
          <w:color w:val="auto"/>
        </w:rPr>
      </w:pPr>
    </w:p>
    <w:p>
      <w:pPr>
        <w:ind w:left="460"/>
        <w:spacing w:after="0"/>
        <w:tabs>
          <w:tab w:leader="none" w:pos="3500" w:val="left"/>
        </w:tabs>
        <w:rPr>
          <w:sz w:val="20"/>
          <w:szCs w:val="20"/>
          <w:color w:val="auto"/>
        </w:rPr>
      </w:pPr>
      <w:r>
        <w:rPr>
          <w:rFonts w:ascii="Arial" w:cs="Arial" w:eastAsia="Arial" w:hAnsi="Arial"/>
          <w:sz w:val="18"/>
          <w:szCs w:val="18"/>
          <w:i w:val="1"/>
          <w:iCs w:val="1"/>
          <w:color w:val="auto"/>
        </w:rPr>
        <w:t>Listing on the New York Stock Exchange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Our common shares are listed on the New York Stock Exchange under the symbol “FRT.”</w:t>
      </w:r>
    </w:p>
    <w:p>
      <w:pPr>
        <w:spacing w:after="0" w:line="158" w:lineRule="exact"/>
        <w:rPr>
          <w:sz w:val="20"/>
          <w:szCs w:val="20"/>
          <w:color w:val="auto"/>
        </w:rPr>
      </w:pPr>
    </w:p>
    <w:p>
      <w:pPr>
        <w:ind w:right="40" w:firstLine="456"/>
        <w:spacing w:after="0" w:line="325" w:lineRule="auto"/>
        <w:rPr>
          <w:sz w:val="20"/>
          <w:szCs w:val="20"/>
          <w:color w:val="auto"/>
        </w:rPr>
      </w:pPr>
      <w:r>
        <w:rPr>
          <w:rFonts w:ascii="Arial" w:cs="Arial" w:eastAsia="Arial" w:hAnsi="Arial"/>
          <w:sz w:val="16"/>
          <w:szCs w:val="16"/>
          <w:i w:val="1"/>
          <w:iCs w:val="1"/>
          <w:color w:val="auto"/>
        </w:rPr>
        <w:t>Stabilization</w:t>
      </w:r>
      <w:r>
        <w:rPr>
          <w:rFonts w:ascii="Arial" w:cs="Arial" w:eastAsia="Arial" w:hAnsi="Arial"/>
          <w:sz w:val="16"/>
          <w:szCs w:val="16"/>
          <w:color w:val="auto"/>
        </w:rPr>
        <w:t>. The underwriter has advised us that it may engage in transactions, including stabilization bids or covering transactions, which may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of stabilizing or maintaining the market price of our common shares at a level above that which might otherwise prevail in the open market.</w:t>
      </w:r>
    </w:p>
    <w:p>
      <w:pPr>
        <w:spacing w:after="0" w:line="1" w:lineRule="exact"/>
        <w:rPr>
          <w:sz w:val="20"/>
          <w:szCs w:val="20"/>
          <w:color w:val="auto"/>
        </w:rPr>
      </w:pPr>
    </w:p>
    <w:p>
      <w:pPr>
        <w:ind w:left="640" w:right="260" w:hanging="186"/>
        <w:spacing w:after="0" w:line="268"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“stabilizing bid” is a bid for or the purchase of the common shares on behalf of the underwriter for the purpose of fixing or maintaining the price of the common shares.</w:t>
      </w:r>
    </w:p>
    <w:p>
      <w:pPr>
        <w:spacing w:after="0" w:line="37" w:lineRule="exact"/>
        <w:rPr>
          <w:rFonts w:ascii="Arial" w:cs="Arial" w:eastAsia="Arial" w:hAnsi="Arial"/>
          <w:sz w:val="18"/>
          <w:szCs w:val="18"/>
          <w:color w:val="auto"/>
        </w:rPr>
      </w:pPr>
    </w:p>
    <w:p>
      <w:pPr>
        <w:ind w:left="640" w:right="580" w:hanging="186"/>
        <w:spacing w:after="0" w:line="268"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“covering transaction” is a bid for or the purchase of the common shares on behalf of the underwriter to reduce a short position incurred by the underwriter in connection with this offering.</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underwriter has advised us that these transactions may be effected on the New York Stock Exchange or otherwise. Neither we nor the underwriter makes any representation that the underwriter will engage in any of the transactions described above and these transactions, if commenced, may be discontinued without notice. Neither we nor the underwriter makes any representation or prediction as to the direction or magnitude of the effect that the transactions described above, if commenced, may have on the market price of our common shares.</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Other Relationships</w:t>
      </w:r>
      <w:r>
        <w:rPr>
          <w:rFonts w:ascii="Arial" w:cs="Arial" w:eastAsia="Arial" w:hAnsi="Arial"/>
          <w:sz w:val="16"/>
          <w:szCs w:val="16"/>
          <w:color w:val="auto"/>
        </w:rPr>
        <w:t>. Wachovia Securities, Inc. and its affiliates have provided commercial and investment banking services and financial advisory</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us from time to time for which they have received compensation from us. The underwriter and its affiliates may, from time to time, engage in other transactions with us and perform other services for us in the ordinary course of their business. In particular, an affiliate of Wachovia Securities, Inc. is a lender and administrative agent under our existing revolving credit facility and the trustee under one of the indentures to which we are a party.</w:t>
      </w:r>
    </w:p>
    <w:p>
      <w:pPr>
        <w:spacing w:after="0" w:line="9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NASD Matters</w:t>
      </w:r>
      <w:r>
        <w:rPr>
          <w:rFonts w:ascii="Arial" w:cs="Arial" w:eastAsia="Arial" w:hAnsi="Arial"/>
          <w:sz w:val="18"/>
          <w:szCs w:val="18"/>
          <w:color w:val="auto"/>
        </w:rPr>
        <w:t>. As described under “Use of Proceeds,” we may temporarily use proceeds from this offering to repay borrowings outstanding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Because an affiliate of Wachovia Securities, Inc. is a lender under that credit facility and may receive more than 10% of the net proceeds from this offering through the repayment of those borrowings, this offering is being made pursuant to the provisions of Conduct Rule 2710(c)(8) of the National Association of Securities Dealers, Inc.</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consolidated balance sheet as of December 31, 2002 and the consolidated statements of operations, common shareholders’ equity and cash flows for the year ended December 31, 2002 appearing in our Annual Report on Form 10-K for the fiscal year ended December 31, 2002 and incorporated by reference into this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prospectus supplement and elsewhere in the registration statement, have been audited by Grant Thornton LLP, independent public accountants, as indicated in their report with respect thereto, and are incorporated by reference herein and therein in reliance upon the authority of said firm as experts in giving said report.</w:t>
      </w:r>
    </w:p>
    <w:p>
      <w:pPr>
        <w:spacing w:after="0" w:line="49"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consolidated balance sheet as of December 31, 2001 and the consolidated statements of operations, common shareholders’ equity and cash flows for the years ended December 31, 2001 and 2000 appearing in our Annual Report on Form 10-K for the fiscal year ended December 31, 2002 and incorporated by reference into this prospectus supplement and elsewhere in the registration statement, have been audited by Arthur Andersen LLP. On June 4, 2002, we announced that we had appointed Grant Thornton LLP as our independent auditor for fiscal year 2002, replacing Arthur Andersen LLP. See “Notice Regarding Arthur Andersen LLP” in the accompanying prospectus for a discussion of our inability to obtain the consent of Arthur Anderson LLP to being named as an expert and the consequences thereof.</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legality of the common shares offered by this prospectus supplement will be passed upon for us by Shaw Pittman LLP, a limited liability partnership including professional corporations. In addition, the description of federal income tax consequences contained in “Federal Income Tax Consequences” in the accompanying prospectus is, to the extent that it constitutes matters of law, summaries of legal matters or legal conclusions, the opinion of Shaw Pittman LLP. Sidley Austin Brown &amp; Wood LLP, San Francisco, California, will act as counsel to the underwriter.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We file annual, quarterly and special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Public Reference Section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Room 1200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2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 SEC, which means we can disclose important information to you by referring you to those documents. The information we incorporate by reference is an important part of this prospectus supplement and the accompanying prospectus, and all information that we will later file with the SEC will automatically update that information. Any statement contained in this prospectus supplement, the accompanying prospectus or a document incorporated or deemed to be incorporated by reference in this prospectus supplement or the accompanying prospectus will be deemed to have been modified or superseded to the extent that a statement contained in this prospectus supplement, or in any subsequently filed document that also is or is deemed to be incorporated by reference in this prospectus supplement or the accompanying prospectus, modifies or supersedes that statement. Any statement so modified or superseded will not be deemed, except as so modified or superseded, to constitute a part of this prospectus supplement or the accompanying prospectus. We incorporate by reference the documents listed below as well as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any future filings made with the SEC under Sections 13(a), 13(c), 14, or 15(d) of the Securities Exchange Act of 1934, or the Exchange Act (Exchange Act File No. 1-07533), from the date of this prospectus supplement until we terminate the offering hereunder.</w:t>
      </w:r>
    </w:p>
    <w:p>
      <w:pPr>
        <w:spacing w:after="0" w:line="37" w:lineRule="exact"/>
        <w:rPr>
          <w:sz w:val="20"/>
          <w:szCs w:val="20"/>
          <w:color w:val="auto"/>
        </w:rPr>
      </w:pPr>
    </w:p>
    <w:p>
      <w:pPr>
        <w:ind w:left="640" w:hanging="18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2002;</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2003; and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March 25, 2003.</w:t>
      </w:r>
    </w:p>
    <w:p>
      <w:pPr>
        <w:spacing w:after="0" w:line="1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Copies of these filings are available at no cost on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Amendments to these filings will be posted to our website as soon as reasonably practical after filing with the SEC. In addition, you may obtain a copy of these filings and any amendments to the filings at no cost, by writing or telephoning us. Those copies will not include exhibits to the filings unless the exhibits are specifically incorporated by reference in the documents or unless you specifically request them. You also may obtain copies of any exhibits to the registration statement.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direct your request 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 or (301) 658-8980</w:t>
      </w:r>
    </w:p>
    <w:p>
      <w:pPr>
        <w:spacing w:after="0" w:line="1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This prospectus supplement and the accompanying prospectus do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this prospectus supplement and the accompanying prospectus about the provisions or contents of any contract, agreement or any other document referred to are not necessarily complete. Please refer to the actual exhibit for a more complete description of the matters involved. You may obtain copies of the exhibits by contacting the person named above.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Filed pursuant to rule 424(b)(5)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337185</wp:posOffset>
            </wp:positionV>
            <wp:extent cx="4725035" cy="711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2503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77" w:lineRule="exact"/>
        <w:rPr>
          <w:sz w:val="20"/>
          <w:szCs w:val="20"/>
          <w:color w:val="auto"/>
        </w:rPr>
      </w:pPr>
    </w:p>
    <w:p>
      <w:pPr>
        <w:ind w:left="1460" w:hanging="149"/>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03" w:lineRule="exact"/>
        <w:rPr>
          <w:rFonts w:ascii="Arial" w:cs="Arial" w:eastAsia="Arial" w:hAnsi="Arial"/>
          <w:sz w:val="18"/>
          <w:szCs w:val="18"/>
          <w:color w:val="auto"/>
        </w:rPr>
      </w:pPr>
    </w:p>
    <w:p>
      <w:pPr>
        <w:ind w:left="1460" w:hanging="149"/>
        <w:spacing w:after="0"/>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26" w:lineRule="exact"/>
        <w:rPr>
          <w:rFonts w:ascii="Arial" w:cs="Arial" w:eastAsia="Arial" w:hAnsi="Arial"/>
          <w:sz w:val="16"/>
          <w:szCs w:val="16"/>
          <w:color w:val="auto"/>
        </w:rPr>
      </w:pPr>
    </w:p>
    <w:p>
      <w:pPr>
        <w:ind w:left="1460" w:hanging="149"/>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03" w:lineRule="exact"/>
        <w:rPr>
          <w:rFonts w:ascii="Arial" w:cs="Arial" w:eastAsia="Arial" w:hAnsi="Arial"/>
          <w:sz w:val="18"/>
          <w:szCs w:val="18"/>
          <w:color w:val="auto"/>
        </w:rPr>
      </w:pPr>
    </w:p>
    <w:p>
      <w:pPr>
        <w:ind w:left="1460" w:hanging="149"/>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03" w:lineRule="exact"/>
        <w:rPr>
          <w:rFonts w:ascii="Arial" w:cs="Arial" w:eastAsia="Arial" w:hAnsi="Arial"/>
          <w:sz w:val="18"/>
          <w:szCs w:val="18"/>
          <w:color w:val="auto"/>
        </w:rPr>
      </w:pPr>
    </w:p>
    <w:p>
      <w:pPr>
        <w:ind w:left="1460" w:hanging="149"/>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initial public offering price of the securities that we may offer through this prospectus will be up to $500,000,000.</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Please read this prospectus and the applicable supplement carefully before you invest.</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149225</wp:posOffset>
            </wp:positionV>
            <wp:extent cx="1534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date of this prospectus is May 9, 2003.</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using a “shelf” registration process. Under this shelf process, we may sell any combination of the securities described in this prospectus in one or more offerings up to a total dollar amount of $500,000,000.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You should read both this prospectus and the applicable prospectus supplement, together with additional information described under the heading “Where You Can Find More Information.”</w:t>
      </w:r>
    </w:p>
    <w:p>
      <w:pPr>
        <w:spacing w:after="0" w:line="13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References to “we,” “us” or “our” refer to Federal Realty Investment Trust and its directly or indirectly owned subsidiaries, unless the context otherwise requires. The term “you” refers to a prospective investor.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Before investing in our securities, you should be aware that there are various risks. Investors should carefully consider, among other factors, the factors discussed in this prospectus and in any prospectus supplement. This prospectus contains, and any accompanying prospectus supplement will contain, forward-looking statements within the meaning of Section 27A of the Securities Act of 1933, as amended, Section 21E of the Securities Exchange Act of 1934, as amended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high-quality retail and mixed-use properties. As of March 31, 2003, we owned or had an interest in 60 community and neighborhood shopping centers comprising approximately 13 million square feet, 55 urban retail and mixed use properties comprising more than 2.5 million square feet, and one apartment complex, all in strategic metropolitan markets across the United States.</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operate in a manner intended to qualify as a real estate investment trust pursuant to provisions of the Internal Revenue Code. Our offices are located at 1626 East Jefferson Street, Rockville, Maryland 20852. Our telephone number is (301) 998-8100 or (800) 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in our website is not a part of this prospectus.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118" w:lineRule="exact"/>
        <w:rPr>
          <w:sz w:val="20"/>
          <w:szCs w:val="20"/>
          <w:color w:val="auto"/>
        </w:rPr>
      </w:pPr>
    </w:p>
    <w:p>
      <w:pPr>
        <w:ind w:left="640" w:hanging="18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new properties;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7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RATIO OF EARNINGS TO COMBINED FIXED CHARGES AND PREFERRED SHARE DIVIDENDS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share dividends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900" w:type="dxa"/>
            <w:vAlign w:val="bottom"/>
            <w:gridSpan w:val="4"/>
          </w:tcPr>
          <w:p>
            <w:pPr>
              <w:jc w:val="center"/>
              <w:ind w:left="352"/>
              <w:spacing w:after="0"/>
              <w:rPr>
                <w:sz w:val="20"/>
                <w:szCs w:val="20"/>
                <w:color w:val="auto"/>
              </w:rPr>
            </w:pPr>
            <w:r>
              <w:rPr>
                <w:rFonts w:ascii="Arial" w:cs="Arial" w:eastAsia="Arial" w:hAnsi="Arial"/>
                <w:sz w:val="14"/>
                <w:szCs w:val="14"/>
                <w:b w:val="1"/>
                <w:bCs w:val="1"/>
                <w:color w:val="auto"/>
                <w:w w:val="89"/>
              </w:rPr>
              <w:t>For the Three Months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Ended March 31,</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5"/>
          </w:tcPr>
          <w:p>
            <w:pPr>
              <w:ind w:left="840"/>
              <w:spacing w:after="0"/>
              <w:rPr>
                <w:sz w:val="20"/>
                <w:szCs w:val="20"/>
                <w:color w:val="auto"/>
              </w:rPr>
            </w:pPr>
            <w:r>
              <w:rPr>
                <w:rFonts w:ascii="Arial" w:cs="Arial" w:eastAsia="Arial" w:hAnsi="Arial"/>
                <w:sz w:val="14"/>
                <w:szCs w:val="14"/>
                <w:b w:val="1"/>
                <w:bCs w:val="1"/>
                <w:color w:val="auto"/>
                <w:w w:val="89"/>
              </w:rPr>
              <w:t>For the Years Ended December 31,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66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2002 (1)</w:t>
            </w:r>
          </w:p>
        </w:tc>
        <w:tc>
          <w:tcPr>
            <w:tcW w:w="13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2002 (2)</w:t>
            </w:r>
          </w:p>
        </w:tc>
        <w:tc>
          <w:tcPr>
            <w:tcW w:w="10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2001</w:t>
            </w:r>
          </w:p>
        </w:tc>
        <w:tc>
          <w:tcPr>
            <w:tcW w:w="8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2000</w:t>
            </w:r>
          </w:p>
        </w:tc>
        <w:tc>
          <w:tcPr>
            <w:tcW w:w="38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3"/>
              </w:rPr>
              <w:t>1999</w:t>
            </w: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1998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w:t>
            </w:r>
          </w:p>
        </w:tc>
        <w:tc>
          <w:tcPr>
            <w:tcW w:w="1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1.5x</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1.2x</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1.3x</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1.5x</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2"/>
              </w:rPr>
              <w:t>1.5x</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1.7x</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Ratio of earnings to combined fixed charges and preferred share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gridSpan w:val="2"/>
          </w:tcPr>
          <w:p>
            <w:pPr>
              <w:ind w:left="100"/>
              <w:spacing w:after="0"/>
              <w:rPr>
                <w:sz w:val="20"/>
                <w:szCs w:val="20"/>
                <w:color w:val="auto"/>
              </w:rPr>
            </w:pPr>
            <w:r>
              <w:rPr>
                <w:rFonts w:ascii="Arial" w:cs="Arial" w:eastAsia="Arial" w:hAnsi="Arial"/>
                <w:sz w:val="18"/>
                <w:szCs w:val="18"/>
                <w:color w:val="auto"/>
              </w:rPr>
              <w:t>dividends</w:t>
            </w:r>
          </w:p>
        </w:tc>
        <w:tc>
          <w:tcPr>
            <w:tcW w:w="1260" w:type="dxa"/>
            <w:vAlign w:val="bottom"/>
            <w:gridSpan w:val="3"/>
          </w:tcPr>
          <w:p>
            <w:pPr>
              <w:ind w:left="40"/>
              <w:spacing w:after="0"/>
              <w:rPr>
                <w:sz w:val="20"/>
                <w:szCs w:val="20"/>
                <w:color w:val="auto"/>
              </w:rPr>
            </w:pPr>
            <w:r>
              <w:rPr>
                <w:rFonts w:ascii="Arial" w:cs="Arial" w:eastAsia="Arial" w:hAnsi="Arial"/>
                <w:sz w:val="18"/>
                <w:szCs w:val="18"/>
                <w:color w:val="auto"/>
              </w:rPr>
              <w:t>1.2x</w:t>
            </w:r>
          </w:p>
        </w:tc>
        <w:tc>
          <w:tcPr>
            <w:tcW w:w="400" w:type="dxa"/>
            <w:vAlign w:val="bottom"/>
          </w:tcPr>
          <w:p>
            <w:pPr>
              <w:ind w:left="100"/>
              <w:spacing w:after="0"/>
              <w:rPr>
                <w:sz w:val="20"/>
                <w:szCs w:val="20"/>
                <w:color w:val="auto"/>
              </w:rPr>
            </w:pPr>
            <w:r>
              <w:rPr>
                <w:rFonts w:ascii="Arial" w:cs="Arial" w:eastAsia="Arial" w:hAnsi="Arial"/>
                <w:sz w:val="18"/>
                <w:szCs w:val="18"/>
                <w:color w:val="auto"/>
                <w:w w:val="82"/>
              </w:rPr>
              <w:t>1.0x</w:t>
            </w:r>
          </w:p>
        </w:tc>
        <w:tc>
          <w:tcPr>
            <w:tcW w:w="32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w w:val="88"/>
              </w:rPr>
              <w:t>1.0x</w:t>
            </w:r>
          </w:p>
        </w:tc>
        <w:tc>
          <w:tcPr>
            <w:tcW w:w="320" w:type="dxa"/>
            <w:vAlign w:val="bottom"/>
          </w:tcPr>
          <w:p>
            <w:pPr>
              <w:spacing w:after="0"/>
              <w:rPr>
                <w:sz w:val="19"/>
                <w:szCs w:val="19"/>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w w:val="88"/>
              </w:rPr>
              <w:t>1.3x</w:t>
            </w:r>
          </w:p>
        </w:tc>
        <w:tc>
          <w:tcPr>
            <w:tcW w:w="320" w:type="dxa"/>
            <w:vAlign w:val="bottom"/>
          </w:tcPr>
          <w:p>
            <w:pPr>
              <w:spacing w:after="0"/>
              <w:rPr>
                <w:sz w:val="19"/>
                <w:szCs w:val="19"/>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w w:val="82"/>
              </w:rPr>
              <w:t>1.4x</w:t>
            </w:r>
          </w:p>
        </w:tc>
        <w:tc>
          <w:tcPr>
            <w:tcW w:w="8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8"/>
              </w:rPr>
              <w:t>1.5x</w:t>
            </w:r>
          </w:p>
        </w:tc>
        <w:tc>
          <w:tcPr>
            <w:tcW w:w="60" w:type="dxa"/>
            <w:vAlign w:val="bottom"/>
          </w:tcPr>
          <w:p>
            <w:pPr>
              <w:spacing w:after="0"/>
              <w:rPr>
                <w:sz w:val="19"/>
                <w:szCs w:val="19"/>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8"/>
              </w:rPr>
              <w:t>1.5x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180" w:hanging="452"/>
        <w:spacing w:after="0" w:line="305"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Excluding a one-time $8.5 million restructuring charge incurred in the first quarter of 2002, for the three months ended March 31, 2002, the ratio of earnings to fixed charges would have been 1.6x, and the ratio of earnings to combined fixed charges and preferred share dividends would have been 1.3x.</w:t>
      </w:r>
    </w:p>
    <w:p>
      <w:pPr>
        <w:ind w:left="460" w:right="34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Excluding a one-time $8.5 million restructuring charge incurred in the first quarter of 2002 and a $13.8 million restructuring charge incurred during the fourth quarter of 2002, for the year ended December 31, 2002, the ratio of earnings to fixed charges would have been 1.5x, and the ratio of earnings to combined fixed charges and preferred share dividends would have been 1.2x.</w:t>
      </w:r>
    </w:p>
    <w:p>
      <w:pPr>
        <w:spacing w:after="0" w:line="13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ratios of earnings to fixed charges were computed by dividing earnings by fixed charges. For this purpose, earnings consist of income before gain (loss) on sale of real estate plus fixed charges. Fixed charges consist of interest on borrowed funds (including capitalized interest), amortization of debt discount and expense and the portion of rent expense representing an interest factor. The ratios of earnings to combined fixed charges and preferred share dividends were computed by dividing earnings by the sum of fixed charges and preferred share dividend requirements. Preferred share dividends consist of dividends paid on our outstanding Series A preferred shares and Series B preferred shares.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77" w:lineRule="exact"/>
        <w:rPr>
          <w:sz w:val="20"/>
          <w:szCs w:val="20"/>
          <w:color w:val="auto"/>
        </w:rPr>
      </w:pPr>
    </w:p>
    <w:p>
      <w:pPr>
        <w:ind w:left="640" w:hanging="18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77" w:lineRule="exact"/>
        <w:rPr>
          <w:sz w:val="20"/>
          <w:szCs w:val="20"/>
          <w:color w:val="auto"/>
        </w:rPr>
      </w:pPr>
    </w:p>
    <w:p>
      <w:pPr>
        <w:ind w:left="640" w:hanging="18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03" w:lineRule="exact"/>
        <w:rPr>
          <w:rFonts w:ascii="Arial" w:cs="Arial" w:eastAsia="Arial" w:hAnsi="Arial"/>
          <w:sz w:val="18"/>
          <w:szCs w:val="18"/>
          <w:color w:val="auto"/>
        </w:rPr>
      </w:pPr>
    </w:p>
    <w:p>
      <w:pPr>
        <w:ind w:left="640" w:right="140" w:hanging="186"/>
        <w:spacing w:after="0" w:line="268"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37" w:lineRule="exact"/>
        <w:rPr>
          <w:rFonts w:ascii="Arial" w:cs="Arial" w:eastAsia="Arial" w:hAnsi="Arial"/>
          <w:sz w:val="18"/>
          <w:szCs w:val="18"/>
          <w:color w:val="auto"/>
        </w:rPr>
      </w:pPr>
    </w:p>
    <w:p>
      <w:pPr>
        <w:ind w:left="640" w:hanging="18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83"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an indenture between us and Wachovia Bank National Association, as successor to First Union National Bank, Trustee. We have filed with the SEC two indentures that are exhibits to the registration statement that includes this prospectus. The senior indenture describes the general terms of senior debt securities we may issue. In addition to describing the general terms of subordinated debt securities that we may issue, the subordinated indenture includes additional terms describing the subordination provisions of these securities. Each of the indentures is subject to the Trust Indenture Act of 1939, as amended.</w:t>
      </w:r>
    </w:p>
    <w:p>
      <w:pPr>
        <w:spacing w:after="0" w:line="129"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indentures do not include all the terms of debt securities we may issue through this prospectus. If we issue debt securities through this prospectus, our Board of Trustees will establish the additional terms for each series of debt securities. The additional terms will be either established pursuant to, and set forth in, a supplemental indenture, or established pursuant to a resolution of our Board of Trustees and set forth in an officer’s certificate. Each indenture describes the additional terms that may be established and we summarize the additional terms that may be established under “— Additional Terms of Debt Securities,” below.</w:t>
      </w:r>
    </w:p>
    <w:p>
      <w:pPr>
        <w:spacing w:after="0" w:line="8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summarized the provisions of the senior indenture and the subordinated indenture below. The summary is not complete. You should read the indentures for provisions that may be important to you. The extent, if any, to which the provisions of the base indentures apply to particular debt securities will be described in the prospectus supplement relating to those securities. You should read the prospectus supplement for more information regarding any particular issuance of debt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when we issue the series. We will describe the terms of the series in a prospectus supplement. Each indenture provides that the terms that may be established include the following:</w:t>
      </w:r>
    </w:p>
    <w:p>
      <w:pPr>
        <w:spacing w:after="0" w:line="40"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color w:val="auto"/>
        </w:rPr>
        <w:t>The title of the debt securities offered.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ind w:left="640" w:hanging="18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03" w:lineRule="exact"/>
        <w:rPr>
          <w:rFonts w:ascii="Arial" w:cs="Arial" w:eastAsia="Arial" w:hAnsi="Arial"/>
          <w:sz w:val="18"/>
          <w:szCs w:val="18"/>
          <w:color w:val="auto"/>
        </w:rPr>
      </w:pPr>
    </w:p>
    <w:p>
      <w:pPr>
        <w:ind w:left="640" w:right="320" w:hanging="186"/>
        <w:spacing w:after="0" w:line="27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date or dates.</w:t>
      </w:r>
    </w:p>
    <w:p>
      <w:pPr>
        <w:spacing w:after="0" w:line="25" w:lineRule="exact"/>
        <w:rPr>
          <w:rFonts w:ascii="Arial" w:cs="Arial" w:eastAsia="Arial" w:hAnsi="Arial"/>
          <w:sz w:val="18"/>
          <w:szCs w:val="18"/>
          <w:color w:val="auto"/>
        </w:rPr>
      </w:pPr>
    </w:p>
    <w:p>
      <w:pPr>
        <w:ind w:left="640" w:right="600" w:hanging="186"/>
        <w:spacing w:after="0" w:line="27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calculating such rate or rates.</w:t>
      </w:r>
    </w:p>
    <w:p>
      <w:pPr>
        <w:spacing w:after="0" w:line="25" w:lineRule="exact"/>
        <w:rPr>
          <w:rFonts w:ascii="Arial" w:cs="Arial" w:eastAsia="Arial" w:hAnsi="Arial"/>
          <w:sz w:val="18"/>
          <w:szCs w:val="18"/>
          <w:color w:val="auto"/>
        </w:rPr>
      </w:pPr>
    </w:p>
    <w:p>
      <w:pPr>
        <w:ind w:left="640" w:hanging="18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03" w:lineRule="exact"/>
        <w:rPr>
          <w:rFonts w:ascii="Arial" w:cs="Arial" w:eastAsia="Arial" w:hAnsi="Arial"/>
          <w:sz w:val="18"/>
          <w:szCs w:val="18"/>
          <w:color w:val="auto"/>
        </w:rPr>
      </w:pPr>
    </w:p>
    <w:p>
      <w:pPr>
        <w:ind w:left="640" w:right="260" w:hanging="186"/>
        <w:spacing w:after="0" w:line="27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Interest Payment Dates. </w:t>
      </w:r>
      <w:r>
        <w:rPr>
          <w:rFonts w:ascii="Arial" w:cs="Arial" w:eastAsia="Arial" w:hAnsi="Arial"/>
          <w:sz w:val="18"/>
          <w:szCs w:val="18"/>
          <w:color w:val="auto"/>
        </w:rPr>
        <w:t>The date or dates on which interest will be payable and the record date or dates to determine the persons who will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w:t>
      </w:r>
    </w:p>
    <w:p>
      <w:pPr>
        <w:spacing w:after="0" w:line="25" w:lineRule="exact"/>
        <w:rPr>
          <w:rFonts w:ascii="Arial" w:cs="Arial" w:eastAsia="Arial" w:hAnsi="Arial"/>
          <w:sz w:val="18"/>
          <w:szCs w:val="18"/>
          <w:color w:val="auto"/>
        </w:rPr>
      </w:pPr>
    </w:p>
    <w:p>
      <w:pPr>
        <w:ind w:left="640" w:right="120" w:hanging="186"/>
        <w:spacing w:after="0" w:line="27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25" w:lineRule="exact"/>
        <w:rPr>
          <w:rFonts w:ascii="Arial" w:cs="Arial" w:eastAsia="Arial" w:hAnsi="Arial"/>
          <w:sz w:val="18"/>
          <w:szCs w:val="18"/>
          <w:color w:val="auto"/>
        </w:rPr>
      </w:pPr>
    </w:p>
    <w:p>
      <w:pPr>
        <w:ind w:left="640" w:right="220" w:hanging="186"/>
        <w:spacing w:after="0" w:line="262"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37" w:lineRule="exact"/>
        <w:rPr>
          <w:rFonts w:ascii="Arial" w:cs="Arial" w:eastAsia="Arial" w:hAnsi="Arial"/>
          <w:sz w:val="18"/>
          <w:szCs w:val="18"/>
          <w:color w:val="auto"/>
        </w:rPr>
      </w:pPr>
    </w:p>
    <w:p>
      <w:pPr>
        <w:ind w:left="640" w:right="60" w:hanging="186"/>
        <w:spacing w:after="0" w:line="258"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Mandatory Redemption. </w:t>
      </w:r>
      <w:r>
        <w:rPr>
          <w:rFonts w:ascii="Arial" w:cs="Arial" w:eastAsia="Arial" w:hAnsi="Arial"/>
          <w:sz w:val="18"/>
          <w:szCs w:val="18"/>
          <w:color w:val="auto"/>
        </w:rPr>
        <w:t>The obligation, if any, we have to redeem or repurchase the offered debt securities pursuant to any sinking fund or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41" w:lineRule="exact"/>
        <w:rPr>
          <w:rFonts w:ascii="Arial" w:cs="Arial" w:eastAsia="Arial" w:hAnsi="Arial"/>
          <w:sz w:val="18"/>
          <w:szCs w:val="18"/>
          <w:color w:val="auto"/>
        </w:rPr>
      </w:pPr>
    </w:p>
    <w:p>
      <w:pPr>
        <w:ind w:left="640" w:hanging="18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03" w:lineRule="exact"/>
        <w:rPr>
          <w:rFonts w:ascii="Arial" w:cs="Arial" w:eastAsia="Arial" w:hAnsi="Arial"/>
          <w:sz w:val="18"/>
          <w:szCs w:val="18"/>
          <w:color w:val="auto"/>
        </w:rPr>
      </w:pPr>
    </w:p>
    <w:p>
      <w:pPr>
        <w:ind w:left="640" w:right="60" w:hanging="186"/>
        <w:spacing w:after="0" w:line="258"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41" w:lineRule="exact"/>
        <w:rPr>
          <w:rFonts w:ascii="Arial" w:cs="Arial" w:eastAsia="Arial" w:hAnsi="Arial"/>
          <w:sz w:val="18"/>
          <w:szCs w:val="18"/>
          <w:color w:val="auto"/>
        </w:rPr>
      </w:pPr>
    </w:p>
    <w:p>
      <w:pPr>
        <w:ind w:left="640" w:right="60" w:hanging="186"/>
        <w:spacing w:after="0" w:line="27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 an</w:t>
      </w:r>
      <w:r>
        <w:rPr>
          <w:rFonts w:ascii="Arial" w:cs="Arial" w:eastAsia="Arial" w:hAnsi="Arial"/>
          <w:sz w:val="18"/>
          <w:szCs w:val="18"/>
          <w:b w:val="1"/>
          <w:bCs w:val="1"/>
          <w:color w:val="auto"/>
        </w:rPr>
        <w:t xml:space="preserve"> </w:t>
      </w:r>
      <w:r>
        <w:rPr>
          <w:rFonts w:ascii="Arial" w:cs="Arial" w:eastAsia="Arial" w:hAnsi="Arial"/>
          <w:sz w:val="18"/>
          <w:szCs w:val="18"/>
          <w:color w:val="auto"/>
        </w:rPr>
        <w:t>index or pursuant to a formula or other method, the manner in which such amounts will be determined.</w:t>
      </w:r>
    </w:p>
    <w:p>
      <w:pPr>
        <w:spacing w:after="0" w:line="25" w:lineRule="exact"/>
        <w:rPr>
          <w:rFonts w:ascii="Arial" w:cs="Arial" w:eastAsia="Arial" w:hAnsi="Arial"/>
          <w:sz w:val="18"/>
          <w:szCs w:val="18"/>
          <w:color w:val="auto"/>
        </w:rPr>
      </w:pPr>
    </w:p>
    <w:p>
      <w:pPr>
        <w:ind w:left="640" w:hanging="186"/>
        <w:spacing w:after="0" w:line="27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 or</w:t>
      </w:r>
      <w:r>
        <w:rPr>
          <w:rFonts w:ascii="Arial" w:cs="Arial" w:eastAsia="Arial" w:hAnsi="Arial"/>
          <w:sz w:val="18"/>
          <w:szCs w:val="18"/>
          <w:b w:val="1"/>
          <w:bCs w:val="1"/>
          <w:color w:val="auto"/>
        </w:rPr>
        <w:t xml:space="preserve"> </w:t>
      </w:r>
      <w:r>
        <w:rPr>
          <w:rFonts w:ascii="Arial" w:cs="Arial" w:eastAsia="Arial" w:hAnsi="Arial"/>
          <w:sz w:val="18"/>
          <w:szCs w:val="18"/>
          <w:color w:val="auto"/>
        </w:rPr>
        <w:t>the method by which such portion shall be determined.</w:t>
      </w:r>
    </w:p>
    <w:p>
      <w:pPr>
        <w:spacing w:after="0" w:line="25" w:lineRule="exact"/>
        <w:rPr>
          <w:rFonts w:ascii="Arial" w:cs="Arial" w:eastAsia="Arial" w:hAnsi="Arial"/>
          <w:sz w:val="18"/>
          <w:szCs w:val="18"/>
          <w:color w:val="auto"/>
        </w:rPr>
      </w:pPr>
    </w:p>
    <w:p>
      <w:pPr>
        <w:ind w:left="640" w:hanging="18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Special Rights.  </w:t>
      </w:r>
      <w:r>
        <w:rPr>
          <w:rFonts w:ascii="Arial" w:cs="Arial" w:eastAsia="Arial" w:hAnsi="Arial"/>
          <w:sz w:val="18"/>
          <w:szCs w:val="18"/>
          <w:color w:val="auto"/>
        </w:rPr>
        <w:t>Provisions, if any, granting special rights to the holders of the offered debt securities if certain specified events occur.</w:t>
      </w:r>
    </w:p>
    <w:p>
      <w:pPr>
        <w:spacing w:after="0" w:line="103" w:lineRule="exact"/>
        <w:rPr>
          <w:rFonts w:ascii="Arial" w:cs="Arial" w:eastAsia="Arial" w:hAnsi="Arial"/>
          <w:sz w:val="18"/>
          <w:szCs w:val="18"/>
          <w:color w:val="auto"/>
        </w:rPr>
      </w:pPr>
    </w:p>
    <w:p>
      <w:pPr>
        <w:ind w:left="640" w:right="200" w:hanging="186"/>
        <w:spacing w:after="0" w:line="27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offered debt securities.</w:t>
      </w:r>
    </w:p>
    <w:p>
      <w:pPr>
        <w:spacing w:after="0" w:line="25" w:lineRule="exact"/>
        <w:rPr>
          <w:rFonts w:ascii="Arial" w:cs="Arial" w:eastAsia="Arial" w:hAnsi="Arial"/>
          <w:sz w:val="18"/>
          <w:szCs w:val="18"/>
          <w:color w:val="auto"/>
        </w:rPr>
      </w:pPr>
    </w:p>
    <w:p>
      <w:pPr>
        <w:ind w:left="640" w:right="180" w:hanging="186"/>
        <w:spacing w:after="0" w:line="27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color w:val="auto"/>
        </w:rPr>
        <w:t xml:space="preserve"> </w:t>
      </w:r>
      <w:r>
        <w:rPr>
          <w:rFonts w:ascii="Arial" w:cs="Arial" w:eastAsia="Arial" w:hAnsi="Arial"/>
          <w:sz w:val="18"/>
          <w:szCs w:val="18"/>
          <w:color w:val="auto"/>
        </w:rPr>
        <w:t>taxes, assessments or similar charges.</w:t>
      </w:r>
    </w:p>
    <w:p>
      <w:pPr>
        <w:spacing w:after="0" w:line="25" w:lineRule="exact"/>
        <w:rPr>
          <w:rFonts w:ascii="Arial" w:cs="Arial" w:eastAsia="Arial" w:hAnsi="Arial"/>
          <w:sz w:val="18"/>
          <w:szCs w:val="18"/>
          <w:color w:val="auto"/>
        </w:rPr>
      </w:pPr>
    </w:p>
    <w:p>
      <w:pPr>
        <w:ind w:left="640" w:hanging="18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ind w:left="640" w:right="420" w:hanging="186"/>
        <w:spacing w:after="0" w:line="27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25" w:lineRule="exact"/>
        <w:rPr>
          <w:rFonts w:ascii="Arial" w:cs="Arial" w:eastAsia="Arial" w:hAnsi="Arial"/>
          <w:sz w:val="18"/>
          <w:szCs w:val="18"/>
          <w:color w:val="auto"/>
        </w:rPr>
      </w:pPr>
    </w:p>
    <w:p>
      <w:pPr>
        <w:ind w:left="640" w:hanging="18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03" w:lineRule="exact"/>
        <w:rPr>
          <w:rFonts w:ascii="Arial" w:cs="Arial" w:eastAsia="Arial" w:hAnsi="Arial"/>
          <w:sz w:val="18"/>
          <w:szCs w:val="18"/>
          <w:color w:val="auto"/>
        </w:rPr>
      </w:pPr>
    </w:p>
    <w:p>
      <w:pPr>
        <w:ind w:left="640" w:right="100" w:hanging="186"/>
        <w:spacing w:after="0" w:line="27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debt securities.</w:t>
      </w:r>
    </w:p>
    <w:p>
      <w:pPr>
        <w:spacing w:after="0" w:line="25" w:lineRule="exact"/>
        <w:rPr>
          <w:rFonts w:ascii="Arial" w:cs="Arial" w:eastAsia="Arial" w:hAnsi="Arial"/>
          <w:sz w:val="18"/>
          <w:szCs w:val="18"/>
          <w:color w:val="auto"/>
        </w:rPr>
      </w:pPr>
    </w:p>
    <w:p>
      <w:pPr>
        <w:ind w:left="640" w:hanging="18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03" w:lineRule="exact"/>
        <w:rPr>
          <w:rFonts w:ascii="Arial" w:cs="Arial" w:eastAsia="Arial" w:hAnsi="Arial"/>
          <w:sz w:val="18"/>
          <w:szCs w:val="18"/>
          <w:color w:val="auto"/>
        </w:rPr>
      </w:pPr>
    </w:p>
    <w:p>
      <w:pPr>
        <w:ind w:left="640" w:hanging="186"/>
        <w:spacing w:after="0" w:line="258"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41" w:lineRule="exact"/>
        <w:rPr>
          <w:rFonts w:ascii="Arial" w:cs="Arial" w:eastAsia="Arial" w:hAnsi="Arial"/>
          <w:sz w:val="18"/>
          <w:szCs w:val="18"/>
          <w:color w:val="auto"/>
        </w:rPr>
      </w:pPr>
    </w:p>
    <w:p>
      <w:pPr>
        <w:ind w:left="640" w:right="140" w:hanging="186"/>
        <w:spacing w:after="0" w:line="26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Documentation. </w:t>
      </w:r>
      <w:r>
        <w:rPr>
          <w:rFonts w:ascii="Arial" w:cs="Arial" w:eastAsia="Arial" w:hAnsi="Arial"/>
          <w:sz w:val="18"/>
          <w:szCs w:val="18"/>
          <w:color w:val="auto"/>
        </w:rPr>
        <w:t>If the offered debt securities may be issued or delivered, or any installation of principal or interest may be paid, only upon receipt of</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37" w:lineRule="exact"/>
        <w:rPr>
          <w:rFonts w:ascii="Arial" w:cs="Arial" w:eastAsia="Arial" w:hAnsi="Arial"/>
          <w:sz w:val="18"/>
          <w:szCs w:val="18"/>
          <w:color w:val="auto"/>
        </w:rPr>
      </w:pPr>
    </w:p>
    <w:p>
      <w:pPr>
        <w:ind w:left="640" w:right="220" w:hanging="186"/>
        <w:spacing w:after="0" w:line="325"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1" w:lineRule="exact"/>
        <w:rPr>
          <w:rFonts w:ascii="Arial" w:cs="Arial" w:eastAsia="Arial" w:hAnsi="Arial"/>
          <w:sz w:val="16"/>
          <w:szCs w:val="16"/>
          <w:color w:val="auto"/>
        </w:rPr>
      </w:pPr>
    </w:p>
    <w:p>
      <w:pPr>
        <w:ind w:left="640" w:right="700" w:hanging="186"/>
        <w:spacing w:after="0" w:line="325"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1" w:lineRule="exact"/>
        <w:rPr>
          <w:rFonts w:ascii="Arial" w:cs="Arial" w:eastAsia="Arial" w:hAnsi="Arial"/>
          <w:sz w:val="16"/>
          <w:szCs w:val="16"/>
          <w:color w:val="auto"/>
        </w:rPr>
      </w:pPr>
    </w:p>
    <w:p>
      <w:pPr>
        <w:ind w:left="640" w:right="240" w:hanging="186"/>
        <w:spacing w:after="0" w:line="27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Subordination. </w:t>
      </w:r>
      <w:r>
        <w:rPr>
          <w:rFonts w:ascii="Arial" w:cs="Arial" w:eastAsia="Arial" w:hAnsi="Arial"/>
          <w:sz w:val="18"/>
          <w:szCs w:val="18"/>
          <w:color w:val="auto"/>
        </w:rPr>
        <w:t>In the case of the subordinated indenture, the relative degree to which the offered debt securities shall be senior to or junior to other</w:t>
      </w:r>
      <w:r>
        <w:rPr>
          <w:rFonts w:ascii="Arial" w:cs="Arial" w:eastAsia="Arial" w:hAnsi="Arial"/>
          <w:sz w:val="18"/>
          <w:szCs w:val="18"/>
          <w:b w:val="1"/>
          <w:bCs w:val="1"/>
          <w:color w:val="auto"/>
        </w:rPr>
        <w:t xml:space="preserve"> </w:t>
      </w:r>
      <w:r>
        <w:rPr>
          <w:rFonts w:ascii="Arial" w:cs="Arial" w:eastAsia="Arial" w:hAnsi="Arial"/>
          <w:sz w:val="18"/>
          <w:szCs w:val="18"/>
          <w:color w:val="auto"/>
        </w:rPr>
        <w:t>debt securities, whether currently outstanding or to be offered in the future, and to other debt, in right of payment.</w:t>
      </w:r>
    </w:p>
    <w:p>
      <w:pPr>
        <w:spacing w:after="0" w:line="25" w:lineRule="exact"/>
        <w:rPr>
          <w:rFonts w:ascii="Arial" w:cs="Arial" w:eastAsia="Arial" w:hAnsi="Arial"/>
          <w:sz w:val="18"/>
          <w:szCs w:val="18"/>
          <w:color w:val="auto"/>
        </w:rPr>
      </w:pPr>
    </w:p>
    <w:p>
      <w:pPr>
        <w:ind w:left="640" w:right="560" w:hanging="186"/>
        <w:spacing w:after="0" w:line="27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25" w:lineRule="exact"/>
        <w:rPr>
          <w:rFonts w:ascii="Arial" w:cs="Arial" w:eastAsia="Arial" w:hAnsi="Arial"/>
          <w:sz w:val="18"/>
          <w:szCs w:val="18"/>
          <w:color w:val="auto"/>
        </w:rPr>
      </w:pPr>
    </w:p>
    <w:p>
      <w:pPr>
        <w:ind w:left="640" w:right="80" w:hanging="186"/>
        <w:spacing w:after="0" w:line="27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Conversion. </w:t>
      </w:r>
      <w:r>
        <w:rPr>
          <w:rFonts w:ascii="Arial" w:cs="Arial" w:eastAsia="Arial" w:hAnsi="Arial"/>
          <w:sz w:val="18"/>
          <w:szCs w:val="18"/>
          <w:color w:val="auto"/>
        </w:rPr>
        <w:t>The terms, if any, upon which the offered debt securities may be converted or exchanged into or for our common shares, preferred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securities or property.</w:t>
      </w:r>
    </w:p>
    <w:p>
      <w:pPr>
        <w:spacing w:after="0" w:line="25" w:lineRule="exact"/>
        <w:rPr>
          <w:rFonts w:ascii="Arial" w:cs="Arial" w:eastAsia="Arial" w:hAnsi="Arial"/>
          <w:sz w:val="18"/>
          <w:szCs w:val="18"/>
          <w:color w:val="auto"/>
        </w:rPr>
      </w:pPr>
    </w:p>
    <w:p>
      <w:pPr>
        <w:ind w:left="640" w:hanging="18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03" w:lineRule="exact"/>
        <w:rPr>
          <w:rFonts w:ascii="Arial" w:cs="Arial" w:eastAsia="Arial" w:hAnsi="Arial"/>
          <w:sz w:val="18"/>
          <w:szCs w:val="18"/>
          <w:color w:val="auto"/>
        </w:rPr>
      </w:pPr>
    </w:p>
    <w:p>
      <w:pPr>
        <w:ind w:left="640" w:right="320" w:hanging="186"/>
        <w:spacing w:after="0" w:line="339"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or advisable under U. S. laws or regulations or advisable, as we determine, in connection with marketing of securities of the series.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77" w:lineRule="exact"/>
        <w:rPr>
          <w:sz w:val="20"/>
          <w:szCs w:val="20"/>
          <w:color w:val="auto"/>
        </w:rPr>
      </w:pPr>
    </w:p>
    <w:p>
      <w:pPr>
        <w:ind w:left="460"/>
        <w:spacing w:after="0"/>
        <w:tabs>
          <w:tab w:leader="none" w:pos="2700" w:val="left"/>
        </w:tabs>
        <w:rPr>
          <w:sz w:val="20"/>
          <w:szCs w:val="20"/>
          <w:color w:val="auto"/>
        </w:rPr>
      </w:pPr>
      <w:r>
        <w:rPr>
          <w:rFonts w:ascii="Arial" w:cs="Arial" w:eastAsia="Arial" w:hAnsi="Arial"/>
          <w:sz w:val="18"/>
          <w:szCs w:val="18"/>
          <w:b w:val="1"/>
          <w:bCs w:val="1"/>
          <w:color w:val="auto"/>
        </w:rPr>
        <w:t>Registered or Bearer Form.</w:t>
      </w:r>
      <w:r>
        <w:rPr>
          <w:sz w:val="20"/>
          <w:szCs w:val="20"/>
          <w:color w:val="auto"/>
        </w:rPr>
        <w:tab/>
      </w:r>
      <w:r>
        <w:rPr>
          <w:rFonts w:ascii="Arial" w:cs="Arial" w:eastAsia="Arial" w:hAnsi="Arial"/>
          <w:sz w:val="15"/>
          <w:szCs w:val="15"/>
          <w:color w:val="auto"/>
        </w:rPr>
        <w:t>Debt securities may be offered in either registered or bearer form.</w:t>
      </w:r>
    </w:p>
    <w:p>
      <w:pPr>
        <w:spacing w:after="0" w:line="83" w:lineRule="exact"/>
        <w:rPr>
          <w:sz w:val="20"/>
          <w:szCs w:val="20"/>
          <w:color w:val="auto"/>
        </w:rPr>
      </w:pPr>
    </w:p>
    <w:p>
      <w:pPr>
        <w:ind w:left="640" w:right="180" w:hanging="186"/>
        <w:spacing w:after="0" w:line="268"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640" w:hanging="186"/>
        <w:spacing w:after="0" w:line="306"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consequences relating to the offered debt securities in a prospectus supplement.</w:t>
      </w:r>
    </w:p>
    <w:p>
      <w:pPr>
        <w:spacing w:after="0" w:line="87" w:lineRule="exact"/>
        <w:rPr>
          <w:sz w:val="20"/>
          <w:szCs w:val="20"/>
          <w:color w:val="auto"/>
        </w:rPr>
      </w:pPr>
    </w:p>
    <w:p>
      <w:pPr>
        <w:ind w:left="460"/>
        <w:spacing w:after="0"/>
        <w:tabs>
          <w:tab w:leader="none" w:pos="1800" w:val="left"/>
        </w:tabs>
        <w:rPr>
          <w:sz w:val="20"/>
          <w:szCs w:val="20"/>
          <w:color w:val="auto"/>
        </w:rPr>
      </w:pPr>
      <w:r>
        <w:rPr>
          <w:rFonts w:ascii="Arial" w:cs="Arial" w:eastAsia="Arial" w:hAnsi="Arial"/>
          <w:sz w:val="18"/>
          <w:szCs w:val="18"/>
          <w:b w:val="1"/>
          <w:bCs w:val="1"/>
          <w:color w:val="auto"/>
        </w:rPr>
        <w:t>Denominations.</w:t>
      </w:r>
      <w:r>
        <w:rPr>
          <w:sz w:val="20"/>
          <w:szCs w:val="20"/>
          <w:color w:val="auto"/>
        </w:rPr>
        <w:tab/>
      </w:r>
      <w:r>
        <w:rPr>
          <w:rFonts w:ascii="Arial" w:cs="Arial" w:eastAsia="Arial" w:hAnsi="Arial"/>
          <w:sz w:val="15"/>
          <w:szCs w:val="15"/>
          <w:color w:val="auto"/>
        </w:rPr>
        <w:t>Unless we say otherwise in a prospectus supplement, we will issue debt securities in denominations of:</w:t>
      </w:r>
    </w:p>
    <w:p>
      <w:pPr>
        <w:spacing w:after="0" w:line="83" w:lineRule="exact"/>
        <w:rPr>
          <w:sz w:val="20"/>
          <w:szCs w:val="20"/>
          <w:color w:val="auto"/>
        </w:rPr>
      </w:pPr>
    </w:p>
    <w:p>
      <w:pPr>
        <w:ind w:left="640" w:hanging="18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9" w:lineRule="exact"/>
        <w:rPr>
          <w:sz w:val="20"/>
          <w:szCs w:val="20"/>
          <w:color w:val="auto"/>
        </w:rPr>
      </w:pPr>
    </w:p>
    <w:p>
      <w:pPr>
        <w:ind w:left="460"/>
        <w:spacing w:after="0"/>
        <w:tabs>
          <w:tab w:leader="none" w:pos="3940" w:val="left"/>
        </w:tabs>
        <w:rPr>
          <w:sz w:val="20"/>
          <w:szCs w:val="20"/>
          <w:color w:val="auto"/>
        </w:rPr>
      </w:pPr>
      <w:r>
        <w:rPr>
          <w:rFonts w:ascii="Arial" w:cs="Arial" w:eastAsia="Arial" w:hAnsi="Arial"/>
          <w:sz w:val="18"/>
          <w:szCs w:val="18"/>
          <w:b w:val="1"/>
          <w:bCs w:val="1"/>
          <w:color w:val="auto"/>
        </w:rPr>
        <w:t>Payment Currencies and Indexed Securities.</w:t>
      </w:r>
      <w:r>
        <w:rPr>
          <w:sz w:val="20"/>
          <w:szCs w:val="20"/>
          <w:color w:val="auto"/>
        </w:rPr>
        <w:tab/>
      </w:r>
      <w:r>
        <w:rPr>
          <w:rFonts w:ascii="Arial" w:cs="Arial" w:eastAsia="Arial" w:hAnsi="Arial"/>
          <w:sz w:val="16"/>
          <w:szCs w:val="16"/>
          <w:color w:val="auto"/>
        </w:rPr>
        <w:t>We may offer debt securities for which:</w:t>
      </w:r>
    </w:p>
    <w:p>
      <w:pPr>
        <w:spacing w:after="0" w:line="83" w:lineRule="exact"/>
        <w:rPr>
          <w:sz w:val="20"/>
          <w:szCs w:val="20"/>
          <w:color w:val="auto"/>
        </w:rPr>
      </w:pPr>
    </w:p>
    <w:p>
      <w:pPr>
        <w:ind w:left="640" w:hanging="18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other currency may be a currency unit composed of various currencies, such as the European Currency Unit or ECU. Payments on debt securities may also be based on an index.</w:t>
      </w:r>
    </w:p>
    <w:p>
      <w:pPr>
        <w:spacing w:after="0" w:line="112" w:lineRule="exact"/>
        <w:rPr>
          <w:sz w:val="20"/>
          <w:szCs w:val="20"/>
          <w:color w:val="auto"/>
        </w:rPr>
      </w:pPr>
    </w:p>
    <w:p>
      <w:pPr>
        <w:ind w:right="60" w:firstLine="456"/>
        <w:spacing w:after="0" w:line="257" w:lineRule="auto"/>
        <w:rPr>
          <w:sz w:val="20"/>
          <w:szCs w:val="20"/>
          <w:color w:val="auto"/>
        </w:rPr>
      </w:pPr>
      <w:r>
        <w:rPr>
          <w:rFonts w:ascii="Arial" w:cs="Arial" w:eastAsia="Arial" w:hAnsi="Arial"/>
          <w:sz w:val="17"/>
          <w:szCs w:val="17"/>
          <w:b w:val="1"/>
          <w:b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debt securities is Wachovia Bank National Association, 401 S. Tryon Street, 12</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Charlotte, North Carolina 28288. We will notify you of any change in the office’s location. At our option, however, we may make any interest payments on debt securities issued in registered form by:</w:t>
      </w:r>
    </w:p>
    <w:p>
      <w:pPr>
        <w:spacing w:after="0" w:line="45" w:lineRule="exact"/>
        <w:rPr>
          <w:sz w:val="20"/>
          <w:szCs w:val="20"/>
          <w:color w:val="auto"/>
        </w:rPr>
      </w:pPr>
    </w:p>
    <w:p>
      <w:pPr>
        <w:ind w:left="640" w:hanging="18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mailing checks to you at the address you specify; or</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specify.</w:t>
      </w:r>
    </w:p>
    <w:p>
      <w:pPr>
        <w:spacing w:after="0" w:line="1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will describe in a prospectus supplement how we will pay amounts owing on bearer securities. We will only pay amounts owing on bearer securities at an office outside the United States.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agency that we designate.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You may transfer or exchange debt securities without service charge, although we may require you to pay any related tax or other governmental charge.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77" w:lineRule="exact"/>
        <w:rPr>
          <w:sz w:val="20"/>
          <w:szCs w:val="20"/>
          <w:color w:val="auto"/>
        </w:rPr>
      </w:pPr>
    </w:p>
    <w:p>
      <w:pPr>
        <w:ind w:left="640" w:hanging="18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Registered 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Each indenture contains the following covenants. Any additional material covenants applicable to any series of debt securities will be set forth in a prospectus supplement.</w:t>
      </w:r>
    </w:p>
    <w:p>
      <w:pPr>
        <w:spacing w:after="0" w:line="112"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84"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90"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We will keep all of our insurable properties insured against loss or damage at least equal to their then full insurable value with insurers of</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responsibility and having a rating of at least A-:XII in Best’s Key Rating Guide.</w:t>
      </w:r>
    </w:p>
    <w:p>
      <w:pPr>
        <w:spacing w:after="0" w:line="106" w:lineRule="exact"/>
        <w:rPr>
          <w:sz w:val="20"/>
          <w:szCs w:val="20"/>
          <w:color w:val="auto"/>
        </w:rPr>
      </w:pPr>
    </w:p>
    <w:p>
      <w:pPr>
        <w:ind w:left="460"/>
        <w:spacing w:after="0"/>
        <w:tabs>
          <w:tab w:leader="none" w:pos="3380" w:val="left"/>
        </w:tabs>
        <w:rPr>
          <w:sz w:val="20"/>
          <w:szCs w:val="20"/>
          <w:color w:val="auto"/>
        </w:rPr>
      </w:pPr>
      <w:r>
        <w:rPr>
          <w:rFonts w:ascii="Arial" w:cs="Arial" w:eastAsia="Arial" w:hAnsi="Arial"/>
          <w:sz w:val="18"/>
          <w:szCs w:val="18"/>
          <w:b w:val="1"/>
          <w:bCs w:val="1"/>
          <w:color w:val="auto"/>
        </w:rPr>
        <w:t>Payment of Taxes and Other Claim</w:t>
      </w:r>
      <w:r>
        <w:rPr>
          <w:rFonts w:ascii="Arial" w:cs="Arial" w:eastAsia="Arial" w:hAnsi="Arial"/>
          <w:sz w:val="18"/>
          <w:szCs w:val="18"/>
          <w:b w:val="1"/>
          <w:bCs w:val="1"/>
          <w:i w:val="1"/>
          <w:iCs w:val="1"/>
          <w:color w:val="auto"/>
        </w:rPr>
        <w:t>s</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We will pay or discharge or cause to be paid or discharged, before they shall become delinquent:</w:t>
      </w:r>
    </w:p>
    <w:p>
      <w:pPr>
        <w:spacing w:after="0" w:line="83" w:lineRule="exact"/>
        <w:rPr>
          <w:sz w:val="20"/>
          <w:szCs w:val="20"/>
          <w:color w:val="auto"/>
        </w:rPr>
      </w:pPr>
    </w:p>
    <w:p>
      <w:pPr>
        <w:ind w:left="640" w:hanging="18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0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12" w:lineRule="exact"/>
        <w:rPr>
          <w:sz w:val="20"/>
          <w:szCs w:val="20"/>
          <w:color w:val="auto"/>
        </w:rPr>
      </w:pPr>
    </w:p>
    <w:p>
      <w:pPr>
        <w:ind w:right="180" w:firstLine="456"/>
        <w:spacing w:after="0" w:line="329" w:lineRule="auto"/>
        <w:rPr>
          <w:sz w:val="20"/>
          <w:szCs w:val="20"/>
          <w:color w:val="auto"/>
        </w:rPr>
      </w:pPr>
      <w:r>
        <w:rPr>
          <w:rFonts w:ascii="Arial" w:cs="Arial" w:eastAsia="Arial" w:hAnsi="Arial"/>
          <w:sz w:val="16"/>
          <w:szCs w:val="16"/>
          <w:b w:val="1"/>
          <w:b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1" w:lineRule="exact"/>
        <w:rPr>
          <w:sz w:val="20"/>
          <w:szCs w:val="20"/>
          <w:color w:val="auto"/>
        </w:rPr>
      </w:pPr>
    </w:p>
    <w:p>
      <w:pPr>
        <w:jc w:val="both"/>
        <w:ind w:left="640" w:right="200" w:hanging="186"/>
        <w:spacing w:after="0" w:line="259"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45" w:lineRule="exact"/>
        <w:rPr>
          <w:rFonts w:ascii="Arial" w:cs="Arial" w:eastAsia="Arial" w:hAnsi="Arial"/>
          <w:sz w:val="18"/>
          <w:szCs w:val="18"/>
          <w:color w:val="auto"/>
        </w:rPr>
      </w:pPr>
    </w:p>
    <w:p>
      <w:pPr>
        <w:ind w:left="640" w:right="120" w:hanging="186"/>
        <w:spacing w:after="0" w:line="268"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37" w:lineRule="exact"/>
        <w:rPr>
          <w:rFonts w:ascii="Arial" w:cs="Arial" w:eastAsia="Arial" w:hAnsi="Arial"/>
          <w:sz w:val="18"/>
          <w:szCs w:val="18"/>
          <w:color w:val="auto"/>
        </w:rPr>
      </w:pPr>
    </w:p>
    <w:p>
      <w:pPr>
        <w:ind w:left="640" w:right="340" w:hanging="186"/>
        <w:spacing w:after="0" w:line="268"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r>
        <w:rPr>
          <w:rFonts w:ascii="Arial" w:cs="Arial" w:eastAsia="Arial" w:hAnsi="Arial"/>
          <w:sz w:val="18"/>
          <w:szCs w:val="18"/>
          <w:i w:val="1"/>
          <w:iCs w:val="1"/>
          <w:color w:val="auto"/>
        </w:rPr>
        <w: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consolidate with, or sell, lease or convey all or substantially all of our assets, or merge with or into any other entity, provided that we satisfy all of the following conditions:</w:t>
      </w:r>
    </w:p>
    <w:p>
      <w:pPr>
        <w:spacing w:after="0" w:line="37" w:lineRule="exact"/>
        <w:rPr>
          <w:sz w:val="20"/>
          <w:szCs w:val="20"/>
          <w:color w:val="auto"/>
        </w:rPr>
      </w:pPr>
    </w:p>
    <w:p>
      <w:pPr>
        <w:ind w:left="640" w:hanging="18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either</w:t>
      </w:r>
    </w:p>
    <w:p>
      <w:pPr>
        <w:spacing w:after="0" w:line="103" w:lineRule="exact"/>
        <w:rPr>
          <w:rFonts w:ascii="Arial" w:cs="Arial" w:eastAsia="Arial" w:hAnsi="Arial"/>
          <w:sz w:val="18"/>
          <w:szCs w:val="18"/>
          <w:color w:val="auto"/>
        </w:rPr>
      </w:pPr>
    </w:p>
    <w:p>
      <w:pPr>
        <w:ind w:left="1100" w:hanging="187"/>
        <w:spacing w:after="0"/>
        <w:tabs>
          <w:tab w:leader="none" w:pos="11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 must be the continuing company, or</w:t>
      </w:r>
    </w:p>
    <w:p>
      <w:pPr>
        <w:spacing w:after="0" w:line="103" w:lineRule="exact"/>
        <w:rPr>
          <w:rFonts w:ascii="Arial" w:cs="Arial" w:eastAsia="Arial" w:hAnsi="Arial"/>
          <w:sz w:val="18"/>
          <w:szCs w:val="18"/>
          <w:color w:val="auto"/>
        </w:rPr>
      </w:pPr>
    </w:p>
    <w:p>
      <w:pPr>
        <w:ind w:left="1100" w:right="20" w:hanging="187"/>
        <w:spacing w:after="0" w:line="259" w:lineRule="auto"/>
        <w:tabs>
          <w:tab w:leader="none" w:pos="11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45" w:lineRule="exact"/>
        <w:rPr>
          <w:rFonts w:ascii="Arial" w:cs="Arial" w:eastAsia="Arial" w:hAnsi="Arial"/>
          <w:sz w:val="18"/>
          <w:szCs w:val="18"/>
          <w:color w:val="auto"/>
        </w:rPr>
      </w:pPr>
    </w:p>
    <w:p>
      <w:pPr>
        <w:ind w:left="640" w:right="120" w:hanging="186"/>
        <w:spacing w:after="0" w:line="268"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transactions, no default or event of default under the debt securities shall have occurred and be continuing; and</w:t>
      </w:r>
    </w:p>
    <w:p>
      <w:pPr>
        <w:spacing w:after="0" w:line="37" w:lineRule="exact"/>
        <w:rPr>
          <w:rFonts w:ascii="Arial" w:cs="Arial" w:eastAsia="Arial" w:hAnsi="Arial"/>
          <w:sz w:val="18"/>
          <w:szCs w:val="18"/>
          <w:color w:val="auto"/>
        </w:rPr>
      </w:pPr>
    </w:p>
    <w:p>
      <w:pPr>
        <w:ind w:left="640" w:hanging="186"/>
        <w:spacing w:after="0" w:line="256"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77"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96" w:lineRule="exact"/>
        <w:rPr>
          <w:sz w:val="20"/>
          <w:szCs w:val="20"/>
          <w:color w:val="auto"/>
        </w:rPr>
      </w:pPr>
    </w:p>
    <w:p>
      <w:pPr>
        <w:ind w:right="40" w:firstLine="456"/>
        <w:spacing w:after="0" w:line="325" w:lineRule="auto"/>
        <w:rPr>
          <w:sz w:val="20"/>
          <w:szCs w:val="20"/>
          <w:color w:val="auto"/>
        </w:rPr>
      </w:pPr>
      <w:r>
        <w:rPr>
          <w:rFonts w:ascii="Arial" w:cs="Arial" w:eastAsia="Arial" w:hAnsi="Arial"/>
          <w:sz w:val="16"/>
          <w:szCs w:val="16"/>
          <w:color w:val="auto"/>
        </w:rPr>
        <w:t>Senior debt is defined in the subordinated indenture as the principal of and interest on, or substantially similar payments to be made by us in respect of, the following, whether outstanding at the date of execution of the subordinated indenture or thereafter incurred, created or assumed:</w:t>
      </w:r>
    </w:p>
    <w:p>
      <w:pPr>
        <w:spacing w:after="0" w:line="1" w:lineRule="exact"/>
        <w:rPr>
          <w:sz w:val="20"/>
          <w:szCs w:val="20"/>
          <w:color w:val="auto"/>
        </w:rPr>
      </w:pPr>
    </w:p>
    <w:p>
      <w:pPr>
        <w:ind w:left="640" w:hanging="18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03" w:lineRule="exact"/>
        <w:rPr>
          <w:rFonts w:ascii="Arial" w:cs="Arial" w:eastAsia="Arial" w:hAnsi="Arial"/>
          <w:sz w:val="18"/>
          <w:szCs w:val="18"/>
          <w:color w:val="auto"/>
        </w:rPr>
      </w:pPr>
    </w:p>
    <w:p>
      <w:pPr>
        <w:ind w:left="640" w:right="100" w:hanging="186"/>
        <w:spacing w:after="0" w:line="268"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37" w:lineRule="exact"/>
        <w:rPr>
          <w:rFonts w:ascii="Arial" w:cs="Arial" w:eastAsia="Arial" w:hAnsi="Arial"/>
          <w:sz w:val="18"/>
          <w:szCs w:val="18"/>
          <w:color w:val="auto"/>
        </w:rPr>
      </w:pPr>
    </w:p>
    <w:p>
      <w:pPr>
        <w:ind w:left="640" w:hanging="186"/>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26" w:lineRule="exact"/>
        <w:rPr>
          <w:rFonts w:ascii="Arial" w:cs="Arial" w:eastAsia="Arial" w:hAnsi="Arial"/>
          <w:sz w:val="16"/>
          <w:szCs w:val="16"/>
          <w:color w:val="auto"/>
        </w:rPr>
      </w:pPr>
    </w:p>
    <w:p>
      <w:pPr>
        <w:ind w:left="640" w:hanging="18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03" w:lineRule="exact"/>
        <w:rPr>
          <w:rFonts w:ascii="Arial" w:cs="Arial" w:eastAsia="Arial" w:hAnsi="Arial"/>
          <w:sz w:val="18"/>
          <w:szCs w:val="18"/>
          <w:color w:val="auto"/>
        </w:rPr>
      </w:pPr>
    </w:p>
    <w:p>
      <w:pPr>
        <w:ind w:left="640" w:right="380" w:hanging="186"/>
        <w:spacing w:after="0" w:line="325"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1" w:lineRule="exact"/>
        <w:rPr>
          <w:rFonts w:ascii="Arial" w:cs="Arial" w:eastAsia="Arial" w:hAnsi="Arial"/>
          <w:sz w:val="16"/>
          <w:szCs w:val="16"/>
          <w:color w:val="auto"/>
        </w:rPr>
      </w:pPr>
    </w:p>
    <w:p>
      <w:pPr>
        <w:ind w:left="640" w:right="200" w:hanging="186"/>
        <w:spacing w:after="0" w:line="268"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37" w:lineRule="exact"/>
        <w:rPr>
          <w:rFonts w:ascii="Arial" w:cs="Arial" w:eastAsia="Arial" w:hAnsi="Arial"/>
          <w:sz w:val="18"/>
          <w:szCs w:val="18"/>
          <w:color w:val="auto"/>
        </w:rPr>
      </w:pPr>
    </w:p>
    <w:p>
      <w:pPr>
        <w:ind w:left="1100" w:right="220" w:hanging="187"/>
        <w:spacing w:after="0" w:line="306" w:lineRule="auto"/>
        <w:tabs>
          <w:tab w:leader="none" w:pos="11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1100" w:right="220" w:hanging="187"/>
        <w:spacing w:after="0" w:line="268"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37" w:lineRule="exact"/>
        <w:rPr>
          <w:rFonts w:ascii="Arial" w:cs="Arial" w:eastAsia="Arial" w:hAnsi="Arial"/>
          <w:sz w:val="18"/>
          <w:szCs w:val="18"/>
          <w:color w:val="auto"/>
        </w:rPr>
      </w:pPr>
    </w:p>
    <w:p>
      <w:pPr>
        <w:ind w:left="1100" w:hanging="18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restrictions in the subordinated indenture upon the creation of additional senior debt.</w:t>
      </w:r>
    </w:p>
    <w:p>
      <w:pPr>
        <w:spacing w:after="0" w:line="152"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color w:val="auto"/>
        </w:rPr>
        <w:t xml:space="preserve"> </w:t>
      </w:r>
      <w:r>
        <w:rPr>
          <w:rFonts w:ascii="Arial" w:cs="Arial" w:eastAsia="Arial" w:hAnsi="Arial"/>
          <w:sz w:val="18"/>
          <w:szCs w:val="18"/>
          <w:color w:val="auto"/>
        </w:rPr>
        <w:t>we may not:</w:t>
      </w:r>
    </w:p>
    <w:p>
      <w:pPr>
        <w:spacing w:after="0" w:line="31" w:lineRule="exact"/>
        <w:rPr>
          <w:sz w:val="20"/>
          <w:szCs w:val="20"/>
          <w:color w:val="auto"/>
        </w:rPr>
      </w:pPr>
    </w:p>
    <w:p>
      <w:pPr>
        <w:ind w:left="640" w:hanging="18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00" w:lineRule="exact"/>
        <w:rPr>
          <w:sz w:val="20"/>
          <w:szCs w:val="20"/>
          <w:color w:val="auto"/>
        </w:rPr>
      </w:pPr>
    </w:p>
    <w:p>
      <w:pPr>
        <w:ind w:left="640" w:hanging="18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9"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Payment Blockage for Non-Payment Defaults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or distributing any assets if:</w:t>
      </w:r>
    </w:p>
    <w:p>
      <w:pPr>
        <w:spacing w:after="0" w:line="31" w:lineRule="exact"/>
        <w:rPr>
          <w:sz w:val="20"/>
          <w:szCs w:val="20"/>
          <w:color w:val="auto"/>
        </w:rPr>
      </w:pPr>
    </w:p>
    <w:p>
      <w:pPr>
        <w:ind w:left="640" w:hanging="18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must resume payments on our subordinated debt securities, and make any payments we have missed, upon the earliest of:</w:t>
      </w:r>
    </w:p>
    <w:p>
      <w:pPr>
        <w:spacing w:after="0" w:line="46" w:lineRule="exact"/>
        <w:rPr>
          <w:sz w:val="20"/>
          <w:szCs w:val="20"/>
          <w:color w:val="auto"/>
        </w:rPr>
      </w:pPr>
    </w:p>
    <w:p>
      <w:pPr>
        <w:ind w:left="640" w:hanging="186"/>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26" w:lineRule="exact"/>
        <w:rPr>
          <w:rFonts w:ascii="Arial" w:cs="Arial" w:eastAsia="Arial" w:hAnsi="Arial"/>
          <w:sz w:val="16"/>
          <w:szCs w:val="16"/>
          <w:color w:val="auto"/>
        </w:rPr>
      </w:pPr>
    </w:p>
    <w:p>
      <w:pPr>
        <w:ind w:left="640" w:hanging="186"/>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26" w:lineRule="exact"/>
        <w:rPr>
          <w:rFonts w:ascii="Arial" w:cs="Arial" w:eastAsia="Arial" w:hAnsi="Arial"/>
          <w:sz w:val="16"/>
          <w:szCs w:val="16"/>
          <w:color w:val="auto"/>
        </w:rPr>
      </w:pPr>
    </w:p>
    <w:p>
      <w:pPr>
        <w:ind w:left="640" w:hanging="186"/>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26" w:lineRule="exact"/>
        <w:rPr>
          <w:rFonts w:ascii="Arial" w:cs="Arial" w:eastAsia="Arial" w:hAnsi="Arial"/>
          <w:sz w:val="16"/>
          <w:szCs w:val="16"/>
          <w:color w:val="auto"/>
        </w:rPr>
      </w:pPr>
    </w:p>
    <w:p>
      <w:pPr>
        <w:ind w:left="640" w:right="300" w:hanging="186"/>
        <w:spacing w:after="0" w:line="268"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77" w:lineRule="exact"/>
        <w:rPr>
          <w:sz w:val="20"/>
          <w:szCs w:val="20"/>
          <w:color w:val="auto"/>
        </w:rPr>
      </w:pPr>
    </w:p>
    <w:p>
      <w:pPr>
        <w:ind w:right="860" w:firstLine="456"/>
        <w:spacing w:after="0" w:line="275" w:lineRule="auto"/>
        <w:rPr>
          <w:sz w:val="20"/>
          <w:szCs w:val="20"/>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color w:val="auto"/>
        </w:rPr>
        <w:t xml:space="preserve"> </w:t>
      </w:r>
      <w:r>
        <w:rPr>
          <w:rFonts w:ascii="Arial" w:cs="Arial" w:eastAsia="Arial" w:hAnsi="Arial"/>
          <w:sz w:val="18"/>
          <w:szCs w:val="18"/>
          <w:color w:val="auto"/>
        </w:rPr>
        <w:t>subordinated debt securities:</w:t>
      </w:r>
    </w:p>
    <w:p>
      <w:pPr>
        <w:spacing w:after="0" w:line="31" w:lineRule="exact"/>
        <w:rPr>
          <w:sz w:val="20"/>
          <w:szCs w:val="20"/>
          <w:color w:val="auto"/>
        </w:rPr>
      </w:pPr>
    </w:p>
    <w:p>
      <w:pPr>
        <w:ind w:left="460" w:right="40" w:firstLine="443"/>
        <w:spacing w:after="0" w:line="268" w:lineRule="auto"/>
        <w:tabs>
          <w:tab w:leader="none" w:pos="11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payment of any interest on any debt security of that series when it becomes due and payable, if the default continues for a period of 30 days.</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76" w:lineRule="exact"/>
        <w:rPr>
          <w:rFonts w:ascii="Arial" w:cs="Arial" w:eastAsia="Arial" w:hAnsi="Arial"/>
          <w:sz w:val="18"/>
          <w:szCs w:val="18"/>
          <w:color w:val="auto"/>
        </w:rPr>
      </w:pPr>
    </w:p>
    <w:p>
      <w:pPr>
        <w:ind w:left="460" w:firstLine="443"/>
        <w:spacing w:after="0" w:line="259" w:lineRule="auto"/>
        <w:tabs>
          <w:tab w:leader="none" w:pos="11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45" w:lineRule="exact"/>
        <w:rPr>
          <w:rFonts w:ascii="Arial" w:cs="Arial" w:eastAsia="Arial" w:hAnsi="Arial"/>
          <w:sz w:val="18"/>
          <w:szCs w:val="18"/>
          <w:color w:val="auto"/>
        </w:rPr>
      </w:pPr>
    </w:p>
    <w:p>
      <w:pPr>
        <w:ind w:left="1720" w:hanging="379"/>
        <w:spacing w:after="0"/>
        <w:tabs>
          <w:tab w:leader="none" w:pos="1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76" w:lineRule="exact"/>
        <w:rPr>
          <w:rFonts w:ascii="Arial" w:cs="Arial" w:eastAsia="Arial" w:hAnsi="Arial"/>
          <w:sz w:val="18"/>
          <w:szCs w:val="18"/>
          <w:color w:val="auto"/>
        </w:rPr>
      </w:pPr>
    </w:p>
    <w:p>
      <w:pPr>
        <w:ind w:left="1720" w:hanging="379"/>
        <w:spacing w:after="0"/>
        <w:tabs>
          <w:tab w:leader="none" w:pos="17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99" w:lineRule="exact"/>
        <w:rPr>
          <w:rFonts w:ascii="Arial" w:cs="Arial" w:eastAsia="Arial" w:hAnsi="Arial"/>
          <w:sz w:val="16"/>
          <w:szCs w:val="16"/>
          <w:color w:val="auto"/>
        </w:rPr>
      </w:pPr>
    </w:p>
    <w:p>
      <w:pPr>
        <w:ind w:left="460" w:right="120" w:firstLine="443"/>
        <w:spacing w:after="0" w:line="289" w:lineRule="auto"/>
        <w:tabs>
          <w:tab w:leader="none" w:pos="120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23" w:lineRule="exact"/>
        <w:rPr>
          <w:rFonts w:ascii="Arial" w:cs="Arial" w:eastAsia="Arial" w:hAnsi="Arial"/>
          <w:sz w:val="16"/>
          <w:szCs w:val="16"/>
          <w:color w:val="auto"/>
        </w:rPr>
      </w:pPr>
    </w:p>
    <w:p>
      <w:pPr>
        <w:ind w:left="1200" w:hanging="297"/>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76" w:lineRule="exact"/>
        <w:rPr>
          <w:rFonts w:ascii="Arial" w:cs="Arial" w:eastAsia="Arial" w:hAnsi="Arial"/>
          <w:sz w:val="18"/>
          <w:szCs w:val="18"/>
          <w:color w:val="auto"/>
        </w:rPr>
      </w:pPr>
    </w:p>
    <w:p>
      <w:pPr>
        <w:ind w:left="1720" w:hanging="379"/>
        <w:spacing w:after="0"/>
        <w:tabs>
          <w:tab w:leader="none" w:pos="1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76" w:lineRule="exact"/>
        <w:rPr>
          <w:rFonts w:ascii="Arial" w:cs="Arial" w:eastAsia="Arial" w:hAnsi="Arial"/>
          <w:sz w:val="18"/>
          <w:szCs w:val="18"/>
          <w:color w:val="auto"/>
        </w:rPr>
      </w:pPr>
    </w:p>
    <w:p>
      <w:pPr>
        <w:ind w:left="1720" w:hanging="379"/>
        <w:spacing w:after="0"/>
        <w:tabs>
          <w:tab w:leader="none" w:pos="17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and</w:t>
      </w:r>
    </w:p>
    <w:p>
      <w:pPr>
        <w:spacing w:after="0" w:line="99" w:lineRule="exact"/>
        <w:rPr>
          <w:rFonts w:ascii="Arial" w:cs="Arial" w:eastAsia="Arial" w:hAnsi="Arial"/>
          <w:sz w:val="16"/>
          <w:szCs w:val="16"/>
          <w:color w:val="auto"/>
        </w:rPr>
      </w:pPr>
    </w:p>
    <w:p>
      <w:pPr>
        <w:ind w:left="1720" w:hanging="379"/>
        <w:spacing w:after="0"/>
        <w:tabs>
          <w:tab w:leader="none" w:pos="1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77" w:lineRule="exact"/>
        <w:rPr>
          <w:sz w:val="20"/>
          <w:szCs w:val="20"/>
          <w:color w:val="auto"/>
        </w:rPr>
      </w:pPr>
    </w:p>
    <w:p>
      <w:pPr>
        <w:ind w:left="1200" w:hanging="297"/>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76" w:lineRule="exact"/>
        <w:rPr>
          <w:rFonts w:ascii="Arial" w:cs="Arial" w:eastAsia="Arial" w:hAnsi="Arial"/>
          <w:sz w:val="18"/>
          <w:szCs w:val="18"/>
          <w:color w:val="auto"/>
        </w:rPr>
      </w:pPr>
    </w:p>
    <w:p>
      <w:pPr>
        <w:ind w:left="920" w:right="620" w:firstLine="421"/>
        <w:spacing w:after="0" w:line="268" w:lineRule="auto"/>
        <w:tabs>
          <w:tab w:leader="none" w:pos="17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 or any other case or proceeding to be adjudicated bankrupt or insolvent;</w:t>
      </w:r>
    </w:p>
    <w:p>
      <w:pPr>
        <w:spacing w:after="0" w:line="37" w:lineRule="exact"/>
        <w:rPr>
          <w:rFonts w:ascii="Arial" w:cs="Arial" w:eastAsia="Arial" w:hAnsi="Arial"/>
          <w:sz w:val="18"/>
          <w:szCs w:val="18"/>
          <w:color w:val="auto"/>
        </w:rPr>
      </w:pPr>
    </w:p>
    <w:p>
      <w:pPr>
        <w:ind w:left="920" w:right="500" w:firstLine="421"/>
        <w:spacing w:after="0" w:line="347" w:lineRule="auto"/>
        <w:tabs>
          <w:tab w:leader="none" w:pos="1720" w:val="left"/>
        </w:tabs>
        <w:numPr>
          <w:ilvl w:val="1"/>
          <w:numId w:val="30"/>
        </w:numPr>
        <w:rPr>
          <w:rFonts w:ascii="Arial" w:cs="Arial" w:eastAsia="Arial" w:hAnsi="Arial"/>
          <w:sz w:val="15"/>
          <w:szCs w:val="15"/>
          <w:color w:val="auto"/>
        </w:rPr>
      </w:pPr>
      <w:r>
        <w:rPr>
          <w:rFonts w:ascii="Arial" w:cs="Arial" w:eastAsia="Arial" w:hAnsi="Arial"/>
          <w:sz w:val="15"/>
          <w:szCs w:val="15"/>
          <w:color w:val="auto"/>
        </w:rPr>
        <w:t>consent to the entry of a decree or order for relief in respect of us or any of our significant subsidiaries in an involuntary case or proceeding under any applicable bankruptcy law or to the commencement of any bankruptcy or insolvency case or proceeding against us or it;</w:t>
      </w:r>
    </w:p>
    <w:p>
      <w:pPr>
        <w:ind w:left="920" w:right="480" w:firstLine="421"/>
        <w:spacing w:after="0" w:line="268" w:lineRule="auto"/>
        <w:tabs>
          <w:tab w:leader="none" w:pos="17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37" w:lineRule="exact"/>
        <w:rPr>
          <w:rFonts w:ascii="Arial" w:cs="Arial" w:eastAsia="Arial" w:hAnsi="Arial"/>
          <w:sz w:val="18"/>
          <w:szCs w:val="18"/>
          <w:color w:val="auto"/>
        </w:rPr>
      </w:pPr>
    </w:p>
    <w:p>
      <w:pPr>
        <w:ind w:left="1720" w:hanging="379"/>
        <w:spacing w:after="0"/>
        <w:tabs>
          <w:tab w:leader="none" w:pos="17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900"/>
        <w:spacing w:after="0"/>
        <w:tabs>
          <w:tab w:leader="none" w:pos="11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5"/>
          <w:szCs w:val="15"/>
          <w:color w:val="auto"/>
        </w:rPr>
        <w:t>Any other event of default provided with respect to the debt securities of that series.</w:t>
      </w:r>
    </w:p>
    <w:p>
      <w:pPr>
        <w:spacing w:after="0" w:line="15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color w:val="auto"/>
        </w:rPr>
        <w:t xml:space="preserve"> </w:t>
      </w:r>
      <w:r>
        <w:rPr>
          <w:rFonts w:ascii="Arial" w:cs="Arial" w:eastAsia="Arial" w:hAnsi="Arial"/>
          <w:sz w:val="18"/>
          <w:szCs w:val="18"/>
          <w:color w:val="auto"/>
        </w:rPr>
        <w:t>any past default except for:</w:t>
      </w:r>
    </w:p>
    <w:p>
      <w:pPr>
        <w:spacing w:after="0" w:line="31" w:lineRule="exact"/>
        <w:rPr>
          <w:sz w:val="20"/>
          <w:szCs w:val="20"/>
          <w:color w:val="auto"/>
        </w:rPr>
      </w:pPr>
    </w:p>
    <w:p>
      <w:pPr>
        <w:ind w:left="640" w:hanging="18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9"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Acceleration of Payment. </w:t>
      </w:r>
      <w:r>
        <w:rPr>
          <w:rFonts w:ascii="Arial" w:cs="Arial" w:eastAsia="Arial" w:hAnsi="Arial"/>
          <w:sz w:val="16"/>
          <w:szCs w:val="16"/>
          <w:color w:val="auto"/>
        </w:rPr>
        <w:t>Unless we say otherwise in a prospectus supplement, each indenture provides that if an event of default occurs and continues,</w:t>
      </w:r>
      <w:r>
        <w:rPr>
          <w:rFonts w:ascii="Arial" w:cs="Arial" w:eastAsia="Arial" w:hAnsi="Arial"/>
          <w:sz w:val="16"/>
          <w:szCs w:val="16"/>
          <w:b w:val="1"/>
          <w:bCs w:val="1"/>
          <w:color w:val="auto"/>
        </w:rPr>
        <w:t xml:space="preserve"> </w:t>
      </w:r>
      <w:r>
        <w:rPr>
          <w:rFonts w:ascii="Arial" w:cs="Arial" w:eastAsia="Arial" w:hAnsi="Arial"/>
          <w:sz w:val="16"/>
          <w:szCs w:val="16"/>
          <w:color w:val="auto"/>
        </w:rPr>
        <w:t>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94"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Waiver of Acceleration. </w:t>
      </w:r>
      <w:r>
        <w:rPr>
          <w:rFonts w:ascii="Arial" w:cs="Arial" w:eastAsia="Arial" w:hAnsi="Arial"/>
          <w:sz w:val="18"/>
          <w:szCs w:val="18"/>
          <w:color w:val="auto"/>
        </w:rPr>
        <w:t>Unless we say otherwise in a prospectus supplement, each indenture provides that, after a declaration of acceleration, but before</w:t>
      </w:r>
      <w:r>
        <w:rPr>
          <w:rFonts w:ascii="Arial" w:cs="Arial" w:eastAsia="Arial" w:hAnsi="Arial"/>
          <w:sz w:val="18"/>
          <w:szCs w:val="18"/>
          <w:b w:val="1"/>
          <w:bCs w:val="1"/>
          <w:color w:val="auto"/>
        </w:rPr>
        <w:t xml:space="preserve"> </w:t>
      </w:r>
      <w:r>
        <w:rPr>
          <w:rFonts w:ascii="Arial" w:cs="Arial" w:eastAsia="Arial" w:hAnsi="Arial"/>
          <w:sz w:val="18"/>
          <w:szCs w:val="18"/>
          <w:color w:val="auto"/>
        </w:rPr>
        <w:t>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44" w:lineRule="exact"/>
        <w:rPr>
          <w:sz w:val="20"/>
          <w:szCs w:val="20"/>
          <w:color w:val="auto"/>
        </w:rPr>
      </w:pPr>
    </w:p>
    <w:p>
      <w:pPr>
        <w:ind w:left="640" w:hanging="18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03" w:lineRule="exact"/>
        <w:rPr>
          <w:rFonts w:ascii="Arial" w:cs="Arial" w:eastAsia="Arial" w:hAnsi="Arial"/>
          <w:sz w:val="18"/>
          <w:szCs w:val="18"/>
          <w:color w:val="auto"/>
        </w:rPr>
      </w:pPr>
    </w:p>
    <w:p>
      <w:pPr>
        <w:ind w:left="1100" w:hanging="187"/>
        <w:spacing w:after="0"/>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overdue interest on all debt securities of the applicable series,</w:t>
      </w:r>
    </w:p>
    <w:p>
      <w:pPr>
        <w:spacing w:after="0" w:line="103" w:lineRule="exact"/>
        <w:rPr>
          <w:rFonts w:ascii="Arial" w:cs="Arial" w:eastAsia="Arial" w:hAnsi="Arial"/>
          <w:sz w:val="18"/>
          <w:szCs w:val="18"/>
          <w:color w:val="auto"/>
        </w:rPr>
      </w:pPr>
    </w:p>
    <w:p>
      <w:pPr>
        <w:ind w:left="1100" w:right="420" w:hanging="187"/>
        <w:spacing w:after="0" w:line="268" w:lineRule="auto"/>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37" w:lineRule="exact"/>
        <w:rPr>
          <w:rFonts w:ascii="Arial" w:cs="Arial" w:eastAsia="Arial" w:hAnsi="Arial"/>
          <w:sz w:val="18"/>
          <w:szCs w:val="18"/>
          <w:color w:val="auto"/>
        </w:rPr>
      </w:pPr>
    </w:p>
    <w:p>
      <w:pPr>
        <w:ind w:left="1100" w:hanging="187"/>
        <w:spacing w:after="0"/>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borne by the debt securities, and</w:t>
      </w:r>
    </w:p>
    <w:p>
      <w:pPr>
        <w:spacing w:after="0" w:line="103" w:lineRule="exact"/>
        <w:rPr>
          <w:rFonts w:ascii="Arial" w:cs="Arial" w:eastAsia="Arial" w:hAnsi="Arial"/>
          <w:sz w:val="18"/>
          <w:szCs w:val="18"/>
          <w:color w:val="auto"/>
        </w:rPr>
      </w:pPr>
    </w:p>
    <w:p>
      <w:pPr>
        <w:ind w:left="1100" w:right="460" w:hanging="187"/>
        <w:spacing w:after="0" w:line="268" w:lineRule="auto"/>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37" w:lineRule="exact"/>
        <w:rPr>
          <w:rFonts w:ascii="Arial" w:cs="Arial" w:eastAsia="Arial" w:hAnsi="Arial"/>
          <w:sz w:val="18"/>
          <w:szCs w:val="18"/>
          <w:color w:val="auto"/>
        </w:rPr>
      </w:pPr>
    </w:p>
    <w:p>
      <w:pPr>
        <w:ind w:left="640" w:right="240" w:hanging="186"/>
        <w:spacing w:after="0" w:line="268"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1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color w:val="auto"/>
        </w:rPr>
        <w:t xml:space="preserve"> </w:t>
      </w:r>
      <w:r>
        <w:rPr>
          <w:rFonts w:ascii="Arial" w:cs="Arial" w:eastAsia="Arial" w:hAnsi="Arial"/>
          <w:sz w:val="16"/>
          <w:szCs w:val="16"/>
          <w:color w:val="auto"/>
        </w:rPr>
        <w:t>days after the end of each fiscal year, a written statement as to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any debt security of such series or in the payment of any sinking fund installment in respect of any debt security of such series) if the trustee considers such withholding to be in the interest of the holders.</w:t>
      </w:r>
    </w:p>
    <w:p>
      <w:pPr>
        <w:spacing w:after="0" w:line="10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Limitation on Suits. </w:t>
      </w:r>
      <w:r>
        <w:rPr>
          <w:rFonts w:ascii="Arial" w:cs="Arial" w:eastAsia="Arial" w:hAnsi="Arial"/>
          <w:sz w:val="18"/>
          <w:szCs w:val="18"/>
          <w:color w:val="auto"/>
        </w:rPr>
        <w:t>Each indenture provides that no holders of debt securities of any series may institute any proceedings, judicial or otherwise,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indenture or for any remedy thereunder, except in the case of the failure of the trustee, for 60 days, to act after it has received a written request to institute proceedings in respect of an event of default from the holders of not less than 25% in aggregate principal amount of the debt securities of the applicable series outstanding, as well as an offer of indemnity reasonably satisfactory to it. This provision will not prevent, however, any holder of debt securities from instituting suit for the enforcement 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payment of the principal of, and premium, if any, and interest on such debt securities at the respective due dates of the securities.</w:t>
      </w:r>
    </w:p>
    <w:p>
      <w:pPr>
        <w:spacing w:after="0" w:line="152"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93" w:lineRule="exact"/>
        <w:rPr>
          <w:sz w:val="20"/>
          <w:szCs w:val="20"/>
          <w:color w:val="auto"/>
        </w:rPr>
      </w:pPr>
    </w:p>
    <w:p>
      <w:pPr>
        <w:jc w:val="both"/>
        <w:ind w:right="26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8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46" w:lineRule="exact"/>
        <w:rPr>
          <w:sz w:val="20"/>
          <w:szCs w:val="20"/>
          <w:color w:val="auto"/>
        </w:rPr>
      </w:pPr>
    </w:p>
    <w:p>
      <w:pPr>
        <w:ind w:left="640" w:right="460" w:hanging="186"/>
        <w:spacing w:after="0" w:line="268"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37" w:lineRule="exact"/>
        <w:rPr>
          <w:rFonts w:ascii="Arial" w:cs="Arial" w:eastAsia="Arial" w:hAnsi="Arial"/>
          <w:sz w:val="18"/>
          <w:szCs w:val="18"/>
          <w:color w:val="auto"/>
        </w:rPr>
      </w:pPr>
    </w:p>
    <w:p>
      <w:pPr>
        <w:ind w:left="640" w:right="140" w:hanging="186"/>
        <w:spacing w:after="0" w:line="325" w:lineRule="auto"/>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1" w:lineRule="exact"/>
        <w:rPr>
          <w:rFonts w:ascii="Arial" w:cs="Arial" w:eastAsia="Arial" w:hAnsi="Arial"/>
          <w:sz w:val="16"/>
          <w:szCs w:val="16"/>
          <w:color w:val="auto"/>
        </w:rPr>
      </w:pPr>
    </w:p>
    <w:p>
      <w:pPr>
        <w:ind w:left="640" w:hanging="18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“–Events of Default” will no longer constitute an event of default with respect to the debt securities.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70" w:lineRule="exact"/>
        <w:rPr>
          <w:sz w:val="20"/>
          <w:szCs w:val="20"/>
          <w:color w:val="auto"/>
        </w:rPr>
      </w:pPr>
    </w:p>
    <w:p>
      <w:pPr>
        <w:ind w:left="640" w:right="20" w:hanging="186"/>
        <w:spacing w:after="0" w:line="254"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must irrevocably deposit with the trustee, in trust, for the benefit of the holders of the debt securities of the applicable series, an amount in (i) currency, currencies or currency unit in which those debt securities are then specified as payable at maturity, (ii) government securities (as defined in the applicable indenture) or (iii) any combination thereof, as will be sufficient,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49" w:lineRule="exact"/>
        <w:rPr>
          <w:rFonts w:ascii="Arial" w:cs="Arial" w:eastAsia="Arial" w:hAnsi="Arial"/>
          <w:sz w:val="18"/>
          <w:szCs w:val="18"/>
          <w:color w:val="auto"/>
        </w:rPr>
      </w:pPr>
    </w:p>
    <w:p>
      <w:pPr>
        <w:ind w:left="640" w:hanging="18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1100" w:hanging="187"/>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03" w:lineRule="exact"/>
        <w:rPr>
          <w:rFonts w:ascii="Arial" w:cs="Arial" w:eastAsia="Arial" w:hAnsi="Arial"/>
          <w:sz w:val="18"/>
          <w:szCs w:val="18"/>
          <w:color w:val="auto"/>
        </w:rPr>
      </w:pPr>
    </w:p>
    <w:p>
      <w:pPr>
        <w:ind w:left="1100" w:hanging="187"/>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since the date we issued the applicable debt securities, there has been a change in the applicable federal income tax law,</w:t>
      </w:r>
    </w:p>
    <w:p>
      <w:pPr>
        <w:spacing w:after="0" w:line="104" w:lineRule="exact"/>
        <w:rPr>
          <w:sz w:val="20"/>
          <w:szCs w:val="20"/>
          <w:color w:val="auto"/>
        </w:rPr>
      </w:pPr>
    </w:p>
    <w:p>
      <w:pPr>
        <w:ind w:left="460" w:right="34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46" w:lineRule="exact"/>
        <w:rPr>
          <w:sz w:val="20"/>
          <w:szCs w:val="20"/>
          <w:color w:val="auto"/>
        </w:rPr>
      </w:pPr>
    </w:p>
    <w:p>
      <w:pPr>
        <w:ind w:left="640" w:right="200" w:hanging="186"/>
        <w:spacing w:after="0" w:line="256"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48" w:lineRule="exact"/>
        <w:rPr>
          <w:rFonts w:ascii="Arial" w:cs="Arial" w:eastAsia="Arial" w:hAnsi="Arial"/>
          <w:sz w:val="18"/>
          <w:szCs w:val="18"/>
          <w:color w:val="auto"/>
        </w:rPr>
      </w:pPr>
    </w:p>
    <w:p>
      <w:pPr>
        <w:ind w:left="640" w:right="160" w:hanging="186"/>
        <w:spacing w:after="0" w:line="268"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37" w:lineRule="exact"/>
        <w:rPr>
          <w:rFonts w:ascii="Arial" w:cs="Arial" w:eastAsia="Arial" w:hAnsi="Arial"/>
          <w:sz w:val="18"/>
          <w:szCs w:val="18"/>
          <w:color w:val="auto"/>
        </w:rPr>
      </w:pPr>
    </w:p>
    <w:p>
      <w:pPr>
        <w:ind w:left="640" w:right="520" w:hanging="186"/>
        <w:spacing w:after="0" w:line="268"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37" w:lineRule="exact"/>
        <w:rPr>
          <w:rFonts w:ascii="Arial" w:cs="Arial" w:eastAsia="Arial" w:hAnsi="Arial"/>
          <w:sz w:val="18"/>
          <w:szCs w:val="18"/>
          <w:color w:val="auto"/>
        </w:rPr>
      </w:pPr>
    </w:p>
    <w:p>
      <w:pPr>
        <w:ind w:left="640" w:right="60" w:hanging="186"/>
        <w:spacing w:after="0" w:line="268"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37" w:lineRule="exact"/>
        <w:rPr>
          <w:rFonts w:ascii="Arial" w:cs="Arial" w:eastAsia="Arial" w:hAnsi="Arial"/>
          <w:sz w:val="18"/>
          <w:szCs w:val="18"/>
          <w:color w:val="auto"/>
        </w:rPr>
      </w:pPr>
    </w:p>
    <w:p>
      <w:pPr>
        <w:ind w:left="640" w:right="100" w:hanging="186"/>
        <w:spacing w:after="0" w:line="306"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representations under the Investment Company Act have been effected.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8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12" w:lineRule="exact"/>
        <w:rPr>
          <w:sz w:val="20"/>
          <w:szCs w:val="20"/>
          <w:color w:val="auto"/>
        </w:rPr>
      </w:pPr>
    </w:p>
    <w:p>
      <w:pPr>
        <w:ind w:left="640" w:hanging="18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coin or currency in which the principal or premium, if any, of any debt security or the interest thereon is payable;</w:t>
      </w:r>
    </w:p>
    <w:p>
      <w:pPr>
        <w:spacing w:after="0" w:line="103" w:lineRule="exact"/>
        <w:rPr>
          <w:rFonts w:ascii="Arial" w:cs="Arial" w:eastAsia="Arial" w:hAnsi="Arial"/>
          <w:sz w:val="18"/>
          <w:szCs w:val="18"/>
          <w:color w:val="auto"/>
        </w:rPr>
      </w:pPr>
    </w:p>
    <w:p>
      <w:pPr>
        <w:ind w:left="640" w:hanging="186"/>
        <w:spacing w:after="0" w:line="268"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37" w:lineRule="exact"/>
        <w:rPr>
          <w:rFonts w:ascii="Arial" w:cs="Arial" w:eastAsia="Arial" w:hAnsi="Arial"/>
          <w:sz w:val="18"/>
          <w:szCs w:val="18"/>
          <w:color w:val="auto"/>
        </w:rPr>
      </w:pPr>
    </w:p>
    <w:p>
      <w:pPr>
        <w:ind w:left="640" w:right="480" w:hanging="186"/>
        <w:spacing w:after="0" w:line="332"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640" w:right="60" w:hanging="186"/>
        <w:spacing w:after="0" w:line="256"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3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37" w:lineRule="exact"/>
        <w:rPr>
          <w:sz w:val="20"/>
          <w:szCs w:val="20"/>
          <w:color w:val="auto"/>
        </w:rPr>
      </w:pPr>
    </w:p>
    <w:p>
      <w:pPr>
        <w:ind w:left="640" w:right="600" w:hanging="186"/>
        <w:spacing w:after="0" w:line="268"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37" w:lineRule="exact"/>
        <w:rPr>
          <w:rFonts w:ascii="Arial" w:cs="Arial" w:eastAsia="Arial" w:hAnsi="Arial"/>
          <w:sz w:val="18"/>
          <w:szCs w:val="18"/>
          <w:color w:val="auto"/>
        </w:rPr>
      </w:pPr>
    </w:p>
    <w:p>
      <w:pPr>
        <w:ind w:left="640" w:hanging="18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03" w:lineRule="exact"/>
        <w:rPr>
          <w:rFonts w:ascii="Arial" w:cs="Arial" w:eastAsia="Arial" w:hAnsi="Arial"/>
          <w:sz w:val="18"/>
          <w:szCs w:val="18"/>
          <w:color w:val="auto"/>
        </w:rPr>
      </w:pPr>
    </w:p>
    <w:p>
      <w:pPr>
        <w:ind w:left="640" w:right="100" w:hanging="186"/>
        <w:spacing w:after="0" w:line="306" w:lineRule="auto"/>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w:t>
      </w:r>
    </w:p>
    <w:p>
      <w:pPr>
        <w:spacing w:after="0" w:line="12" w:lineRule="exact"/>
        <w:rPr>
          <w:rFonts w:ascii="Arial" w:cs="Arial" w:eastAsia="Arial" w:hAnsi="Arial"/>
          <w:sz w:val="16"/>
          <w:szCs w:val="16"/>
          <w:color w:val="auto"/>
        </w:rPr>
      </w:pPr>
    </w:p>
    <w:p>
      <w:pPr>
        <w:ind w:left="640" w:hanging="18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03" w:lineRule="exact"/>
        <w:rPr>
          <w:rFonts w:ascii="Arial" w:cs="Arial" w:eastAsia="Arial" w:hAnsi="Arial"/>
          <w:sz w:val="18"/>
          <w:szCs w:val="18"/>
          <w:color w:val="auto"/>
        </w:rPr>
      </w:pPr>
    </w:p>
    <w:p>
      <w:pPr>
        <w:ind w:left="640" w:right="520" w:hanging="186"/>
        <w:spacing w:after="0" w:line="268"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37" w:lineRule="exact"/>
        <w:rPr>
          <w:rFonts w:ascii="Arial" w:cs="Arial" w:eastAsia="Arial" w:hAnsi="Arial"/>
          <w:sz w:val="18"/>
          <w:szCs w:val="18"/>
          <w:color w:val="auto"/>
        </w:rPr>
      </w:pPr>
    </w:p>
    <w:p>
      <w:pPr>
        <w:ind w:left="640" w:hanging="186"/>
        <w:spacing w:after="0" w:line="256"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48" w:lineRule="exact"/>
        <w:rPr>
          <w:rFonts w:ascii="Arial" w:cs="Arial" w:eastAsia="Arial" w:hAnsi="Arial"/>
          <w:sz w:val="18"/>
          <w:szCs w:val="18"/>
          <w:color w:val="auto"/>
        </w:rPr>
      </w:pPr>
    </w:p>
    <w:p>
      <w:pPr>
        <w:ind w:left="640" w:right="100" w:hanging="186"/>
        <w:spacing w:after="0" w:line="259"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treated as original issue discount securities in the prospectus supplement relating to such securities. “Original issue discount security” generally means any debt security that:</w:t>
      </w:r>
    </w:p>
    <w:p>
      <w:pPr>
        <w:spacing w:after="0" w:line="37" w:lineRule="exact"/>
        <w:rPr>
          <w:sz w:val="20"/>
          <w:szCs w:val="20"/>
          <w:color w:val="auto"/>
        </w:rPr>
      </w:pPr>
    </w:p>
    <w:p>
      <w:pPr>
        <w:ind w:left="640" w:hanging="18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03" w:lineRule="exact"/>
        <w:rPr>
          <w:rFonts w:ascii="Arial" w:cs="Arial" w:eastAsia="Arial" w:hAnsi="Arial"/>
          <w:sz w:val="18"/>
          <w:szCs w:val="18"/>
          <w:color w:val="auto"/>
        </w:rPr>
      </w:pPr>
    </w:p>
    <w:p>
      <w:pPr>
        <w:ind w:left="640" w:right="160" w:hanging="186"/>
        <w:spacing w:after="0" w:line="268"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6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a Maryland real estate investment trust. Your rights as a shareholder are governed by the Code of Maryland, including Title 8 of the Corporations and Associations Article, our declaration of trust and our bylaws. The following summary of the material terms, rights and preferences of the shares of beneficial interest is not complete. You should read our declaration of trust, bylaws and shareholder rights plan for more complete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83" w:lineRule="exact"/>
        <w:rPr>
          <w:sz w:val="20"/>
          <w:szCs w:val="20"/>
          <w:color w:val="auto"/>
        </w:rPr>
      </w:pPr>
    </w:p>
    <w:p>
      <w:pPr>
        <w:jc w:val="both"/>
        <w:ind w:right="340" w:firstLine="456"/>
        <w:spacing w:after="0" w:line="323"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March 31, 2003, we had issued and outstanding 45,188,117 common shares, 4,000,000 preferred shares which were designated as 7.95% Series A Cumulative Redeemable Preferred Shares, which we refer to as the Series A preferred shares, and 5,400,000 preferred shares which were designated as 8½% Series B Cumulative Redeemable Preferred Shares, which we refer to as the Series B preferred shares.</w:t>
      </w:r>
    </w:p>
    <w:p>
      <w:pPr>
        <w:spacing w:after="0" w:line="84"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Each Series A preferred share is entitled to receive, when, as and if authorized by our Board of Trustees out of funds legally available for that purpose, cumulative dividends at the rate of $1.9875 per annum, and each Series B preferred share is entitled to receive, when, as and if authorized by our Board of Trustees out of funds legally available for that purpose, cumulative dividends at the rate of $2.125 per annum.</w:t>
      </w:r>
    </w:p>
    <w:p>
      <w:pPr>
        <w:spacing w:after="0" w:line="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Series A preferred shares and the Series B preferred shares rank prior to the common shares with respect to the payment of dividends and the distribution of assets upon liquidation, dissolution or winding up of the Trust. Our declaration of trust provides that, unless full cumulative dividends on all outstanding Series A preferred shares, Series B preferred shares and any other class or series of our shares of beneficial interest ranking, as to the payment of dividends and the distribution of assets upon liquidation, dissolution or winding up, on a parity with the Series A preferred shares or Series B preferred shares (“Parity Shares”) shall have been declared and paid or declared and set apart for payment for all past dividend periods, then no dividends, other than dividends paid solely in shares of our, or options, warrants or rights to subscribe for or purchase shares of our, beneficial interest which rank junior to the Series A preferred shares and Series B preferred shares with respect to the payment of dividends and the distribution of assets upon our liquidation, dissolution or winding up (“Fully Junior Shares”), shall be declared or paid or set apart for payment on the common shares nor shall any common shares be redeemed, purchased or otherwise acquired (other than for purposes of our employee incentive or benefit plans or by conversion into or exchange for Fully Junior Shares).</w:t>
      </w:r>
    </w:p>
    <w:p>
      <w:pPr>
        <w:spacing w:after="0" w:line="10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the event of our liquidation, dissolution or winding up, the holders of Series A preferred shares and Series B preferred shares shall be entitled to receive $25 per share, plus all accrued and unpaid dividends, before any distribution shall be made with respect to the common shares.</w:t>
      </w:r>
    </w:p>
    <w:p>
      <w:pPr>
        <w:spacing w:after="0" w:line="66"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color w:val="auto"/>
        </w:rPr>
        <w:t xml:space="preserve"> </w:t>
      </w:r>
      <w:r>
        <w:rPr>
          <w:rFonts w:ascii="Arial" w:cs="Arial" w:eastAsia="Arial" w:hAnsi="Arial"/>
          <w:sz w:val="18"/>
          <w:szCs w:val="18"/>
          <w:color w:val="auto"/>
        </w:rPr>
        <w:t>take the following actions without approval by you or any shareholder:</w:t>
      </w:r>
    </w:p>
    <w:p>
      <w:pPr>
        <w:spacing w:after="0" w:line="31" w:lineRule="exact"/>
        <w:rPr>
          <w:sz w:val="20"/>
          <w:szCs w:val="20"/>
          <w:color w:val="auto"/>
        </w:rPr>
      </w:pPr>
    </w:p>
    <w:p>
      <w:pPr>
        <w:ind w:left="640" w:hanging="186"/>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classify or reclassify any authorized but unissued common shares or preferred shares into one or more classes or series of shares of beneficial interest;</w:t>
      </w:r>
    </w:p>
    <w:p>
      <w:pPr>
        <w:spacing w:after="0" w:line="126" w:lineRule="exact"/>
        <w:rPr>
          <w:rFonts w:ascii="Arial" w:cs="Arial" w:eastAsia="Arial" w:hAnsi="Arial"/>
          <w:sz w:val="16"/>
          <w:szCs w:val="16"/>
          <w:color w:val="auto"/>
        </w:rPr>
      </w:pPr>
    </w:p>
    <w:p>
      <w:pPr>
        <w:ind w:left="640" w:hanging="18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Liability</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Under Maryland law, you will not be personally liable for any obligation of ours solely because you 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w:t>
      </w:r>
    </w:p>
    <w:p>
      <w:pPr>
        <w:spacing w:after="0" w:line="12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8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A preferred shares, the Series B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A preferred shares, Series B preferred shares and any other shares of beneficial interest having a priority over our common shares in the event of our liquidation, dissolution or winding up. As noted above under “— Authorized Shares,” our outstanding Series A preferred shares and Series B preferred shares rank prior to our common shares with respect to the payment of dividends and as to the distribution of assets in the event of our liquidation, dissolution or winding up.</w:t>
      </w:r>
    </w:p>
    <w:p>
      <w:pPr>
        <w:spacing w:after="0" w:line="10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including the election of trustees (other than trustees elected by the holders of our preferred shares under the circumstances described below under “— Preferred Shares—Voting Rights”).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the outstanding common shares can elect all of the trustees then standing for election, and the holders of the remaining shares will not be able to elect any trustees.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77" w:lineRule="exact"/>
        <w:rPr>
          <w:sz w:val="20"/>
          <w:szCs w:val="20"/>
          <w:color w:val="auto"/>
        </w:rPr>
      </w:pPr>
    </w:p>
    <w:p>
      <w:pPr>
        <w:ind w:left="640" w:hanging="18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640" w:hanging="18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46" w:lineRule="exact"/>
        <w:rPr>
          <w:sz w:val="20"/>
          <w:szCs w:val="20"/>
          <w:color w:val="auto"/>
        </w:rPr>
      </w:pPr>
    </w:p>
    <w:p>
      <w:pPr>
        <w:ind w:left="640" w:hanging="18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w:t>
      </w:r>
    </w:p>
    <w:p>
      <w:pPr>
        <w:spacing w:after="0" w:line="103" w:lineRule="exact"/>
        <w:rPr>
          <w:rFonts w:ascii="Arial" w:cs="Arial" w:eastAsia="Arial" w:hAnsi="Arial"/>
          <w:sz w:val="18"/>
          <w:szCs w:val="18"/>
          <w:color w:val="auto"/>
        </w:rPr>
      </w:pPr>
    </w:p>
    <w:p>
      <w:pPr>
        <w:ind w:left="640" w:right="60" w:hanging="186"/>
        <w:spacing w:after="0" w:line="256"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48" w:lineRule="exact"/>
        <w:rPr>
          <w:rFonts w:ascii="Arial" w:cs="Arial" w:eastAsia="Arial" w:hAnsi="Arial"/>
          <w:sz w:val="18"/>
          <w:szCs w:val="18"/>
          <w:color w:val="auto"/>
        </w:rPr>
      </w:pPr>
    </w:p>
    <w:p>
      <w:pPr>
        <w:ind w:left="640" w:right="100" w:hanging="186"/>
        <w:spacing w:after="0" w:line="306" w:lineRule="auto"/>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12" w:lineRule="exact"/>
        <w:rPr>
          <w:rFonts w:ascii="Arial" w:cs="Arial" w:eastAsia="Arial" w:hAnsi="Arial"/>
          <w:sz w:val="16"/>
          <w:szCs w:val="16"/>
          <w:color w:val="auto"/>
        </w:rPr>
      </w:pPr>
    </w:p>
    <w:p>
      <w:pPr>
        <w:ind w:left="640" w:right="40" w:hanging="186"/>
        <w:spacing w:after="0" w:line="268"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the affirmative vote of two-thirds of all the votes entitled to be cast on the matter); and</w:t>
      </w:r>
    </w:p>
    <w:p>
      <w:pPr>
        <w:spacing w:after="0" w:line="37" w:lineRule="exact"/>
        <w:rPr>
          <w:rFonts w:ascii="Arial" w:cs="Arial" w:eastAsia="Arial" w:hAnsi="Arial"/>
          <w:sz w:val="18"/>
          <w:szCs w:val="18"/>
          <w:color w:val="auto"/>
        </w:rPr>
      </w:pPr>
    </w:p>
    <w:p>
      <w:pPr>
        <w:ind w:left="640" w:right="260" w:hanging="186"/>
        <w:spacing w:after="0" w:line="268"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declaration of trust permits the trustees to revoke our election to be taxed as a real estate investment trust, or REIT, or to determine that compliance with any restriction or limitations on ownership and transfers of shares set forth in the declaration of trust is no longer required in order for us to qualify as a REIT. Our declaration of trust also permits the trustees to amend the declaration of trust from time to time, without approval by you or the other shareholders, to:</w:t>
      </w:r>
    </w:p>
    <w:p>
      <w:pPr>
        <w:spacing w:after="0" w:line="12" w:lineRule="exact"/>
        <w:rPr>
          <w:sz w:val="20"/>
          <w:szCs w:val="20"/>
          <w:color w:val="auto"/>
        </w:rPr>
      </w:pPr>
    </w:p>
    <w:p>
      <w:pPr>
        <w:ind w:left="640" w:hanging="18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law or the Internal Revenue Code; or</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any provision of our bylaws may be adopted, altered or repealed by the shareholders, at any meeting of shareholders called for that purpose, by the affirmative vote of holders of not less than a majority of the shares then outstanding and entitled to vote.</w:t>
      </w:r>
    </w:p>
    <w:p>
      <w:pPr>
        <w:spacing w:after="0" w:line="112"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60"/>
        <w:spacing w:after="0"/>
        <w:tabs>
          <w:tab w:leader="none" w:pos="2420" w:val="left"/>
        </w:tabs>
        <w:rPr>
          <w:sz w:val="20"/>
          <w:szCs w:val="20"/>
          <w:color w:val="auto"/>
        </w:rPr>
      </w:pPr>
      <w:r>
        <w:rPr>
          <w:rFonts w:ascii="Arial" w:cs="Arial" w:eastAsia="Arial" w:hAnsi="Arial"/>
          <w:sz w:val="18"/>
          <w:szCs w:val="18"/>
          <w:b w:val="1"/>
          <w:bCs w:val="1"/>
          <w:color w:val="auto"/>
        </w:rPr>
        <w:t>Stock Exchange Listing.</w:t>
      </w:r>
      <w:r>
        <w:rPr>
          <w:sz w:val="20"/>
          <w:szCs w:val="20"/>
          <w:color w:val="auto"/>
        </w:rPr>
        <w:tab/>
      </w:r>
      <w:r>
        <w:rPr>
          <w:rFonts w:ascii="Arial" w:cs="Arial" w:eastAsia="Arial" w:hAnsi="Arial"/>
          <w:sz w:val="15"/>
          <w:szCs w:val="15"/>
          <w:color w:val="auto"/>
        </w:rPr>
        <w:t>The common shares are traded on the New York Stock Exchange under the trading symbol “FRT.”</w:t>
      </w:r>
    </w:p>
    <w:p>
      <w:pPr>
        <w:spacing w:after="0" w:line="158" w:lineRule="exact"/>
        <w:rPr>
          <w:sz w:val="20"/>
          <w:szCs w:val="20"/>
          <w:color w:val="auto"/>
        </w:rPr>
      </w:pPr>
    </w:p>
    <w:p>
      <w:pPr>
        <w:ind w:left="460"/>
        <w:spacing w:after="0"/>
        <w:tabs>
          <w:tab w:leader="none" w:pos="2860" w:val="left"/>
        </w:tabs>
        <w:rPr>
          <w:sz w:val="20"/>
          <w:szCs w:val="20"/>
          <w:color w:val="auto"/>
        </w:rPr>
      </w:pPr>
      <w:r>
        <w:rPr>
          <w:rFonts w:ascii="Arial" w:cs="Arial" w:eastAsia="Arial" w:hAnsi="Arial"/>
          <w:sz w:val="18"/>
          <w:szCs w:val="18"/>
          <w:b w:val="1"/>
          <w:bCs w:val="1"/>
          <w:color w:val="auto"/>
        </w:rPr>
        <w:t>Transfer Agent and Registrar.</w:t>
      </w:r>
      <w:r>
        <w:rPr>
          <w:sz w:val="20"/>
          <w:szCs w:val="20"/>
          <w:color w:val="auto"/>
        </w:rPr>
        <w:tab/>
      </w:r>
      <w:r>
        <w:rPr>
          <w:rFonts w:ascii="Arial" w:cs="Arial" w:eastAsia="Arial" w:hAnsi="Arial"/>
          <w:sz w:val="15"/>
          <w:szCs w:val="15"/>
          <w:color w:val="auto"/>
        </w:rPr>
        <w:t>The transfer agent and registrar for the common shares is American Stock Transfer &amp; Trust Company, New York, New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7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9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b w:val="1"/>
          <w:bCs w:val="1"/>
          <w:color w:val="auto"/>
        </w:rPr>
        <w:t>Terms.</w:t>
      </w:r>
      <w:r>
        <w:rPr>
          <w:sz w:val="20"/>
          <w:szCs w:val="20"/>
          <w:color w:val="auto"/>
        </w:rPr>
        <w:tab/>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83" w:lineRule="exact"/>
        <w:rPr>
          <w:sz w:val="20"/>
          <w:szCs w:val="20"/>
          <w:color w:val="auto"/>
        </w:rPr>
      </w:pPr>
    </w:p>
    <w:p>
      <w:pPr>
        <w:ind w:left="640" w:hanging="18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dividend rate(s), period(s), amounts and/or payment date(s) or method(s) of calculation of any of those terms that apply to those preferred shares;</w:t>
      </w:r>
    </w:p>
    <w:p>
      <w:pPr>
        <w:spacing w:after="0" w:line="126" w:lineRule="exact"/>
        <w:rPr>
          <w:rFonts w:ascii="Arial" w:cs="Arial" w:eastAsia="Arial" w:hAnsi="Arial"/>
          <w:sz w:val="16"/>
          <w:szCs w:val="16"/>
          <w:color w:val="auto"/>
        </w:rPr>
      </w:pPr>
    </w:p>
    <w:p>
      <w:pPr>
        <w:ind w:left="640" w:hanging="18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03" w:lineRule="exact"/>
        <w:rPr>
          <w:rFonts w:ascii="Arial" w:cs="Arial" w:eastAsia="Arial" w:hAnsi="Arial"/>
          <w:sz w:val="18"/>
          <w:szCs w:val="18"/>
          <w:color w:val="auto"/>
        </w:rPr>
      </w:pPr>
    </w:p>
    <w:p>
      <w:pPr>
        <w:ind w:left="640" w:right="580" w:hanging="186"/>
        <w:spacing w:after="0" w:line="268"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37" w:lineRule="exact"/>
        <w:rPr>
          <w:rFonts w:ascii="Arial" w:cs="Arial" w:eastAsia="Arial" w:hAnsi="Arial"/>
          <w:sz w:val="18"/>
          <w:szCs w:val="18"/>
          <w:color w:val="auto"/>
        </w:rPr>
      </w:pPr>
    </w:p>
    <w:p>
      <w:pPr>
        <w:ind w:left="640" w:right="440" w:hanging="186"/>
        <w:spacing w:after="0" w:line="268"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37" w:lineRule="exact"/>
        <w:rPr>
          <w:rFonts w:ascii="Arial" w:cs="Arial" w:eastAsia="Arial" w:hAnsi="Arial"/>
          <w:sz w:val="18"/>
          <w:szCs w:val="18"/>
          <w:color w:val="auto"/>
        </w:rPr>
      </w:pPr>
    </w:p>
    <w:p>
      <w:pPr>
        <w:ind w:left="640" w:right="40" w:hanging="186"/>
        <w:spacing w:after="0" w:line="268"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37" w:lineRule="exact"/>
        <w:rPr>
          <w:rFonts w:ascii="Arial" w:cs="Arial" w:eastAsia="Arial" w:hAnsi="Arial"/>
          <w:sz w:val="18"/>
          <w:szCs w:val="18"/>
          <w:color w:val="auto"/>
        </w:rPr>
      </w:pPr>
    </w:p>
    <w:p>
      <w:pPr>
        <w:ind w:left="640" w:hanging="18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discussion of federal income tax consequences applicable to those preferred shares; and</w:t>
      </w:r>
    </w:p>
    <w:p>
      <w:pPr>
        <w:spacing w:after="0" w:line="103" w:lineRule="exact"/>
        <w:rPr>
          <w:rFonts w:ascii="Arial" w:cs="Arial" w:eastAsia="Arial" w:hAnsi="Arial"/>
          <w:sz w:val="18"/>
          <w:szCs w:val="18"/>
          <w:color w:val="auto"/>
        </w:rPr>
      </w:pPr>
    </w:p>
    <w:p>
      <w:pPr>
        <w:ind w:left="640" w:right="560" w:hanging="186"/>
        <w:spacing w:after="0" w:line="268"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real estate investment trust.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93"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rights upon our liquidation, dissolution or winding up, rank:</w:t>
      </w:r>
    </w:p>
    <w:p>
      <w:pPr>
        <w:spacing w:after="0" w:line="31" w:lineRule="exact"/>
        <w:rPr>
          <w:sz w:val="20"/>
          <w:szCs w:val="20"/>
          <w:color w:val="auto"/>
        </w:rPr>
      </w:pPr>
    </w:p>
    <w:p>
      <w:pPr>
        <w:ind w:left="640" w:hanging="18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52" w:lineRule="exact"/>
        <w:rPr>
          <w:sz w:val="20"/>
          <w:szCs w:val="20"/>
          <w:color w:val="auto"/>
        </w:rPr>
      </w:pPr>
    </w:p>
    <w:p>
      <w:pPr>
        <w:ind w:right="320" w:firstLine="456"/>
        <w:spacing w:after="0" w:line="310" w:lineRule="auto"/>
        <w:rPr>
          <w:sz w:val="20"/>
          <w:szCs w:val="20"/>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84" w:lineRule="exact"/>
        <w:rPr>
          <w:sz w:val="20"/>
          <w:szCs w:val="20"/>
          <w:color w:val="auto"/>
        </w:rPr>
      </w:pPr>
    </w:p>
    <w:p>
      <w:pPr>
        <w:jc w:val="both"/>
        <w:ind w:right="300" w:firstLine="456"/>
        <w:spacing w:after="0" w:line="262" w:lineRule="auto"/>
        <w:rPr>
          <w:sz w:val="20"/>
          <w:szCs w:val="20"/>
          <w:color w:val="auto"/>
        </w:rPr>
      </w:pPr>
      <w:r>
        <w:rPr>
          <w:rFonts w:ascii="Arial" w:cs="Arial" w:eastAsia="Arial" w:hAnsi="Arial"/>
          <w:sz w:val="18"/>
          <w:szCs w:val="18"/>
          <w:b w:val="1"/>
          <w:b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1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23"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Unless otherwise indicated in the applicable supplement, holders of preferred shares we issue in the future will not have any voting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be required by applicable law or any applicable rules and regulations of the New York Stock Exchange.</w:t>
      </w:r>
    </w:p>
    <w:p>
      <w:pPr>
        <w:spacing w:after="0" w:line="11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Declaration of Trust provides that the holders of Series A preferred shares and Series B preferred shares, together with the holders of any series or class of shares ranking on a parity with the Series A preferred shares and Series B preferred shares, voting as a single class regardless of series, will be entitled to elect two additional trustees to serve on the Board of Trustees when six consecutive quarterly dividends payable to the holders of Series A preferred shares, Series B preferred shares or any series or class of parity shares are in arrears. Whenever all dividends in arrears on the Series A preferred shares, Series B preferred shares and any series or class of parity shares have been paid or set aside for payment, then these special voting rights immediately cease (subject to reinstatement under similar circumstances in the future), and the term of office of the trustees so elected automatically expires.</w:t>
      </w:r>
    </w:p>
    <w:p>
      <w:pPr>
        <w:spacing w:after="0" w:line="10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addition, the holders of the Series A preferred shares and the Series B preferred shares have such voting rights as are required by applicable law or any applicable rules and regulations of the New York Stock Exchange.</w:t>
      </w:r>
    </w:p>
    <w:p>
      <w:pPr>
        <w:ind w:firstLine="456"/>
        <w:spacing w:after="0" w:line="261" w:lineRule="auto"/>
        <w:rPr>
          <w:sz w:val="20"/>
          <w:szCs w:val="20"/>
          <w:color w:val="auto"/>
        </w:rPr>
      </w:pPr>
      <w:r>
        <w:rPr>
          <w:rFonts w:ascii="Arial" w:cs="Arial" w:eastAsia="Arial" w:hAnsi="Arial"/>
          <w:sz w:val="18"/>
          <w:szCs w:val="18"/>
          <w:b w:val="1"/>
          <w:b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43" w:lineRule="exact"/>
        <w:rPr>
          <w:sz w:val="20"/>
          <w:szCs w:val="20"/>
          <w:color w:val="auto"/>
        </w:rPr>
      </w:pPr>
    </w:p>
    <w:p>
      <w:pPr>
        <w:ind w:left="640" w:hanging="18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9"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Transfer Agent and Registrar. </w:t>
      </w:r>
      <w:r>
        <w:rPr>
          <w:rFonts w:ascii="Arial" w:cs="Arial" w:eastAsia="Arial" w:hAnsi="Arial"/>
          <w:sz w:val="18"/>
          <w:szCs w:val="18"/>
          <w:color w:val="auto"/>
        </w:rPr>
        <w:t>The transfer agent and registrar for the Series A preferred shares and Series B preferred shares is American Stock</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&amp; Trust Company, New York, New York. We will identify the transfer agent and registrar for any additional series of preferred shares issued through this prospectus in a prospectus supplement.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77"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21"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of the preferred shares represented by your depositary receipts in proportion to the number of depositary shares you owned on the record date for that dividend or distribution.</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12"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2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b w:val="1"/>
          <w:b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97"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b w:val="1"/>
          <w:b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1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2" w:lineRule="exact"/>
        <w:rPr>
          <w:sz w:val="20"/>
          <w:szCs w:val="20"/>
          <w:color w:val="auto"/>
        </w:rPr>
      </w:pPr>
    </w:p>
    <w:p>
      <w:pPr>
        <w:jc w:val="both"/>
        <w:ind w:right="160" w:firstLine="456"/>
        <w:spacing w:after="0" w:line="334" w:lineRule="auto"/>
        <w:rPr>
          <w:sz w:val="20"/>
          <w:szCs w:val="20"/>
          <w:color w:val="auto"/>
        </w:rPr>
      </w:pPr>
      <w:r>
        <w:rPr>
          <w:rFonts w:ascii="Arial" w:cs="Arial" w:eastAsia="Arial" w:hAnsi="Arial"/>
          <w:sz w:val="15"/>
          <w:szCs w:val="15"/>
          <w:b w:val="1"/>
          <w:bCs w:val="1"/>
          <w:color w:val="auto"/>
        </w:rPr>
        <w:t xml:space="preserve">Amendment and Termination of the Deposit Agreement. </w:t>
      </w:r>
      <w:r>
        <w:rPr>
          <w:rFonts w:ascii="Arial" w:cs="Arial" w:eastAsia="Arial" w:hAnsi="Arial"/>
          <w:sz w:val="15"/>
          <w:szCs w:val="15"/>
          <w:color w:val="auto"/>
        </w:rPr>
        <w:t>We and the depositary may amend the form of depositary receipt and any provision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 w:lineRule="exact"/>
        <w:rPr>
          <w:sz w:val="20"/>
          <w:szCs w:val="20"/>
          <w:color w:val="auto"/>
        </w:rPr>
      </w:pPr>
    </w:p>
    <w:p>
      <w:pPr>
        <w:ind w:left="640" w:hanging="18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03" w:lineRule="exact"/>
        <w:rPr>
          <w:rFonts w:ascii="Arial" w:cs="Arial" w:eastAsia="Arial" w:hAnsi="Arial"/>
          <w:sz w:val="18"/>
          <w:szCs w:val="18"/>
          <w:color w:val="auto"/>
        </w:rPr>
      </w:pPr>
    </w:p>
    <w:p>
      <w:pPr>
        <w:ind w:left="640" w:right="360" w:hanging="186"/>
        <w:spacing w:after="0" w:line="325" w:lineRule="auto"/>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1" w:lineRule="exact"/>
        <w:rPr>
          <w:rFonts w:ascii="Arial" w:cs="Arial" w:eastAsia="Arial" w:hAnsi="Arial"/>
          <w:sz w:val="16"/>
          <w:szCs w:val="16"/>
          <w:color w:val="auto"/>
        </w:rPr>
      </w:pPr>
    </w:p>
    <w:p>
      <w:pPr>
        <w:ind w:left="640" w:right="140" w:hanging="186"/>
        <w:spacing w:after="0" w:line="268"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12"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90" w:lineRule="exact"/>
        <w:rPr>
          <w:sz w:val="20"/>
          <w:szCs w:val="20"/>
          <w:color w:val="auto"/>
        </w:rPr>
      </w:pPr>
    </w:p>
    <w:p>
      <w:pPr>
        <w:ind w:right="500" w:firstLine="456"/>
        <w:spacing w:after="0" w:line="301" w:lineRule="auto"/>
        <w:rPr>
          <w:sz w:val="20"/>
          <w:szCs w:val="20"/>
          <w:color w:val="auto"/>
        </w:rPr>
      </w:pPr>
      <w:r>
        <w:rPr>
          <w:rFonts w:ascii="Arial" w:cs="Arial" w:eastAsia="Arial" w:hAnsi="Arial"/>
          <w:sz w:val="16"/>
          <w:szCs w:val="16"/>
          <w:b w:val="1"/>
          <w:bCs w:val="1"/>
          <w:color w:val="auto"/>
        </w:rPr>
        <w:t xml:space="preserve">Charges of Depositary. </w:t>
      </w:r>
      <w:r>
        <w:rPr>
          <w:rFonts w:ascii="Arial" w:cs="Arial" w:eastAsia="Arial" w:hAnsi="Arial"/>
          <w:sz w:val="16"/>
          <w:szCs w:val="16"/>
          <w:color w:val="auto"/>
        </w:rPr>
        <w:t>We will pay all transfer and other taxes and governmental charges arising solely from the existence of the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9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the preferred shares.</w:t>
      </w:r>
    </w:p>
    <w:p>
      <w:pPr>
        <w:spacing w:after="0" w:line="11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83" w:lineRule="exact"/>
        <w:rPr>
          <w:sz w:val="20"/>
          <w:szCs w:val="20"/>
          <w:color w:val="auto"/>
        </w:rPr>
      </w:pPr>
    </w:p>
    <w:p>
      <w:pPr>
        <w:ind w:right="440" w:firstLine="456"/>
        <w:spacing w:after="0" w:line="325" w:lineRule="auto"/>
        <w:rPr>
          <w:sz w:val="20"/>
          <w:szCs w:val="20"/>
          <w:color w:val="auto"/>
        </w:rPr>
      </w:pPr>
      <w:r>
        <w:rPr>
          <w:rFonts w:ascii="Arial" w:cs="Arial" w:eastAsia="Arial" w:hAnsi="Arial"/>
          <w:sz w:val="16"/>
          <w:szCs w:val="16"/>
          <w:color w:val="auto"/>
        </w:rPr>
        <w:t>Restrictions on ownership and transfer of shares are important to ensure that we meet certain conditions under the Internal Revenue Code of 1986, as amended, which we refer to as the Code, to qualify as a REIT. For example, the Code contains the following requirements.</w:t>
      </w:r>
    </w:p>
    <w:p>
      <w:pPr>
        <w:spacing w:after="0" w:line="1" w:lineRule="exact"/>
        <w:rPr>
          <w:sz w:val="20"/>
          <w:szCs w:val="20"/>
          <w:color w:val="auto"/>
        </w:rPr>
      </w:pPr>
    </w:p>
    <w:p>
      <w:pPr>
        <w:ind w:left="640" w:right="280" w:hanging="186"/>
        <w:spacing w:after="0" w:line="306" w:lineRule="auto"/>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640" w:right="280" w:hanging="186"/>
        <w:spacing w:after="0" w:line="268"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37" w:lineRule="exact"/>
        <w:rPr>
          <w:rFonts w:ascii="Arial" w:cs="Arial" w:eastAsia="Arial" w:hAnsi="Arial"/>
          <w:sz w:val="18"/>
          <w:szCs w:val="18"/>
          <w:color w:val="auto"/>
        </w:rPr>
      </w:pPr>
    </w:p>
    <w:p>
      <w:pPr>
        <w:ind w:left="640" w:right="620" w:hanging="186"/>
        <w:spacing w:after="0" w:line="268"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77" w:lineRule="exact"/>
        <w:rPr>
          <w:sz w:val="20"/>
          <w:szCs w:val="20"/>
          <w:color w:val="auto"/>
        </w:rPr>
      </w:pPr>
    </w:p>
    <w:p>
      <w:pPr>
        <w:ind w:left="640" w:hanging="18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03" w:lineRule="exact"/>
        <w:rPr>
          <w:rFonts w:ascii="Arial" w:cs="Arial" w:eastAsia="Arial" w:hAnsi="Arial"/>
          <w:sz w:val="18"/>
          <w:szCs w:val="18"/>
          <w:color w:val="auto"/>
        </w:rPr>
      </w:pPr>
    </w:p>
    <w:p>
      <w:pPr>
        <w:ind w:left="640" w:right="480" w:hanging="186"/>
        <w:spacing w:after="0" w:line="268"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37" w:lineRule="exact"/>
        <w:rPr>
          <w:rFonts w:ascii="Arial" w:cs="Arial" w:eastAsia="Arial" w:hAnsi="Arial"/>
          <w:sz w:val="18"/>
          <w:szCs w:val="18"/>
          <w:color w:val="auto"/>
        </w:rPr>
      </w:pPr>
    </w:p>
    <w:p>
      <w:pPr>
        <w:ind w:left="640" w:hanging="18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79"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 xml:space="preserve">Automatic Transfer of Shares to Trust.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0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9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12" w:lineRule="exact"/>
        <w:rPr>
          <w:sz w:val="20"/>
          <w:szCs w:val="20"/>
          <w:color w:val="auto"/>
        </w:rPr>
      </w:pPr>
    </w:p>
    <w:p>
      <w:pPr>
        <w:ind w:left="640" w:hanging="18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03" w:lineRule="exact"/>
        <w:rPr>
          <w:rFonts w:ascii="Arial" w:cs="Arial" w:eastAsia="Arial" w:hAnsi="Arial"/>
          <w:sz w:val="18"/>
          <w:szCs w:val="18"/>
          <w:color w:val="auto"/>
        </w:rPr>
      </w:pPr>
    </w:p>
    <w:p>
      <w:pPr>
        <w:ind w:left="1340" w:hanging="198"/>
        <w:spacing w:after="0"/>
        <w:tabs>
          <w:tab w:leader="none" w:pos="1340" w:val="left"/>
        </w:tabs>
        <w:numPr>
          <w:ilvl w:val="1"/>
          <w:numId w:val="53"/>
        </w:numPr>
        <w:rPr>
          <w:rFonts w:ascii="Arial" w:cs="Arial" w:eastAsia="Arial" w:hAnsi="Arial"/>
          <w:sz w:val="15"/>
          <w:szCs w:val="15"/>
          <w:color w:val="auto"/>
        </w:rPr>
      </w:pPr>
      <w:r>
        <w:rPr>
          <w:rFonts w:ascii="Arial" w:cs="Arial" w:eastAsia="Arial" w:hAnsi="Arial"/>
          <w:sz w:val="15"/>
          <w:szCs w:val="15"/>
          <w:color w:val="auto"/>
        </w:rPr>
        <w:t>the price per share equal to the market price (which is calculated as defined in our declaration of trust) on the date the shares were received, or</w:t>
      </w:r>
    </w:p>
    <w:p>
      <w:pPr>
        <w:spacing w:after="0" w:line="138" w:lineRule="exact"/>
        <w:rPr>
          <w:rFonts w:ascii="Arial" w:cs="Arial" w:eastAsia="Arial" w:hAnsi="Arial"/>
          <w:sz w:val="15"/>
          <w:szCs w:val="15"/>
          <w:color w:val="auto"/>
        </w:rPr>
      </w:pPr>
    </w:p>
    <w:p>
      <w:pPr>
        <w:ind w:left="1340" w:hanging="198"/>
        <w:spacing w:after="0"/>
        <w:tabs>
          <w:tab w:leader="none" w:pos="1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3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9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18"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3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MSIM exemption, which was granted on June 6, 2001 and is effective for four years, permits MSIM and its clients, as a group, to own up to 14.9% of our outstanding common shares.</w:t>
      </w:r>
    </w:p>
    <w:p>
      <w:pPr>
        <w:spacing w:after="0" w:line="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7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Warrants.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77" w:lineRule="exact"/>
        <w:rPr>
          <w:sz w:val="20"/>
          <w:szCs w:val="20"/>
          <w:color w:val="auto"/>
        </w:rPr>
      </w:pPr>
    </w:p>
    <w:p>
      <w:pPr>
        <w:ind w:left="640" w:hanging="18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640" w:hanging="18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8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01"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Applicable Maryland law, as set forth in the Maryland General Corporation Law, prohibits us from entering into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48" w:lineRule="exact"/>
        <w:rPr>
          <w:sz w:val="20"/>
          <w:szCs w:val="20"/>
          <w:color w:val="auto"/>
        </w:rPr>
      </w:pPr>
    </w:p>
    <w:p>
      <w:pPr>
        <w:ind w:left="640" w:hanging="18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shares; or</w:t>
      </w:r>
    </w:p>
    <w:p>
      <w:pPr>
        <w:spacing w:after="0" w:line="103" w:lineRule="exact"/>
        <w:rPr>
          <w:rFonts w:ascii="Arial" w:cs="Arial" w:eastAsia="Arial" w:hAnsi="Arial"/>
          <w:sz w:val="18"/>
          <w:szCs w:val="18"/>
          <w:color w:val="auto"/>
        </w:rPr>
      </w:pPr>
    </w:p>
    <w:p>
      <w:pPr>
        <w:ind w:left="640" w:right="180" w:hanging="186"/>
        <w:spacing w:after="0" w:line="268"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of our affiliates that beneficially owned 10% or more of the voting power of our shares within two years prior to the applicable date relating to the transaction.</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2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37" w:lineRule="exact"/>
        <w:rPr>
          <w:sz w:val="20"/>
          <w:szCs w:val="20"/>
          <w:color w:val="auto"/>
        </w:rPr>
      </w:pPr>
    </w:p>
    <w:p>
      <w:pPr>
        <w:ind w:left="640" w:hanging="18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1100" w:hanging="187"/>
        <w:spacing w:after="0"/>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03" w:lineRule="exact"/>
        <w:rPr>
          <w:rFonts w:ascii="Arial" w:cs="Arial" w:eastAsia="Arial" w:hAnsi="Arial"/>
          <w:sz w:val="18"/>
          <w:szCs w:val="18"/>
          <w:color w:val="auto"/>
        </w:rPr>
      </w:pPr>
    </w:p>
    <w:p>
      <w:pPr>
        <w:ind w:left="1100" w:hanging="187"/>
        <w:spacing w:after="0"/>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w:t>
      </w:r>
    </w:p>
    <w:p>
      <w:pPr>
        <w:spacing w:after="0" w:line="18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12"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discussed below. With the approval of our Board of Trustees, however, we could modify or eliminate the exemption in the future. If the exemption were eliminated, “control share acquisitions” would be subject to the following provisions.</w:t>
      </w:r>
    </w:p>
    <w:p>
      <w:pPr>
        <w:spacing w:after="0" w:line="1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real estate investment trust acquired in a “control share acquisition” have no voting rights unless two-thirds of the shareholders (excluding shares owned by the acquirer and by the officers and trustees who are employees of the Maryland real estate investment trust) approve their voting rights.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“Control Shares” are shares that, if added to all other shares previously acquired, would entitle that person to vote, in electing trustees:</w:t>
      </w:r>
    </w:p>
    <w:p>
      <w:pPr>
        <w:spacing w:after="0" w:line="77" w:lineRule="exact"/>
        <w:rPr>
          <w:sz w:val="20"/>
          <w:szCs w:val="20"/>
          <w:color w:val="auto"/>
        </w:rPr>
      </w:pPr>
    </w:p>
    <w:p>
      <w:pPr>
        <w:ind w:left="640" w:hanging="18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 or more but less than one-third of such shares;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one-third or more but less than a majority of such shares, or</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majority of the outstanding shares.</w:t>
      </w:r>
    </w:p>
    <w:p>
      <w:pPr>
        <w:spacing w:after="0" w:line="1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2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87"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Rights Plan. </w:t>
      </w:r>
      <w:r>
        <w:rPr>
          <w:rFonts w:ascii="Arial" w:cs="Arial" w:eastAsia="Arial" w:hAnsi="Arial"/>
          <w:sz w:val="16"/>
          <w:szCs w:val="16"/>
          <w:color w:val="auto"/>
        </w:rPr>
        <w:t>On April 13, 1989, we adopted a shareholder rights plan and declared a dividend distribution of one right for each outstanding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share to shareholders of record at the close of business on April 24, 1989, with such rights to expire on April 24, 1999. On March 11, 1999, the expiration date of the rights plan was extended and certain other amendments to the terms of the rights plan were adopted. Except as set forth below, each right, when exercisable, entitles the registered holder to purchase from us a number of common shares equal in value to two times the purchase price, which is initially equal to $65.00 per share but is subject to adjustment upon the occurrence of specified events.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become exercisable upon the earlier to occur of</w:t>
      </w:r>
    </w:p>
    <w:p>
      <w:pPr>
        <w:spacing w:after="0" w:line="77" w:lineRule="exact"/>
        <w:rPr>
          <w:sz w:val="20"/>
          <w:szCs w:val="20"/>
          <w:color w:val="auto"/>
        </w:rPr>
      </w:pPr>
    </w:p>
    <w:p>
      <w:pPr>
        <w:ind w:left="640" w:hanging="186"/>
        <w:spacing w:after="0" w:line="268"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public announcement that, without our prior consent, a person or group of affiliated or associated persons has acquired, or obtained the right to acquire, beneficial ownership of 15% or more of our common shares; or</w:t>
      </w:r>
    </w:p>
    <w:p>
      <w:pPr>
        <w:spacing w:after="0" w:line="37" w:lineRule="exact"/>
        <w:rPr>
          <w:rFonts w:ascii="Arial" w:cs="Arial" w:eastAsia="Arial" w:hAnsi="Arial"/>
          <w:sz w:val="18"/>
          <w:szCs w:val="18"/>
          <w:color w:val="auto"/>
        </w:rPr>
      </w:pPr>
    </w:p>
    <w:p>
      <w:pPr>
        <w:ind w:left="640" w:right="260" w:hanging="186"/>
        <w:spacing w:after="0" w:line="268"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ten days following the commencement of (or a public announcement of an intention to make) a tender offer or exchange offer that would result in the beneficial ownership by a person or group of 15% or more of our common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to holders of record of our common shares, and the separate rights certificates alone will evidence the rights.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the rights will expire on the earliest of</w:t>
      </w:r>
    </w:p>
    <w:p>
      <w:pPr>
        <w:spacing w:after="0" w:line="77" w:lineRule="exact"/>
        <w:rPr>
          <w:sz w:val="20"/>
          <w:szCs w:val="20"/>
          <w:color w:val="auto"/>
        </w:rPr>
      </w:pPr>
    </w:p>
    <w:p>
      <w:pPr>
        <w:ind w:left="640" w:hanging="18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April 24, 2009;</w:t>
      </w:r>
    </w:p>
    <w:p>
      <w:pPr>
        <w:spacing w:after="0" w:line="103" w:lineRule="exact"/>
        <w:rPr>
          <w:rFonts w:ascii="Arial" w:cs="Arial" w:eastAsia="Arial" w:hAnsi="Arial"/>
          <w:sz w:val="18"/>
          <w:szCs w:val="18"/>
          <w:color w:val="auto"/>
        </w:rPr>
      </w:pPr>
    </w:p>
    <w:p>
      <w:pPr>
        <w:ind w:left="640" w:right="20" w:hanging="186"/>
        <w:spacing w:after="0" w:line="268"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37" w:lineRule="exact"/>
        <w:rPr>
          <w:rFonts w:ascii="Arial" w:cs="Arial" w:eastAsia="Arial" w:hAnsi="Arial"/>
          <w:sz w:val="18"/>
          <w:szCs w:val="18"/>
          <w:color w:val="auto"/>
        </w:rPr>
      </w:pPr>
    </w:p>
    <w:p>
      <w:pPr>
        <w:ind w:left="640" w:hanging="18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event that the rights become exercisable, each holder of a right will for a 60-day period thereafter have the right to receive upon exercise and payment of the purchase price (initially set at $65.00 but subject to adjustment) that number of our common shares (or fractional shares) having a then-current market value of two 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9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which at the time of such transaction would have a market value equal to two times the then-current purchase price of the right.</w:t>
      </w:r>
    </w:p>
    <w:p>
      <w:pPr>
        <w:spacing w:after="0" w:line="10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15% or more of our common shares. Upon the effective date of the redemption of the rights, the right to exercise the rights will terminate and the only right of the holders of rights will be to receive the price of $0.01 per right.</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12"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Duties of Trustees. </w:t>
      </w:r>
      <w:r>
        <w:rPr>
          <w:rFonts w:ascii="Arial" w:cs="Arial" w:eastAsia="Arial" w:hAnsi="Arial"/>
          <w:sz w:val="16"/>
          <w:szCs w:val="16"/>
          <w:color w:val="auto"/>
        </w:rPr>
        <w:t>Under Maryland law, there is a presumption that the act of a trustee satisfies the required standard of care. An act of a trustee relating</w:t>
      </w:r>
      <w:r>
        <w:rPr>
          <w:rFonts w:ascii="Arial" w:cs="Arial" w:eastAsia="Arial" w:hAnsi="Arial"/>
          <w:sz w:val="16"/>
          <w:szCs w:val="16"/>
          <w:b w:val="1"/>
          <w:bCs w:val="1"/>
          <w:color w:val="auto"/>
        </w:rPr>
        <w:t xml:space="preserve"> </w:t>
      </w:r>
      <w:r>
        <w:rPr>
          <w:rFonts w:ascii="Arial" w:cs="Arial" w:eastAsia="Arial" w:hAnsi="Arial"/>
          <w:sz w:val="16"/>
          <w:szCs w:val="16"/>
          <w:color w:val="auto"/>
        </w:rPr>
        <w:t>to or affecting an acquisition or a potential acquisition of control is not subject under Maryland law to a higher duty or greater scrutiny than is applied to any other act of a trustee. This provision does not impose an enhanced level of scrutiny when a board implements anti-takeover measures in a change of control context, and shifts the burden of proof for demonstrating that the defensive mechanism adopted by a board is reasonable in relation to the threat posed to the board.</w:t>
      </w:r>
    </w:p>
    <w:p>
      <w:pPr>
        <w:spacing w:after="0" w:line="90"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Number of Trustees; Classified Board. </w:t>
      </w:r>
      <w:r>
        <w:rPr>
          <w:rFonts w:ascii="Arial" w:cs="Arial" w:eastAsia="Arial" w:hAnsi="Arial"/>
          <w:sz w:val="18"/>
          <w:szCs w:val="18"/>
          <w:color w:val="auto"/>
        </w:rPr>
        <w:t>The number of trustees may be increased or decreased pursuant to the bylaws, provided that the total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trustees may not be less than three or more than 15. Under Maryland law and our declaration of trust, trustees, except for any trustees that may be elected by holders of preferred shares, are elected in three classes for staggered, three-year terms.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Removal of Trustees. </w:t>
      </w:r>
      <w:r>
        <w:rPr>
          <w:rFonts w:ascii="Arial" w:cs="Arial" w:eastAsia="Arial" w:hAnsi="Arial"/>
          <w:sz w:val="18"/>
          <w:szCs w:val="18"/>
          <w:color w:val="auto"/>
        </w:rPr>
        <w:t>Under the declaration of trust, and subject to the rights of any holders of preferred shares, our shareholders may remove a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with or without cause, at any meeting of shareholders called for that purpose, either by</w:t>
      </w:r>
    </w:p>
    <w:p>
      <w:pPr>
        <w:spacing w:after="0" w:line="31" w:lineRule="exact"/>
        <w:rPr>
          <w:sz w:val="20"/>
          <w:szCs w:val="20"/>
          <w:color w:val="auto"/>
        </w:rPr>
      </w:pPr>
    </w:p>
    <w:p>
      <w:pPr>
        <w:ind w:left="640" w:right="360" w:hanging="186"/>
        <w:spacing w:after="0" w:line="268"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37" w:lineRule="exact"/>
        <w:rPr>
          <w:rFonts w:ascii="Arial" w:cs="Arial" w:eastAsia="Arial" w:hAnsi="Arial"/>
          <w:sz w:val="18"/>
          <w:szCs w:val="18"/>
          <w:color w:val="auto"/>
        </w:rPr>
      </w:pPr>
    </w:p>
    <w:p>
      <w:pPr>
        <w:ind w:left="640" w:right="100" w:hanging="186"/>
        <w:spacing w:after="0" w:line="268"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12"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Vacancies on the Board of Trustees.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2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holders of the Series A preferred shares and the Series B preferred shares have the right to elect two additional trustees to the Board of Trustees under the circumstances described above under “—Preferred Shares—Voting Rights.”</w:t>
      </w:r>
    </w:p>
    <w:p>
      <w:pPr>
        <w:spacing w:after="0" w:line="112"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Meetings of Shareholders. </w:t>
      </w:r>
      <w:r>
        <w:rPr>
          <w:rFonts w:ascii="Arial" w:cs="Arial" w:eastAsia="Arial" w:hAnsi="Arial"/>
          <w:sz w:val="18"/>
          <w:szCs w:val="18"/>
          <w:color w:val="auto"/>
        </w:rPr>
        <w:t>Our bylaws provide for an annual meeting of shareholders, to be held in May after delivery of the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to elect individuals to the Board of Trustees for the class of trustees then standing for election and transact such other business as may properly be brought before the meeting. Special meetings of shareholders may be called by our President or by one-third of the Board of Trustees, and shall be called at the request in writing of the holders of 25% of all votes entitled to be cast at the meeting.</w:t>
      </w:r>
    </w:p>
    <w:p>
      <w:pPr>
        <w:spacing w:after="0" w:line="1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1" w:lineRule="exact"/>
        <w:rPr>
          <w:sz w:val="20"/>
          <w:szCs w:val="20"/>
          <w:color w:val="auto"/>
        </w:rPr>
      </w:pPr>
    </w:p>
    <w:p>
      <w:pPr>
        <w:ind w:firstLine="456"/>
        <w:spacing w:after="0" w:line="244" w:lineRule="auto"/>
        <w:rPr>
          <w:sz w:val="20"/>
          <w:szCs w:val="20"/>
          <w:color w:val="auto"/>
        </w:rPr>
      </w:pPr>
      <w:r>
        <w:rPr>
          <w:rFonts w:ascii="Arial" w:cs="Arial" w:eastAsia="Arial" w:hAnsi="Arial"/>
          <w:sz w:val="18"/>
          <w:szCs w:val="18"/>
          <w:b w:val="1"/>
          <w:bCs w:val="1"/>
          <w:color w:val="auto"/>
        </w:rPr>
        <w:t xml:space="preserve">Advance Notice for Shareholder Nominations and Shareholder New Business Proposals.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advanced by more than 30 days from the date of the preceding year’s meeting or if we did not hold an annual meeting the preceding year, notice must be delivered within a reasonable time before we begin to print and mail our proxy materials.</w:t>
      </w:r>
    </w:p>
    <w:p>
      <w:pPr>
        <w:spacing w:after="0" w:line="142" w:lineRule="exact"/>
        <w:rPr>
          <w:sz w:val="20"/>
          <w:szCs w:val="20"/>
          <w:color w:val="auto"/>
        </w:rPr>
      </w:pPr>
    </w:p>
    <w:p>
      <w:pPr>
        <w:ind w:firstLine="456"/>
        <w:spacing w:after="0" w:line="239"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or the 10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at a special meeting may be made by shareholders only if the Board of Trustees has determined that trustees shall be elected at the special meeting.</w:t>
      </w:r>
    </w:p>
    <w:p>
      <w:pPr>
        <w:spacing w:after="0" w:line="143"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INCOME TAX CONSEQUENCES</w:t>
      </w:r>
    </w:p>
    <w:p>
      <w:pPr>
        <w:spacing w:after="0" w:line="16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sections summarize the federal income tax issues that you may consider relevant. Because this section is a summary, it does not address all of the tax issues that may be important to you.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 — Exempt U.S. Shareholders” below), financial institutions and broker-dealers, and non-U.S. individuals and foreign corporations (except to the extent discussed in “— Taxation of Non-U.S. Shareholders” below).</w:t>
      </w:r>
    </w:p>
    <w:p>
      <w:pPr>
        <w:spacing w:after="0" w:line="10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7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2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the opinion of our tax counsel, Shaw Pittman LLP, (i) we qualified as a REIT under Sections 856 through 859 of the Code with respect to our taxable years ended through December 31, 2002; and (ii) we are organized in conformity with the requirements for qualification as a REIT under the Code and our current method of operation will enable us to meet the requirements for qualification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Shaw Pittman LLP will not monitor our compliance with the requirements for REIT qualification on an ongoing basis. Accordingly, no assurance can be given that our actual operating results will satisfy the qualification tests. For a discussion of the tax treatment of us and our shareholders if we fail to qualify as a REIT, see “— Requirements for REIT Qualification — Failure to Qualify.”</w:t>
      </w:r>
    </w:p>
    <w:p>
      <w:pPr>
        <w:spacing w:after="0" w:line="11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we qualify as a REIT, we generally will not be subject to federal income tax on the taxable income that we distribute to our shareholders. The benefit of that tax treatment is that it avoids the “double taxation” (i.e., at both the corporate and stockholder levels) that generally results from owning stock in a corporation. However, we will be subject to federal tax in the following circumstances:</w:t>
      </w:r>
    </w:p>
    <w:p>
      <w:pPr>
        <w:spacing w:after="0" w:line="46" w:lineRule="exact"/>
        <w:rPr>
          <w:sz w:val="20"/>
          <w:szCs w:val="20"/>
          <w:color w:val="auto"/>
        </w:rPr>
      </w:pPr>
    </w:p>
    <w:p>
      <w:pPr>
        <w:ind w:left="640" w:right="160" w:hanging="186"/>
        <w:spacing w:after="0" w:line="268"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37" w:lineRule="exact"/>
        <w:rPr>
          <w:rFonts w:ascii="Arial" w:cs="Arial" w:eastAsia="Arial" w:hAnsi="Arial"/>
          <w:sz w:val="18"/>
          <w:szCs w:val="18"/>
          <w:color w:val="auto"/>
        </w:rPr>
      </w:pPr>
    </w:p>
    <w:p>
      <w:pPr>
        <w:ind w:left="640" w:hanging="186"/>
        <w:spacing w:after="0"/>
        <w:tabs>
          <w:tab w:leader="none" w:pos="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may be subject to the “ alternative minimum tax” on any items of tax preference that we do not distribute or allocate to our shareholders;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640" w:right="60" w:hanging="186"/>
        <w:spacing w:after="0" w:line="325" w:lineRule="auto"/>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 w:lineRule="exact"/>
        <w:rPr>
          <w:rFonts w:ascii="Arial" w:cs="Arial" w:eastAsia="Arial" w:hAnsi="Arial"/>
          <w:sz w:val="16"/>
          <w:szCs w:val="16"/>
          <w:color w:val="auto"/>
        </w:rPr>
      </w:pPr>
    </w:p>
    <w:p>
      <w:pPr>
        <w:ind w:left="640" w:right="280" w:hanging="186"/>
        <w:spacing w:after="0" w:line="268"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37" w:lineRule="exact"/>
        <w:rPr>
          <w:rFonts w:ascii="Arial" w:cs="Arial" w:eastAsia="Arial" w:hAnsi="Arial"/>
          <w:sz w:val="18"/>
          <w:szCs w:val="18"/>
          <w:color w:val="auto"/>
        </w:rPr>
      </w:pPr>
    </w:p>
    <w:p>
      <w:pPr>
        <w:ind w:left="640" w:hanging="186"/>
        <w:spacing w:after="0"/>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jc w:val="both"/>
        <w:ind w:left="640" w:right="140"/>
        <w:spacing w:after="0" w:line="255" w:lineRule="auto"/>
        <w:rPr>
          <w:rFonts w:ascii="Arial" w:cs="Arial" w:eastAsia="Arial" w:hAnsi="Arial"/>
          <w:sz w:val="16"/>
          <w:szCs w:val="16"/>
          <w:color w:val="auto"/>
        </w:rPr>
      </w:pPr>
      <w:r>
        <w:rPr>
          <w:rFonts w:ascii="Arial" w:cs="Arial" w:eastAsia="Arial" w:hAnsi="Arial"/>
          <w:sz w:val="18"/>
          <w:szCs w:val="18"/>
          <w:color w:val="auto"/>
        </w:rPr>
        <w:t>— Income Tests”), and nonetheless continue to qualify as a REIT because we meet certain other requirements, we will pay a 100% tax on (i) the gross income attributable to the greater of the amount by which we fail, respectively, the 75% or 95% gross income test, multiplied by (ii) a fraction intended to reflect our profitability;</w:t>
      </w:r>
    </w:p>
    <w:p>
      <w:pPr>
        <w:spacing w:after="0" w:line="49" w:lineRule="exact"/>
        <w:rPr>
          <w:rFonts w:ascii="Arial" w:cs="Arial" w:eastAsia="Arial" w:hAnsi="Arial"/>
          <w:sz w:val="16"/>
          <w:szCs w:val="16"/>
          <w:color w:val="auto"/>
        </w:rPr>
      </w:pPr>
    </w:p>
    <w:p>
      <w:pPr>
        <w:ind w:left="640" w:hanging="186"/>
        <w:spacing w:after="0" w:line="259"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45" w:lineRule="exact"/>
        <w:rPr>
          <w:rFonts w:ascii="Arial" w:cs="Arial" w:eastAsia="Arial" w:hAnsi="Arial"/>
          <w:sz w:val="18"/>
          <w:szCs w:val="18"/>
          <w:color w:val="auto"/>
        </w:rPr>
      </w:pPr>
    </w:p>
    <w:p>
      <w:pPr>
        <w:ind w:left="640" w:hanging="18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03" w:lineRule="exact"/>
        <w:rPr>
          <w:rFonts w:ascii="Arial" w:cs="Arial" w:eastAsia="Arial" w:hAnsi="Arial"/>
          <w:sz w:val="18"/>
          <w:szCs w:val="18"/>
          <w:color w:val="auto"/>
        </w:rPr>
      </w:pPr>
    </w:p>
    <w:p>
      <w:pPr>
        <w:jc w:val="both"/>
        <w:ind w:left="640" w:right="40" w:hanging="186"/>
        <w:spacing w:after="0" w:line="294" w:lineRule="auto"/>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we will pay tax at the highest regular corporate rate applicable if we recognize gain on the sale or disposition of such asset during the 10-year period after we acquire such asset. The amount of gain on which we will pay tax is the lesser of (i) the amount of gain that we recognize at the time of the sale or disposition and (ii) the amount of gain that we would have recognized if we had sold the asset at the time we acquired the asset.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REIT, we must be a corporation, trust or association and meet the following requirements:</w:t>
      </w:r>
    </w:p>
    <w:p>
      <w:pPr>
        <w:spacing w:after="0" w:line="77"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76"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37"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Internal Revenue Service that must be met to elect and maintain REIT status;</w:t>
      </w:r>
    </w:p>
    <w:p>
      <w:pPr>
        <w:spacing w:after="0" w:line="37"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Treasury regulations;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“Description of Shares of Beneficial Ownership–Restrictions on Ownership and Transfer.”</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they are not subject to federal corporate income taxation, though they may be subject to state and local taxation.</w:t>
      </w:r>
    </w:p>
    <w:p>
      <w:pPr>
        <w:spacing w:after="0" w:line="10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93"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8"/>
          <w:szCs w:val="18"/>
          <w:b w:val="1"/>
          <w:bCs w:val="1"/>
          <w:color w:val="auto"/>
        </w:rPr>
        <w:t>Income Tests.</w:t>
      </w:r>
      <w:r>
        <w:rPr>
          <w:sz w:val="20"/>
          <w:szCs w:val="20"/>
          <w:color w:val="auto"/>
        </w:rPr>
        <w:tab/>
      </w:r>
      <w:r>
        <w:rPr>
          <w:rFonts w:ascii="Arial" w:cs="Arial" w:eastAsia="Arial" w:hAnsi="Arial"/>
          <w:sz w:val="16"/>
          <w:szCs w:val="16"/>
          <w:color w:val="auto"/>
        </w:rPr>
        <w:t>We must satisfy two gross income tests annually to maintain our qualification as a REIT:</w:t>
      </w:r>
    </w:p>
    <w:p>
      <w:pPr>
        <w:spacing w:after="0" w:line="83" w:lineRule="exact"/>
        <w:rPr>
          <w:sz w:val="20"/>
          <w:szCs w:val="20"/>
          <w:color w:val="auto"/>
        </w:rPr>
      </w:pPr>
    </w:p>
    <w:p>
      <w:pPr>
        <w:ind w:left="640" w:hanging="186"/>
        <w:spacing w:after="0" w:line="298" w:lineRule="auto"/>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18" w:lineRule="exact"/>
        <w:rPr>
          <w:rFonts w:ascii="Arial" w:cs="Arial" w:eastAsia="Arial" w:hAnsi="Arial"/>
          <w:sz w:val="16"/>
          <w:szCs w:val="16"/>
          <w:color w:val="auto"/>
        </w:rPr>
      </w:pPr>
    </w:p>
    <w:p>
      <w:pPr>
        <w:ind w:left="640" w:right="140" w:hanging="186"/>
        <w:spacing w:after="0" w:line="259"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52"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 xml:space="preserve">Rental Income. </w:t>
      </w:r>
      <w:r>
        <w:rPr>
          <w:rFonts w:ascii="Arial" w:cs="Arial" w:eastAsia="Arial" w:hAnsi="Arial"/>
          <w:sz w:val="18"/>
          <w:szCs w:val="18"/>
          <w:color w:val="auto"/>
        </w:rPr>
        <w:t>Our primary source of income derives from leasing properties. Rent that we receive from real property that we own and lease to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will qualify as “rents from real property” (which is qualifying income for purposes of the 75% and 95% gross income tests) only if several conditions are met under the REIT tax rules:</w:t>
      </w:r>
    </w:p>
    <w:p>
      <w:pPr>
        <w:spacing w:after="0" w:line="44" w:lineRule="exact"/>
        <w:rPr>
          <w:sz w:val="20"/>
          <w:szCs w:val="20"/>
          <w:color w:val="auto"/>
        </w:rPr>
      </w:pPr>
    </w:p>
    <w:p>
      <w:pPr>
        <w:ind w:left="640" w:right="40" w:hanging="186"/>
        <w:spacing w:after="0" w:line="259"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w:t>
      </w:r>
    </w:p>
    <w:p>
      <w:pPr>
        <w:spacing w:after="0" w:line="45" w:lineRule="exact"/>
        <w:rPr>
          <w:rFonts w:ascii="Arial" w:cs="Arial" w:eastAsia="Arial" w:hAnsi="Arial"/>
          <w:sz w:val="18"/>
          <w:szCs w:val="18"/>
          <w:color w:val="auto"/>
        </w:rPr>
      </w:pPr>
    </w:p>
    <w:p>
      <w:pPr>
        <w:ind w:left="640" w:right="40" w:hanging="186"/>
        <w:spacing w:after="0" w:line="287" w:lineRule="auto"/>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28" w:lineRule="exact"/>
        <w:rPr>
          <w:rFonts w:ascii="Arial" w:cs="Arial" w:eastAsia="Arial" w:hAnsi="Arial"/>
          <w:sz w:val="16"/>
          <w:szCs w:val="16"/>
          <w:color w:val="auto"/>
        </w:rPr>
      </w:pPr>
    </w:p>
    <w:p>
      <w:pPr>
        <w:ind w:left="640" w:right="40" w:hanging="186"/>
        <w:spacing w:after="0" w:line="318" w:lineRule="auto"/>
        <w:tabs>
          <w:tab w:leader="none" w:pos="6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In the case of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5" w:lineRule="exact"/>
        <w:rPr>
          <w:rFonts w:ascii="Arial" w:cs="Arial" w:eastAsia="Arial" w:hAnsi="Arial"/>
          <w:sz w:val="15"/>
          <w:szCs w:val="15"/>
          <w:color w:val="auto"/>
        </w:rPr>
      </w:pPr>
    </w:p>
    <w:p>
      <w:pPr>
        <w:ind w:left="640" w:right="20" w:hanging="186"/>
        <w:spacing w:after="0" w:line="298" w:lineRule="auto"/>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w:t>
      </w:r>
    </w:p>
    <w:p>
      <w:pPr>
        <w:spacing w:after="0" w:line="18" w:lineRule="exact"/>
        <w:rPr>
          <w:rFonts w:ascii="Arial" w:cs="Arial" w:eastAsia="Arial" w:hAnsi="Arial"/>
          <w:sz w:val="16"/>
          <w:szCs w:val="16"/>
          <w:color w:val="auto"/>
        </w:rPr>
      </w:pPr>
    </w:p>
    <w:p>
      <w:pPr>
        <w:ind w:left="640" w:hanging="186"/>
        <w:spacing w:after="0" w:line="290" w:lineRule="auto"/>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foregoing, we believe that rent from leases should qualify as “rents from real property” for purposes of the 75% and 95% gross income tests.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there can be no complete assurance that the IRS will not assert successfully a contrary position and, therefore, prevent us from qualifying as a REIT.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77" w:lineRule="exact"/>
        <w:rPr>
          <w:sz w:val="20"/>
          <w:szCs w:val="20"/>
          <w:color w:val="auto"/>
        </w:rPr>
      </w:pPr>
    </w:p>
    <w:p>
      <w:pPr>
        <w:ind w:left="640" w:right="140" w:hanging="186"/>
        <w:spacing w:after="0" w:line="268"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37" w:lineRule="exact"/>
        <w:rPr>
          <w:rFonts w:ascii="Arial" w:cs="Arial" w:eastAsia="Arial" w:hAnsi="Arial"/>
          <w:sz w:val="18"/>
          <w:szCs w:val="18"/>
          <w:color w:val="auto"/>
        </w:rPr>
      </w:pPr>
    </w:p>
    <w:p>
      <w:pPr>
        <w:ind w:left="640" w:right="40" w:hanging="186"/>
        <w:spacing w:after="0" w:line="259"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45" w:lineRule="exact"/>
        <w:rPr>
          <w:rFonts w:ascii="Arial" w:cs="Arial" w:eastAsia="Arial" w:hAnsi="Arial"/>
          <w:sz w:val="18"/>
          <w:szCs w:val="18"/>
          <w:color w:val="auto"/>
        </w:rPr>
      </w:pPr>
    </w:p>
    <w:p>
      <w:pPr>
        <w:ind w:left="640" w:right="280" w:hanging="186"/>
        <w:spacing w:after="0" w:line="268"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37" w:lineRule="exact"/>
        <w:rPr>
          <w:rFonts w:ascii="Arial" w:cs="Arial" w:eastAsia="Arial" w:hAnsi="Arial"/>
          <w:sz w:val="18"/>
          <w:szCs w:val="18"/>
          <w:color w:val="auto"/>
        </w:rPr>
      </w:pPr>
    </w:p>
    <w:p>
      <w:pPr>
        <w:jc w:val="both"/>
        <w:ind w:left="640" w:right="180" w:hanging="186"/>
        <w:spacing w:after="0" w:line="259"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2" w:lineRule="exact"/>
        <w:rPr>
          <w:sz w:val="20"/>
          <w:szCs w:val="20"/>
          <w:color w:val="auto"/>
        </w:rPr>
      </w:pPr>
    </w:p>
    <w:p>
      <w:pPr>
        <w:ind w:left="640" w:right="140" w:hanging="186"/>
        <w:spacing w:after="0" w:line="325" w:lineRule="auto"/>
        <w:tabs>
          <w:tab w:leader="none" w:pos="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1" w:lineRule="exact"/>
        <w:rPr>
          <w:rFonts w:ascii="Arial" w:cs="Arial" w:eastAsia="Arial" w:hAnsi="Arial"/>
          <w:sz w:val="16"/>
          <w:szCs w:val="16"/>
          <w:color w:val="auto"/>
        </w:rPr>
      </w:pPr>
    </w:p>
    <w:p>
      <w:pPr>
        <w:ind w:left="640" w:hanging="18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85" w:lineRule="exact"/>
        <w:rPr>
          <w:sz w:val="20"/>
          <w:szCs w:val="20"/>
          <w:color w:val="auto"/>
        </w:rPr>
      </w:pPr>
    </w:p>
    <w:p>
      <w:pPr>
        <w:jc w:val="both"/>
        <w:ind w:right="40" w:firstLine="456"/>
        <w:spacing w:after="0" w:line="34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 w:lineRule="exact"/>
        <w:rPr>
          <w:sz w:val="20"/>
          <w:szCs w:val="20"/>
          <w:color w:val="auto"/>
        </w:rPr>
      </w:pPr>
    </w:p>
    <w:p>
      <w:pPr>
        <w:ind w:left="640" w:right="460" w:hanging="186"/>
        <w:spacing w:after="0" w:line="268"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37" w:lineRule="exact"/>
        <w:rPr>
          <w:rFonts w:ascii="Arial" w:cs="Arial" w:eastAsia="Arial" w:hAnsi="Arial"/>
          <w:sz w:val="18"/>
          <w:szCs w:val="18"/>
          <w:color w:val="auto"/>
        </w:rPr>
      </w:pPr>
    </w:p>
    <w:p>
      <w:pPr>
        <w:ind w:left="640" w:right="100" w:hanging="186"/>
        <w:spacing w:after="0" w:line="259"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45" w:lineRule="exact"/>
        <w:rPr>
          <w:rFonts w:ascii="Arial" w:cs="Arial" w:eastAsia="Arial" w:hAnsi="Arial"/>
          <w:sz w:val="18"/>
          <w:szCs w:val="18"/>
          <w:color w:val="auto"/>
        </w:rPr>
      </w:pPr>
    </w:p>
    <w:p>
      <w:pPr>
        <w:ind w:left="640" w:right="220" w:hanging="186"/>
        <w:spacing w:after="0" w:line="268"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640" w:right="60" w:hanging="186"/>
        <w:spacing w:after="0" w:line="332" w:lineRule="auto"/>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7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Tax on Prohibited Transactions</w:t>
      </w:r>
      <w:r>
        <w:rPr>
          <w:rFonts w:ascii="Arial" w:cs="Arial" w:eastAsia="Arial" w:hAnsi="Arial"/>
          <w:sz w:val="16"/>
          <w:szCs w:val="16"/>
          <w:color w:val="auto"/>
        </w:rPr>
        <w:t>. A REIT will incur a 100% tax on net income derived from any “prohibited transaction.” A “prohibited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is a sale or other disposition of property (other than foreclosure property) that the REIT holds primarily for sale to customers in the ordinary course of a trade or business. We believe that none of our assets are held for sale to customers and that a sale of any such asset would not be in the ordinary course of its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Tax and Deduction Limits on Certain Transactions with Taxable REIT Subsidiaries</w:t>
      </w:r>
      <w:r>
        <w:rPr>
          <w:rFonts w:ascii="Arial" w:cs="Arial" w:eastAsia="Arial" w:hAnsi="Arial"/>
          <w:sz w:val="16"/>
          <w:szCs w:val="16"/>
          <w:color w:val="auto"/>
        </w:rPr>
        <w:t>. A REIT will incur a 100% tax on certain transactions between a</w:t>
      </w:r>
      <w:r>
        <w:rPr>
          <w:rFonts w:ascii="Arial" w:cs="Arial" w:eastAsia="Arial" w:hAnsi="Arial"/>
          <w:sz w:val="16"/>
          <w:szCs w:val="16"/>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9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Relief from Consequences of Failing to Meet Income Tests</w:t>
      </w:r>
      <w:r>
        <w:rPr>
          <w:rFonts w:ascii="Arial" w:cs="Arial" w:eastAsia="Arial" w:hAnsi="Arial"/>
          <w:sz w:val="16"/>
          <w:szCs w:val="16"/>
          <w:color w:val="auto"/>
        </w:rPr>
        <w:t>. If we fail to satisfy one or both of the 75% and 95% gross income tests for any taxable year,</w:t>
      </w:r>
      <w:r>
        <w:rPr>
          <w:rFonts w:ascii="Arial" w:cs="Arial" w:eastAsia="Arial" w:hAnsi="Arial"/>
          <w:sz w:val="16"/>
          <w:szCs w:val="16"/>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we attach a schedule of the sources of our income to our tax return, and any incorrect information on the schedule was not due to fraud with intent to evade tax. We may not qualify for the relief provisions in all circumstances. In addition, as discussed above in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01"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b w:val="1"/>
          <w:bCs w:val="1"/>
          <w:color w:val="auto"/>
        </w:rPr>
        <w:t>Asset Tests.</w:t>
      </w:r>
      <w:r>
        <w:rPr>
          <w:sz w:val="20"/>
          <w:szCs w:val="20"/>
          <w:color w:val="auto"/>
        </w:rPr>
        <w:tab/>
      </w:r>
      <w:r>
        <w:rPr>
          <w:rFonts w:ascii="Arial" w:cs="Arial" w:eastAsia="Arial" w:hAnsi="Arial"/>
          <w:sz w:val="15"/>
          <w:szCs w:val="15"/>
          <w:color w:val="auto"/>
        </w:rPr>
        <w:t>To maintain our qualification as a REIT, we also must satisfy two asset tests at the close of each quarter of each taxable year:</w:t>
      </w:r>
    </w:p>
    <w:p>
      <w:pPr>
        <w:spacing w:after="0" w:line="83" w:lineRule="exact"/>
        <w:rPr>
          <w:sz w:val="20"/>
          <w:szCs w:val="20"/>
          <w:color w:val="auto"/>
        </w:rPr>
      </w:pPr>
    </w:p>
    <w:p>
      <w:pPr>
        <w:ind w:left="640" w:hanging="186"/>
        <w:spacing w:after="0" w:line="268"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37" w:lineRule="exact"/>
        <w:rPr>
          <w:rFonts w:ascii="Arial" w:cs="Arial" w:eastAsia="Arial" w:hAnsi="Arial"/>
          <w:sz w:val="18"/>
          <w:szCs w:val="18"/>
          <w:color w:val="auto"/>
        </w:rPr>
      </w:pPr>
    </w:p>
    <w:p>
      <w:pPr>
        <w:ind w:left="1100" w:right="600" w:hanging="187"/>
        <w:spacing w:after="0" w:line="268" w:lineRule="auto"/>
        <w:tabs>
          <w:tab w:leader="none" w:pos="11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37" w:lineRule="exact"/>
        <w:rPr>
          <w:rFonts w:ascii="Arial" w:cs="Arial" w:eastAsia="Arial" w:hAnsi="Arial"/>
          <w:sz w:val="18"/>
          <w:szCs w:val="18"/>
          <w:color w:val="auto"/>
        </w:rPr>
      </w:pPr>
    </w:p>
    <w:p>
      <w:pPr>
        <w:ind w:left="1100" w:right="20" w:hanging="187"/>
        <w:spacing w:after="0" w:line="259" w:lineRule="auto"/>
        <w:tabs>
          <w:tab w:leader="none" w:pos="11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45" w:lineRule="exact"/>
        <w:rPr>
          <w:rFonts w:ascii="Arial" w:cs="Arial" w:eastAsia="Arial" w:hAnsi="Arial"/>
          <w:sz w:val="18"/>
          <w:szCs w:val="18"/>
          <w:color w:val="auto"/>
        </w:rPr>
      </w:pPr>
    </w:p>
    <w:p>
      <w:pPr>
        <w:ind w:left="1100" w:right="280" w:hanging="187"/>
        <w:spacing w:after="0" w:line="268" w:lineRule="auto"/>
        <w:tabs>
          <w:tab w:leader="none" w:pos="11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37" w:lineRule="exact"/>
        <w:rPr>
          <w:rFonts w:ascii="Arial" w:cs="Arial" w:eastAsia="Arial" w:hAnsi="Arial"/>
          <w:sz w:val="18"/>
          <w:szCs w:val="18"/>
          <w:color w:val="auto"/>
        </w:rPr>
      </w:pPr>
    </w:p>
    <w:p>
      <w:pPr>
        <w:ind w:left="640" w:right="160" w:hanging="186"/>
        <w:spacing w:after="0" w:line="259"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160" w:hanging="7"/>
        <w:spacing w:after="0" w:line="259" w:lineRule="auto"/>
        <w:tabs>
          <w:tab w:leader="none" w:pos="97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may not own more than 10% of the voting power or value of any one issuer’s 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we failed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23"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2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must pay such distributions in the taxable year to which they relate, or in the following taxable year if we declare the distribution before we timely file our federal income tax return for such year and pay the distribution on or before the first regular dividend payment date after such declaration.</w:t>
      </w:r>
    </w:p>
    <w:p>
      <w:pPr>
        <w:spacing w:after="0" w:line="7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will pay federal income tax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24"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stock. We have complied, and we intend to continue to comply, with such requirements.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Failure to Qualify. </w:t>
      </w:r>
      <w:r>
        <w:rPr>
          <w:rFonts w:ascii="Arial" w:cs="Arial" w:eastAsia="Arial" w:hAnsi="Arial"/>
          <w:sz w:val="16"/>
          <w:szCs w:val="16"/>
          <w:color w:val="auto"/>
        </w:rPr>
        <w:t>If we failed to qualify as a REIT in any taxable year, and no relief provision applied, we would be subject to federal income tax</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applicable alternative minimum tax) on our taxable income at regular corporate rates. In calculating our taxable income in a year in which we failed to qualify as a REIT, we would not be able to deduct amounts paid out to shareholders. In fact, we would not be required to distribute any amounts to shareholders in such year. In such event, to the extent of our current and accumulated earnings and profits, all distributions to shareholders would be taxable as ordinary income.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long as we qualify as a REIT, a taxable “U.S. shareholder” must take into account distributions out of our current or accumulated earnings and profits (and that we do not designate as capital gain dividends or retained long-term capital gain) as ordinary income. A corporate U.S. shareholder will not qualify for the dividends received deduction generally available to corporations. As used herein, the term “U.S. shareholder” means a holder of common shares that for U.S. federal income tax purposes is</w:t>
      </w:r>
    </w:p>
    <w:p>
      <w:pPr>
        <w:spacing w:after="0" w:line="49" w:lineRule="exact"/>
        <w:rPr>
          <w:sz w:val="20"/>
          <w:szCs w:val="20"/>
          <w:color w:val="auto"/>
        </w:rPr>
      </w:pPr>
    </w:p>
    <w:p>
      <w:pPr>
        <w:ind w:left="640" w:hanging="18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03" w:lineRule="exact"/>
        <w:rPr>
          <w:rFonts w:ascii="Arial" w:cs="Arial" w:eastAsia="Arial" w:hAnsi="Arial"/>
          <w:sz w:val="18"/>
          <w:szCs w:val="18"/>
          <w:color w:val="auto"/>
        </w:rPr>
      </w:pPr>
    </w:p>
    <w:p>
      <w:pPr>
        <w:ind w:left="640" w:right="40" w:hanging="186"/>
        <w:spacing w:after="0" w:line="268"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partnership, or other entity created or organized in or under the laws of the United States or of a political subdivision thereof unless, in the case of a partnership, Treasury Regulations provide otherwise;</w:t>
      </w:r>
    </w:p>
    <w:p>
      <w:pPr>
        <w:spacing w:after="0" w:line="37" w:lineRule="exact"/>
        <w:rPr>
          <w:rFonts w:ascii="Arial" w:cs="Arial" w:eastAsia="Arial" w:hAnsi="Arial"/>
          <w:sz w:val="18"/>
          <w:szCs w:val="18"/>
          <w:color w:val="auto"/>
        </w:rPr>
      </w:pPr>
    </w:p>
    <w:p>
      <w:pPr>
        <w:ind w:left="640" w:hanging="18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03" w:lineRule="exact"/>
        <w:rPr>
          <w:rFonts w:ascii="Arial" w:cs="Arial" w:eastAsia="Arial" w:hAnsi="Arial"/>
          <w:sz w:val="18"/>
          <w:szCs w:val="18"/>
          <w:color w:val="auto"/>
        </w:rPr>
      </w:pPr>
    </w:p>
    <w:p>
      <w:pPr>
        <w:ind w:left="640" w:right="40" w:hanging="186"/>
        <w:spacing w:after="0" w:line="256"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United States shareholders.</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U.S. shareholder will recognize distributions that we designate as capital gain dividends as long-term capital gain (to the extent they do not exceed our actual net capital gain for the taxable year) without regard to the period for which the U.S. shareholder has held its common shares. Subject to certain limitations, we will designate our capital gain dividends as either 20% or 25% rate distributions. A corporate U.S. shareholder, however, may be required to treat up to 20% of certain capital gain dividends as ordinary income.</w:t>
      </w:r>
    </w:p>
    <w:p>
      <w:pPr>
        <w:spacing w:after="0" w:line="13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U.S. shareholder would be taxed on its proportionate share of our undistributed long-term capital gain. The U.S. shareholder would receive a credit or refund for its proportionate share of the tax we paid. The U.S. shareholder would increase the basis in its stock by the amount of its proportionate share of our undistributed long-term capital gain, minus its share of the tax we paid.</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U.S. shareholder will not incur tax on a distribution to the extent it exceeds our current and accumulated earnings and profits if such distribution does not exceed the adjusted basis of the U.S. shareholder’s common shares. Instead, such distribution in excess of earnings and profits will reduce the adjusted basis of such common shares. To the extent a distribution exceeds both our current and accumulated earnings and profits and the U.S. shareholder’s adjusted basis in its common shares, the U.S. shareholder will recognize long-term capital gain (or short-term capital gain if the common shares have been held for one year or less), assuming the common shares are a capital asset in the hands of the U.S. shareholder. In addition, if we declare a distribution in October, November, or December of any year that is payable to a U.S. shareholder of record on a specified date in any such month, such distribution shall be treated as both paid by us and received by the U.S. shareholder on December 31 of such year, provided that we actually pay the distribution during January of the following calendar year. We will notify U.S. shareholders after the close of our taxable year as to the portions of the distributions attributable to that year that constitute ordinary income or capital gain dividends.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100" w:firstLine="456"/>
        <w:spacing w:after="0" w:line="316" w:lineRule="auto"/>
        <w:rPr>
          <w:sz w:val="20"/>
          <w:szCs w:val="20"/>
          <w:color w:val="auto"/>
        </w:rPr>
      </w:pPr>
      <w:r>
        <w:rPr>
          <w:rFonts w:ascii="Arial" w:cs="Arial" w:eastAsia="Arial" w:hAnsi="Arial"/>
          <w:sz w:val="15"/>
          <w:szCs w:val="15"/>
          <w:b w:val="1"/>
          <w:bCs w:val="1"/>
          <w:color w:val="auto"/>
        </w:rPr>
        <w:t xml:space="preserve">Taxation of U.S. Shareholders on the Disposition of the Common Shares. </w:t>
      </w:r>
      <w:r>
        <w:rPr>
          <w:rFonts w:ascii="Arial" w:cs="Arial" w:eastAsia="Arial" w:hAnsi="Arial"/>
          <w:sz w:val="15"/>
          <w:szCs w:val="15"/>
          <w:color w:val="auto"/>
        </w:rPr>
        <w:t>In general, a U.S. shareholder who is not a dealer in securities must treat</w:t>
      </w:r>
      <w:r>
        <w:rPr>
          <w:rFonts w:ascii="Arial" w:cs="Arial" w:eastAsia="Arial" w:hAnsi="Arial"/>
          <w:sz w:val="15"/>
          <w:szCs w:val="15"/>
          <w:b w:val="1"/>
          <w:bCs w:val="1"/>
          <w:color w:val="auto"/>
        </w:rPr>
        <w:t xml:space="preserve"> </w:t>
      </w:r>
      <w:r>
        <w:rPr>
          <w:rFonts w:ascii="Arial" w:cs="Arial" w:eastAsia="Arial" w:hAnsi="Arial"/>
          <w:sz w:val="15"/>
          <w:szCs w:val="15"/>
          <w:color w:val="auto"/>
        </w:rPr>
        <w:t>any gain or loss realized upon a taxable disposition of the common shares as long-term capital gain or loss if the U.S. shareholder has held the common stock for more than one year and otherwise as short-term capital gain or loss. However, a U.S. shareholder must treat any loss upon a sale or exchange of common shares held by such shareholder for six months or less (after applying certain holding period rules) as a long-term capital loss to the extent of capital gain dividends and other distributions from us that such U.S. shareholder treats as long-term capital gain. All or a portion of any loss a U.S. shareholder realizes upon a taxable disposition of the common shares may be disallowed if the U.S. shareholder purchases additional common shares within 30 days before or after the disposition.</w:t>
      </w:r>
    </w:p>
    <w:p>
      <w:pPr>
        <w:spacing w:after="0" w:line="8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color w:val="auto"/>
        </w:rPr>
        <w:t xml:space="preserve"> </w:t>
      </w:r>
      <w:r>
        <w:rPr>
          <w:rFonts w:ascii="Arial" w:cs="Arial" w:eastAsia="Arial" w:hAnsi="Arial"/>
          <w:sz w:val="16"/>
          <w:szCs w:val="16"/>
          <w:color w:val="auto"/>
        </w:rPr>
        <w:t>treated as long-term capital gain or loss. The highest marginal individual income tax rate for 2003 is 38.6%. The maximum tax rate on long-term capital gain applicable to non-corporate taxpayers is generally 20% for sales and exchanges of assets held for more than one year. The maximum tax rate on long-term capital gain from the sale or exchange of “Section 1250 property” (i.e., depreciable real property) is 25% to the extent that such gain would have been treated as ordinary income if the property were “Section 1245 property.” With respect to distributions that we designate as capital gain dividends and any retained capital gain that it is deemed to distribute, we may designate (subject to certain limits) whether such a distribution is taxable to our non-corporate shareholders at a 20% or 25% rate. Thus, the tax rate differential between capital gain and ordinary income for non-corporate taxpayers may be significant. A U.S. shareholder required to include retained long-term capital gains in income will be deemed to have paid, in the taxable year of the inclusion, its proportionate share of the tax paid by us in respect of such undistributed net capital gains. U.S. shareholders subject to these rules will be allowed a credit or a refund, as the case may be, for the tax deemed to have been paid by such shareholders. U.S. shareholders will increase their basis in their common shares by the difference between the amount of such includible gains and the tax deemed paid by the U.S. shareholder in respect of such gains.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0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Information Reporting Requirements and Backup Withholding. </w:t>
      </w:r>
      <w:r>
        <w:rPr>
          <w:rFonts w:ascii="Arial" w:cs="Arial" w:eastAsia="Arial" w:hAnsi="Arial"/>
          <w:sz w:val="16"/>
          <w:szCs w:val="16"/>
          <w:color w:val="auto"/>
        </w:rPr>
        <w:t>We will report to our shareholders and to the IRS the amount of distributions we pay</w:t>
      </w:r>
      <w:r>
        <w:rPr>
          <w:rFonts w:ascii="Arial" w:cs="Arial" w:eastAsia="Arial" w:hAnsi="Arial"/>
          <w:sz w:val="16"/>
          <w:szCs w:val="16"/>
          <w:b w:val="1"/>
          <w:bCs w:val="1"/>
          <w:color w:val="auto"/>
        </w:rPr>
        <w:t xml:space="preserve"> </w:t>
      </w:r>
      <w:r>
        <w:rPr>
          <w:rFonts w:ascii="Arial" w:cs="Arial" w:eastAsia="Arial" w:hAnsi="Arial"/>
          <w:sz w:val="16"/>
          <w:szCs w:val="16"/>
          <w:color w:val="auto"/>
        </w:rPr>
        <w:t>during each calendar year, and the amount of tax we withhold, if any. Under the backup withholding rules, a shareholder may be subject to backup withholding (at the rate of 30% for 2003) with respect to distributions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 amount paid as backup withholding will be creditable against the shareholder’s income tax liability. In addition, we may be required to withhold a portion of capital gain distributions to any shareholders who fail to certify their non-foreign status to us.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8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that ruling, amounts that we distribute to exempt organizations generally should not constitute UBTI. However, if an exempt organization were to finance its acquisition of common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it were a pension trust) divided by our total gross income for the year in which we pay the dividends. The UBTI rule applies to a pension trust holding more than 10% of our shares only if:</w:t>
      </w:r>
    </w:p>
    <w:p>
      <w:pPr>
        <w:spacing w:after="0" w:line="28" w:lineRule="exact"/>
        <w:rPr>
          <w:sz w:val="20"/>
          <w:szCs w:val="20"/>
          <w:color w:val="auto"/>
        </w:rPr>
      </w:pPr>
    </w:p>
    <w:p>
      <w:pPr>
        <w:ind w:left="640" w:hanging="18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03" w:lineRule="exact"/>
        <w:rPr>
          <w:rFonts w:ascii="Arial" w:cs="Arial" w:eastAsia="Arial" w:hAnsi="Arial"/>
          <w:sz w:val="18"/>
          <w:szCs w:val="18"/>
          <w:color w:val="auto"/>
        </w:rPr>
      </w:pPr>
    </w:p>
    <w:p>
      <w:pPr>
        <w:ind w:left="640" w:right="140" w:hanging="186"/>
        <w:spacing w:after="0" w:line="268"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37" w:lineRule="exact"/>
        <w:rPr>
          <w:rFonts w:ascii="Arial" w:cs="Arial" w:eastAsia="Arial" w:hAnsi="Arial"/>
          <w:sz w:val="18"/>
          <w:szCs w:val="18"/>
          <w:color w:val="auto"/>
        </w:rPr>
      </w:pPr>
    </w:p>
    <w:p>
      <w:pPr>
        <w:ind w:left="640" w:right="780" w:hanging="186"/>
        <w:spacing w:after="0" w:line="332" w:lineRule="auto"/>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7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83"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rules governing U.S. federal income taxation of nonresident alien individuals, foreign corporations, foreign partnerships, and other foreign shareholders (collectively, “non-U.S. shareholders”) are complex. This section is only a summary of such rules. We urge non-U.S. shareholders to consult their own tax advisors to determine the impact of federal, state, and local income tax laws on ownership of common shares, including any reporting requirements.</w:t>
      </w:r>
    </w:p>
    <w:p>
      <w:pPr>
        <w:spacing w:after="0" w:line="6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color w:val="auto"/>
        </w:rPr>
        <w:t xml:space="preserve">Ordinary Dividends. </w:t>
      </w:r>
      <w:r>
        <w:rPr>
          <w:rFonts w:ascii="Arial" w:cs="Arial" w:eastAsia="Arial" w:hAnsi="Arial"/>
          <w:sz w:val="16"/>
          <w:szCs w:val="16"/>
          <w:color w:val="auto"/>
        </w:rPr>
        <w:t>A non-U.S. shareholder that receives a distribution that is not attributable to gain from our sale or exchange of U.S. real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files IRS Form W-8BEN with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10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Return of Capital. </w:t>
      </w:r>
      <w:r>
        <w:rPr>
          <w:rFonts w:ascii="Arial" w:cs="Arial" w:eastAsia="Arial" w:hAnsi="Arial"/>
          <w:sz w:val="18"/>
          <w:szCs w:val="18"/>
          <w:color w:val="auto"/>
        </w:rPr>
        <w:t>A non-U.S. shareholder will not incur tax on a distribution to the extent it exceeds our current and accumulated earnings and profits if</w:t>
      </w:r>
      <w:r>
        <w:rPr>
          <w:rFonts w:ascii="Arial" w:cs="Arial" w:eastAsia="Arial" w:hAnsi="Arial"/>
          <w:sz w:val="18"/>
          <w:szCs w:val="18"/>
          <w:b w:val="1"/>
          <w:bCs w:val="1"/>
          <w:color w:val="auto"/>
        </w:rPr>
        <w:t xml:space="preserve"> </w:t>
      </w:r>
      <w:r>
        <w:rPr>
          <w:rFonts w:ascii="Arial" w:cs="Arial" w:eastAsia="Arial" w:hAnsi="Arial"/>
          <w:sz w:val="18"/>
          <w:szCs w:val="18"/>
          <w:color w:val="auto"/>
        </w:rPr>
        <w:t>such distribution does not exceed the adjusted basis of its common shares. Instead, such distribution in excess of earnings and profits will reduce the adjusted basis of such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common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common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Capital Gain Dividends. </w:t>
      </w:r>
      <w:r>
        <w:rPr>
          <w:rFonts w:ascii="Arial" w:cs="Arial" w:eastAsia="Arial" w:hAnsi="Arial"/>
          <w:sz w:val="16"/>
          <w:szCs w:val="16"/>
          <w:color w:val="auto"/>
        </w:rPr>
        <w:t>For any year in which we qualify as a REIT, a non-U.S. shareholder will incur tax on distributions that are attributable to gain</w:t>
      </w:r>
      <w:r>
        <w:rPr>
          <w:rFonts w:ascii="Arial" w:cs="Arial" w:eastAsia="Arial" w:hAnsi="Arial"/>
          <w:sz w:val="16"/>
          <w:szCs w:val="16"/>
          <w:b w:val="1"/>
          <w:bCs w:val="1"/>
          <w:color w:val="auto"/>
        </w:rPr>
        <w:t xml:space="preserve"> </w:t>
      </w:r>
      <w:r>
        <w:rPr>
          <w:rFonts w:ascii="Arial" w:cs="Arial" w:eastAsia="Arial" w:hAnsi="Arial"/>
          <w:sz w:val="16"/>
          <w:szCs w:val="16"/>
          <w:color w:val="auto"/>
        </w:rPr>
        <w:t>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U.S. shareholders (subject to applicable alternative minimum tax and a special alternative minimum tax in the case of a nonresident alien individual). A non-U.S. corporate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 xml:space="preserve">Sale of Shares. </w:t>
      </w:r>
      <w:r>
        <w:rPr>
          <w:rFonts w:ascii="Arial" w:cs="Arial" w:eastAsia="Arial" w:hAnsi="Arial"/>
          <w:sz w:val="16"/>
          <w:szCs w:val="16"/>
          <w:color w:val="auto"/>
        </w:rPr>
        <w:t>A non-U.S. shareholder generally will not incur tax under FIRPTA on gain from the sale of its common shares as long as we are a</w:t>
      </w:r>
      <w:r>
        <w:rPr>
          <w:rFonts w:ascii="Arial" w:cs="Arial" w:eastAsia="Arial" w:hAnsi="Arial"/>
          <w:sz w:val="16"/>
          <w:szCs w:val="16"/>
          <w:b w:val="1"/>
          <w:bCs w:val="1"/>
          <w:color w:val="auto"/>
        </w:rPr>
        <w:t xml:space="preserve"> </w:t>
      </w:r>
      <w:r>
        <w:rPr>
          <w:rFonts w:ascii="Arial" w:cs="Arial" w:eastAsia="Arial" w:hAnsi="Arial"/>
          <w:sz w:val="16"/>
          <w:szCs w:val="16"/>
          <w:color w:val="auto"/>
        </w:rPr>
        <w:t>“domestically controlled REIT.” A “domestically controlled REIT” is a REIT in which at all times during a specified testing period non-U.S. persons held, directly or indirectly, less than 50% in value of the stock. We anticipate that we will continue to be a “domestically controlled REIT.” In addition, a non-U.S. shareholder that owns, actually or constructively, 5% or less of outstanding common shares at all times during a specified testing period will not incur tax under FIRPTA if the common shares are “regularly traded” on an established securities market. If neither of these exceptions were to apply, the gain on the sale of the common shares would be taxed under FIRPTA, in which case a non-U.S. shareholder would be taxed in the same manner as U.S. shareholders with respect to such gain (subject to applicable alternative minimum tax and a special alternative minimum tax in the case of nonresident alien individuals.</w:t>
      </w:r>
    </w:p>
    <w:p>
      <w:pPr>
        <w:spacing w:after="0" w:line="10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93"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Backup Withholding. </w:t>
      </w:r>
      <w:r>
        <w:rPr>
          <w:rFonts w:ascii="Arial" w:cs="Arial" w:eastAsia="Arial" w:hAnsi="Arial"/>
          <w:sz w:val="18"/>
          <w:szCs w:val="18"/>
          <w:color w:val="auto"/>
        </w:rPr>
        <w:t>Backup withholding tax (which generally is withholding tax, imposed at the rate of 30% in 2003, on certain payments to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that fail to furnish certain information under the United States information reporting requirements) and information reporting will generally not apply to distributions to a</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49" w:lineRule="exact"/>
        <w:rPr>
          <w:sz w:val="20"/>
          <w:szCs w:val="20"/>
          <w:color w:val="auto"/>
        </w:rPr>
      </w:pPr>
    </w:p>
    <w:p>
      <w:pPr>
        <w:ind w:left="640" w:hanging="18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U.S. shareholders) for U.S. tax purposes; or</w:t>
      </w:r>
    </w:p>
    <w:p>
      <w:pPr>
        <w:spacing w:after="0" w:line="103" w:lineRule="exact"/>
        <w:rPr>
          <w:rFonts w:ascii="Arial" w:cs="Arial" w:eastAsia="Arial" w:hAnsi="Arial"/>
          <w:sz w:val="18"/>
          <w:szCs w:val="18"/>
          <w:color w:val="auto"/>
        </w:rPr>
      </w:pPr>
    </w:p>
    <w:p>
      <w:pPr>
        <w:ind w:left="640" w:right="120" w:hanging="186"/>
        <w:spacing w:after="0" w:line="268"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50% or more of its income or capital interest are held by U.S. persons or if it is engaged in the conduct of a trade or business in the U.S.,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Consequences</w:t>
      </w:r>
    </w:p>
    <w:p>
      <w:pPr>
        <w:spacing w:after="0" w:line="77"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b w:val="1"/>
          <w:b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may sell securities from time to time in one or more transactions on a negotiated or competitive bid basis to or through one or more underwriters or dealers on a firm commitment or best efforts basis, in the over-the-counter market, on any national securities exchange or automated quotation system on which the securities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 We may also sell securities directly to institutional investors or other purchasers or through agents. We will identify any underwriter, dealer or agent involved in the offer and sale of securities, and any applicable commissions, discounts and other items constituting compensation to such underwriters, dealers or agents, in a prospectus supplement. Underwriters and agents from time to time may include Brinson Patrick Securities Corporation.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77" w:lineRule="exact"/>
        <w:rPr>
          <w:sz w:val="20"/>
          <w:szCs w:val="20"/>
          <w:color w:val="auto"/>
        </w:rPr>
      </w:pPr>
    </w:p>
    <w:p>
      <w:pPr>
        <w:ind w:left="640" w:right="40" w:hanging="186"/>
        <w:spacing w:after="0" w:line="268"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640" w:hanging="18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purchases by a dealer as principal and resale by such dealer for its account pursuant to this prospectus or any prospectus supplement;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640" w:hanging="18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85"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9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0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0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securities may or may not be listed on a national securities exchange or traded in the over-the-counter market (other than the common shares, the Series A preferred shares and the Series B preferred shares, each of which are quoted on The New York Stock Exchange). No assurance can be given as to the liquidity of the trading market for any such securities.</w:t>
      </w:r>
    </w:p>
    <w:p>
      <w:pPr>
        <w:spacing w:after="0" w:line="12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Certain legal matters in connection with any offering of securities made by this prospectus will be passed upon for us by Shaw Pittman LLP, a law partnership including professional corporations. In addition, the description of federal income tax consequences contained in this prospectus under “Federal Income Tax Consequences” is, to the extent that it constitutes matters of law, summaries of legal matters or legal conclusions, the opinion of Shaw Pittman LLP.</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consolidated balance sheet as of December 31, 2002 and the consolidated statements of operations, common shareholders’ equity and cash flows for the year ended December 31, 2002 appearing in our Annual Report on Form 10-K for the fiscal year ended December 31, 2002 and incorporated by reference into this prospectus and elsewhere in the registration statement, have been audited by Grant Thornton LLP, independent public accountants, as indicated in their report with respect thereto, and are incorporated by reference herein and therein in reliance upon the authority of said firm as experts in giving said report.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ARTHUR ANDERSEN LLP</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On June 4, 2002, we announced that we had appointed Grant Thornton LLP as our independent auditor for fiscal year 2002, replacing Arthur Andersen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1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Section 11(a) of the Securities Act of 1933, as amended,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the registration statement (unless it is proved that at the time of the acquisition the person knew of the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the registration statement, report or valuation which purports to have been prepared or certified by the accountant.</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Prior to the date of this prospectus, the Arthur Andersen partners who reviewed our audited financial statements, as of December 31, 2001 and for each of the years ended December 31, 2001 and 2000, resigned from Arthur Andersen. As a result, after reasonable efforts, we have been unable to obtain Arthur Andersen’s written consent to the incorporation by reference into this registration statement of its audit reports with respect to those financial statements.</w:t>
      </w:r>
    </w:p>
    <w:p>
      <w:pPr>
        <w:spacing w:after="0" w:line="9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Under these circumstances, Rule 437a under the Securities Act permits us to file this registration statement without a written consent from Arthur Andersen. Accordingly, Arthur Andersen will not be liable to you under Section 11(a) of the Securities Act because it has not consented to being named as an expert in the registration statement.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We file annual, quarterly and special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Public Reference Section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Room 1200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filings made with the SEC under Sections 13(a), 13(c), 14, or 15(d) of the Securities Exchange Act (Exchange Act File No. 1-07533) made from the date of this prospectus until we sell all of the securities under this prospectus as supplemented.</w:t>
      </w:r>
    </w:p>
    <w:p>
      <w:pPr>
        <w:spacing w:after="0" w:line="105" w:lineRule="exact"/>
        <w:rPr>
          <w:sz w:val="20"/>
          <w:szCs w:val="20"/>
          <w:color w:val="auto"/>
        </w:rPr>
      </w:pPr>
    </w:p>
    <w:p>
      <w:pPr>
        <w:ind w:left="640" w:hanging="18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2002;</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2003; and</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March 25, 2003.</w:t>
      </w:r>
    </w:p>
    <w:p>
      <w:pPr>
        <w:spacing w:after="0" w:line="1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Copies of these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Amendments to these filings will be posted to our website as soon as reasonably practical after filing with the SEC. 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direct your request to: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 or (301) 658-8980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300355</wp:posOffset>
            </wp:positionV>
            <wp:extent cx="1655445" cy="13633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5544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2019"/>
        <w:spacing w:after="0"/>
        <w:rPr>
          <w:sz w:val="20"/>
          <w:szCs w:val="20"/>
          <w:color w:val="auto"/>
        </w:rPr>
      </w:pPr>
      <w:r>
        <w:rPr>
          <w:rFonts w:ascii="Arial" w:cs="Arial" w:eastAsia="Arial" w:hAnsi="Arial"/>
          <w:sz w:val="24"/>
          <w:szCs w:val="24"/>
          <w:b w:val="1"/>
          <w:bCs w:val="1"/>
          <w:color w:val="32406B"/>
        </w:rPr>
        <w:t>2,814,126 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280035</wp:posOffset>
            </wp:positionV>
            <wp:extent cx="15347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32406B"/>
        </w:rPr>
        <w:t>PROSPECTUS SUPPLEMENT</w:t>
      </w:r>
    </w:p>
    <w:p>
      <w:pPr>
        <w:spacing w:after="0" w:line="15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32406B"/>
        </w:rPr>
        <w:t>May 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320"/>
        <w:spacing w:after="0"/>
        <w:rPr>
          <w:sz w:val="20"/>
          <w:szCs w:val="20"/>
          <w:color w:val="auto"/>
        </w:rPr>
      </w:pPr>
      <w:r>
        <w:rPr>
          <w:rFonts w:ascii="Arial" w:cs="Arial" w:eastAsia="Arial" w:hAnsi="Arial"/>
          <w:sz w:val="32"/>
          <w:szCs w:val="32"/>
          <w:b w:val="1"/>
          <w:bCs w:val="1"/>
          <w:color w:val="32406B"/>
        </w:rPr>
        <w:t>Wachovia Securities</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lvl w:ilvl="1">
      <w:lvlJc w:val="left"/>
      <w:lvlText w:val="•"/>
      <w:numFmt w:val="bullet"/>
      <w:start w:val="1"/>
    </w:lvl>
  </w:abstractNum>
  <w:abstractNum w:abstractNumId="22">
    <w:nsid w:val="1BA026FA"/>
    <w:multiLevelType w:val="hybridMultilevel"/>
    <w:lvl w:ilvl="0">
      <w:lvlJc w:val="left"/>
      <w:lvlText w:val="•"/>
      <w:numFmt w:val="bullet"/>
      <w:start w:val="1"/>
    </w:lvl>
    <w:lvl w:ilvl="1">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1."/>
      <w:numFmt w:val="decimal"/>
      <w:start w:val="1"/>
    </w:lvl>
    <w:lvl w:ilvl="1">
      <w:lvlJc w:val="left"/>
      <w:lvlText w:val="(%2)"/>
      <w:numFmt w:val="lowerLetter"/>
      <w:start w:val="1"/>
    </w:lvl>
  </w:abstractNum>
  <w:abstractNum w:abstractNumId="29">
    <w:nsid w:val="4F4EF005"/>
    <w:multiLevelType w:val="hybridMultilevel"/>
    <w:lvl w:ilvl="0">
      <w:lvlJc w:val="left"/>
      <w:lvlText w:val="%1."/>
      <w:numFmt w:val="decimal"/>
      <w:start w:val="7"/>
    </w:lvl>
    <w:lvl w:ilvl="1">
      <w:lvlJc w:val="left"/>
      <w:lvlText w:val="(%2)"/>
      <w:numFmt w:val="lowerLetter"/>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lvl w:ilvl="1">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lvl w:ilvl="1">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1."/>
      <w:numFmt w:val="decimal"/>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lvl w:ilvl="1">
      <w:lvlJc w:val="left"/>
      <w:lvlText w:val="•"/>
      <w:numFmt w:val="bullet"/>
      <w:start w:val="1"/>
    </w:lvl>
  </w:abstractNum>
  <w:abstractNum w:abstractNumId="72">
    <w:nsid w:val="613EFDC5"/>
    <w:multiLevelType w:val="hybridMultilevel"/>
    <w:lvl w:ilvl="0">
      <w:lvlJc w:val="left"/>
      <w:lvlText w:val="(%1)"/>
      <w:numFmt w:val="upperLetter"/>
      <w:start w:val="2"/>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
      <w:numFmt w:val="bullet"/>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2019-12-13T00:59:03Z</dcterms:created>
  <dcterms:modified xsi:type="dcterms:W3CDTF">2019-12-13T00:59:03Z</dcterms:modified>
</cp:coreProperties>
</file>