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333-203999</w:t>
      </w:r>
    </w:p>
    <w:p>
      <w:pPr>
        <w:spacing w:after="0" w:line="139" w:lineRule="exact"/>
        <w:rPr>
          <w:sz w:val="24"/>
          <w:szCs w:val="24"/>
          <w:color w:val="auto"/>
        </w:rPr>
      </w:pPr>
    </w:p>
    <w:p>
      <w:pPr>
        <w:ind w:right="240"/>
        <w:spacing w:after="0" w:line="261" w:lineRule="auto"/>
        <w:rPr>
          <w:sz w:val="20"/>
          <w:szCs w:val="20"/>
          <w:color w:val="auto"/>
        </w:rPr>
      </w:pPr>
      <w:r>
        <w:rPr>
          <w:rFonts w:ascii="Arial" w:cs="Arial" w:eastAsia="Arial" w:hAnsi="Arial"/>
          <w:sz w:val="18"/>
          <w:szCs w:val="18"/>
          <w:b w:val="1"/>
          <w:bCs w:val="1"/>
          <w:color w:val="FF4338"/>
        </w:rPr>
        <w:t>The information in this preliminary prospectus supplement and the accompanying prospectus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we are not soliciting offers to buy these securities in any jurisdiction where the offer or sale is not permitted.</w:t>
      </w:r>
    </w:p>
    <w:p>
      <w:pPr>
        <w:spacing w:after="0" w:line="113"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FF4338"/>
        </w:rPr>
        <w:t>SUBJECT TO COMPLETION, DATED SEPTEMBER 25, 2017</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8, 2015)</w:t>
      </w:r>
    </w:p>
    <w:p>
      <w:pPr>
        <w:spacing w:after="0" w:line="184" w:lineRule="exact"/>
        <w:rPr>
          <w:sz w:val="24"/>
          <w:szCs w:val="24"/>
          <w:color w:val="auto"/>
        </w:rPr>
      </w:pPr>
    </w:p>
    <w:p>
      <w:pPr>
        <w:ind w:left="4940"/>
        <w:spacing w:after="0"/>
        <w:rPr>
          <w:sz w:val="20"/>
          <w:szCs w:val="20"/>
          <w:color w:val="auto"/>
        </w:rPr>
      </w:pPr>
      <w:r>
        <w:rPr>
          <w:rFonts w:ascii="Arial" w:cs="Arial" w:eastAsia="Arial" w:hAnsi="Arial"/>
          <w:sz w:val="32"/>
          <w:szCs w:val="32"/>
          <w:b w:val="1"/>
          <w:bCs w:val="1"/>
          <w:color w:val="auto"/>
        </w:rPr>
        <w:t>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178435</wp:posOffset>
            </wp:positionV>
            <wp:extent cx="3147060" cy="926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47060" cy="926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tabs>
          <w:tab w:leader="none" w:pos="300" w:val="left"/>
        </w:tabs>
        <w:rPr>
          <w:sz w:val="20"/>
          <w:szCs w:val="20"/>
          <w:color w:val="auto"/>
        </w:rPr>
      </w:pPr>
      <w:r>
        <w:rPr>
          <w:rFonts w:ascii="Arial" w:cs="Arial" w:eastAsia="Arial" w:hAnsi="Arial"/>
          <w:sz w:val="25"/>
          <w:szCs w:val="25"/>
          <w:b w:val="1"/>
          <w:bCs w:val="1"/>
          <w:color w:val="auto"/>
        </w:rPr>
        <w:t>Each Representing 1/1000 of a</w:t>
      </w:r>
      <w:r>
        <w:rPr>
          <w:sz w:val="20"/>
          <w:szCs w:val="20"/>
          <w:color w:val="auto"/>
        </w:rPr>
        <w:tab/>
      </w:r>
      <w:r>
        <w:rPr>
          <w:rFonts w:ascii="Arial" w:cs="Arial" w:eastAsia="Arial" w:hAnsi="Arial"/>
          <w:sz w:val="23"/>
          <w:szCs w:val="23"/>
          <w:b w:val="1"/>
          <w:bCs w:val="1"/>
          <w:color w:val="auto"/>
        </w:rPr>
        <w:t>% Series 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Cumulative Redeemable Preferred Share of Beneficial Interest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(Liquidation Preference Equivalent to $25.00 Per Depositary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246380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right="20" w:firstLine="456"/>
        <w:spacing w:after="0" w:line="259" w:lineRule="auto"/>
        <w:rPr>
          <w:sz w:val="20"/>
          <w:szCs w:val="20"/>
          <w:color w:val="auto"/>
        </w:rPr>
      </w:pPr>
      <w:r>
        <w:rPr>
          <w:rFonts w:ascii="Arial" w:cs="Arial" w:eastAsia="Arial" w:hAnsi="Arial"/>
          <w:sz w:val="18"/>
          <w:szCs w:val="18"/>
          <w:color w:val="auto"/>
        </w:rPr>
        <w:t>We are offering and selling of our depositary shares, each of which represents 1/1000 of a % Series C Cumulative Redeemable Preferred Share of Beneficial Interest that we have deposited with The American Stock Transfer &amp; Trust Company, LLC as depositary. We will receive the net proceeds from the sale of the depositary shares. As a holder of a depositary share, you will be entitled to proportional rights and preferences as if you held 1/1000 of a Series C preferred share.</w:t>
      </w:r>
    </w:p>
    <w:p>
      <w:pPr>
        <w:spacing w:after="0" w:line="187" w:lineRule="exact"/>
        <w:rPr>
          <w:sz w:val="24"/>
          <w:szCs w:val="24"/>
          <w:color w:val="auto"/>
        </w:rPr>
      </w:pPr>
    </w:p>
    <w:p>
      <w:pPr>
        <w:ind w:right="20" w:firstLine="456"/>
        <w:spacing w:after="0" w:line="288" w:lineRule="auto"/>
        <w:rPr>
          <w:sz w:val="20"/>
          <w:szCs w:val="20"/>
          <w:color w:val="auto"/>
        </w:rPr>
      </w:pPr>
      <w:r>
        <w:rPr>
          <w:rFonts w:ascii="Arial" w:cs="Arial" w:eastAsia="Arial" w:hAnsi="Arial"/>
          <w:sz w:val="16"/>
          <w:szCs w:val="16"/>
          <w:color w:val="auto"/>
        </w:rPr>
        <w:t>Dividends on the Series C preferred shares represented by the depositary shares will be cumulative from, and including, the date of original issue and will be payable, subject to authorization by our board of trustees and declaration by us, quarterly in arrears on January 15, April 15, July 15 and October 15 of each year (or, if such date is not a business day, on the next succeeding business day), commencing on January 15, 2018, at the rate of % of the $25,000.00</w:t>
      </w:r>
    </w:p>
    <w:p>
      <w:pPr>
        <w:spacing w:after="0"/>
        <w:tabs>
          <w:tab w:leader="none" w:pos="2980" w:val="left"/>
          <w:tab w:leader="none" w:pos="6200" w:val="left"/>
        </w:tabs>
        <w:rPr>
          <w:sz w:val="20"/>
          <w:szCs w:val="20"/>
          <w:color w:val="auto"/>
        </w:rPr>
      </w:pPr>
      <w:r>
        <w:rPr>
          <w:rFonts w:ascii="Arial" w:cs="Arial" w:eastAsia="Arial" w:hAnsi="Arial"/>
          <w:sz w:val="18"/>
          <w:szCs w:val="18"/>
          <w:color w:val="auto"/>
        </w:rPr>
        <w:t>liquidation preference per year, or $</w:t>
      </w:r>
      <w:r>
        <w:rPr>
          <w:sz w:val="20"/>
          <w:szCs w:val="20"/>
          <w:color w:val="auto"/>
        </w:rPr>
        <w:tab/>
      </w:r>
      <w:r>
        <w:rPr>
          <w:rFonts w:ascii="Arial" w:cs="Arial" w:eastAsia="Arial" w:hAnsi="Arial"/>
          <w:sz w:val="18"/>
          <w:szCs w:val="18"/>
          <w:color w:val="auto"/>
        </w:rPr>
        <w:t>per Series C preferred share (equal to $</w:t>
      </w:r>
      <w:r>
        <w:rPr>
          <w:sz w:val="20"/>
          <w:szCs w:val="20"/>
          <w:color w:val="auto"/>
        </w:rPr>
        <w:tab/>
      </w:r>
      <w:r>
        <w:rPr>
          <w:rFonts w:ascii="Arial" w:cs="Arial" w:eastAsia="Arial" w:hAnsi="Arial"/>
          <w:sz w:val="15"/>
          <w:szCs w:val="15"/>
          <w:color w:val="auto"/>
        </w:rPr>
        <w:t>per year per depositary share).</w:t>
      </w:r>
    </w:p>
    <w:p>
      <w:pPr>
        <w:spacing w:after="0" w:line="21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Except in certain circumstances relating to the preservation of our status as a real estate investment trust, or REIT, the Series C preferred shares and the</w:t>
      </w:r>
    </w:p>
    <w:p>
      <w:pPr>
        <w:spacing w:after="0" w:line="46" w:lineRule="exact"/>
        <w:rPr>
          <w:sz w:val="24"/>
          <w:szCs w:val="24"/>
          <w:color w:val="auto"/>
        </w:rPr>
      </w:pPr>
    </w:p>
    <w:p>
      <w:pPr>
        <w:ind w:right="80"/>
        <w:spacing w:after="0" w:line="295" w:lineRule="auto"/>
        <w:rPr>
          <w:sz w:val="20"/>
          <w:szCs w:val="20"/>
          <w:color w:val="auto"/>
        </w:rPr>
      </w:pPr>
      <w:r>
        <w:rPr>
          <w:rFonts w:ascii="Arial" w:cs="Arial" w:eastAsia="Arial" w:hAnsi="Arial"/>
          <w:sz w:val="16"/>
          <w:szCs w:val="16"/>
          <w:color w:val="auto"/>
        </w:rPr>
        <w:t>depositary shares representing the Series C preferred shares are not redeemable until , 2022. On or after , 2022, we may redeem the Series C preferred shares (and cause the redemption of the depositary shares) for cash at our option, in whole or in part, at a redemption price of $25,000.00 per Series C preferred share (equal to $25.00 per depositary share), plus accrued and unpaid dividends, if any, to, but excluding, the date of redemption. The Series C preferred shares and the depositary shares have no maturity date and will remain outstanding in perpetuity unless redeemed or otherwise repurchased by us.</w:t>
      </w:r>
    </w:p>
    <w:p>
      <w:pPr>
        <w:spacing w:after="0" w:line="162" w:lineRule="exact"/>
        <w:rPr>
          <w:sz w:val="24"/>
          <w:szCs w:val="24"/>
          <w:color w:val="auto"/>
        </w:rPr>
      </w:pPr>
    </w:p>
    <w:p>
      <w:pPr>
        <w:ind w:right="140" w:firstLine="456"/>
        <w:spacing w:after="0" w:line="264" w:lineRule="auto"/>
        <w:rPr>
          <w:sz w:val="20"/>
          <w:szCs w:val="20"/>
          <w:color w:val="auto"/>
        </w:rPr>
      </w:pPr>
      <w:r>
        <w:rPr>
          <w:rFonts w:ascii="Arial" w:cs="Arial" w:eastAsia="Arial" w:hAnsi="Arial"/>
          <w:sz w:val="18"/>
          <w:szCs w:val="18"/>
          <w:color w:val="auto"/>
        </w:rPr>
        <w:t>Currently, no market exists for the depositary shares or Series C preferred shares. We intend to file an application to list the depositary shares on the New York Stock Exchange, or NYSE under the symbol “FRTPRC”. If the application is approved, trading of the depositary shares on the NYSE is expected to begin within 30 days after the date of initial delivery of the depositary shares to the underwriters.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right="140" w:firstLine="456"/>
        <w:spacing w:after="0" w:line="237"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depositary shares and underlying Series C preferred shares involves risks. See the information under the captions “</w:t>
      </w:r>
      <w:hyperlink w:anchor="page1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S-7 of this prospectus supplement and on page 3 of the accompanying prospectus, as well as the information under the caption “Risk Factors” in our Annual Report on Form 10-K for the year ended December 31, 2016, which is incorporated by reference in this prospectus supplement and the accompanying prospectus.</w:t>
      </w:r>
    </w:p>
    <w:p>
      <w:pPr>
        <w:spacing w:after="0" w:line="192" w:lineRule="exact"/>
        <w:rPr>
          <w:sz w:val="24"/>
          <w:szCs w:val="24"/>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Neither the Securities and Exchange Commission, or SEC, nor any state or other securities commission has approved or disapproved of these securities or determined if this prospectus supplement or the accompanying prospectus is truthful or complete. Any representation to the contrary is a criminal offense.</w:t>
      </w:r>
    </w:p>
    <w:p>
      <w:pPr>
        <w:spacing w:after="0" w:line="186"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7"/>
              </w:rPr>
              <w:t>Per</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520" w:type="dxa"/>
            <w:vAlign w:val="bottom"/>
            <w:gridSpan w:val="4"/>
          </w:tcPr>
          <w:p>
            <w:pPr>
              <w:ind w:left="340"/>
              <w:spacing w:after="0" w:line="149" w:lineRule="exact"/>
              <w:rPr>
                <w:sz w:val="20"/>
                <w:szCs w:val="20"/>
                <w:color w:val="auto"/>
              </w:rPr>
            </w:pPr>
            <w:r>
              <w:rPr>
                <w:rFonts w:ascii="Arial" w:cs="Arial" w:eastAsia="Arial" w:hAnsi="Arial"/>
                <w:sz w:val="14"/>
                <w:szCs w:val="14"/>
                <w:b w:val="1"/>
                <w:bCs w:val="1"/>
                <w:color w:val="auto"/>
              </w:rPr>
              <w:t>Depositary</w:t>
            </w:r>
          </w:p>
        </w:tc>
        <w:tc>
          <w:tcPr>
            <w:tcW w:w="6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Share</w:t>
            </w:r>
          </w:p>
        </w:tc>
        <w:tc>
          <w:tcPr>
            <w:tcW w:w="6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Public offering price </w:t>
            </w:r>
            <w:r>
              <w:rPr>
                <w:rFonts w:ascii="Arial" w:cs="Arial" w:eastAsia="Arial" w:hAnsi="Arial"/>
                <w:sz w:val="15"/>
                <w:szCs w:val="15"/>
                <w:color w:val="auto"/>
              </w:rPr>
              <w:t>(1)</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40" w:type="dxa"/>
            <w:vAlign w:val="bottom"/>
          </w:tcPr>
          <w:p>
            <w:pPr>
              <w:spacing w:after="0" w:line="201" w:lineRule="exact"/>
              <w:rPr>
                <w:sz w:val="20"/>
                <w:szCs w:val="20"/>
                <w:color w:val="auto"/>
              </w:rPr>
            </w:pPr>
            <w:r>
              <w:rPr>
                <w:rFonts w:ascii="Arial" w:cs="Arial" w:eastAsia="Arial" w:hAnsi="Arial"/>
                <w:sz w:val="18"/>
                <w:szCs w:val="18"/>
                <w:color w:val="auto"/>
              </w:rPr>
              <w:t>Underwriting discount (retail/institutional)</w:t>
            </w:r>
          </w:p>
        </w:tc>
        <w:tc>
          <w:tcPr>
            <w:tcW w:w="46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(2)</w:t>
            </w:r>
          </w:p>
        </w:tc>
        <w:tc>
          <w:tcPr>
            <w:tcW w:w="64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8"/>
        </w:trPr>
        <w:tc>
          <w:tcPr>
            <w:tcW w:w="6240" w:type="dxa"/>
            <w:vAlign w:val="bottom"/>
          </w:tcPr>
          <w:p>
            <w:pPr>
              <w:spacing w:after="0" w:line="178" w:lineRule="exact"/>
              <w:rPr>
                <w:sz w:val="20"/>
                <w:szCs w:val="20"/>
                <w:color w:val="auto"/>
              </w:rPr>
            </w:pPr>
            <w:r>
              <w:rPr>
                <w:rFonts w:ascii="Arial" w:cs="Arial" w:eastAsia="Arial" w:hAnsi="Arial"/>
                <w:sz w:val="18"/>
                <w:szCs w:val="18"/>
                <w:color w:val="auto"/>
                <w:w w:val="95"/>
              </w:rPr>
              <w:t>Proceeds to Federal Realty Investment Trust, before expenses (retail/institutional)</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880110</wp:posOffset>
            </wp:positionH>
            <wp:positionV relativeFrom="paragraph">
              <wp:posOffset>-103505</wp:posOffset>
            </wp:positionV>
            <wp:extent cx="5505450" cy="240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5450" cy="2400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340" w:type="dxa"/>
            <w:vAlign w:val="bottom"/>
          </w:tcPr>
          <w:p>
            <w:pPr>
              <w:spacing w:after="0"/>
              <w:rPr>
                <w:sz w:val="20"/>
                <w:szCs w:val="20"/>
                <w:color w:val="auto"/>
              </w:rPr>
            </w:pPr>
          </w:p>
        </w:tc>
        <w:tc>
          <w:tcPr>
            <w:tcW w:w="3120" w:type="dxa"/>
            <w:vAlign w:val="bottom"/>
            <w:gridSpan w:val="2"/>
          </w:tcPr>
          <w:p>
            <w:pPr>
              <w:jc w:val="right"/>
              <w:ind w:right="1540"/>
              <w:spacing w:after="0"/>
              <w:rPr>
                <w:sz w:val="20"/>
                <w:szCs w:val="20"/>
                <w:color w:val="auto"/>
              </w:rPr>
            </w:pPr>
            <w:r>
              <w:rPr>
                <w:rFonts w:ascii="Arial" w:cs="Arial" w:eastAsia="Arial" w:hAnsi="Arial"/>
                <w:sz w:val="15"/>
                <w:szCs w:val="15"/>
                <w:color w:val="auto"/>
              </w:rPr>
              <w:t>(1)(3)</w:t>
            </w:r>
          </w:p>
        </w:tc>
        <w:tc>
          <w:tcPr>
            <w:tcW w:w="576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510"/>
              <w:spacing w:after="0"/>
              <w:rPr>
                <w:sz w:val="20"/>
                <w:szCs w:val="20"/>
                <w:color w:val="auto"/>
              </w:rPr>
            </w:pPr>
            <w:r>
              <w:rPr>
                <w:rFonts w:ascii="Arial" w:cs="Arial" w:eastAsia="Arial" w:hAnsi="Arial"/>
                <w:sz w:val="18"/>
                <w:szCs w:val="18"/>
                <w:color w:val="auto"/>
              </w:rPr>
              <w:t>$</w:t>
            </w:r>
          </w:p>
        </w:tc>
      </w:tr>
      <w:tr>
        <w:trPr>
          <w:trHeight w:val="116"/>
        </w:trPr>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60" w:type="dxa"/>
            <w:vAlign w:val="bottom"/>
            <w:gridSpan w:val="2"/>
          </w:tcPr>
          <w:p>
            <w:pPr>
              <w:spacing w:after="0"/>
              <w:rPr>
                <w:sz w:val="10"/>
                <w:szCs w:val="10"/>
                <w:color w:val="auto"/>
              </w:rPr>
            </w:pPr>
          </w:p>
        </w:tc>
        <w:tc>
          <w:tcPr>
            <w:tcW w:w="1920" w:type="dxa"/>
            <w:vAlign w:val="bottom"/>
          </w:tcPr>
          <w:p>
            <w:pPr>
              <w:spacing w:after="0"/>
              <w:rPr>
                <w:sz w:val="10"/>
                <w:szCs w:val="10"/>
                <w:color w:val="auto"/>
              </w:rPr>
            </w:pPr>
          </w:p>
        </w:tc>
      </w:tr>
      <w:tr>
        <w:trPr>
          <w:trHeight w:val="222"/>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(1)</w:t>
            </w: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rPr>
              <w:t>Plus accrued dividends, if any, from September   , 2017 if settlement occurs after that date.</w:t>
            </w:r>
          </w:p>
        </w:tc>
        <w:tc>
          <w:tcPr>
            <w:tcW w:w="1920" w:type="dxa"/>
            <w:vAlign w:val="bottom"/>
          </w:tcPr>
          <w:p>
            <w:pPr>
              <w:spacing w:after="0"/>
              <w:rPr>
                <w:sz w:val="19"/>
                <w:szCs w:val="19"/>
                <w:color w:val="auto"/>
              </w:rPr>
            </w:pPr>
          </w:p>
        </w:tc>
      </w:tr>
      <w:tr>
        <w:trPr>
          <w:trHeight w:val="216"/>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(2)</w:t>
            </w: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w w:val="99"/>
              </w:rPr>
              <w:t>The underwriting discount will equal $</w:t>
            </w:r>
          </w:p>
        </w:tc>
        <w:tc>
          <w:tcPr>
            <w:tcW w:w="5760" w:type="dxa"/>
            <w:vAlign w:val="bottom"/>
          </w:tcPr>
          <w:p>
            <w:pPr>
              <w:jc w:val="right"/>
              <w:ind w:right="110"/>
              <w:spacing w:after="0"/>
              <w:rPr>
                <w:sz w:val="20"/>
                <w:szCs w:val="20"/>
                <w:color w:val="auto"/>
              </w:rPr>
            </w:pPr>
            <w:r>
              <w:rPr>
                <w:rFonts w:ascii="Arial" w:cs="Arial" w:eastAsia="Arial" w:hAnsi="Arial"/>
                <w:sz w:val="18"/>
                <w:szCs w:val="18"/>
                <w:color w:val="auto"/>
                <w:w w:val="92"/>
              </w:rPr>
              <w:t>per depositary share for each depositary share sold to retail accounts and $</w:t>
            </w:r>
          </w:p>
        </w:tc>
        <w:tc>
          <w:tcPr>
            <w:tcW w:w="1920" w:type="dxa"/>
            <w:vAlign w:val="bottom"/>
          </w:tcPr>
          <w:p>
            <w:pPr>
              <w:jc w:val="right"/>
              <w:spacing w:after="0"/>
              <w:rPr>
                <w:sz w:val="20"/>
                <w:szCs w:val="20"/>
                <w:color w:val="auto"/>
              </w:rPr>
            </w:pPr>
            <w:r>
              <w:rPr>
                <w:rFonts w:ascii="Arial" w:cs="Arial" w:eastAsia="Arial" w:hAnsi="Arial"/>
                <w:sz w:val="18"/>
                <w:szCs w:val="18"/>
                <w:color w:val="auto"/>
                <w:w w:val="99"/>
              </w:rPr>
              <w:t>per depositary share for</w:t>
            </w:r>
          </w:p>
        </w:tc>
      </w:tr>
      <w:tr>
        <w:trPr>
          <w:trHeight w:val="230"/>
        </w:trPr>
        <w:tc>
          <w:tcPr>
            <w:tcW w:w="340" w:type="dxa"/>
            <w:vAlign w:val="bottom"/>
          </w:tcPr>
          <w:p>
            <w:pPr>
              <w:spacing w:after="0"/>
              <w:rPr>
                <w:sz w:val="20"/>
                <w:szCs w:val="20"/>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rPr>
              <w:t>each depositary share sold to institutional accounts. See “Underwriting (Conflicts of Interest).”</w:t>
            </w:r>
          </w:p>
        </w:tc>
        <w:tc>
          <w:tcPr>
            <w:tcW w:w="1920" w:type="dxa"/>
            <w:vAlign w:val="bottom"/>
          </w:tcPr>
          <w:p>
            <w:pPr>
              <w:spacing w:after="0"/>
              <w:rPr>
                <w:sz w:val="20"/>
                <w:szCs w:val="20"/>
                <w:color w:val="auto"/>
              </w:rPr>
            </w:pPr>
          </w:p>
        </w:tc>
      </w:tr>
    </w:tbl>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additional depositary shares described below.</w:t>
      </w:r>
    </w:p>
    <w:p>
      <w:pPr>
        <w:sectPr>
          <w:pgSz w:w="11900" w:h="16838" w:orient="portrait"/>
          <w:cols w:equalWidth="0" w:num="1">
            <w:col w:w="11420"/>
          </w:cols>
          <w:pgMar w:left="240" w:top="230" w:right="239" w:bottom="0" w:gutter="0" w:footer="0" w:header="0"/>
        </w:sectPr>
      </w:pPr>
    </w:p>
    <w:bookmarkStart w:id="1" w:name="page2"/>
    <w:bookmarkEnd w:id="1"/>
    <w:p>
      <w:pPr>
        <w:ind w:right="600" w:firstLine="456"/>
        <w:spacing w:after="0" w:line="277" w:lineRule="auto"/>
        <w:rPr>
          <w:sz w:val="20"/>
          <w:szCs w:val="20"/>
          <w:color w:val="auto"/>
        </w:rPr>
      </w:pPr>
      <w:r>
        <w:rPr>
          <w:rFonts w:ascii="Arial" w:cs="Arial" w:eastAsia="Arial" w:hAnsi="Arial"/>
          <w:sz w:val="18"/>
          <w:szCs w:val="18"/>
          <w:color w:val="auto"/>
        </w:rPr>
        <w:t>We have granted the underwriters the right to purchase up to an additional depositary shares from us at the public offering price, less the underwriting discount, within 30 days of the date of this prospectus supplement solely to cover over-allotments, if any.</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depositary shares will be ready for delivery in book-entry only form through the facilities of The Depository Trust Company, or DTC, on or about September ,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Joint Book-Running Managers</w:t>
      </w:r>
    </w:p>
    <w:p>
      <w:pPr>
        <w:sectPr>
          <w:pgSz w:w="11900" w:h="16838" w:orient="portrait"/>
          <w:cols w:equalWidth="0" w:num="1">
            <w:col w:w="11420"/>
          </w:cols>
          <w:pgMar w:left="240" w:top="125" w:right="23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BofA Merrill Lynch</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UBS Investment Bank</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Wells Fargo Securities</w:t>
      </w:r>
    </w:p>
    <w:p>
      <w:pPr>
        <w:spacing w:after="0" w:line="223" w:lineRule="exact"/>
        <w:rPr>
          <w:sz w:val="20"/>
          <w:szCs w:val="20"/>
          <w:color w:val="auto"/>
        </w:rPr>
      </w:pPr>
    </w:p>
    <w:p>
      <w:pPr>
        <w:sectPr>
          <w:pgSz w:w="11900" w:h="16838" w:orient="portrait"/>
          <w:cols w:equalWidth="0" w:num="3">
            <w:col w:w="3800" w:space="720"/>
            <w:col w:w="3780" w:space="720"/>
            <w:col w:w="2400"/>
          </w:cols>
          <w:pgMar w:left="240" w:top="125"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Joint Lead Managers</w:t>
      </w:r>
    </w:p>
    <w:p>
      <w:pPr>
        <w:sectPr>
          <w:pgSz w:w="11900" w:h="16838" w:orient="portrait"/>
          <w:cols w:equalWidth="0" w:num="1">
            <w:col w:w="11420"/>
          </w:cols>
          <w:pgMar w:left="240" w:top="125" w:right="239" w:bottom="1440" w:gutter="0" w:footer="0" w:header="0"/>
          <w:type w:val="continuous"/>
        </w:sectPr>
      </w:pP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Raymond James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Citigroup</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J.P. Morgan</w:t>
      </w:r>
    </w:p>
    <w:p>
      <w:pPr>
        <w:spacing w:after="0" w:line="200" w:lineRule="exact"/>
        <w:rPr>
          <w:sz w:val="20"/>
          <w:szCs w:val="20"/>
          <w:color w:val="auto"/>
        </w:rPr>
      </w:pPr>
    </w:p>
    <w:p>
      <w:pPr>
        <w:sectPr>
          <w:pgSz w:w="11900" w:h="16838" w:orient="portrait"/>
          <w:cols w:equalWidth="0" w:num="4">
            <w:col w:w="3240" w:space="720"/>
            <w:col w:w="2180" w:space="720"/>
            <w:col w:w="2720" w:space="720"/>
            <w:col w:w="1120"/>
          </w:cols>
          <w:pgMar w:left="240" w:top="125" w:right="239" w:bottom="1440" w:gutter="0" w:footer="0" w:header="0"/>
          <w:type w:val="continuous"/>
        </w:sectPr>
      </w:pPr>
    </w:p>
    <w:p>
      <w:pPr>
        <w:spacing w:after="0" w:line="50"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The date of this prospectus supplement is September</w:t>
      </w:r>
      <w:r>
        <w:rPr>
          <w:sz w:val="20"/>
          <w:szCs w:val="20"/>
          <w:color w:val="auto"/>
        </w:rPr>
        <w:tab/>
      </w:r>
      <w:r>
        <w:rPr>
          <w:rFonts w:ascii="Arial" w:cs="Arial" w:eastAsia="Arial" w:hAnsi="Arial"/>
          <w:sz w:val="16"/>
          <w:szCs w:val="16"/>
          <w:b w:val="1"/>
          <w:bCs w:val="1"/>
          <w:color w:val="auto"/>
        </w:rPr>
        <w:t>, 2017.</w:t>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40" w:type="dxa"/>
            <w:vAlign w:val="bottom"/>
            <w:gridSpan w:val="2"/>
          </w:tcPr>
          <w:p>
            <w:pPr>
              <w:jc w:val="center"/>
              <w:ind w:right="414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2"/>
          </w:tcPr>
          <w:p>
            <w:pPr>
              <w:jc w:val="center"/>
              <w:ind w:right="4140"/>
              <w:spacing w:after="0"/>
              <w:rPr>
                <w:sz w:val="20"/>
                <w:szCs w:val="20"/>
                <w:color w:val="auto"/>
              </w:rPr>
            </w:pPr>
            <w:r>
              <w:rPr>
                <w:rFonts w:ascii="Arial" w:cs="Arial" w:eastAsia="Arial" w:hAnsi="Arial"/>
                <w:sz w:val="18"/>
                <w:szCs w:val="18"/>
                <w:b w:val="1"/>
                <w:bCs w:val="1"/>
                <w:color w:val="auto"/>
                <w:w w:val="87"/>
              </w:rPr>
              <w:t>Prospectus Supplement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500" w:type="dxa"/>
            <w:vAlign w:val="bottom"/>
            <w:gridSpan w:val="10"/>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 Supplement</w:t>
              </w:r>
            </w:hyperlink>
          </w:p>
        </w:tc>
        <w:tc>
          <w:tcPr>
            <w:tcW w:w="8460" w:type="dxa"/>
            <w:vAlign w:val="bottom"/>
            <w:gridSpan w:val="9"/>
            <w:vMerge w:val="restart"/>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500" w:type="dxa"/>
            <w:vAlign w:val="bottom"/>
            <w:tcBorders>
              <w:bottom w:val="single" w:sz="8" w:color="0000EE"/>
            </w:tcBorders>
            <w:gridSpan w:val="10"/>
            <w:vMerge w:val="continue"/>
          </w:tcPr>
          <w:p>
            <w:pPr>
              <w:spacing w:after="0"/>
              <w:rPr>
                <w:sz w:val="14"/>
                <w:szCs w:val="14"/>
                <w:color w:val="auto"/>
              </w:rPr>
            </w:pPr>
          </w:p>
        </w:tc>
        <w:tc>
          <w:tcPr>
            <w:tcW w:w="8460" w:type="dxa"/>
            <w:vAlign w:val="bottom"/>
            <w:gridSpan w:val="9"/>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Cautionary Statement Concerning Forward-Looking Statements</w:t>
              </w:r>
            </w:hyperlink>
          </w:p>
        </w:tc>
        <w:tc>
          <w:tcPr>
            <w:tcW w:w="63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Supplement Summary</w:t>
              </w:r>
            </w:hyperlink>
          </w:p>
        </w:tc>
        <w:tc>
          <w:tcPr>
            <w:tcW w:w="852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Risk Factors</w:t>
              </w:r>
            </w:hyperlink>
          </w:p>
        </w:tc>
        <w:tc>
          <w:tcPr>
            <w:tcW w:w="10040" w:type="dxa"/>
            <w:vAlign w:val="bottom"/>
            <w:gridSpan w:val="17"/>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Use of Proceeds</w:t>
              </w:r>
            </w:hyperlink>
          </w:p>
        </w:tc>
        <w:tc>
          <w:tcPr>
            <w:tcW w:w="9780" w:type="dxa"/>
            <w:vAlign w:val="bottom"/>
            <w:gridSpan w:val="15"/>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S-9</w:t>
            </w:r>
          </w:p>
        </w:tc>
        <w:tc>
          <w:tcPr>
            <w:tcW w:w="0" w:type="dxa"/>
            <w:vAlign w:val="bottom"/>
          </w:tcPr>
          <w:p>
            <w:pPr>
              <w:spacing w:after="0"/>
              <w:rPr>
                <w:sz w:val="1"/>
                <w:szCs w:val="1"/>
                <w:color w:val="auto"/>
              </w:rPr>
            </w:pPr>
          </w:p>
        </w:tc>
      </w:tr>
      <w:tr>
        <w:trPr>
          <w:trHeight w:val="196"/>
        </w:trPr>
        <w:tc>
          <w:tcPr>
            <w:tcW w:w="10960" w:type="dxa"/>
            <w:vAlign w:val="bottom"/>
            <w:gridSpan w:val="1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Ratios of Earnings to Fixed Charges and Combined Fixed Charges and Preferred Share Dividends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46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Description of Depositary Shares and Series C Preferred Shares</w:t>
              </w:r>
            </w:hyperlink>
          </w:p>
        </w:tc>
        <w:tc>
          <w:tcPr>
            <w:tcW w:w="2460" w:type="dxa"/>
            <w:vAlign w:val="bottom"/>
            <w:tcBorders>
              <w:top w:val="single" w:sz="8" w:color="0000EE"/>
            </w:tcBorders>
            <w:gridSpan w:val="2"/>
          </w:tcPr>
          <w:p>
            <w:pPr>
              <w:spacing w:after="0"/>
              <w:rPr>
                <w:sz w:val="17"/>
                <w:szCs w:val="17"/>
                <w:color w:val="auto"/>
              </w:rPr>
            </w:pPr>
          </w:p>
        </w:tc>
        <w:tc>
          <w:tcPr>
            <w:tcW w:w="390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Additional Material Federal Income Tax Considerations</w:t>
              </w:r>
            </w:hyperlink>
          </w:p>
        </w:tc>
        <w:tc>
          <w:tcPr>
            <w:tcW w:w="692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S-18</w:t>
            </w:r>
          </w:p>
        </w:tc>
        <w:tc>
          <w:tcPr>
            <w:tcW w:w="0" w:type="dxa"/>
            <w:vAlign w:val="bottom"/>
          </w:tcPr>
          <w:p>
            <w:pPr>
              <w:spacing w:after="0"/>
              <w:rPr>
                <w:sz w:val="1"/>
                <w:szCs w:val="1"/>
                <w:color w:val="auto"/>
              </w:rPr>
            </w:pPr>
          </w:p>
        </w:tc>
      </w:tr>
      <w:tr>
        <w:trPr>
          <w:trHeight w:val="196"/>
        </w:trPr>
        <w:tc>
          <w:tcPr>
            <w:tcW w:w="1096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Underwriting (Conflicts of Interest)</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Experts</w:t>
              </w:r>
            </w:hyperlink>
          </w:p>
        </w:tc>
        <w:tc>
          <w:tcPr>
            <w:tcW w:w="2020" w:type="dxa"/>
            <w:vAlign w:val="bottom"/>
            <w:tcBorders>
              <w:top w:val="single" w:sz="8" w:color="0000EE"/>
            </w:tcBorders>
            <w:gridSpan w:val="10"/>
          </w:tcPr>
          <w:p>
            <w:pPr>
              <w:spacing w:after="0"/>
              <w:rPr>
                <w:sz w:val="17"/>
                <w:szCs w:val="17"/>
                <w:color w:val="auto"/>
              </w:rPr>
            </w:pPr>
          </w:p>
        </w:tc>
        <w:tc>
          <w:tcPr>
            <w:tcW w:w="838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S-23</w:t>
            </w:r>
          </w:p>
        </w:tc>
        <w:tc>
          <w:tcPr>
            <w:tcW w:w="0" w:type="dxa"/>
            <w:vAlign w:val="bottom"/>
          </w:tcPr>
          <w:p>
            <w:pPr>
              <w:spacing w:after="0"/>
              <w:rPr>
                <w:sz w:val="1"/>
                <w:szCs w:val="1"/>
                <w:color w:val="auto"/>
              </w:rPr>
            </w:pPr>
          </w:p>
        </w:tc>
      </w:tr>
      <w:tr>
        <w:trPr>
          <w:trHeight w:val="196"/>
        </w:trPr>
        <w:tc>
          <w:tcPr>
            <w:tcW w:w="1096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Legal Matters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S-23</w:t>
            </w:r>
          </w:p>
        </w:tc>
        <w:tc>
          <w:tcPr>
            <w:tcW w:w="0" w:type="dxa"/>
            <w:vAlign w:val="bottom"/>
          </w:tcPr>
          <w:p>
            <w:pPr>
              <w:spacing w:after="0"/>
              <w:rPr>
                <w:sz w:val="1"/>
                <w:szCs w:val="1"/>
                <w:color w:val="auto"/>
              </w:rPr>
            </w:pPr>
          </w:p>
        </w:tc>
      </w:tr>
      <w:tr>
        <w:trPr>
          <w:trHeight w:val="669"/>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2"/>
          </w:tcPr>
          <w:p>
            <w:pPr>
              <w:jc w:val="center"/>
              <w:ind w:right="4140"/>
              <w:spacing w:after="0"/>
              <w:rPr>
                <w:sz w:val="20"/>
                <w:szCs w:val="20"/>
                <w:color w:val="auto"/>
              </w:rPr>
            </w:pPr>
            <w:r>
              <w:rPr>
                <w:rFonts w:ascii="Arial" w:cs="Arial" w:eastAsia="Arial" w:hAnsi="Arial"/>
                <w:sz w:val="18"/>
                <w:szCs w:val="18"/>
                <w:b w:val="1"/>
                <w:bCs w:val="1"/>
                <w:color w:val="auto"/>
                <w:w w:val="85"/>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960" w:type="dxa"/>
            <w:vAlign w:val="bottom"/>
            <w:gridSpan w:val="19"/>
            <w:vMerge w:val="restart"/>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About this Prospectus</w:t>
              </w:r>
            </w:hyperlink>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0960" w:type="dxa"/>
            <w:vAlign w:val="bottom"/>
            <w:gridSpan w:val="19"/>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7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60" w:type="dxa"/>
            <w:vAlign w:val="bottom"/>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Forward-Looking Statements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17"/>
                <w:szCs w:val="17"/>
                <w:color w:val="auto"/>
              </w:rPr>
            </w:pPr>
          </w:p>
        </w:tc>
        <w:tc>
          <w:tcPr>
            <w:tcW w:w="884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Risk Factors</w:t>
              </w:r>
            </w:hyperlink>
          </w:p>
        </w:tc>
        <w:tc>
          <w:tcPr>
            <w:tcW w:w="1004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Use of Proceeds</w:t>
              </w:r>
            </w:hyperlink>
          </w:p>
        </w:tc>
        <w:tc>
          <w:tcPr>
            <w:tcW w:w="978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Description of Debt Securities</w:t>
              </w:r>
            </w:hyperlink>
          </w:p>
        </w:tc>
        <w:tc>
          <w:tcPr>
            <w:tcW w:w="876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Description of Shares of Beneficial Interest</w:t>
              </w:r>
            </w:hyperlink>
          </w:p>
        </w:tc>
        <w:tc>
          <w:tcPr>
            <w:tcW w:w="782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960" w:type="dxa"/>
            <w:vAlign w:val="bottom"/>
            <w:gridSpan w:val="1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Material Federal Income Tax Considerations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74">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9"/>
          </w:tcPr>
          <w:p>
            <w:pPr>
              <w:spacing w:after="0"/>
              <w:rPr>
                <w:sz w:val="17"/>
                <w:szCs w:val="17"/>
                <w:color w:val="auto"/>
              </w:rPr>
            </w:pPr>
          </w:p>
        </w:tc>
        <w:tc>
          <w:tcPr>
            <w:tcW w:w="774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Legal Matters</w:t>
              </w:r>
            </w:hyperlink>
          </w:p>
        </w:tc>
        <w:tc>
          <w:tcPr>
            <w:tcW w:w="994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Experts</w:t>
              </w:r>
            </w:hyperlink>
          </w:p>
        </w:tc>
        <w:tc>
          <w:tcPr>
            <w:tcW w:w="10400" w:type="dxa"/>
            <w:vAlign w:val="bottom"/>
            <w:gridSpan w:val="1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Where You Can Find More Information</w:t>
              </w:r>
            </w:hyperlink>
          </w:p>
        </w:tc>
        <w:tc>
          <w:tcPr>
            <w:tcW w:w="808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You should read this prospectus supplement along with the accompanying prospectus, as well as the information incorporated by reference herein and therein, carefully before you invest in the depositary shares and underlying Series C preferred shares. References herein to information incorporated by reference shall include information in documents that we file with the SEC under Sections 13(a), 13(c), 14 or 15(d) of the Securities Exchange Act of 1934, as amended, or the Exchange Act prior to the termination of this offering that are deemed to be incorporated by reference into this prospectus supplement and the accompanying prospectus pursuant to the registration statement to which this prospectus supplement relates. These documents contain important information you should consider before making your investment decision. This prospectus supplement and the accompanying prospectus contain the terms of this offering of our depositary shares. The accompanying prospectus contains information about our securities generally, some of which does not apply to the depositary shares and underlying Series C preferred shares covered by this prospectus supplement. This prospectus supplement may add, update or change information contained in or incorporated by reference into the accompanying prospectus. If the information in this prospectus supplement is inconsistent with any information contained in or incorporated by reference into the accompanying prospectus, the information in this prospectus supplement shall apply and shall supersede the inconsistent information contained in or incorporated by reference into the accompanying prospectus.</w:t>
      </w:r>
    </w:p>
    <w:p>
      <w:pPr>
        <w:spacing w:after="0" w:line="173"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It is important for you to read and consider all of the information contained in or incorporated by reference into this prospectus supplement and the accompanying prospectus in making your investment decision. You should also read and consider the additional information incorporated by reference into this prospectus supplement and the accompanying prospectus. See “Where You Can Find More Information” in the accompanying prospectus.</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and indirectly owned subsidiaries, unless the context otherwise requires. The term “you” refers to a prospective investor.</w:t>
      </w:r>
    </w:p>
    <w:p>
      <w:pPr>
        <w:spacing w:after="0" w:line="166" w:lineRule="exact"/>
        <w:rPr>
          <w:sz w:val="20"/>
          <w:szCs w:val="20"/>
          <w:color w:val="auto"/>
        </w:rPr>
      </w:pPr>
    </w:p>
    <w:p>
      <w:pPr>
        <w:jc w:val="both"/>
        <w:ind w:right="140"/>
        <w:spacing w:after="0" w:line="287"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supplement, the accompanying prospectus and any related free writing prospectus required to be filed with the SEC. We have not, nor have the underwriters, authorized any other person to provide you with additional or different information. If anyone provides you with additional or different information, you should not rely on it. We are not, nor are the underwriters, making an offer to sell the depositary shares in any jurisdiction where the offer or sale is not permitted by law.</w:t>
      </w:r>
    </w:p>
    <w:p>
      <w:pPr>
        <w:spacing w:after="0" w:line="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b w:val="1"/>
          <w:bCs w:val="1"/>
          <w:color w:val="auto"/>
        </w:rPr>
        <w:t>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Exchange Act, and the Private Securities Litigation Reform Act of 1995. In particular, the risk factors included in or incorporated by reference into this prospectus supplement and the accompanying prospectus describe forward-looking information. The risk factors contained herein, on page 3 of the accompanying prospectus and in our Annual Report on Form 10-K for the year ended December 31, 2016 that we filed with the SEC on February 13, 2017,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87" w:lineRule="exact"/>
        <w:rPr>
          <w:sz w:val="20"/>
          <w:szCs w:val="20"/>
          <w:color w:val="auto"/>
        </w:rPr>
      </w:pPr>
    </w:p>
    <w:p>
      <w:pPr>
        <w:ind w:left="900" w:right="24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are investing a significant amount in ground-up development projects that may be dependent on third parties to deliver critical aspects of certain projects, require spending a substantial amount upfront in infrastructure, and assume receipt of public funding which has been committed but not entirely funded;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that costs associated with the periodic maintenance and repair or renovation of space, insurance and other operations may increase,</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included in or incorporated by reference into this prospectus supplement and the accompanying prospectus. We also make no promise to update any of the forward-looking statements, or to publicly release the results if we revise any of them.</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5458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5458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We are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June 30, 2017, we owned or had a majority interest in community and neighborhood shopping centers and mixed-use properties which are operated as 99 predominantly retail real estate projects comprising approximately 23.2 million square feet. In total, the real estate projects were 94.5% leased and 93.0% occupied at June 30, 2017. On August 2, 2017, we closed a previously announced joint venture with Primestor Development Inc. We hold an approximate 90% interest in the venture which owns a 100% interest in five community shopping centers and one center under development, plus a 25% minority interest in a seventh shopping center. These seven properties total over 1.3 million square feet.</w:t>
      </w:r>
    </w:p>
    <w:p>
      <w:pPr>
        <w:spacing w:after="0" w:line="167"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 is (301) 998-8100. Our website address is www.federalrealty.com. The information contained on our website or on websites referred to in documents deemed to be incorporated by reference in this prospectus supplement and the accompanying prospectus is not a part of this prospectus supplement or the accompanying prospectus and is not incorporated herein or therein by reference.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845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6084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i w:val="1"/>
          <w:iCs w:val="1"/>
          <w:color w:val="auto"/>
        </w:rPr>
        <w:t>The offering terms are summarized below solely for your convenience. This summary is not a complete description of our depositary shares or the underlying Series C preferred shares. You should read the full text and more specific details contained elsewhere in this prospectus supplement and the accompanying prospectus. For a more detailed description of the depositary shares and underlying Series C preferred shares, see the discussion under the caption “Description of Depositary Shares and Series C Preferred Shares” beginning on page S-11 of this prospectus supplement.</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Issuer</w:t>
            </w:r>
          </w:p>
        </w:tc>
        <w:tc>
          <w:tcPr>
            <w:tcW w:w="8120" w:type="dxa"/>
            <w:vAlign w:val="bottom"/>
            <w:gridSpan w:val="2"/>
          </w:tcPr>
          <w:p>
            <w:pPr>
              <w:ind w:left="360"/>
              <w:spacing w:after="0"/>
              <w:rPr>
                <w:sz w:val="20"/>
                <w:szCs w:val="20"/>
                <w:color w:val="auto"/>
              </w:rPr>
            </w:pPr>
            <w:r>
              <w:rPr>
                <w:rFonts w:ascii="Arial" w:cs="Arial" w:eastAsia="Arial" w:hAnsi="Arial"/>
                <w:sz w:val="18"/>
                <w:szCs w:val="18"/>
                <w:color w:val="auto"/>
              </w:rPr>
              <w:t>Federal Realty Investment Trust, a Maryland estate investment trust</w:t>
            </w:r>
          </w:p>
        </w:tc>
        <w:tc>
          <w:tcPr>
            <w:tcW w:w="480" w:type="dxa"/>
            <w:vAlign w:val="bottom"/>
          </w:tcPr>
          <w:p>
            <w:pPr>
              <w:spacing w:after="0"/>
              <w:rPr>
                <w:sz w:val="20"/>
                <w:szCs w:val="20"/>
                <w:color w:val="auto"/>
              </w:rPr>
            </w:pPr>
          </w:p>
        </w:tc>
      </w:tr>
      <w:tr>
        <w:trPr>
          <w:trHeight w:val="310"/>
        </w:trPr>
        <w:tc>
          <w:tcPr>
            <w:tcW w:w="2400" w:type="dxa"/>
            <w:vAlign w:val="bottom"/>
          </w:tcPr>
          <w:p>
            <w:pPr>
              <w:spacing w:after="0"/>
              <w:rPr>
                <w:sz w:val="20"/>
                <w:szCs w:val="20"/>
                <w:color w:val="auto"/>
              </w:rPr>
            </w:pPr>
            <w:r>
              <w:rPr>
                <w:rFonts w:ascii="Arial" w:cs="Arial" w:eastAsia="Arial" w:hAnsi="Arial"/>
                <w:sz w:val="18"/>
                <w:szCs w:val="18"/>
                <w:color w:val="auto"/>
              </w:rPr>
              <w:t>Securities Offered</w:t>
            </w:r>
          </w:p>
        </w:tc>
        <w:tc>
          <w:tcPr>
            <w:tcW w:w="2960" w:type="dxa"/>
            <w:vAlign w:val="bottom"/>
          </w:tcPr>
          <w:p>
            <w:pPr>
              <w:ind w:left="900"/>
              <w:spacing w:after="0"/>
              <w:rPr>
                <w:sz w:val="20"/>
                <w:szCs w:val="20"/>
                <w:color w:val="auto"/>
              </w:rPr>
            </w:pPr>
            <w:r>
              <w:rPr>
                <w:rFonts w:ascii="Arial" w:cs="Arial" w:eastAsia="Arial" w:hAnsi="Arial"/>
                <w:sz w:val="18"/>
                <w:szCs w:val="18"/>
                <w:color w:val="auto"/>
              </w:rPr>
              <w:t>depositary shares (or</w:t>
            </w:r>
          </w:p>
        </w:tc>
        <w:tc>
          <w:tcPr>
            <w:tcW w:w="5640" w:type="dxa"/>
            <w:vAlign w:val="bottom"/>
            <w:gridSpan w:val="2"/>
          </w:tcPr>
          <w:p>
            <w:pPr>
              <w:ind w:left="40"/>
              <w:spacing w:after="0"/>
              <w:rPr>
                <w:sz w:val="20"/>
                <w:szCs w:val="20"/>
                <w:color w:val="auto"/>
              </w:rPr>
            </w:pPr>
            <w:r>
              <w:rPr>
                <w:rFonts w:ascii="Arial" w:cs="Arial" w:eastAsia="Arial" w:hAnsi="Arial"/>
                <w:sz w:val="18"/>
                <w:szCs w:val="18"/>
                <w:color w:val="auto"/>
                <w:w w:val="95"/>
              </w:rPr>
              <w:t>depositary shares if the underwriters’ over-allotment option is exercised in</w:t>
            </w:r>
          </w:p>
        </w:tc>
      </w:tr>
      <w:tr>
        <w:trPr>
          <w:trHeight w:val="230"/>
        </w:trPr>
        <w:tc>
          <w:tcPr>
            <w:tcW w:w="2400" w:type="dxa"/>
            <w:vAlign w:val="bottom"/>
          </w:tcPr>
          <w:p>
            <w:pPr>
              <w:spacing w:after="0"/>
              <w:rPr>
                <w:sz w:val="20"/>
                <w:szCs w:val="20"/>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4"/>
              </w:rPr>
              <w:t>full), each representing 1/1000 of a   % Series C cumulative redeemable preferred share of beneficial interest</w:t>
            </w:r>
          </w:p>
        </w:tc>
      </w:tr>
      <w:tr>
        <w:trPr>
          <w:trHeight w:val="324"/>
        </w:trPr>
        <w:tc>
          <w:tcPr>
            <w:tcW w:w="2400" w:type="dxa"/>
            <w:vAlign w:val="bottom"/>
          </w:tcPr>
          <w:p>
            <w:pPr>
              <w:spacing w:after="0"/>
              <w:rPr>
                <w:sz w:val="20"/>
                <w:szCs w:val="20"/>
                <w:color w:val="auto"/>
              </w:rPr>
            </w:pPr>
            <w:r>
              <w:rPr>
                <w:rFonts w:ascii="Arial" w:cs="Arial" w:eastAsia="Arial" w:hAnsi="Arial"/>
                <w:sz w:val="18"/>
                <w:szCs w:val="18"/>
                <w:color w:val="auto"/>
              </w:rPr>
              <w:t>Price per Depositary Share</w:t>
            </w:r>
          </w:p>
        </w:tc>
        <w:tc>
          <w:tcPr>
            <w:tcW w:w="2960" w:type="dxa"/>
            <w:vAlign w:val="bottom"/>
          </w:tcPr>
          <w:p>
            <w:pPr>
              <w:ind w:left="360"/>
              <w:spacing w:after="0"/>
              <w:rPr>
                <w:sz w:val="20"/>
                <w:szCs w:val="20"/>
                <w:color w:val="auto"/>
              </w:rPr>
            </w:pPr>
            <w:r>
              <w:rPr>
                <w:rFonts w:ascii="Arial" w:cs="Arial" w:eastAsia="Arial" w:hAnsi="Arial"/>
                <w:sz w:val="18"/>
                <w:szCs w:val="18"/>
                <w:color w:val="auto"/>
              </w:rPr>
              <w:t>$25.00</w:t>
            </w:r>
          </w:p>
        </w:tc>
        <w:tc>
          <w:tcPr>
            <w:tcW w:w="5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10"/>
        </w:trPr>
        <w:tc>
          <w:tcPr>
            <w:tcW w:w="2400" w:type="dxa"/>
            <w:vAlign w:val="bottom"/>
          </w:tcPr>
          <w:p>
            <w:pPr>
              <w:spacing w:after="0"/>
              <w:rPr>
                <w:sz w:val="20"/>
                <w:szCs w:val="20"/>
                <w:color w:val="auto"/>
              </w:rPr>
            </w:pPr>
            <w:r>
              <w:rPr>
                <w:rFonts w:ascii="Arial" w:cs="Arial" w:eastAsia="Arial" w:hAnsi="Arial"/>
                <w:sz w:val="18"/>
                <w:szCs w:val="18"/>
                <w:color w:val="auto"/>
              </w:rPr>
              <w:t>Ranking</w:t>
            </w: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0"/>
              </w:rPr>
              <w:t>With respect to the payment of dividends and amounts upon liquidation, the Series C preferred shares represented</w:t>
            </w: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4"/>
              </w:rPr>
              <w:t>by the depositary shares will rank senior to our common shares and to all other equity securities that, by their</w:t>
            </w: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89"/>
              </w:rPr>
              <w:t>terms, rank junior to the Series C preferred shares, and on a parity with respect to our 5.417% Series 1 Cumulative</w:t>
            </w: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89"/>
              </w:rPr>
              <w:t>Convertible Preferred Shares, or Series 1 preferred shares. Our Series 1 preferred shares are our only outstanding</w:t>
            </w:r>
          </w:p>
        </w:tc>
      </w:tr>
      <w:tr>
        <w:trPr>
          <w:trHeight w:val="216"/>
        </w:trPr>
        <w:tc>
          <w:tcPr>
            <w:tcW w:w="2400" w:type="dxa"/>
            <w:vAlign w:val="bottom"/>
          </w:tcPr>
          <w:p>
            <w:pPr>
              <w:spacing w:after="0"/>
              <w:rPr>
                <w:sz w:val="18"/>
                <w:szCs w:val="18"/>
                <w:color w:val="auto"/>
              </w:rPr>
            </w:pPr>
          </w:p>
        </w:tc>
        <w:tc>
          <w:tcPr>
            <w:tcW w:w="8120" w:type="dxa"/>
            <w:vAlign w:val="bottom"/>
            <w:gridSpan w:val="2"/>
          </w:tcPr>
          <w:p>
            <w:pPr>
              <w:ind w:left="360"/>
              <w:spacing w:after="0"/>
              <w:rPr>
                <w:sz w:val="20"/>
                <w:szCs w:val="20"/>
                <w:color w:val="auto"/>
              </w:rPr>
            </w:pPr>
            <w:r>
              <w:rPr>
                <w:rFonts w:ascii="Arial" w:cs="Arial" w:eastAsia="Arial" w:hAnsi="Arial"/>
                <w:sz w:val="18"/>
                <w:szCs w:val="18"/>
                <w:color w:val="auto"/>
                <w:w w:val="90"/>
              </w:rPr>
              <w:t>preferred shares. The Series C preferred shares represented by the depositary shares will rank junior to our</w:t>
            </w:r>
          </w:p>
        </w:tc>
        <w:tc>
          <w:tcPr>
            <w:tcW w:w="48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2"/>
              </w:rPr>
              <w:t>currently outstanding indebtedness and any future indebtedness and junior to any equity securities issued by us</w:t>
            </w: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0"/>
              </w:rPr>
              <w:t>whose senior ranking is consented to by holders of at least two-thirds of the Series C preferred shares outstanding</w:t>
            </w:r>
          </w:p>
        </w:tc>
      </w:tr>
      <w:tr>
        <w:trPr>
          <w:trHeight w:val="216"/>
        </w:trPr>
        <w:tc>
          <w:tcPr>
            <w:tcW w:w="2400" w:type="dxa"/>
            <w:vAlign w:val="bottom"/>
          </w:tcPr>
          <w:p>
            <w:pPr>
              <w:spacing w:after="0"/>
              <w:rPr>
                <w:sz w:val="18"/>
                <w:szCs w:val="18"/>
                <w:color w:val="auto"/>
              </w:rPr>
            </w:pPr>
          </w:p>
        </w:tc>
        <w:tc>
          <w:tcPr>
            <w:tcW w:w="8120" w:type="dxa"/>
            <w:vAlign w:val="bottom"/>
            <w:gridSpan w:val="2"/>
          </w:tcPr>
          <w:p>
            <w:pPr>
              <w:ind w:left="360"/>
              <w:spacing w:after="0"/>
              <w:rPr>
                <w:sz w:val="20"/>
                <w:szCs w:val="20"/>
                <w:color w:val="auto"/>
              </w:rPr>
            </w:pPr>
            <w:r>
              <w:rPr>
                <w:rFonts w:ascii="Arial" w:cs="Arial" w:eastAsia="Arial" w:hAnsi="Arial"/>
                <w:sz w:val="18"/>
                <w:szCs w:val="18"/>
                <w:color w:val="auto"/>
                <w:w w:val="91"/>
              </w:rPr>
              <w:t>at the time. Additionally, our ability to make payments of dividends and other amounts due on the Series C</w:t>
            </w:r>
          </w:p>
        </w:tc>
        <w:tc>
          <w:tcPr>
            <w:tcW w:w="48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2"/>
              </w:rPr>
              <w:t>preferred shares represented by the depositary shares will be structurally subordinated to the indebtedness and</w:t>
            </w: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5"/>
              </w:rPr>
              <w:t>other liabilities and any preferred equity of our subsidiaries and joint ventures. This means that creditors and</w:t>
            </w: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1"/>
              </w:rPr>
              <w:t>preferred equity holders of our subsidiaries and joint ventures will be paid from the assets of these entities before</w:t>
            </w:r>
          </w:p>
        </w:tc>
      </w:tr>
      <w:tr>
        <w:trPr>
          <w:trHeight w:val="230"/>
        </w:trPr>
        <w:tc>
          <w:tcPr>
            <w:tcW w:w="2400" w:type="dxa"/>
            <w:vAlign w:val="bottom"/>
          </w:tcPr>
          <w:p>
            <w:pPr>
              <w:spacing w:after="0"/>
              <w:rPr>
                <w:sz w:val="20"/>
                <w:szCs w:val="20"/>
                <w:color w:val="auto"/>
              </w:rPr>
            </w:pPr>
          </w:p>
        </w:tc>
        <w:tc>
          <w:tcPr>
            <w:tcW w:w="8120" w:type="dxa"/>
            <w:vAlign w:val="bottom"/>
            <w:gridSpan w:val="2"/>
          </w:tcPr>
          <w:p>
            <w:pPr>
              <w:ind w:left="360"/>
              <w:spacing w:after="0"/>
              <w:rPr>
                <w:sz w:val="20"/>
                <w:szCs w:val="20"/>
                <w:color w:val="auto"/>
              </w:rPr>
            </w:pPr>
            <w:r>
              <w:rPr>
                <w:rFonts w:ascii="Arial" w:cs="Arial" w:eastAsia="Arial" w:hAnsi="Arial"/>
                <w:sz w:val="18"/>
                <w:szCs w:val="18"/>
                <w:color w:val="auto"/>
                <w:w w:val="92"/>
              </w:rPr>
              <w:t>we receive any cash flow from these entities for use in making payments to holders of depositary shares.</w:t>
            </w:r>
          </w:p>
        </w:tc>
        <w:tc>
          <w:tcPr>
            <w:tcW w:w="480" w:type="dxa"/>
            <w:vAlign w:val="bottom"/>
          </w:tcPr>
          <w:p>
            <w:pPr>
              <w:spacing w:after="0"/>
              <w:rPr>
                <w:sz w:val="20"/>
                <w:szCs w:val="20"/>
                <w:color w:val="auto"/>
              </w:rPr>
            </w:pPr>
          </w:p>
        </w:tc>
      </w:tr>
      <w:tr>
        <w:trPr>
          <w:trHeight w:val="310"/>
        </w:trPr>
        <w:tc>
          <w:tcPr>
            <w:tcW w:w="2400" w:type="dxa"/>
            <w:vAlign w:val="bottom"/>
          </w:tcPr>
          <w:p>
            <w:pPr>
              <w:spacing w:after="0"/>
              <w:rPr>
                <w:sz w:val="20"/>
                <w:szCs w:val="20"/>
                <w:color w:val="auto"/>
              </w:rPr>
            </w:pPr>
            <w:r>
              <w:rPr>
                <w:rFonts w:ascii="Arial" w:cs="Arial" w:eastAsia="Arial" w:hAnsi="Arial"/>
                <w:sz w:val="18"/>
                <w:szCs w:val="18"/>
                <w:color w:val="auto"/>
              </w:rPr>
              <w:t>Dividend Rate and Payment</w:t>
            </w: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0"/>
              </w:rPr>
              <w:t>Investors will be entitled to receive cumulative cash dividends on the Series C preferred shares represented by the</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Dates</w:t>
            </w:r>
          </w:p>
        </w:tc>
        <w:tc>
          <w:tcPr>
            <w:tcW w:w="8120" w:type="dxa"/>
            <w:vAlign w:val="bottom"/>
            <w:gridSpan w:val="2"/>
          </w:tcPr>
          <w:p>
            <w:pPr>
              <w:ind w:left="360"/>
              <w:spacing w:after="0"/>
              <w:rPr>
                <w:sz w:val="20"/>
                <w:szCs w:val="20"/>
                <w:color w:val="auto"/>
              </w:rPr>
            </w:pPr>
            <w:r>
              <w:rPr>
                <w:rFonts w:ascii="Arial" w:cs="Arial" w:eastAsia="Arial" w:hAnsi="Arial"/>
                <w:sz w:val="18"/>
                <w:szCs w:val="18"/>
                <w:color w:val="auto"/>
                <w:w w:val="97"/>
              </w:rPr>
              <w:t>depositary shares at the rate of   % of the $25,000.00 per share liquidation preference per year, or $</w:t>
            </w:r>
          </w:p>
        </w:tc>
        <w:tc>
          <w:tcPr>
            <w:tcW w:w="480" w:type="dxa"/>
            <w:vAlign w:val="bottom"/>
          </w:tcPr>
          <w:p>
            <w:pPr>
              <w:ind w:left="40"/>
              <w:spacing w:after="0"/>
              <w:rPr>
                <w:sz w:val="20"/>
                <w:szCs w:val="20"/>
                <w:color w:val="auto"/>
              </w:rPr>
            </w:pPr>
            <w:r>
              <w:rPr>
                <w:rFonts w:ascii="Arial" w:cs="Arial" w:eastAsia="Arial" w:hAnsi="Arial"/>
                <w:sz w:val="18"/>
                <w:szCs w:val="18"/>
                <w:color w:val="auto"/>
              </w:rPr>
              <w:t>per</w:t>
            </w:r>
          </w:p>
        </w:tc>
      </w:tr>
      <w:tr>
        <w:trPr>
          <w:trHeight w:val="230"/>
        </w:trPr>
        <w:tc>
          <w:tcPr>
            <w:tcW w:w="2400" w:type="dxa"/>
            <w:vAlign w:val="bottom"/>
          </w:tcPr>
          <w:p>
            <w:pPr>
              <w:spacing w:after="0"/>
              <w:rPr>
                <w:sz w:val="20"/>
                <w:szCs w:val="20"/>
                <w:color w:val="auto"/>
              </w:rPr>
            </w:pPr>
          </w:p>
        </w:tc>
        <w:tc>
          <w:tcPr>
            <w:tcW w:w="2960" w:type="dxa"/>
            <w:vAlign w:val="bottom"/>
          </w:tcPr>
          <w:p>
            <w:pPr>
              <w:ind w:left="360"/>
              <w:spacing w:after="0"/>
              <w:rPr>
                <w:sz w:val="20"/>
                <w:szCs w:val="20"/>
                <w:color w:val="auto"/>
              </w:rPr>
            </w:pPr>
            <w:r>
              <w:rPr>
                <w:rFonts w:ascii="Arial" w:cs="Arial" w:eastAsia="Arial" w:hAnsi="Arial"/>
                <w:sz w:val="18"/>
                <w:szCs w:val="18"/>
                <w:color w:val="auto"/>
                <w:w w:val="89"/>
              </w:rPr>
              <w:t>Series C preferred share (equal to $</w:t>
            </w:r>
          </w:p>
        </w:tc>
        <w:tc>
          <w:tcPr>
            <w:tcW w:w="5640" w:type="dxa"/>
            <w:vAlign w:val="bottom"/>
            <w:gridSpan w:val="2"/>
          </w:tcPr>
          <w:p>
            <w:pPr>
              <w:ind w:left="540"/>
              <w:spacing w:after="0"/>
              <w:rPr>
                <w:sz w:val="20"/>
                <w:szCs w:val="20"/>
                <w:color w:val="auto"/>
              </w:rPr>
            </w:pPr>
            <w:r>
              <w:rPr>
                <w:rFonts w:ascii="Arial" w:cs="Arial" w:eastAsia="Arial" w:hAnsi="Arial"/>
                <w:sz w:val="18"/>
                <w:szCs w:val="18"/>
                <w:color w:val="auto"/>
                <w:w w:val="91"/>
              </w:rPr>
              <w:t>per depositary share). Dividends on the Series C preferred shares will</w:t>
            </w:r>
          </w:p>
        </w:tc>
      </w:tr>
    </w:tbl>
    <w:p>
      <w:pPr>
        <w:ind w:left="2960" w:right="60"/>
        <w:spacing w:after="0" w:line="253" w:lineRule="auto"/>
        <w:rPr>
          <w:sz w:val="20"/>
          <w:szCs w:val="20"/>
          <w:color w:val="auto"/>
        </w:rPr>
      </w:pPr>
      <w:r>
        <w:rPr>
          <w:rFonts w:ascii="Arial" w:cs="Arial" w:eastAsia="Arial" w:hAnsi="Arial"/>
          <w:sz w:val="18"/>
          <w:szCs w:val="18"/>
          <w:color w:val="auto"/>
        </w:rPr>
        <w:t>be payable, subject to authorization by our board of trustees and declaration by us, quarterly in arrears on January 15, April 15, July 15 and October 15 of each year (or, if any such date is not a business day, on the next succeeding business day), commencing on January 15, 2018. Any dividend payable on our Series C preferred shares represented by the depositary shares shall be computed on the basis of a 360-day year consisting of twelve 30-day months.</w:t>
      </w:r>
    </w:p>
    <w:p>
      <w:pPr>
        <w:spacing w:after="0" w:line="97" w:lineRule="exact"/>
        <w:rPr>
          <w:sz w:val="20"/>
          <w:szCs w:val="20"/>
          <w:color w:val="auto"/>
        </w:rPr>
      </w:pPr>
    </w:p>
    <w:p>
      <w:pPr>
        <w:ind w:left="2960" w:right="380"/>
        <w:spacing w:after="0" w:line="342" w:lineRule="auto"/>
        <w:rPr>
          <w:sz w:val="20"/>
          <w:szCs w:val="20"/>
          <w:color w:val="auto"/>
        </w:rPr>
      </w:pPr>
      <w:r>
        <w:rPr>
          <w:rFonts w:ascii="Arial" w:cs="Arial" w:eastAsia="Arial" w:hAnsi="Arial"/>
          <w:sz w:val="16"/>
          <w:szCs w:val="16"/>
          <w:color w:val="auto"/>
        </w:rPr>
        <w:t>Dividends on the Series C preferred shares represented by the depositary shares will be cumulative from, and including, the date of original issue of the depositary shares, which is expected to be September , 2017.</w:t>
      </w:r>
    </w:p>
    <w:p>
      <w:pPr>
        <w:spacing w:after="0" w:line="2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Dividends on our Series C preferred shares represented by the depositary shares will accrue even if:</w:t>
      </w:r>
    </w:p>
    <w:p>
      <w:pPr>
        <w:spacing w:after="0" w:line="131" w:lineRule="exact"/>
        <w:rPr>
          <w:sz w:val="20"/>
          <w:szCs w:val="20"/>
          <w:color w:val="auto"/>
        </w:rPr>
      </w:pPr>
    </w:p>
    <w:p>
      <w:pPr>
        <w:ind w:left="3700" w:hanging="284"/>
        <w:spacing w:after="0"/>
        <w:tabs>
          <w:tab w:leader="none" w:pos="3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of our agreements or instruments prohibit the current payment of dividends;</w:t>
      </w:r>
    </w:p>
    <w:p>
      <w:pPr>
        <w:spacing w:after="0" w:line="130" w:lineRule="exact"/>
        <w:rPr>
          <w:rFonts w:ascii="Arial" w:cs="Arial" w:eastAsia="Arial" w:hAnsi="Arial"/>
          <w:sz w:val="18"/>
          <w:szCs w:val="18"/>
          <w:color w:val="auto"/>
        </w:rPr>
      </w:pPr>
    </w:p>
    <w:p>
      <w:pPr>
        <w:ind w:left="3700" w:hanging="284"/>
        <w:spacing w:after="0"/>
        <w:tabs>
          <w:tab w:leader="none" w:pos="3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do not have earnings or funds legally available to pay such dividends; or</w:t>
      </w:r>
    </w:p>
    <w:p>
      <w:pPr>
        <w:spacing w:after="0" w:line="130" w:lineRule="exact"/>
        <w:rPr>
          <w:rFonts w:ascii="Arial" w:cs="Arial" w:eastAsia="Arial" w:hAnsi="Arial"/>
          <w:sz w:val="18"/>
          <w:szCs w:val="18"/>
          <w:color w:val="auto"/>
        </w:rPr>
      </w:pPr>
    </w:p>
    <w:p>
      <w:pPr>
        <w:ind w:left="3700" w:hanging="284"/>
        <w:spacing w:after="0"/>
        <w:tabs>
          <w:tab w:leader="none" w:pos="3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board of trustees does not authorize or we do not declare such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903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290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Liquidation Preference</w:t>
            </w: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1"/>
              </w:rPr>
              <w:t>If we liquidate, dissolve or wind up, holders of depositary shares will have a right to receive $25.00 per depositary</w:t>
            </w:r>
          </w:p>
        </w:tc>
      </w:tr>
      <w:tr>
        <w:trPr>
          <w:trHeight w:val="216"/>
        </w:trPr>
        <w:tc>
          <w:tcPr>
            <w:tcW w:w="2500" w:type="dxa"/>
            <w:vAlign w:val="bottom"/>
          </w:tcPr>
          <w:p>
            <w:pPr>
              <w:spacing w:after="0"/>
              <w:rPr>
                <w:sz w:val="18"/>
                <w:szCs w:val="18"/>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3"/>
              </w:rPr>
              <w:t>share, plus any accrued and unpaid dividends (whether or not declared) to, but excluding, the date of payment,</w:t>
            </w:r>
          </w:p>
        </w:tc>
      </w:tr>
      <w:tr>
        <w:trPr>
          <w:trHeight w:val="230"/>
        </w:trPr>
        <w:tc>
          <w:tcPr>
            <w:tcW w:w="2500" w:type="dxa"/>
            <w:vAlign w:val="bottom"/>
          </w:tcPr>
          <w:p>
            <w:pPr>
              <w:spacing w:after="0"/>
              <w:rPr>
                <w:sz w:val="20"/>
                <w:szCs w:val="20"/>
                <w:color w:val="auto"/>
              </w:rPr>
            </w:pPr>
          </w:p>
        </w:tc>
        <w:tc>
          <w:tcPr>
            <w:tcW w:w="7420" w:type="dxa"/>
            <w:vAlign w:val="bottom"/>
            <w:gridSpan w:val="3"/>
          </w:tcPr>
          <w:p>
            <w:pPr>
              <w:ind w:left="260"/>
              <w:spacing w:after="0"/>
              <w:rPr>
                <w:sz w:val="20"/>
                <w:szCs w:val="20"/>
                <w:color w:val="auto"/>
              </w:rPr>
            </w:pPr>
            <w:r>
              <w:rPr>
                <w:rFonts w:ascii="Arial" w:cs="Arial" w:eastAsia="Arial" w:hAnsi="Arial"/>
                <w:sz w:val="18"/>
                <w:szCs w:val="18"/>
                <w:color w:val="auto"/>
                <w:w w:val="91"/>
              </w:rPr>
              <w:t>before any payments are made to the holders of our common shares or any other junior securities.</w:t>
            </w:r>
          </w:p>
        </w:tc>
        <w:tc>
          <w:tcPr>
            <w:tcW w:w="1100" w:type="dxa"/>
            <w:vAlign w:val="bottom"/>
          </w:tcPr>
          <w:p>
            <w:pPr>
              <w:spacing w:after="0"/>
              <w:rPr>
                <w:sz w:val="20"/>
                <w:szCs w:val="20"/>
                <w:color w:val="auto"/>
              </w:rPr>
            </w:pPr>
          </w:p>
        </w:tc>
      </w:tr>
      <w:tr>
        <w:trPr>
          <w:trHeight w:val="310"/>
        </w:trPr>
        <w:tc>
          <w:tcPr>
            <w:tcW w:w="2500" w:type="dxa"/>
            <w:vAlign w:val="bottom"/>
          </w:tcPr>
          <w:p>
            <w:pPr>
              <w:spacing w:after="0"/>
              <w:rPr>
                <w:sz w:val="20"/>
                <w:szCs w:val="20"/>
                <w:color w:val="auto"/>
              </w:rPr>
            </w:pPr>
            <w:r>
              <w:rPr>
                <w:rFonts w:ascii="Arial" w:cs="Arial" w:eastAsia="Arial" w:hAnsi="Arial"/>
                <w:sz w:val="18"/>
                <w:szCs w:val="18"/>
                <w:color w:val="auto"/>
              </w:rPr>
              <w:t>Optional Redemption / No</w:t>
            </w: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0"/>
              </w:rPr>
              <w:t>Except in certain circumstances relating to the preservation of our status as a REIT, we may not redeem the Series</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Maturity</w:t>
            </w:r>
          </w:p>
        </w:tc>
        <w:tc>
          <w:tcPr>
            <w:tcW w:w="7420" w:type="dxa"/>
            <w:vAlign w:val="bottom"/>
            <w:gridSpan w:val="3"/>
          </w:tcPr>
          <w:p>
            <w:pPr>
              <w:ind w:left="260"/>
              <w:spacing w:after="0"/>
              <w:rPr>
                <w:sz w:val="20"/>
                <w:szCs w:val="20"/>
                <w:color w:val="auto"/>
              </w:rPr>
            </w:pPr>
            <w:r>
              <w:rPr>
                <w:rFonts w:ascii="Arial" w:cs="Arial" w:eastAsia="Arial" w:hAnsi="Arial"/>
                <w:sz w:val="18"/>
                <w:szCs w:val="18"/>
                <w:color w:val="auto"/>
                <w:w w:val="94"/>
              </w:rPr>
              <w:t>C preferred shares or the depositary shares representing the Series C preferred shares prior to</w:t>
            </w:r>
          </w:p>
        </w:tc>
        <w:tc>
          <w:tcPr>
            <w:tcW w:w="1100" w:type="dxa"/>
            <w:vAlign w:val="bottom"/>
          </w:tcPr>
          <w:p>
            <w:pPr>
              <w:ind w:left="120"/>
              <w:spacing w:after="0"/>
              <w:rPr>
                <w:sz w:val="20"/>
                <w:szCs w:val="20"/>
                <w:color w:val="auto"/>
              </w:rPr>
            </w:pPr>
            <w:r>
              <w:rPr>
                <w:rFonts w:ascii="Arial" w:cs="Arial" w:eastAsia="Arial" w:hAnsi="Arial"/>
                <w:sz w:val="18"/>
                <w:szCs w:val="18"/>
                <w:color w:val="auto"/>
                <w:w w:val="91"/>
              </w:rPr>
              <w:t>, 2022. On or</w:t>
            </w:r>
          </w:p>
        </w:tc>
      </w:tr>
      <w:tr>
        <w:trPr>
          <w:trHeight w:val="216"/>
        </w:trPr>
        <w:tc>
          <w:tcPr>
            <w:tcW w:w="2500" w:type="dxa"/>
            <w:vAlign w:val="bottom"/>
          </w:tcPr>
          <w:p>
            <w:pPr>
              <w:spacing w:after="0"/>
              <w:rPr>
                <w:sz w:val="18"/>
                <w:szCs w:val="18"/>
                <w:color w:val="auto"/>
              </w:rPr>
            </w:pPr>
          </w:p>
        </w:tc>
        <w:tc>
          <w:tcPr>
            <w:tcW w:w="880" w:type="dxa"/>
            <w:vAlign w:val="bottom"/>
          </w:tcPr>
          <w:p>
            <w:pPr>
              <w:ind w:left="260"/>
              <w:spacing w:after="0"/>
              <w:rPr>
                <w:sz w:val="20"/>
                <w:szCs w:val="20"/>
                <w:color w:val="auto"/>
              </w:rPr>
            </w:pPr>
            <w:r>
              <w:rPr>
                <w:rFonts w:ascii="Arial" w:cs="Arial" w:eastAsia="Arial" w:hAnsi="Arial"/>
                <w:sz w:val="18"/>
                <w:szCs w:val="18"/>
                <w:color w:val="auto"/>
              </w:rPr>
              <w:t>after</w:t>
            </w:r>
          </w:p>
        </w:tc>
        <w:tc>
          <w:tcPr>
            <w:tcW w:w="7640" w:type="dxa"/>
            <w:vAlign w:val="bottom"/>
            <w:gridSpan w:val="3"/>
          </w:tcPr>
          <w:p>
            <w:pPr>
              <w:ind w:left="300"/>
              <w:spacing w:after="0"/>
              <w:rPr>
                <w:sz w:val="20"/>
                <w:szCs w:val="20"/>
                <w:color w:val="auto"/>
              </w:rPr>
            </w:pPr>
            <w:r>
              <w:rPr>
                <w:rFonts w:ascii="Arial" w:cs="Arial" w:eastAsia="Arial" w:hAnsi="Arial"/>
                <w:sz w:val="18"/>
                <w:szCs w:val="18"/>
                <w:color w:val="auto"/>
                <w:w w:val="91"/>
              </w:rPr>
              <w:t>, 2022, we may, at our option, redeem the Series C preferred shares (and the depositary will redeem</w:t>
            </w:r>
          </w:p>
        </w:tc>
      </w:tr>
      <w:tr>
        <w:trPr>
          <w:trHeight w:val="216"/>
        </w:trPr>
        <w:tc>
          <w:tcPr>
            <w:tcW w:w="2500" w:type="dxa"/>
            <w:vAlign w:val="bottom"/>
          </w:tcPr>
          <w:p>
            <w:pPr>
              <w:spacing w:after="0"/>
              <w:rPr>
                <w:sz w:val="18"/>
                <w:szCs w:val="18"/>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89"/>
              </w:rPr>
              <w:t>the number of depositary shares representing the Series C preferred shares redeemed) for cash, in whole or in part,</w:t>
            </w:r>
          </w:p>
        </w:tc>
      </w:tr>
      <w:tr>
        <w:trPr>
          <w:trHeight w:val="216"/>
        </w:trPr>
        <w:tc>
          <w:tcPr>
            <w:tcW w:w="2500" w:type="dxa"/>
            <w:vAlign w:val="bottom"/>
          </w:tcPr>
          <w:p>
            <w:pPr>
              <w:spacing w:after="0"/>
              <w:rPr>
                <w:sz w:val="18"/>
                <w:szCs w:val="18"/>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4"/>
              </w:rPr>
              <w:t>at a redemption price of $25,000.00 per Series C preferred share (equal to $25.00 per depositary share), plus</w:t>
            </w:r>
          </w:p>
        </w:tc>
      </w:tr>
      <w:tr>
        <w:trPr>
          <w:trHeight w:val="216"/>
        </w:trPr>
        <w:tc>
          <w:tcPr>
            <w:tcW w:w="2500" w:type="dxa"/>
            <w:vAlign w:val="bottom"/>
          </w:tcPr>
          <w:p>
            <w:pPr>
              <w:spacing w:after="0"/>
              <w:rPr>
                <w:sz w:val="18"/>
                <w:szCs w:val="18"/>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89"/>
              </w:rPr>
              <w:t>accrued and unpaid dividends, if any, to, but excluding, the redemption date. The Series C preferred shares and the</w:t>
            </w:r>
          </w:p>
        </w:tc>
      </w:tr>
      <w:tr>
        <w:trPr>
          <w:trHeight w:val="216"/>
        </w:trPr>
        <w:tc>
          <w:tcPr>
            <w:tcW w:w="2500" w:type="dxa"/>
            <w:vAlign w:val="bottom"/>
          </w:tcPr>
          <w:p>
            <w:pPr>
              <w:spacing w:after="0"/>
              <w:rPr>
                <w:sz w:val="18"/>
                <w:szCs w:val="18"/>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rPr>
              <w:t>depositary shares have no stated maturity date and will not be subject to any sinking fund or mandatory</w:t>
            </w:r>
          </w:p>
        </w:tc>
      </w:tr>
      <w:tr>
        <w:trPr>
          <w:trHeight w:val="230"/>
        </w:trPr>
        <w:tc>
          <w:tcPr>
            <w:tcW w:w="2500" w:type="dxa"/>
            <w:vAlign w:val="bottom"/>
          </w:tcPr>
          <w:p>
            <w:pPr>
              <w:spacing w:after="0"/>
              <w:rPr>
                <w:sz w:val="20"/>
                <w:szCs w:val="20"/>
                <w:color w:val="auto"/>
              </w:rPr>
            </w:pPr>
          </w:p>
        </w:tc>
        <w:tc>
          <w:tcPr>
            <w:tcW w:w="7420" w:type="dxa"/>
            <w:vAlign w:val="bottom"/>
            <w:gridSpan w:val="3"/>
          </w:tcPr>
          <w:p>
            <w:pPr>
              <w:ind w:left="260"/>
              <w:spacing w:after="0"/>
              <w:rPr>
                <w:sz w:val="20"/>
                <w:szCs w:val="20"/>
                <w:color w:val="auto"/>
              </w:rPr>
            </w:pPr>
            <w:r>
              <w:rPr>
                <w:rFonts w:ascii="Arial" w:cs="Arial" w:eastAsia="Arial" w:hAnsi="Arial"/>
                <w:sz w:val="18"/>
                <w:szCs w:val="18"/>
                <w:color w:val="auto"/>
                <w:w w:val="92"/>
              </w:rPr>
              <w:t>redemption (except in certain circumstances relating to the preservation of our status as a REIT).</w:t>
            </w:r>
          </w:p>
        </w:tc>
        <w:tc>
          <w:tcPr>
            <w:tcW w:w="1100" w:type="dxa"/>
            <w:vAlign w:val="bottom"/>
          </w:tcPr>
          <w:p>
            <w:pPr>
              <w:spacing w:after="0"/>
              <w:rPr>
                <w:sz w:val="20"/>
                <w:szCs w:val="20"/>
                <w:color w:val="auto"/>
              </w:rPr>
            </w:pPr>
          </w:p>
        </w:tc>
      </w:tr>
      <w:tr>
        <w:trPr>
          <w:trHeight w:val="310"/>
        </w:trPr>
        <w:tc>
          <w:tcPr>
            <w:tcW w:w="2500" w:type="dxa"/>
            <w:vAlign w:val="bottom"/>
          </w:tcPr>
          <w:p>
            <w:pPr>
              <w:spacing w:after="0"/>
              <w:rPr>
                <w:sz w:val="20"/>
                <w:szCs w:val="20"/>
                <w:color w:val="auto"/>
              </w:rPr>
            </w:pPr>
            <w:r>
              <w:rPr>
                <w:rFonts w:ascii="Arial" w:cs="Arial" w:eastAsia="Arial" w:hAnsi="Arial"/>
                <w:sz w:val="18"/>
                <w:szCs w:val="18"/>
                <w:color w:val="auto"/>
              </w:rPr>
              <w:t>Voting Rights</w:t>
            </w: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5"/>
              </w:rPr>
              <w:t>Holders of the depositary shares representing the Series C preferred shares generally have no voting rights.</w:t>
            </w:r>
          </w:p>
        </w:tc>
      </w:tr>
      <w:tr>
        <w:trPr>
          <w:trHeight w:val="216"/>
        </w:trPr>
        <w:tc>
          <w:tcPr>
            <w:tcW w:w="2500" w:type="dxa"/>
            <w:vAlign w:val="bottom"/>
          </w:tcPr>
          <w:p>
            <w:pPr>
              <w:spacing w:after="0"/>
              <w:rPr>
                <w:sz w:val="18"/>
                <w:szCs w:val="18"/>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6"/>
              </w:rPr>
              <w:t>However, if and whenever dividends payable on the Series C preferred shares are in arrears for six or more</w:t>
            </w:r>
          </w:p>
        </w:tc>
      </w:tr>
      <w:tr>
        <w:trPr>
          <w:trHeight w:val="216"/>
        </w:trPr>
        <w:tc>
          <w:tcPr>
            <w:tcW w:w="2500" w:type="dxa"/>
            <w:vAlign w:val="bottom"/>
          </w:tcPr>
          <w:p>
            <w:pPr>
              <w:spacing w:after="0"/>
              <w:rPr>
                <w:sz w:val="18"/>
                <w:szCs w:val="18"/>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1"/>
              </w:rPr>
              <w:t>dividend periods, whether or not declared or consecutive, holders of the depositary shares representing Series C</w:t>
            </w:r>
          </w:p>
        </w:tc>
      </w:tr>
      <w:tr>
        <w:trPr>
          <w:trHeight w:val="216"/>
        </w:trPr>
        <w:tc>
          <w:tcPr>
            <w:tcW w:w="2500" w:type="dxa"/>
            <w:vAlign w:val="bottom"/>
          </w:tcPr>
          <w:p>
            <w:pPr>
              <w:spacing w:after="0"/>
              <w:rPr>
                <w:sz w:val="18"/>
                <w:szCs w:val="18"/>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2"/>
              </w:rPr>
              <w:t>preferred shares (voting together as a class with holders of any other classes or series of preferred shares upon</w:t>
            </w:r>
          </w:p>
        </w:tc>
      </w:tr>
      <w:tr>
        <w:trPr>
          <w:trHeight w:val="216"/>
        </w:trPr>
        <w:tc>
          <w:tcPr>
            <w:tcW w:w="2500" w:type="dxa"/>
            <w:vAlign w:val="bottom"/>
          </w:tcPr>
          <w:p>
            <w:pPr>
              <w:spacing w:after="0"/>
              <w:rPr>
                <w:sz w:val="18"/>
                <w:szCs w:val="18"/>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1"/>
              </w:rPr>
              <w:t>which like voting rights have been conferred and are exercisable) will be entitled to elect two additional trustees to</w:t>
            </w:r>
          </w:p>
        </w:tc>
      </w:tr>
      <w:tr>
        <w:trPr>
          <w:trHeight w:val="216"/>
        </w:trPr>
        <w:tc>
          <w:tcPr>
            <w:tcW w:w="2500" w:type="dxa"/>
            <w:vAlign w:val="bottom"/>
          </w:tcPr>
          <w:p>
            <w:pPr>
              <w:spacing w:after="0"/>
              <w:rPr>
                <w:sz w:val="18"/>
                <w:szCs w:val="18"/>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2"/>
              </w:rPr>
              <w:t>serve on our board of trustees until we pay all accrued and unpaid dividends on the Series C preferred shares to</w:t>
            </w:r>
          </w:p>
        </w:tc>
      </w:tr>
      <w:tr>
        <w:trPr>
          <w:trHeight w:val="230"/>
        </w:trPr>
        <w:tc>
          <w:tcPr>
            <w:tcW w:w="2500" w:type="dxa"/>
            <w:vAlign w:val="bottom"/>
          </w:tcPr>
          <w:p>
            <w:pPr>
              <w:spacing w:after="0"/>
              <w:rPr>
                <w:sz w:val="20"/>
                <w:szCs w:val="20"/>
                <w:color w:val="auto"/>
              </w:rPr>
            </w:pPr>
          </w:p>
        </w:tc>
        <w:tc>
          <w:tcPr>
            <w:tcW w:w="4720" w:type="dxa"/>
            <w:vAlign w:val="bottom"/>
            <w:gridSpan w:val="2"/>
          </w:tcPr>
          <w:p>
            <w:pPr>
              <w:ind w:left="260"/>
              <w:spacing w:after="0"/>
              <w:rPr>
                <w:sz w:val="20"/>
                <w:szCs w:val="20"/>
                <w:color w:val="auto"/>
              </w:rPr>
            </w:pPr>
            <w:r>
              <w:rPr>
                <w:rFonts w:ascii="Arial" w:cs="Arial" w:eastAsia="Arial" w:hAnsi="Arial"/>
                <w:sz w:val="18"/>
                <w:szCs w:val="18"/>
                <w:color w:val="auto"/>
              </w:rPr>
              <w:t>which the holders thereof are entitled.</w:t>
            </w:r>
          </w:p>
        </w:tc>
        <w:tc>
          <w:tcPr>
            <w:tcW w:w="2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10"/>
        </w:trPr>
        <w:tc>
          <w:tcPr>
            <w:tcW w:w="2500" w:type="dxa"/>
            <w:vAlign w:val="bottom"/>
          </w:tcPr>
          <w:p>
            <w:pPr>
              <w:spacing w:after="0"/>
              <w:rPr>
                <w:sz w:val="20"/>
                <w:szCs w:val="20"/>
                <w:color w:val="auto"/>
              </w:rPr>
            </w:pPr>
            <w:r>
              <w:rPr>
                <w:rFonts w:ascii="Arial" w:cs="Arial" w:eastAsia="Arial" w:hAnsi="Arial"/>
                <w:sz w:val="18"/>
                <w:szCs w:val="18"/>
                <w:color w:val="auto"/>
              </w:rPr>
              <w:t>Conversion</w:t>
            </w: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89"/>
              </w:rPr>
              <w:t>The Series C preferred shares and the depositary shares representing Series C preferred shares are not convertible</w:t>
            </w:r>
          </w:p>
        </w:tc>
      </w:tr>
      <w:tr>
        <w:trPr>
          <w:trHeight w:val="216"/>
        </w:trPr>
        <w:tc>
          <w:tcPr>
            <w:tcW w:w="2500" w:type="dxa"/>
            <w:vAlign w:val="bottom"/>
          </w:tcPr>
          <w:p>
            <w:pPr>
              <w:spacing w:after="0"/>
              <w:rPr>
                <w:sz w:val="18"/>
                <w:szCs w:val="18"/>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6"/>
              </w:rPr>
              <w:t>into or exchangeable for any other property or securities, except that, in limited circumstances, the Series C</w:t>
            </w:r>
          </w:p>
        </w:tc>
      </w:tr>
      <w:tr>
        <w:trPr>
          <w:trHeight w:val="216"/>
        </w:trPr>
        <w:tc>
          <w:tcPr>
            <w:tcW w:w="2500" w:type="dxa"/>
            <w:vAlign w:val="bottom"/>
          </w:tcPr>
          <w:p>
            <w:pPr>
              <w:spacing w:after="0"/>
              <w:rPr>
                <w:sz w:val="18"/>
                <w:szCs w:val="18"/>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89"/>
              </w:rPr>
              <w:t>preferred shares and the depositary shares representing Series C preferred shares may be automatically converted</w:t>
            </w:r>
          </w:p>
        </w:tc>
      </w:tr>
      <w:tr>
        <w:trPr>
          <w:trHeight w:val="216"/>
        </w:trPr>
        <w:tc>
          <w:tcPr>
            <w:tcW w:w="2500" w:type="dxa"/>
            <w:vAlign w:val="bottom"/>
          </w:tcPr>
          <w:p>
            <w:pPr>
              <w:spacing w:after="0"/>
              <w:rPr>
                <w:sz w:val="18"/>
                <w:szCs w:val="18"/>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2"/>
              </w:rPr>
              <w:t>into Series C excess preferred shares or depositary shares representing Series C excess preferred shares. See</w:t>
            </w:r>
          </w:p>
        </w:tc>
      </w:tr>
      <w:tr>
        <w:trPr>
          <w:trHeight w:val="230"/>
        </w:trPr>
        <w:tc>
          <w:tcPr>
            <w:tcW w:w="2500" w:type="dxa"/>
            <w:vAlign w:val="bottom"/>
          </w:tcPr>
          <w:p>
            <w:pPr>
              <w:spacing w:after="0"/>
              <w:rPr>
                <w:sz w:val="20"/>
                <w:szCs w:val="20"/>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5"/>
              </w:rPr>
              <w:t>“Description of Depositary Shares and Series C Preferred Shares—Restrictions on Ownership and Transfer.”</w:t>
            </w:r>
          </w:p>
        </w:tc>
      </w:tr>
      <w:tr>
        <w:trPr>
          <w:trHeight w:val="310"/>
        </w:trPr>
        <w:tc>
          <w:tcPr>
            <w:tcW w:w="2500" w:type="dxa"/>
            <w:vAlign w:val="bottom"/>
          </w:tcPr>
          <w:p>
            <w:pPr>
              <w:spacing w:after="0"/>
              <w:rPr>
                <w:sz w:val="20"/>
                <w:szCs w:val="20"/>
                <w:color w:val="auto"/>
              </w:rPr>
            </w:pPr>
            <w:r>
              <w:rPr>
                <w:rFonts w:ascii="Arial" w:cs="Arial" w:eastAsia="Arial" w:hAnsi="Arial"/>
                <w:sz w:val="18"/>
                <w:szCs w:val="18"/>
                <w:color w:val="auto"/>
              </w:rPr>
              <w:t>Restrictions on Ownership and</w:t>
            </w: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4"/>
              </w:rPr>
              <w:t>In order to maintain our qualification as a REIT, our declaration of trust, subject to certain exceptions, provides</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Transfer</w:t>
            </w: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1"/>
              </w:rPr>
              <w:t>that no person may own, or be deemed to own by virtue of the attribution provisions of the Code, more than 9.8%</w:t>
            </w:r>
          </w:p>
        </w:tc>
      </w:tr>
      <w:tr>
        <w:trPr>
          <w:trHeight w:val="216"/>
        </w:trPr>
        <w:tc>
          <w:tcPr>
            <w:tcW w:w="2500" w:type="dxa"/>
            <w:vAlign w:val="bottom"/>
          </w:tcPr>
          <w:p>
            <w:pPr>
              <w:spacing w:after="0"/>
              <w:rPr>
                <w:sz w:val="18"/>
                <w:szCs w:val="18"/>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3"/>
              </w:rPr>
              <w:t>(in value or in number of shares, whichever is more restrictive) of the outstanding common shares or more than</w:t>
            </w:r>
          </w:p>
        </w:tc>
      </w:tr>
      <w:tr>
        <w:trPr>
          <w:trHeight w:val="216"/>
        </w:trPr>
        <w:tc>
          <w:tcPr>
            <w:tcW w:w="2500" w:type="dxa"/>
            <w:vAlign w:val="bottom"/>
          </w:tcPr>
          <w:p>
            <w:pPr>
              <w:spacing w:after="0"/>
              <w:rPr>
                <w:sz w:val="18"/>
                <w:szCs w:val="18"/>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1"/>
              </w:rPr>
              <w:t>9.8% in value of our outstanding capital stock. See “Description of Shares of Beneficial Interest — Restrictions on</w:t>
            </w:r>
          </w:p>
        </w:tc>
      </w:tr>
      <w:tr>
        <w:trPr>
          <w:trHeight w:val="230"/>
        </w:trPr>
        <w:tc>
          <w:tcPr>
            <w:tcW w:w="2500" w:type="dxa"/>
            <w:vAlign w:val="bottom"/>
          </w:tcPr>
          <w:p>
            <w:pPr>
              <w:spacing w:after="0"/>
              <w:rPr>
                <w:sz w:val="20"/>
                <w:szCs w:val="20"/>
                <w:color w:val="auto"/>
              </w:rPr>
            </w:pPr>
          </w:p>
        </w:tc>
        <w:tc>
          <w:tcPr>
            <w:tcW w:w="4720" w:type="dxa"/>
            <w:vAlign w:val="bottom"/>
            <w:gridSpan w:val="2"/>
          </w:tcPr>
          <w:p>
            <w:pPr>
              <w:ind w:left="260"/>
              <w:spacing w:after="0"/>
              <w:rPr>
                <w:sz w:val="20"/>
                <w:szCs w:val="20"/>
                <w:color w:val="auto"/>
              </w:rPr>
            </w:pPr>
            <w:r>
              <w:rPr>
                <w:rFonts w:ascii="Arial" w:cs="Arial" w:eastAsia="Arial" w:hAnsi="Arial"/>
                <w:sz w:val="18"/>
                <w:szCs w:val="18"/>
                <w:color w:val="auto"/>
                <w:w w:val="95"/>
              </w:rPr>
              <w:t>Ownership and Transfer” in the accompanying prospectus.</w:t>
            </w:r>
          </w:p>
        </w:tc>
        <w:tc>
          <w:tcPr>
            <w:tcW w:w="2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10"/>
        </w:trPr>
        <w:tc>
          <w:tcPr>
            <w:tcW w:w="2500" w:type="dxa"/>
            <w:vAlign w:val="bottom"/>
          </w:tcPr>
          <w:p>
            <w:pPr>
              <w:spacing w:after="0"/>
              <w:rPr>
                <w:sz w:val="20"/>
                <w:szCs w:val="20"/>
                <w:color w:val="auto"/>
              </w:rPr>
            </w:pPr>
            <w:r>
              <w:rPr>
                <w:rFonts w:ascii="Arial" w:cs="Arial" w:eastAsia="Arial" w:hAnsi="Arial"/>
                <w:sz w:val="18"/>
                <w:szCs w:val="18"/>
                <w:color w:val="auto"/>
              </w:rPr>
              <w:t>Trading</w:t>
            </w: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5"/>
              </w:rPr>
              <w:t>We intend to file an application to list the depositary shares on the NYSE under the symbol “FRTPRC”. If the</w:t>
            </w:r>
          </w:p>
        </w:tc>
      </w:tr>
      <w:tr>
        <w:trPr>
          <w:trHeight w:val="216"/>
        </w:trPr>
        <w:tc>
          <w:tcPr>
            <w:tcW w:w="2500" w:type="dxa"/>
            <w:vAlign w:val="bottom"/>
          </w:tcPr>
          <w:p>
            <w:pPr>
              <w:spacing w:after="0"/>
              <w:rPr>
                <w:sz w:val="18"/>
                <w:szCs w:val="18"/>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0"/>
              </w:rPr>
              <w:t>application is approved, trading of the depositary shares on the NYSE is expected to begin within 30 days after the</w:t>
            </w:r>
          </w:p>
        </w:tc>
      </w:tr>
      <w:tr>
        <w:trPr>
          <w:trHeight w:val="216"/>
        </w:trPr>
        <w:tc>
          <w:tcPr>
            <w:tcW w:w="2500" w:type="dxa"/>
            <w:vAlign w:val="bottom"/>
          </w:tcPr>
          <w:p>
            <w:pPr>
              <w:spacing w:after="0"/>
              <w:rPr>
                <w:sz w:val="18"/>
                <w:szCs w:val="18"/>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4"/>
              </w:rPr>
              <w:t>date of initial delivery of the depositary shares to the underwriters. The underwriters have advised us that they</w:t>
            </w:r>
          </w:p>
        </w:tc>
      </w:tr>
      <w:tr>
        <w:trPr>
          <w:trHeight w:val="216"/>
        </w:trPr>
        <w:tc>
          <w:tcPr>
            <w:tcW w:w="2500" w:type="dxa"/>
            <w:vAlign w:val="bottom"/>
          </w:tcPr>
          <w:p>
            <w:pPr>
              <w:spacing w:after="0"/>
              <w:rPr>
                <w:sz w:val="18"/>
                <w:szCs w:val="18"/>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2"/>
              </w:rPr>
              <w:t>intend to make a market in the depositary shares prior to commencement of any trading on the NYSE. However,</w:t>
            </w:r>
          </w:p>
        </w:tc>
      </w:tr>
      <w:tr>
        <w:trPr>
          <w:trHeight w:val="216"/>
        </w:trPr>
        <w:tc>
          <w:tcPr>
            <w:tcW w:w="2500" w:type="dxa"/>
            <w:vAlign w:val="bottom"/>
          </w:tcPr>
          <w:p>
            <w:pPr>
              <w:spacing w:after="0"/>
              <w:rPr>
                <w:sz w:val="18"/>
                <w:szCs w:val="18"/>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2"/>
              </w:rPr>
              <w:t>the underwriters will have no obligation to do so, and no assurance can be given that a market for the depositary</w:t>
            </w:r>
          </w:p>
        </w:tc>
      </w:tr>
      <w:tr>
        <w:trPr>
          <w:trHeight w:val="230"/>
        </w:trPr>
        <w:tc>
          <w:tcPr>
            <w:tcW w:w="2500" w:type="dxa"/>
            <w:vAlign w:val="bottom"/>
          </w:tcPr>
          <w:p>
            <w:pPr>
              <w:spacing w:after="0"/>
              <w:rPr>
                <w:sz w:val="20"/>
                <w:szCs w:val="20"/>
                <w:color w:val="auto"/>
              </w:rPr>
            </w:pP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rPr>
              <w:t>shares will develop prior to commencement of trading on the NYSE or, if developed, will be maintained.</w:t>
            </w:r>
          </w:p>
        </w:tc>
      </w:tr>
      <w:tr>
        <w:trPr>
          <w:trHeight w:val="310"/>
        </w:trPr>
        <w:tc>
          <w:tcPr>
            <w:tcW w:w="2500" w:type="dxa"/>
            <w:vAlign w:val="bottom"/>
          </w:tcPr>
          <w:p>
            <w:pPr>
              <w:spacing w:after="0"/>
              <w:rPr>
                <w:sz w:val="20"/>
                <w:szCs w:val="20"/>
                <w:color w:val="auto"/>
              </w:rPr>
            </w:pPr>
            <w:r>
              <w:rPr>
                <w:rFonts w:ascii="Arial" w:cs="Arial" w:eastAsia="Arial" w:hAnsi="Arial"/>
                <w:sz w:val="18"/>
                <w:szCs w:val="18"/>
                <w:color w:val="auto"/>
              </w:rPr>
              <w:t>Use of Proceeds</w:t>
            </w:r>
          </w:p>
        </w:tc>
        <w:tc>
          <w:tcPr>
            <w:tcW w:w="8520" w:type="dxa"/>
            <w:vAlign w:val="bottom"/>
            <w:gridSpan w:val="4"/>
          </w:tcPr>
          <w:p>
            <w:pPr>
              <w:ind w:left="260"/>
              <w:spacing w:after="0"/>
              <w:rPr>
                <w:sz w:val="20"/>
                <w:szCs w:val="20"/>
                <w:color w:val="auto"/>
              </w:rPr>
            </w:pPr>
            <w:r>
              <w:rPr>
                <w:rFonts w:ascii="Arial" w:cs="Arial" w:eastAsia="Arial" w:hAnsi="Arial"/>
                <w:sz w:val="18"/>
                <w:szCs w:val="18"/>
                <w:color w:val="auto"/>
                <w:w w:val="90"/>
              </w:rPr>
              <w:t>We estimate that the net proceeds from this offering, after deducting the underwriting discount and other estimated</w:t>
            </w:r>
          </w:p>
        </w:tc>
      </w:tr>
      <w:tr>
        <w:trPr>
          <w:trHeight w:val="230"/>
        </w:trPr>
        <w:tc>
          <w:tcPr>
            <w:tcW w:w="2500" w:type="dxa"/>
            <w:vAlign w:val="bottom"/>
          </w:tcPr>
          <w:p>
            <w:pPr>
              <w:spacing w:after="0"/>
              <w:rPr>
                <w:sz w:val="20"/>
                <w:szCs w:val="20"/>
                <w:color w:val="auto"/>
              </w:rPr>
            </w:pPr>
          </w:p>
        </w:tc>
        <w:tc>
          <w:tcPr>
            <w:tcW w:w="4720" w:type="dxa"/>
            <w:vAlign w:val="bottom"/>
            <w:gridSpan w:val="2"/>
          </w:tcPr>
          <w:p>
            <w:pPr>
              <w:ind w:left="260"/>
              <w:spacing w:after="0"/>
              <w:rPr>
                <w:sz w:val="20"/>
                <w:szCs w:val="20"/>
                <w:color w:val="auto"/>
              </w:rPr>
            </w:pPr>
            <w:r>
              <w:rPr>
                <w:rFonts w:ascii="Arial" w:cs="Arial" w:eastAsia="Arial" w:hAnsi="Arial"/>
                <w:sz w:val="18"/>
                <w:szCs w:val="18"/>
                <w:color w:val="auto"/>
                <w:w w:val="98"/>
              </w:rPr>
              <w:t>offering expenses payable by us, will be approximately $</w:t>
            </w:r>
          </w:p>
        </w:tc>
        <w:tc>
          <w:tcPr>
            <w:tcW w:w="2700" w:type="dxa"/>
            <w:vAlign w:val="bottom"/>
          </w:tcPr>
          <w:p>
            <w:pPr>
              <w:ind w:left="240"/>
              <w:spacing w:after="0"/>
              <w:rPr>
                <w:sz w:val="20"/>
                <w:szCs w:val="20"/>
                <w:color w:val="auto"/>
              </w:rPr>
            </w:pPr>
            <w:r>
              <w:rPr>
                <w:rFonts w:ascii="Arial" w:cs="Arial" w:eastAsia="Arial" w:hAnsi="Arial"/>
                <w:sz w:val="18"/>
                <w:szCs w:val="18"/>
                <w:color w:val="auto"/>
              </w:rPr>
              <w:t>million, or approximately $</w:t>
            </w:r>
          </w:p>
        </w:tc>
        <w:tc>
          <w:tcPr>
            <w:tcW w:w="1100" w:type="dxa"/>
            <w:vAlign w:val="bottom"/>
          </w:tcPr>
          <w:p>
            <w:pPr>
              <w:ind w:left="100"/>
              <w:spacing w:after="0"/>
              <w:rPr>
                <w:sz w:val="20"/>
                <w:szCs w:val="20"/>
                <w:color w:val="auto"/>
              </w:rPr>
            </w:pPr>
            <w:r>
              <w:rPr>
                <w:rFonts w:ascii="Arial" w:cs="Arial" w:eastAsia="Arial" w:hAnsi="Arial"/>
                <w:sz w:val="18"/>
                <w:szCs w:val="18"/>
                <w:color w:val="auto"/>
              </w:rPr>
              <w:t>million if the</w:t>
            </w:r>
          </w:p>
        </w:tc>
      </w:tr>
    </w:tbl>
    <w:p>
      <w:pPr>
        <w:ind w:left="2960" w:right="140"/>
        <w:spacing w:after="0" w:line="254" w:lineRule="auto"/>
        <w:rPr>
          <w:sz w:val="20"/>
          <w:szCs w:val="20"/>
          <w:color w:val="auto"/>
        </w:rPr>
      </w:pPr>
      <w:r>
        <w:rPr>
          <w:rFonts w:ascii="Arial" w:cs="Arial" w:eastAsia="Arial" w:hAnsi="Arial"/>
          <w:sz w:val="18"/>
          <w:szCs w:val="18"/>
          <w:color w:val="auto"/>
        </w:rPr>
        <w:t>underwriters’ over-allotment option is exercised in full, assuming all such over-allotment shares are sold to retail accounts. We intend to use the net proceeds of this offering to reduce amounts outstanding under our revolving credit facility and for general corporate purposes. See “Use of Proceeds” on page S-9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516"/>
        </w:trPr>
        <w:tc>
          <w:tcPr>
            <w:tcW w:w="258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Settlement Date</w:t>
            </w:r>
          </w:p>
        </w:tc>
        <w:tc>
          <w:tcPr>
            <w:tcW w:w="884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Delivery of the depositary shares will be made against payment therefor on or about September   , 2017.</w:t>
            </w:r>
          </w:p>
        </w:tc>
      </w:tr>
      <w:tr>
        <w:trPr>
          <w:trHeight w:val="310"/>
        </w:trPr>
        <w:tc>
          <w:tcPr>
            <w:tcW w:w="25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Material federal income tax</w:t>
            </w: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2"/>
              </w:rPr>
              <w:t>For a description of material U.S. federal income tax considerations of an investment in our depositary shares and</w:t>
            </w:r>
          </w:p>
        </w:tc>
      </w:tr>
      <w:tr>
        <w:trPr>
          <w:trHeight w:val="216"/>
        </w:trPr>
        <w:tc>
          <w:tcPr>
            <w:tcW w:w="25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considerations</w:t>
            </w: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3"/>
              </w:rPr>
              <w:t>Series C preferred shares, please review the disclosure in the accompanying prospectus under “Material Federal</w:t>
            </w:r>
          </w:p>
        </w:tc>
      </w:tr>
      <w:tr>
        <w:trPr>
          <w:trHeight w:val="216"/>
        </w:trPr>
        <w:tc>
          <w:tcPr>
            <w:tcW w:w="258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3"/>
              </w:rPr>
              <w:t>Income Tax Considerations,” as supplemented by both the information in our Current Report on Form 8-K that we</w:t>
            </w:r>
          </w:p>
        </w:tc>
      </w:tr>
      <w:tr>
        <w:trPr>
          <w:trHeight w:val="216"/>
        </w:trPr>
        <w:tc>
          <w:tcPr>
            <w:tcW w:w="258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4"/>
              </w:rPr>
              <w:t>filed with the SEC on August 4, 2017 and the information beginning on page S-18 in this prospectus supplement</w:t>
            </w:r>
          </w:p>
        </w:tc>
      </w:tr>
      <w:tr>
        <w:trPr>
          <w:trHeight w:val="230"/>
        </w:trPr>
        <w:tc>
          <w:tcPr>
            <w:tcW w:w="2580" w:type="dxa"/>
            <w:vAlign w:val="bottom"/>
            <w:tcBorders>
              <w:left w:val="single" w:sz="8" w:color="auto"/>
            </w:tcBorders>
          </w:tcPr>
          <w:p>
            <w:pPr>
              <w:spacing w:after="0"/>
              <w:rPr>
                <w:sz w:val="20"/>
                <w:szCs w:val="20"/>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under “Additional Material Federal Income Tax Considerations.”</w:t>
            </w:r>
          </w:p>
        </w:tc>
      </w:tr>
      <w:tr>
        <w:trPr>
          <w:trHeight w:val="310"/>
        </w:trPr>
        <w:tc>
          <w:tcPr>
            <w:tcW w:w="25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6"/>
              </w:rPr>
              <w:t>Investing in our depositary shares and Series C preferred shares involves risks. Please review the risk factors</w:t>
            </w:r>
          </w:p>
        </w:tc>
      </w:tr>
      <w:tr>
        <w:trPr>
          <w:trHeight w:val="216"/>
        </w:trPr>
        <w:tc>
          <w:tcPr>
            <w:tcW w:w="258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7"/>
              </w:rPr>
              <w:t>discussed on page S-7 of this prospectus supplement, on page 3 of the accompanying prospectus and in our</w:t>
            </w:r>
          </w:p>
        </w:tc>
      </w:tr>
      <w:tr>
        <w:trPr>
          <w:trHeight w:val="216"/>
        </w:trPr>
        <w:tc>
          <w:tcPr>
            <w:tcW w:w="258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4"/>
              </w:rPr>
              <w:t>Annual Report on Form 10-K for the year ended December 31, 2016 that we filed with the SEC on February 13,</w:t>
            </w:r>
          </w:p>
        </w:tc>
      </w:tr>
      <w:tr>
        <w:trPr>
          <w:trHeight w:val="216"/>
        </w:trPr>
        <w:tc>
          <w:tcPr>
            <w:tcW w:w="258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4"/>
              </w:rPr>
              <w:t>2017, and the other information contained in or incorporated by reference into this prospectus supplement or the</w:t>
            </w:r>
          </w:p>
        </w:tc>
      </w:tr>
      <w:tr>
        <w:trPr>
          <w:trHeight w:val="216"/>
        </w:trPr>
        <w:tc>
          <w:tcPr>
            <w:tcW w:w="258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accompanying prospectus for a discussion of factors you should consider before deciding to invest in our</w:t>
            </w:r>
          </w:p>
        </w:tc>
      </w:tr>
      <w:tr>
        <w:trPr>
          <w:trHeight w:val="216"/>
        </w:trPr>
        <w:tc>
          <w:tcPr>
            <w:tcW w:w="258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3"/>
              </w:rPr>
              <w:t>depositary shares and Series C preferred shares. You may obtain a copy of our Annual Report on Form 10-K and</w:t>
            </w:r>
          </w:p>
        </w:tc>
      </w:tr>
      <w:tr>
        <w:trPr>
          <w:trHeight w:val="216"/>
        </w:trPr>
        <w:tc>
          <w:tcPr>
            <w:tcW w:w="258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3"/>
              </w:rPr>
              <w:t>the other documents incorporated by reference into this prospectus supplement or the accompanying prospectus</w:t>
            </w:r>
          </w:p>
        </w:tc>
      </w:tr>
      <w:tr>
        <w:trPr>
          <w:trHeight w:val="216"/>
        </w:trPr>
        <w:tc>
          <w:tcPr>
            <w:tcW w:w="258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by following the procedures described under “Where You Can Find More Information” on page 47 of the</w:t>
            </w:r>
          </w:p>
        </w:tc>
      </w:tr>
      <w:tr>
        <w:trPr>
          <w:trHeight w:val="230"/>
        </w:trPr>
        <w:tc>
          <w:tcPr>
            <w:tcW w:w="2580" w:type="dxa"/>
            <w:vAlign w:val="bottom"/>
            <w:tcBorders>
              <w:left w:val="single" w:sz="8" w:color="auto"/>
            </w:tcBorders>
          </w:tcPr>
          <w:p>
            <w:pPr>
              <w:spacing w:after="0"/>
              <w:rPr>
                <w:sz w:val="20"/>
                <w:szCs w:val="20"/>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accompanying prospectus.</w:t>
            </w:r>
          </w:p>
        </w:tc>
      </w:tr>
      <w:tr>
        <w:trPr>
          <w:trHeight w:val="402"/>
        </w:trPr>
        <w:tc>
          <w:tcPr>
            <w:tcW w:w="2580" w:type="dxa"/>
            <w:vAlign w:val="bottom"/>
            <w:tcBorders>
              <w:left w:val="single" w:sz="8" w:color="auto"/>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r>
      <w:tr>
        <w:trPr>
          <w:trHeight w:val="604"/>
        </w:trPr>
        <w:tc>
          <w:tcPr>
            <w:tcW w:w="2580" w:type="dxa"/>
            <w:vAlign w:val="bottom"/>
          </w:tcPr>
          <w:p>
            <w:pPr>
              <w:spacing w:after="0"/>
              <w:rPr>
                <w:sz w:val="24"/>
                <w:szCs w:val="24"/>
                <w:color w:val="auto"/>
              </w:rPr>
            </w:pPr>
          </w:p>
        </w:tc>
        <w:tc>
          <w:tcPr>
            <w:tcW w:w="8840" w:type="dxa"/>
            <w:vAlign w:val="bottom"/>
          </w:tcPr>
          <w:p>
            <w:pPr>
              <w:ind w:left="300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Investing in our depositary shares and Series C preferred shares involves a significant degree of risk. Before you decide to purchase our depositary shares, you should carefully consider the following risk factors, together with all of the other information contained in or incorporated by reference into this prospectus supplement, including the additional risk factors discussed on page 3 of the accompanying prospectus and in our Annual Report on Form 10-K for the year ended December 31, 2016 that we filed with the SEC on February 13, 2017. The risks and uncertainties we have described are those we believe to be the principal risks that could affect us, our business or our industry, and which could result in a material adverse impact on our financial condition, results of operation or the market price of our depositary shares. However, additional risks and uncertainties not currently known to us or that we currently deem immaterial may affect our business operations and the market price of our depositary shares.</w:t>
      </w:r>
    </w:p>
    <w:p>
      <w:pPr>
        <w:spacing w:after="0" w:line="28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depositary shares are a new issue of securities and do not have an established trading market, which may negatively affect their market value and your ability to transfer or sell your shares.</w:t>
      </w:r>
    </w:p>
    <w:p>
      <w:pPr>
        <w:spacing w:after="0" w:line="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depositary shares, each of which represents a 1/1000 fractional interest in a Series C preferred share, are a new issue of securities with no established trading market. We intend to file an application to list the depositary shares on the NYSE under the symbol “FRTPRC”. However, we cannot assure you that the depositary shares will be approved for listing on the NYSE. If the application is approved, trading of the depositary shares on the NYSE is expected to begin within 30 days after the date of initial delivery of the depositary shares to the underwriters. We cannot assure you that an active trading market on the NYSE for the depositary shares will develop or, even if one develops, will be maintained. As a result, your ability to transfer or sell the depositary shares and any trading price of the depositary shares could be adversely affected. We have been advised by the underwriters that they intend to make a market in the depositary shares, but they are not obligated to do so and may discontinue any market-making at any time without notice.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value of the depositary shares could be substantially affected by various factors.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As with other publicly traded securities, the trading price of the depositary shares will depend on many factors, which may change from time to time, including:</w:t>
      </w:r>
    </w:p>
    <w:p>
      <w:pPr>
        <w:spacing w:after="0" w:line="7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prevailing interest rates, increases in which may have an adverse effect on the trading price of the depositary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market for similar securities issued by REITs;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issuance of debt or other preferred equity;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condition, liquidity, performance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future offerings of preferred equity may adversely affect the value of the depositary shares representing our Series C preferred shares.</w:t>
      </w:r>
    </w:p>
    <w:p>
      <w:pPr>
        <w:spacing w:after="0" w:line="13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may issue additional Series C preferred shares, other series of preferred equity and/or additional depositary shares representing Series C preferred shares or other series of preferred equity. The issuance of additional preferred equity (which may correspond with the issuance of depositary shares representing such preferred equity) on parity with or senior to our Series C preferred shares with respect to the payment of any dividends and the distribution of assets upon liquidation, dissolution or winding up could reduce the amounts we may have available for distribution to holders of the depositary shares representing our Series C preferred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intercompany cash flows to satisfy our obligations under the Series C preferred shares and the depositary shares.</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derive a significant portion of our operating income from our subsidiaries. As a holder of depositary shares representing our Series C preferred shares, you will have no direct claim against our subsidiaries for payment under the depositary shares. We generate net cash flow from the operations of the assets that we own directly but also rely on distributions and other payments from our subsidiaries to produce the funds necessary to meet our obligations, including the payment of dividends on the Series C preferred shares and depositary shares representing Series C preferred shares.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Our Series C preferred shares and the depositary shares representing our Series C preferred shares are subordinated to our existing and future indebtedness and any securities ranking senior to our Series C preferred shares and the depositary shares representing our Series C preferred shares.</w:t>
      </w:r>
    </w:p>
    <w:p>
      <w:pPr>
        <w:spacing w:after="0" w:line="7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Payment of dividends and other amounts due on the depositary shares representing our Series C preferred shares will be subordinated to all of our existing and future consolidated indebtedness and any equity securities ranking senior to our Series C preferred shares and the depositary shares representing our Series C preferred shares. As of June 30, 2017, our total consolidated indebtedness was approximately $3.1 billion (increased to $3.5 billion as of September 22, 2017) and we had no equity securities ranking senior to our Series C preferred shares and the depositary shares representing our Series C preferred shares. We and our subsidiaries may incur additional indebtedness in the future or issue equity securities ranking senior to our Series C preferred shares and the depositary shares representing our Series C preferred shares. The terms of our Series C preferred shares do not limit our ability to incur indebtedness. If we incur significant indebtedness or issue equity securities ranking senior to our Series C preferred shares and the depositary shares representing our Series C preferred shares, we may not have sufficient funds to make dividend or liquidation payments on the depositary shares representing our Series C preferred shares. In addition, in connection with our existing and future indebtedness, we may be subject to restrictive covenants or other provisions that may prevent our subsidiaries from distributing to us cash needed for payments on the depositary shares representing our Series C preferred shares or may otherwise limit our ability to make dividend or liquidation payments on the depositary shares representing our Series C preferred shares. Upon liquidation, our obligations to our creditors and holders of any equity securities ranking senior to our Series C preferred shares and the depositary shares representing our Series C preferred shares would rank senior to our obligations to holders of depositary shares representing our Series C preferred shares and would be required to be paid before any payments could be made to holders of the depositary shares representing our Series C preferred shares.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holder of depositary shares representing interests in the Series C preferred shares, you have extremely limited voting rights.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Your voting rights as a holder of depositary shares will be limited. Our common shares comprise the only class of our securities that carries full voting rights. Voting rights for holders of depositary shares will exist primarily with respect to the right to elect (voting together as a class with holders of any other classes or series of preferred shares upon which like voting rights have been conferred and are exercisable) two additional trustees to our board of trustees in the event that six quarterly dividends (whether or not declared or consecutive) payable on the Series C preferred shares are in arrears, and with respect to voting on amendments to our declaration of trust or bylaws (with the holders of the depositary shares representing Series C preferred shares voting separately as a class) that materially and adversely affect the rights of the holders of depositary shares representing interests in the Series C preferred shares or create additional classes or series of our shares that are senior to the Series C preferred shares, provided that in any event adequate provision for redemption has not been made. Other than the limited circumstances described in this prospectus supplement, holders of depositary shares will not have any voting rights. See “Description of Depositary Shares and Series C Preferred Shares—Voting Rights.”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the net proceeds from this offering, after deducting the underwriting discount and other estimated offering expenses payable by us, will be</w:t>
      </w:r>
    </w:p>
    <w:p>
      <w:pPr>
        <w:spacing w:after="0" w:line="46" w:lineRule="exact"/>
        <w:rPr>
          <w:sz w:val="20"/>
          <w:szCs w:val="20"/>
          <w:color w:val="auto"/>
        </w:rPr>
      </w:pPr>
    </w:p>
    <w:p>
      <w:pPr>
        <w:jc w:val="both"/>
        <w:ind w:right="260"/>
        <w:spacing w:after="0" w:line="277" w:lineRule="auto"/>
        <w:rPr>
          <w:sz w:val="20"/>
          <w:szCs w:val="20"/>
          <w:color w:val="auto"/>
        </w:rPr>
      </w:pPr>
      <w:r>
        <w:rPr>
          <w:rFonts w:ascii="Arial" w:cs="Arial" w:eastAsia="Arial" w:hAnsi="Arial"/>
          <w:sz w:val="17"/>
          <w:szCs w:val="17"/>
          <w:color w:val="auto"/>
        </w:rPr>
        <w:t>approximately $ million, or approximately $ million if the underwriters’ over-allotment option is exercised in full, assuming all such over-allotment shares are sold to retail accounts. (To the extent any over-allotment shares are sold to institutional accounts, the net proceeds will be higher.) We intend to use the net proceeds of this offering to reduce amounts outstanding under our revolving credit facility and for general corporate purposes.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$800 million revolving credit facility matures on April 20, 2020, subject to two six-month extensions at our option. LIBOR loans outstanding under our revolving credit facility bear interest at seven day, one month, three month or six month LIBOR, at our election, plus a spread of 82.5 basis points, subject to adjustment based on our credit rating. In addition, we have an option (subject to the approval of the lenders) to increase our revolving credit facility through an accordion feature to $1.5 billion. As of June 30, 2017, there was no outstanding balance under our revolving credit facility (increased to $255 million as of September 22, 2017).</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Affiliates of certain underwriters are lenders under our revolving credit facility and will receive the net proceeds from this offering that are used to repay amounts outstanding thereunder.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COMBINED FIXED CHARGES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SHARE DIVIDENDS</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sets forth our historical ratios of earnings to fixed charges and combined fixed charges and preferred share dividends for the periods indicated:</w:t>
      </w:r>
    </w:p>
    <w:p>
      <w:pPr>
        <w:spacing w:after="0" w:line="189" w:lineRule="exact"/>
        <w:rPr>
          <w:sz w:val="20"/>
          <w:szCs w:val="20"/>
          <w:color w:val="auto"/>
        </w:rPr>
      </w:pPr>
    </w:p>
    <w:p>
      <w:pPr>
        <w:jc w:val="center"/>
        <w:ind w:left="4980"/>
        <w:spacing w:after="0"/>
        <w:rPr>
          <w:sz w:val="20"/>
          <w:szCs w:val="20"/>
          <w:color w:val="auto"/>
        </w:rPr>
      </w:pPr>
      <w:r>
        <w:rPr>
          <w:rFonts w:ascii="Arial" w:cs="Arial" w:eastAsia="Arial" w:hAnsi="Arial"/>
          <w:sz w:val="14"/>
          <w:szCs w:val="14"/>
          <w:b w:val="1"/>
          <w:bCs w:val="1"/>
          <w:color w:val="auto"/>
        </w:rPr>
        <w:t>For the Six</w:t>
      </w:r>
    </w:p>
    <w:p>
      <w:pPr>
        <w:jc w:val="center"/>
        <w:ind w:left="4980"/>
        <w:spacing w:after="0" w:line="226" w:lineRule="auto"/>
        <w:rPr>
          <w:sz w:val="20"/>
          <w:szCs w:val="20"/>
          <w:color w:val="auto"/>
        </w:rPr>
      </w:pPr>
      <w:r>
        <w:rPr>
          <w:rFonts w:ascii="Arial" w:cs="Arial" w:eastAsia="Arial" w:hAnsi="Arial"/>
          <w:sz w:val="14"/>
          <w:szCs w:val="14"/>
          <w:b w:val="1"/>
          <w:bCs w:val="1"/>
          <w:color w:val="auto"/>
        </w:rPr>
        <w:t>Months</w:t>
      </w:r>
    </w:p>
    <w:p>
      <w:pPr>
        <w:jc w:val="center"/>
        <w:ind w:left="4980"/>
        <w:spacing w:after="0" w:line="222" w:lineRule="auto"/>
        <w:rPr>
          <w:sz w:val="20"/>
          <w:szCs w:val="20"/>
          <w:color w:val="auto"/>
        </w:rPr>
      </w:pPr>
      <w:r>
        <w:rPr>
          <w:rFonts w:ascii="Arial" w:cs="Arial" w:eastAsia="Arial" w:hAnsi="Arial"/>
          <w:sz w:val="14"/>
          <w:szCs w:val="14"/>
          <w:b w:val="1"/>
          <w:bCs w:val="1"/>
          <w:color w:val="auto"/>
        </w:rPr>
        <w:t>Ended</w:t>
      </w:r>
    </w:p>
    <w:p>
      <w:pPr>
        <w:ind w:left="7940"/>
        <w:spacing w:after="0"/>
        <w:tabs>
          <w:tab w:leader="none" w:pos="900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-3175</wp:posOffset>
            </wp:positionV>
            <wp:extent cx="22294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jc w:val="both"/>
        <w:ind w:left="8060"/>
        <w:spacing w:after="0"/>
        <w:tabs>
          <w:tab w:leader="none" w:pos="8780" w:val="left"/>
          <w:tab w:leader="none" w:pos="9340" w:val="left"/>
          <w:tab w:leader="none" w:pos="9900" w:val="left"/>
          <w:tab w:leader="none" w:pos="10460" w:val="left"/>
          <w:tab w:leader="none" w:pos="110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2"/>
          <w:szCs w:val="12"/>
          <w:b w:val="1"/>
          <w:bCs w:val="1"/>
          <w:color w:val="auto"/>
        </w:rPr>
        <w:t>2012</w:t>
      </w:r>
    </w:p>
    <w:tbl>
      <w:tblPr>
        <w:tblLayout w:type="fixed"/>
        <w:tblInd w:w="0" w:type="dxa"/>
        <w:tblCellMar>
          <w:top w:w="0" w:type="dxa"/>
          <w:left w:w="0" w:type="dxa"/>
          <w:bottom w:w="0" w:type="dxa"/>
          <w:right w:w="0" w:type="dxa"/>
        </w:tblCellMar>
      </w:tblPr>
      <w:tr>
        <w:trPr>
          <w:trHeight w:val="210"/>
        </w:trPr>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Ratios of earnings to fixed charges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Ratios of earnings to combined fixed charges and preferred share dividends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right="200" w:firstLine="8"/>
        <w:spacing w:after="0" w:line="254"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DEPOSITARY SHARES AND SERIES C PREFERRED SHARES</w:t>
      </w:r>
    </w:p>
    <w:p>
      <w:pPr>
        <w:spacing w:after="0" w:line="22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September 22, 2017, we had issued and outstanding 72,542,912 common shares, and 399,896 preferred shares, all of which were are designated as 5.417% Series 1 Cumulative Convertible Preferred Shares, or Series 1 preferred shares.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trustees, or a duly authorized committee thereof, will adopt a form of Articles Supplementary to our declaration of trust establishing the</w:t>
      </w:r>
    </w:p>
    <w:p>
      <w:pPr>
        <w:spacing w:after="0" w:line="46"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terms of the Series C preferred shares consisting of shares, designated % Series C Cumulative Redeemable Preferred Shares, $0.01 par value per share. When issued, the Series C preferred shares will be validly issued, fully paid and nonassessable. Unless redeemed or otherwise repurchased by us, the Series C preferred shares have a perpetual term with no stated maturity date. The following summary of the terms and provisions of the Series C preferred shares does not purport to be complete and is qualified in its entirety by reference to the pertinent sections of our declaration of trust, which includes the Articles Supplementary establishing the Series C preferred shares and is available from us upon request.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registrar, transfer agent and dividends disbursing agent for the Series C preferred shares will be American Stock Transfer &amp; Trust Company, LLC.</w:t>
      </w:r>
    </w:p>
    <w:p>
      <w:pPr>
        <w:spacing w:after="0" w:line="24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Each depositary share represents a 1/1000 fractional interest in a Series C preferred share. The Series C preferred shares will be deposited with American Stock Transfer &amp; Trust Company, LLC, as depositary (referred to herein as the preferred share depositary), under a deposit agreement between us, the preferred share depositary and the holders from time to time of the depositary receipts issued by the preferred share depositary thereunder. The depositary receipts will evidence the depositary shares. Subject to the terms of the deposit agreement, each holder of a depositary receipt representing a depositary share will be entitled to all the rights and preferences of a fractional interest in a Series C preferred share (including dividends, voting, redemption and liquidation rights and preferences). See “Description of Shares of Beneficial Interest – Depositary Shares” in the accompanying prospectus.</w:t>
      </w:r>
    </w:p>
    <w:p>
      <w:pPr>
        <w:spacing w:after="0" w:line="16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intend to file an application to list the depositary shares on the NYSE under the symbol “FRTPRC”. If such application is approved, trading of the depositary shares on the NYSE is expected to commence within 30 days after the date of initial delivery of the depositary shares to the underwriters. While the underwriters have advised us that they intend to make a market in the depositary shares prior to commencement of any trading on the NYSE, they are under no obligation to do so and no assurance can be given that a market for the depositary shares will develop prior to commencement of trading or, if developed, will be maintained.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6"/>
          <w:szCs w:val="16"/>
          <w:color w:val="auto"/>
        </w:rPr>
        <w:t>With respect to the payment of dividends and distribution of our assets and rights upon liquidation, dissolution or winding up, the Series C preferred shares will rank (i) senior to our common shares and to all other equity securities that, by their terms, rank junior to the Series C preferred shares, (ii) on a parity with all equity securities issued by us other than those referred to in clause (i) or clause (iii), including our outstanding Series 1 preferred shares, and</w:t>
      </w:r>
    </w:p>
    <w:p>
      <w:pPr>
        <w:ind w:right="280" w:firstLine="8"/>
        <w:spacing w:after="0" w:line="255"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junior to all equity securities issued by us whose senior ranking is consented to by holders of at least two-thirds of the shares of the Series C preferred shares outstanding at the time. For these purposes, the term “equity securities” does not include convertible debt securities. We currently have no equity securities outstanding senior to the Series C preferred shares.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Holders of the Series C preferred shares shall be entitled to receive, when, as and if authorized by our board of trustees and declared by us, out of assets</w:t>
      </w:r>
    </w:p>
    <w:p>
      <w:pPr>
        <w:spacing w:after="0" w:line="4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legally available for payment, cumulative cash dividends at the rate of % of the $25,000.00 liquidation preference per year (equal to $ per depositary share per year). Dividends on the Series C preferred shares shall accrue and be cumulative from, and including, the date of original issue and shall be payable, subject to authorization by our board of trustees and declaration by us, quarterly in arrears on January 15, April 15, July 15 and October 15 of each year, commencing on January 15, 2018, or, if any such date is not a business day, the next succeeding business day. Dividends payable on the Series C preferred shares will be computed on the basis of a 360-day year consisting of twelve 30-day months. The preferred share depositary will</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distribute cash dividends received in respect of the Series C preferred shares to the record holders of the depositary receipts as of the close of business on the applicable record date, which shall be the first day of the calendar month in which the applicable dividend payment date falls or such other date designated by our board of trustees for the payment of dividends that is not more than 30 nor less than 10 days prior to the dividend payment date.</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full dividends shall be declared or paid or set apart for payment on any class or series of equity securities ranking, as to dividends or payment upon liquidation, dissolution or winding up, on a parity with or junior to our Series C preferred shares unless full cumulative dividends have been or contemporaneously are declared and paid or declared and a sum sufficient for the payment thereof set apart for that payment on the Series C preferred shares for all past dividend periods.</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When dividends are not paid in full (or a sum sufficient for their full payment is not so set apart) on the Series C preferred shares and any other class or series of equity securities ranking on a parity as to dividends or payment upon liquidation, dissolution or winding up with the Series C preferred shares, all dividends declared upon the Series C preferred shares and any other such equity securities shall be declared pro rata so that the amount of dividends declared per share on the Series C preferred shares and all other such parity securities shall in all cases bear to each other the same ratio that accrued and unpaid dividends per share on the Series C preferred shares and all other such parity securities bear to each other.</w:t>
      </w:r>
    </w:p>
    <w:p>
      <w:pPr>
        <w:spacing w:after="0" w:line="17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Except as provided in the immediately preceding paragraph, unless full cumulative dividends on the Series C preferred shares have been or contemporaneously are declared and paid or declared and a sum sufficient for the payment thereof set apart for payment for all past dividend periods, then no dividends (other than in the form of our common shares or any of our other equity securities ranking junior to the Series C preferred shares as to dividends and upon our liquidation, dissolution or winding up) shall be declared or paid or set apart for payment or other distribution shall be declared or made upon our common shares, excess shares or any of our other equity securities ranking junior to or on a parity with the Series C preferred shares as to dividends or upon liquidation, dissolution or winding up, nor shall any common shares, excess shares or any of our other equity securities ranking junior to or on a parity with the Series C preferred shares as to dividends or upon our liquidation, dissolution or winding up be redeemed, purchased or otherwise acquired for any consideration (or any moneys be paid to or made available for a sinking fund for the redemption of any such equity securities) by us (except by conversion into or exchange for other of our equity securities ranking junior to the Series C preferred shares as to dividends and upon our liquidation, dissolution or winding up).</w:t>
      </w:r>
    </w:p>
    <w:p>
      <w:pPr>
        <w:spacing w:after="0" w:line="195"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No dividends on the Series C preferred shares shall be authorized by our board of trustees or declared by us or be paid or set apart for payment by us at such time as the terms and provisions of any agreement of ours, including any agreement relating to our indebtedness, prohibits the authorization, declaration, payment or setting apart for payment or provides that the authorization, declaration, payment or setting apart for payment would constitute a breach thereof or a default thereunder, or if the declaration or payment shall be restricted or prohibited by law.</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Notwithstanding the foregoing, dividends on the Series C preferred shares will accrue whether or not we have earnings, whether or not there are funds legally available for the payment of the dividends and whether or not the dividends are authorized or declared. Accrued but unpaid dividends on the Series C preferred shares will not bear interest and holders of the Series C preferred shares will not be entitled to any dividends in excess of full cumulative dividends as described above.</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dividend payment made on the Series C preferred shares shall first be credited against the earliest accrued but unpaid dividend due with respect to the shares which remains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the event of any liquidation, dissolution or winding up of our affairs, the holders of the Series C preferred shares are entitled to be paid out of our assets legally available for distribution to our shareholders liquidating distributions in cash or property at its fair market value as determined by our board of trustees in the amount of a liquidation preference of $25,000.00 per share (equivalent to $25.00 per depositary share), plus an amount equal to all accrued and unpaid dividends to, but excluding, the date of the liquidation, dissolution or winding up, before any distribution or payment shall be made to the holders of any common shares, excess shares or any other class or series of equity securities issued by us ranking junior to our Series C preferred shares as to liquidation rights. After payment of the full amount of the liquidating distributions to which they are entitled,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holders of the Series C preferred shares will have no right or claim to any of our remaining assets. Our consolidation or merger with or into any other entity or the sale, lease, transfer or conveyance of all or substantially all of our property or business, individually or as part of a series of transactions, shall not be deemed to constitute a liquidation, dissolution or winding up of our affairs.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event that, upon any such voluntary or involuntary liquidation, dissolution or winding up, our legally available assets are insufficient to pay the amount of the liquidating distributions on all outstanding Series C preferred shares and the corresponding amounts payable on all other classes or series of equity securities issued by us ranking on a parity with the Series C preferred shares as to liquidation rights, then the holders of the depositary shares representing the Series C preferred shares and all other classes or series of equity securities issued by us ranking on a parity with the Series C preferred shares as to liquidation rights, including all other preferred shares, shall share ratably in any distribution of assets in proportion to the full liquidating distributions to which they would otherwise be respectively entitled.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460"/>
        <w:spacing w:after="0"/>
        <w:tabs>
          <w:tab w:leader="none" w:pos="4780" w:val="left"/>
          <w:tab w:leader="none" w:pos="6660" w:val="left"/>
        </w:tabs>
        <w:rPr>
          <w:sz w:val="20"/>
          <w:szCs w:val="20"/>
          <w:color w:val="auto"/>
        </w:rPr>
      </w:pPr>
      <w:r>
        <w:rPr>
          <w:rFonts w:ascii="Arial" w:cs="Arial" w:eastAsia="Arial" w:hAnsi="Arial"/>
          <w:sz w:val="18"/>
          <w:szCs w:val="18"/>
          <w:color w:val="auto"/>
        </w:rPr>
        <w:t>Series C preferred shares are not redeemable prior to</w:t>
      </w:r>
      <w:r>
        <w:rPr>
          <w:sz w:val="20"/>
          <w:szCs w:val="20"/>
          <w:color w:val="auto"/>
        </w:rPr>
        <w:tab/>
      </w:r>
      <w:r>
        <w:rPr>
          <w:rFonts w:ascii="Arial" w:cs="Arial" w:eastAsia="Arial" w:hAnsi="Arial"/>
          <w:sz w:val="18"/>
          <w:szCs w:val="18"/>
          <w:color w:val="auto"/>
        </w:rPr>
        <w:t>, 2022. On or after</w:t>
      </w:r>
      <w:r>
        <w:rPr>
          <w:sz w:val="20"/>
          <w:szCs w:val="20"/>
          <w:color w:val="auto"/>
        </w:rPr>
        <w:tab/>
      </w:r>
      <w:r>
        <w:rPr>
          <w:rFonts w:ascii="Arial" w:cs="Arial" w:eastAsia="Arial" w:hAnsi="Arial"/>
          <w:sz w:val="16"/>
          <w:szCs w:val="16"/>
          <w:color w:val="auto"/>
        </w:rPr>
        <w:t>, 2022, we may redeem, at our option upon not less than 30 nor</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more than 60 days’ written notice, the Series C preferred shares (and the preferred share depositary will redeem the number of depositary shares representing the Series C preferred shares so redeemed), in whole or in part, at any time or from time to time, for cash at a redemption price of $25,000.00 per share (equivalent to $25.00 per depositary share), plus accrued and unpaid dividends thereon, if any, to, but excluding, the date fixed for redemption. If fewer than all of the outstanding Series C preferred shares and depositary shares are to be redeemed, the Series C preferred shares and depositary shares to be redeemed will be determined pro rata (as nearly as practicable without creating fractional shares) or by lot. In addition, we may redeem Series C preferred shares at any time in certain circumstances relating to the maintenance of our ability to qualify as a REIT for federal income tax purposes.</w:t>
      </w:r>
    </w:p>
    <w:p>
      <w:pPr>
        <w:spacing w:after="0" w:line="16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will give the preferred share depositary prior written notice of redemption of the deposited Series C preferred shares. A similar notice will be mailed by the preferred share depositary, postage prepaid, not less than 30 nor more than 60 days prior to the date fixed for redemption of the Series C preferred shares and the depositary shares, addressed to the respective holders of depositary shares to be redeemed at their respective addresses shown on the records of the preferred share depositary. The notice of redemption may be contingent on the occurrence of a future event. No failure to give notice or any defect of the notice or in the mailing of the notice shall affect the validity of the proceedings for the redemption of any Series C preferred shares except as to the holder to whom notice was defective or not given. Each notice shall state:</w:t>
      </w:r>
    </w:p>
    <w:p>
      <w:pPr>
        <w:spacing w:after="0" w:line="84" w:lineRule="exact"/>
        <w:rPr>
          <w:sz w:val="20"/>
          <w:szCs w:val="20"/>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fixed for redemption of the Series C preferred shares and the depositary shares;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Series C preferred shares and the number of depositary shares to be redeemed;</w:t>
      </w:r>
    </w:p>
    <w:p>
      <w:pPr>
        <w:spacing w:after="0" w:line="130" w:lineRule="exact"/>
        <w:rPr>
          <w:rFonts w:ascii="Arial" w:cs="Arial" w:eastAsia="Arial" w:hAnsi="Arial"/>
          <w:sz w:val="18"/>
          <w:szCs w:val="18"/>
          <w:color w:val="auto"/>
        </w:rPr>
      </w:pPr>
    </w:p>
    <w:p>
      <w:pPr>
        <w:ind w:left="1480" w:right="440" w:hanging="446"/>
        <w:spacing w:after="0" w:line="277"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place or places where certificates representing the Series C preferred shares and the depositary receipts are to be surrendered for payment of the redemption price;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the redemption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notice mailed to each holder shall also specify the number of Series C preferred shares and depositary shares to be redeemed from such holder.</w:t>
      </w:r>
    </w:p>
    <w:p>
      <w:pPr>
        <w:spacing w:after="0" w:line="24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or after the redemption date, each holder of Series C preferred shares to be redeemed must present and surrender the certificates representing the Series C preferred shares at the place designated in the redemption notice and then the redemption price of such Series C preferred shares and any accrued and unpaid dividends payable upon such redemption will be paid to the person who presented and surrendered such certificates and each surrendered certificate will be canceled. Similarly, on or after the redemption date, each holder of depositary receipts representing depositary shares to be redeemed must present and surrender the depositary receipts representing depositary shares at the place designated in the redemption notice and then the redemption price of such depositary shares and any accrued and unpaid dividends payable upon such redemption will be paid to the person who presented and surrendered such depositary receipts and each surrendered depositary receipt will be canceled. In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event that fewer than all the Series C preferred shares or depositary shares represented by any certificate or depositary receipt are to be redeemed, a new certificate or depositary receipt will be issued representing the unredeemed preferred shares or depositary shares, as the case may be.</w:t>
      </w:r>
    </w:p>
    <w:p>
      <w:pPr>
        <w:spacing w:after="0" w:line="12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At our election, we may, prior to the redemption date, irrevocably deposit cash in an amount equal to the redemption price (including accrued and unpaid dividends) of the Series C preferred shares called for redemption in trust for the holders thereof with a bank or trust company, in which case the notice to holders of the Series C preferred shares and depositary shares to be redeemed will:</w:t>
      </w:r>
    </w:p>
    <w:p>
      <w:pPr>
        <w:spacing w:after="0" w:line="87" w:lineRule="exact"/>
        <w:rPr>
          <w:sz w:val="20"/>
          <w:szCs w:val="20"/>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specify the office of such bank or trust company as the place of payment of the redemption price; and</w:t>
      </w:r>
    </w:p>
    <w:p>
      <w:pPr>
        <w:spacing w:after="0" w:line="130" w:lineRule="exact"/>
        <w:rPr>
          <w:rFonts w:ascii="Arial" w:cs="Arial" w:eastAsia="Arial" w:hAnsi="Arial"/>
          <w:sz w:val="18"/>
          <w:szCs w:val="18"/>
          <w:color w:val="auto"/>
        </w:rPr>
      </w:pPr>
    </w:p>
    <w:p>
      <w:pPr>
        <w:ind w:left="1480" w:hanging="446"/>
        <w:spacing w:after="0" w:line="302" w:lineRule="auto"/>
        <w:tabs>
          <w:tab w:leader="none" w:pos="1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call upon such holders to surrender the certificates or depositary receipts, as the case may be, representing such shares at such place on or about the date fixed in such redemption notice (which may not be later than the redemption date) against payment of the redemption price (including all accrued and unpaid dividends up to, but excluding, the redemption date). Subject to applicable law, any moneys deposited which remain unclaimed at the end of two years after the redemption date will be returned to us by such bank or trust company.</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depositary shares at the close of business on a record date of any dividend will be entitled to receive the dividend payable with respect to the Series C preferred shares represented thereby on the corresponding payment date notwithstanding the redemption thereof between such dividend record date and the corresponding dividend payment date. Except as provided above, we will make no payment or allowance for unpaid dividends, whether or not in arrears, on Series C preferred shares to be redeemed.</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notice of redemption of any Series C preferred shares has been given, if the funds necessary for that redemption have been set apart by us in trust for the benefit of the holders of any Series C preferred shares so called for redemption, and unless we default in providing funds for the payment of the redemption price, then from and after the redemption date dividends will cease to accrue on those Series C preferred shares, those Series C preferred shares will no longer be deemed outstanding and such shares will not thereafter be transferred (except with our consent) on our books and all rights of the holders of those shares will terminate, except the right to receive the redemption price (including all accrued and unpaid dividends up to, but excluding, the redemption date).</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Notwithstanding the foregoing, unless full cumulative dividends on all outstanding Series C preferred shares have been or contemporaneously are paid or declared and a sum sufficient for the payment set apart for payment for all past dividend periods, no Series C preferred shares or depositary shares representing Series C preferred shares will be redeemed unless all outstanding Series C preferred shares and depositary shares representing Series C preferred shares are simultaneously redeemed. Unless full cumulative dividends on all outstanding Series C preferred shares and depositary shares representing Series C preferred shares have been or contemporaneously are paid or declared and a sum sufficient for the payment thereof set apart for payment for all past dividend periods, we will not purchase or otherwise acquire, directly or indirectly, any Series C preferred shares or depositary shares representing Series C preferred shares (except by conversion into or exchange for equity securities ranking junior to the Series C preferred shares as to dividend and liquidation rights). However, the foregoing will not prevent the purchase or acquisition of Series C preferred shares or depositary shares representing Series C preferred shares pursuant to a purchase or exchange offer made on the same terms to holders of all outstanding Series C preferred shares and depositary shares representing Series C preferred shares.</w:t>
      </w:r>
    </w:p>
    <w:p>
      <w:pPr>
        <w:spacing w:after="0" w:line="178"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Series C preferred shares and the depositary shares have no stated maturity date and will not be subject to any sinking fund or mandatory redemption provisions (except in connection with the preservation of our REIT status).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Except as indicated below or in the accompanying prospectus, the holders of the depositary shares representing the Series C preferred shares will have no voting rights. On any matter on which the Series C preferred shares are entitled to vote, each Series C preferred share shall be entitled to one thousand votes. As a result, each depositary share will be entitled to one vote on each matter for which the holders of Series C preferred shares are entitled to vote.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If and whenever dividends payable on the Series C preferred shares are in arrears for six or more dividend periods, whether or not consecutive, holders of the depositary shares representing the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of such Series C preferred shares are entitled.</w:t>
      </w:r>
    </w:p>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So long as any depositary shares representing Series C preferred shares remain outstanding, we will not, without the affirmative vote or consent of the holders of at least two-thirds of the Series C preferred shares outstanding at the time, given in person or by proxy, either in writing or at a meeting (with the holders of the depositary shares representing the Series C preferred shares voting separately as a class): (i) authorize or create, or increase the authorized or issued amount of, any class or series of equity securities issued by us that rank senior to Series C preferred shares with respect to payment of dividends or the distribution of assets upon our liquidation, dissolution or winding-up, or reclassify any of our authorized shares into such equity securities or create, authorize or issue any obligation or security convertible into or evidencing the right to purchase any such equity securities; or (ii) amend, alter or repeal the provisions of the declaration of trust or bylaws, whether by merger, consolidation, or otherwise, so as to materially and adversely affect any right, preference, privilege or voting power of the holders of the depositary shares representing Series C preferred shares; except that (1) with respect to the occurrence of any of the events described in (ii) above, so long as the Series C preferred shares remain outstanding with the terms of the Series C preferred shares materially unchanged or are converted into a security in another entity with the terms materially unchanged, the occurrence of such event will not be deemed to materially and adversely affect the rights, preferences, privileges or voting powers of holders of the depositary shares representing Series C preferred shares and (2) (A) any increase in the amount of the authorized Series C preferred shares or the authorization or issuance of any other class or series of equity securities or (B) any increase in the number of authorized Series C preferred shares or any other class or series of equity securities, in each case ranking on a parity with or junior to the Series C preferred shares with respect to the payment of dividends and the distribution of assets upon our liquidation, dissolution or winding up, will not be deemed to materially and adversely affect such rights, preferences, privileges or voting powers.</w:t>
      </w:r>
    </w:p>
    <w:p>
      <w:pPr>
        <w:spacing w:after="0" w:line="16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foregoing voting provisions will not apply if, at or prior to the time when the act with respect to which the vote would otherwise be required shall be effected, all outstanding Series C preferred shares shall have been redeemed or called for redemption and sufficient funds shall have been deposited in trust to effect the redemption.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Series C preferred shares and the depositary shares representing Series C preferred shares are not convertible into or exchangeable for any other property or securities, except that, in limited circumstances, the Series C preferred shares and the depositary shares representing Series C preferred shares may be automatically converted into Series C excess preferred shares or depositary shares representing Series C excess preferred shares, as applicable. See “ — Restrictions on Ownership and Transfer.”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Liability</w:t>
      </w:r>
    </w:p>
    <w:p>
      <w:pPr>
        <w:spacing w:after="0" w:line="12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Applicable Maryland law provides that no shareholder, including holders of Series C preferred shares and holders of depositary shares representing Series C preferred shares, shall be personally liable for our acts and obligations and that our funds and property shall be the only recourse for such acts or obligations.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provides that no person may own, or be deemed to own by virtue of the attribution provisions of the Code, more than 9.8% (in value or in number of shares, whichever is more restrictive) of the outstanding common shares or more than 9.8% in value of our outstanding capital stock. See “Description of Shares of Beneficial Interest — Restrictions on Ownership and Transfer” in the accompanying prospectus.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depositary shares will be issued as global securities. DTC will be the depository with respect to the depositary shares. The depositary shares will be issued as fully registered securities in the name of Cede &amp; Co., DTC’s partnership nominee, and will be deposited with DTC. DTC will keep a computerized record of its participants (for example, your broker) whose clients have purchased the depositary shares. The participant would then keep a record of its clients who purchased the depositary shares. A global security may not be transferred, except that DTC, its nominees and their successors may transfer an entire global security to one another.</w:t>
      </w:r>
    </w:p>
    <w:p>
      <w:pPr>
        <w:spacing w:after="0" w:line="18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depositary shares will be in book-entry only form, and we will not deliver securities in certificated form to individual purchasers of the depositary shares, and no person owning a beneficial interest in a global security will be treated as a holder of such global security for any purpose. Accordingly, owners of such beneficial interests must rely on the procedures of DTC and the participant through which such person owns its interest in order to exercise any rights of a holder under such global security. Beneficial interests in global securities will be shown on, and transfers of global securities will be made only through, records maintained by DTC and its participants. The laws of some jurisdictions require that certain purchasers of securities take physical delivery of such securities in certificated form. Such limits and laws may impair the ability to transfer beneficial interests in a global security.</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DTC has provided us with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corporation” registered under Section 17A of the Exchange Act. DTC holds securities that its participants (“Direct Participants”) deposit with DTC. DTC also facilitates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6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Other organizations, such as securities brokers and dealers, banks and trust companies that work through a Direct Participant, also use DTC’s book-entry system. The rules that apply to DTC and its participants are on file with the SEC.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number of Direct Participants, together with the NYSE and the Financial Industry Regulatory Authority, own DTC.</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If applicable, redemption notices shall be sent to DTC. If less than all of the book-entry depositary shares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wire dividend and redemption payments to DTC’s nominee. We will treat DTC’s nominee as the owner of the global securities for all purposes. Accordingly, we will have no direct responsibility or liability to pay any amounts in respect of the depositary shares to owners of beneficial interests in the global securities.</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It is DTC’s current practice, when it receives any dividend or redemption payment, to credit Direct Participants’ accounts on the payment date according to their respective holdings of beneficial interests in the global securities as shown on DTC’s records. In addition, it is DTC’s current practice to assign any consenting or voting rights to Direct Participants whose accounts are credited with securities on a record date, by using an omnibus proxy. Customary practices between the participants and owners of beneficial interests, as in the case with securities held for the account of customers registered in “street name,” will govern payments by participants to owners of beneficial interests in the global securities, and voting by participants. However, these payments will be the responsibility of the participants and not of DTC or us.</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Depositary shares represented by a global security will be exchangeable for depositary shares in certificated form with the same terms in authorized denominations only if:</w:t>
      </w:r>
    </w:p>
    <w:p>
      <w:pPr>
        <w:spacing w:after="0" w:line="76" w:lineRule="exact"/>
        <w:rPr>
          <w:sz w:val="20"/>
          <w:szCs w:val="20"/>
          <w:color w:val="auto"/>
        </w:rPr>
      </w:pPr>
    </w:p>
    <w:p>
      <w:pPr>
        <w:ind w:left="1480" w:right="660" w:hanging="446"/>
        <w:spacing w:after="0" w:line="277"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depository or if DTC ceases to be a clearing agency registered under applicable law and we do not appoint a successor depository within 90 days; 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determine at any time that all depositary shares shall no longer be represented by a global security.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DTC’s ability to perform properly its services is also dependent upon other parties, including, but not limited to, issuers and their agents, as well as DTC’s participants, third party vendors from whom DTC licenses software and hardware, and third party vendors on whom DTC relies for information or the provision of services, including telecommunication and electrical utility service providers, among others.</w:t>
      </w:r>
    </w:p>
    <w:p>
      <w:pPr>
        <w:spacing w:after="0" w:line="181"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DTC may discontinue providing its services as securities depository with respect to global securities at any time by giving reasonable notice to us. Under such circumstances, in the event that a successor securities depository is not obtained, securities in certificated form are required to be printed and delivered.</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may decide to discontinue use of the system of book-entry transfers through DTC (or a successor securities depository). In that event, securities in certificated form will be printed and delivered.</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information in this section concerning DTC and DTC’s system has been obtained from sources that we believe to be reliable, but we take no responsibility for the accuracy thereof.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discussion replaces certain language in the discussion under the heading “Material Federal Income Tax Considerations” in the accompanying prospectus, which is also supplemented by the information in our Current Report on Form 8-K that we filed with the SEC on August 4, 2017. This discussion is for general information only and is not tax advice.</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i w:val="1"/>
          <w:iCs w:val="1"/>
          <w:color w:val="auto"/>
        </w:rPr>
        <w:t>The following language replaces the last three sentences in the fifth paragraph in the discussion under the heading “Material Federal Income Tax Considerations—Requirements for REIT Qualification—Distribution Requirements” in the accompanying prospectus.</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IRS recently issued a revenue procedure applicable to publicly offered REITs that will treat distributions that, at the election of each shareholder, are paid partly in cash and partly in shares as dividends that satisfy the REIT annual distribution requirement and qualify for the dividends paid deduction for federal income tax purposes. We have no current intention to make such an elective cash/shares distribution or a distribution of debt securities, but in the event of an elective cash/shares distribution we expect to structure it so as to comply with the revenue procedure.</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(CONFLICTS OF INTEREST)</w:t>
      </w:r>
    </w:p>
    <w:p>
      <w:pPr>
        <w:spacing w:after="0" w:line="20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Subject to the terms and conditions contained in the underwriting agreement and related pricing agreement, each dated the date of this prospectus supplement, we have agreed to sell to each of the underwriters named below, for whom Merrill Lynch, Pierce, Fenner &amp; Smith Incorporated, UBS Securities LLC and Wells Fargo Securities, LLC are acting as representatives, and each of the underwriters has severally agreed to purchase from us, the respective number of depositary shares set forth after its name below.</w:t>
      </w:r>
    </w:p>
    <w:p>
      <w:pPr>
        <w:spacing w:after="0" w:line="16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2"/>
              </w:rPr>
              <w:t>Underwriters</w:t>
            </w:r>
          </w:p>
        </w:tc>
        <w:tc>
          <w:tcPr>
            <w:tcW w:w="6880" w:type="dxa"/>
            <w:vAlign w:val="bottom"/>
          </w:tcPr>
          <w:p>
            <w:pPr>
              <w:jc w:val="center"/>
              <w:ind w:left="570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3"/>
        </w:trPr>
        <w:tc>
          <w:tcPr>
            <w:tcW w:w="820" w:type="dxa"/>
            <w:vAlign w:val="bottom"/>
            <w:tcBorders>
              <w:bottom w:val="single" w:sz="8" w:color="auto"/>
            </w:tcBorders>
            <w:vMerge w:val="continue"/>
          </w:tcPr>
          <w:p>
            <w:pPr>
              <w:spacing w:after="0"/>
              <w:rPr>
                <w:sz w:val="13"/>
                <w:szCs w:val="13"/>
                <w:color w:val="auto"/>
              </w:rPr>
            </w:pPr>
          </w:p>
        </w:tc>
        <w:tc>
          <w:tcPr>
            <w:tcW w:w="6880" w:type="dxa"/>
            <w:vAlign w:val="bottom"/>
          </w:tcPr>
          <w:p>
            <w:pPr>
              <w:jc w:val="center"/>
              <w:ind w:left="5688"/>
              <w:spacing w:after="0" w:line="158" w:lineRule="exact"/>
              <w:rPr>
                <w:sz w:val="20"/>
                <w:szCs w:val="20"/>
                <w:color w:val="auto"/>
              </w:rPr>
            </w:pPr>
            <w:r>
              <w:rPr>
                <w:rFonts w:ascii="Arial" w:cs="Arial" w:eastAsia="Arial" w:hAnsi="Arial"/>
                <w:sz w:val="14"/>
                <w:szCs w:val="14"/>
                <w:b w:val="1"/>
                <w:bCs w:val="1"/>
                <w:u w:val="single" w:color="auto"/>
                <w:color w:val="auto"/>
                <w:w w:val="91"/>
              </w:rPr>
              <w:t>Depositary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283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2520" cy="283210"/>
                    </a:xfrm>
                    <a:prstGeom prst="rect">
                      <a:avLst/>
                    </a:prstGeom>
                    <a:noFill/>
                  </pic:spPr>
                </pic:pic>
              </a:graphicData>
            </a:graphic>
          </wp:anchor>
        </w:drawing>
      </w:r>
    </w:p>
    <w:p>
      <w:pPr>
        <w:jc w:val="center"/>
        <w:ind w:right="496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jc w:val="center"/>
        <w:ind w:right="31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Raymond James &amp; Associates, Inc.</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22520" cy="154305"/>
                    </a:xfrm>
                    <a:prstGeom prst="rect">
                      <a:avLst/>
                    </a:prstGeom>
                    <a:noFill/>
                  </pic:spPr>
                </pic:pic>
              </a:graphicData>
            </a:graphic>
          </wp:anchor>
        </w:drawing>
      </w:r>
    </w:p>
    <w:p>
      <w:pPr>
        <w:spacing w:after="0" w:line="2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14605</wp:posOffset>
            </wp:positionV>
            <wp:extent cx="711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31750</wp:posOffset>
            </wp:positionV>
            <wp:extent cx="711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5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obligations of the underwriters are subject to certain conditions. The underwriters must purchase all of the depositary shares offered hereby (other than those covered by the underwriters’ over-allotment option) if any are purchased.</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are offering the depositary shares, subject to prior sale, when, as and if issued to and accepted by them, subject to approval of legal matters by counsel, including the validity of the depositary shares, and other conditions contained in the underwriting agreement and related pricing agreement, such as the receipt by the underwriters of officers’ certificates and legal opinions. The underwriters reserve the right to withdraw, cancel or modify offers to the public and to reject orders in whole or in part.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advised us that they propose initially to offer the depositary shares to the public at the public offering price set forth on the cover</w:t>
      </w:r>
    </w:p>
    <w:p>
      <w:pPr>
        <w:spacing w:after="0" w:line="4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page of this prospectus supplement and to dealers at that price less a concession not in excess of $ per share sold to retail accounts and $ per share sold to institutional accounts. The underwriters may allow, and these dealers may re-allow, a concession of not more than $ per share to other dealers. After the initial offering, the public offering price and other selling terms may be changed.</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granted to the underwriters an option, exercisable within 30 days from the date of this prospectus supplement, to purchase up to</w:t>
      </w:r>
    </w:p>
    <w:p>
      <w:pPr>
        <w:spacing w:after="0" w:line="2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additional depositary shares at the public offering price less the underwriting discount set forth on the cover page of this prospectus supplement. To the extent that the underwriters exercise this option, each of the underwriters will become obligated, subject to conditions, to purchase approximately the same</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percentage of these additional depositary shares as the number of depositary shares to be purchased by it in the above table bears to the depositary shares offered by this prospectus supplement. We will be obligated, pursuant to the option, to sell these additional depositary shares to the underwriters to the extent the option is exercised. If any additional depositary shares are purchased, the underwriters will offer the additional shares on the same terms as those on</w:t>
      </w:r>
    </w:p>
    <w:p>
      <w:pPr>
        <w:spacing w:after="0" w:line="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which the</w:t>
      </w:r>
      <w:r>
        <w:rPr>
          <w:sz w:val="20"/>
          <w:szCs w:val="20"/>
          <w:color w:val="auto"/>
        </w:rPr>
        <w:tab/>
      </w:r>
      <w:r>
        <w:rPr>
          <w:rFonts w:ascii="Arial" w:cs="Arial" w:eastAsia="Arial" w:hAnsi="Arial"/>
          <w:sz w:val="15"/>
          <w:szCs w:val="15"/>
          <w:color w:val="auto"/>
        </w:rPr>
        <w:t>depositary shares are being offered.</w:t>
      </w:r>
    </w:p>
    <w:p>
      <w:pPr>
        <w:spacing w:after="0" w:line="21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We will pay an underwriting discount equal to % of the public offering price of $25.00 per depositary share for each depositary share sold to retail accounts and an underwriting discount equal to % of the public offering price of $25.00 per depositary share for each depositary share sold to institutional accounts. The following table sets forth the total underwriting discount that we are to pay to the underwriters in connection with this offering, assuming no exercise and full exercise of the underwriters’ over-allotment option, based on the initial distribution of the depositary shares sold to retail and institutional accounts and, with respect to the over-allotment depositary shares, assuming that all such shares are sold to retail accounts.</w:t>
      </w:r>
    </w:p>
    <w:p>
      <w:pPr>
        <w:spacing w:after="0" w:line="13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Without</w:t>
            </w: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With</w:t>
            </w:r>
          </w:p>
        </w:tc>
        <w:tc>
          <w:tcPr>
            <w:tcW w:w="240" w:type="dxa"/>
            <w:vAlign w:val="bottom"/>
          </w:tcPr>
          <w:p>
            <w:pPr>
              <w:spacing w:after="0"/>
              <w:rPr>
                <w:sz w:val="14"/>
                <w:szCs w:val="14"/>
                <w:color w:val="auto"/>
              </w:rPr>
            </w:pPr>
          </w:p>
        </w:tc>
      </w:tr>
      <w:tr>
        <w:trPr>
          <w:trHeight w:val="149"/>
        </w:trPr>
        <w:tc>
          <w:tcPr>
            <w:tcW w:w="3480" w:type="dxa"/>
            <w:vAlign w:val="bottom"/>
          </w:tcPr>
          <w:p>
            <w:pPr>
              <w:spacing w:after="0"/>
              <w:rPr>
                <w:sz w:val="12"/>
                <w:szCs w:val="12"/>
                <w:color w:val="auto"/>
              </w:rPr>
            </w:pPr>
          </w:p>
        </w:tc>
        <w:tc>
          <w:tcPr>
            <w:tcW w:w="2940" w:type="dxa"/>
            <w:vAlign w:val="bottom"/>
            <w:gridSpan w:val="2"/>
          </w:tcPr>
          <w:p>
            <w:pPr>
              <w:ind w:left="1960"/>
              <w:spacing w:after="0" w:line="149" w:lineRule="exact"/>
              <w:rPr>
                <w:sz w:val="20"/>
                <w:szCs w:val="20"/>
                <w:color w:val="auto"/>
              </w:rPr>
            </w:pPr>
            <w:r>
              <w:rPr>
                <w:rFonts w:ascii="Arial" w:cs="Arial" w:eastAsia="Arial" w:hAnsi="Arial"/>
                <w:sz w:val="14"/>
                <w:szCs w:val="14"/>
                <w:b w:val="1"/>
                <w:bCs w:val="1"/>
                <w:color w:val="auto"/>
                <w:w w:val="94"/>
              </w:rPr>
              <w:t>Over-Allotment</w:t>
            </w:r>
          </w:p>
        </w:tc>
        <w:tc>
          <w:tcPr>
            <w:tcW w:w="600" w:type="dxa"/>
            <w:vAlign w:val="bottom"/>
          </w:tcPr>
          <w:p>
            <w:pPr>
              <w:spacing w:after="0"/>
              <w:rPr>
                <w:sz w:val="12"/>
                <w:szCs w:val="12"/>
                <w:color w:val="auto"/>
              </w:rPr>
            </w:pPr>
          </w:p>
        </w:tc>
        <w:tc>
          <w:tcPr>
            <w:tcW w:w="1420" w:type="dxa"/>
            <w:vAlign w:val="bottom"/>
            <w:gridSpan w:val="2"/>
          </w:tcPr>
          <w:p>
            <w:pPr>
              <w:jc w:val="center"/>
              <w:ind w:left="359"/>
              <w:spacing w:after="0" w:line="149" w:lineRule="exact"/>
              <w:rPr>
                <w:sz w:val="20"/>
                <w:szCs w:val="20"/>
                <w:color w:val="auto"/>
              </w:rPr>
            </w:pPr>
            <w:r>
              <w:rPr>
                <w:rFonts w:ascii="Arial" w:cs="Arial" w:eastAsia="Arial" w:hAnsi="Arial"/>
                <w:sz w:val="14"/>
                <w:szCs w:val="14"/>
                <w:b w:val="1"/>
                <w:bCs w:val="1"/>
                <w:color w:val="auto"/>
                <w:w w:val="96"/>
              </w:rPr>
              <w:t>Over-Allotment</w:t>
            </w:r>
          </w:p>
        </w:tc>
        <w:tc>
          <w:tcPr>
            <w:tcW w:w="240" w:type="dxa"/>
            <w:vAlign w:val="bottom"/>
          </w:tcPr>
          <w:p>
            <w:pPr>
              <w:spacing w:after="0"/>
              <w:rPr>
                <w:sz w:val="12"/>
                <w:szCs w:val="12"/>
                <w:color w:val="auto"/>
              </w:rPr>
            </w:pPr>
          </w:p>
        </w:tc>
      </w:tr>
      <w:tr>
        <w:trPr>
          <w:trHeight w:val="171"/>
        </w:trPr>
        <w:tc>
          <w:tcPr>
            <w:tcW w:w="348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Option</w:t>
            </w:r>
          </w:p>
        </w:tc>
        <w:tc>
          <w:tcPr>
            <w:tcW w:w="6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40" w:type="dxa"/>
            <w:vAlign w:val="bottom"/>
            <w:tcBorders>
              <w:bottom w:val="single" w:sz="8" w:color="CCEEFF"/>
            </w:tcBorders>
          </w:tcPr>
          <w:p>
            <w:pPr>
              <w:spacing w:after="0"/>
              <w:rPr>
                <w:sz w:val="14"/>
                <w:szCs w:val="14"/>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Per Depositary Share</w:t>
            </w:r>
          </w:p>
        </w:tc>
        <w:tc>
          <w:tcPr>
            <w:tcW w:w="1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87"/>
              </w:rPr>
              <w:t>(1)</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294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42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right="180" w:hanging="459"/>
        <w:spacing w:after="0" w:line="277" w:lineRule="auto"/>
        <w:tabs>
          <w:tab w:leader="none" w:pos="440" w:val="left"/>
        </w:tabs>
        <w:rPr>
          <w:sz w:val="20"/>
          <w:szCs w:val="20"/>
          <w:color w:val="auto"/>
        </w:rPr>
      </w:pPr>
      <w:r>
        <w:rPr>
          <w:rFonts w:ascii="Arial" w:cs="Arial" w:eastAsia="Arial" w:hAnsi="Arial"/>
          <w:sz w:val="18"/>
          <w:szCs w:val="18"/>
          <w:color w:val="auto"/>
        </w:rPr>
        <w:t>(1)</w:t>
        <w:tab/>
        <w:t>The underwriting discount will equal $ per depositary share for each depositary share sold to retail accounts and $ per depositary share for each depositary share sold to institutional accounts.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10060" w:val="left"/>
        </w:tabs>
        <w:rPr>
          <w:sz w:val="20"/>
          <w:szCs w:val="20"/>
          <w:color w:val="auto"/>
        </w:rPr>
      </w:pPr>
      <w:r>
        <w:rPr>
          <w:rFonts w:ascii="Arial" w:cs="Arial" w:eastAsia="Arial" w:hAnsi="Arial"/>
          <w:sz w:val="18"/>
          <w:szCs w:val="18"/>
          <w:color w:val="auto"/>
        </w:rPr>
        <w:t>We estimate that the total expenses related to this offering, excluding the underwriting discount, will be approximately $</w:t>
      </w:r>
      <w:r>
        <w:rPr>
          <w:sz w:val="20"/>
          <w:szCs w:val="20"/>
          <w:color w:val="auto"/>
        </w:rPr>
        <w:tab/>
      </w:r>
      <w:r>
        <w:rPr>
          <w:rFonts w:ascii="Arial" w:cs="Arial" w:eastAsia="Arial" w:hAnsi="Arial"/>
          <w:sz w:val="15"/>
          <w:szCs w:val="15"/>
          <w:color w:val="auto"/>
        </w:rPr>
        <w:t>and are payable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us.</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Until the distribution of the depositary shares is completed, rules of the SEC may limit the ability of the underwriters to bid for and purchase depositary shares. As an exception to these rules, the underwriters are permitted to engage in certain transactions that stabilize, maintain or otherwise affect the market price of the depositary shares.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underwriters may over-allot the depositary shares in connection with this offering, thus creating a short position for their own account. Short sales involve the sale by the underwriters of a greater number of depositary shares than they are committed to purchase in this offering. A short position may involve either “covered” short sales or “naked” short sales. Covered short sales are sales made in an amount not greater than the underwriters’ over-allotment option to purchase additional depositary shares as described above. The underwriters must close out any short position by either exercising their over-allotment option or purchasing depositary shares in the open market. In determining the source of shares to close the covered short position, the underwriters will consider, among other things, the price of depositary shares available for purchase in the open market as compared to the price at which they may purchase depositary shares from us through the over-allotment option. Naked short sales are sales in excess of the over-allotment option. The underwriters must close out any naked short position by purchasing shares in the open market. A naked short position may be created if the underwriters are concerned that there may be downward pressure on the price of the depositary shares in the open market after pricing that could adversely affect investors who purchase in this offering.</w:t>
      </w:r>
    </w:p>
    <w:p>
      <w:pPr>
        <w:spacing w:after="0" w:line="17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Accordingly, to cover these short sale positions or to stabilize the market price of the depositary shares, the underwriters may bid for, and purchase, depositary shares in the open market. These transactions may be effected on the NYSE or otherwise. Additionally, a representative, on behalf of the underwriters, may also reclaim selling concessions allowed to another underwriter or dealer. Similar to other purchase transactions, the underwriters’ purchases to cover the syndicate short sales or to stabilize the market price of our depositary shares may have the effect of raising or maintaining the market price of our depositary shares or preventing or mitigating a decline in the market price of our depositary shares. As a result, the price of the depositary shares may be higher than the price that might otherwise exist in the open market. No representation is made as to the magnitude or effect of any such stabilization or other activities. The underwriters are not required to engage in these activities and, if commenced, may discontinue any of these activities at any time.</w:t>
      </w:r>
    </w:p>
    <w:p>
      <w:pPr>
        <w:spacing w:after="0" w:line="16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intend to file an application to list the depositary shares on the NYSE. If the application is approved, trading of the depositary shares on the NYSE is expected to begin within 30 days after the date of initial delivery of the depositary shares to the underwriters. The underwriters have advised us that they intend to make a market in the depositary shares prior to the commencement of trading on the NYSE. The underwriters will have no obligation to make a market in the depositary shares, however, and if they begin to make a market they may cease market-making activities at any time.</w:t>
      </w:r>
    </w:p>
    <w:p>
      <w:pPr>
        <w:spacing w:after="0" w:line="15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thereof.</w:t>
      </w:r>
    </w:p>
    <w:p>
      <w:pPr>
        <w:spacing w:after="0" w:line="170" w:lineRule="exact"/>
        <w:rPr>
          <w:sz w:val="20"/>
          <w:szCs w:val="20"/>
          <w:color w:val="auto"/>
        </w:rPr>
      </w:pPr>
    </w:p>
    <w:p>
      <w:pPr>
        <w:jc w:val="both"/>
        <w:ind w:right="120" w:firstLine="456"/>
        <w:spacing w:after="0" w:line="288" w:lineRule="auto"/>
        <w:rPr>
          <w:sz w:val="20"/>
          <w:szCs w:val="20"/>
          <w:color w:val="auto"/>
        </w:rPr>
      </w:pPr>
      <w:r>
        <w:rPr>
          <w:rFonts w:ascii="Arial" w:cs="Arial" w:eastAsia="Arial" w:hAnsi="Arial"/>
          <w:sz w:val="16"/>
          <w:szCs w:val="16"/>
          <w:color w:val="auto"/>
        </w:rPr>
        <w:t>We expect that delivery of the depositary shares will be made against payment therefor on or about the closing date specified on the cover page of this prospectus supplement, which will be the fourth business day following the date of this prospectus supplement. Pursuant to Rule 15c6-1 under the Exchange Act, trades in the secondary market generally are required to settle within two business days, unless the parties to any such trade expressly agree otherwise.</w:t>
      </w:r>
    </w:p>
    <w:p>
      <w:pPr>
        <w:spacing w:after="0" w:line="302" w:lineRule="auto"/>
        <w:rPr>
          <w:sz w:val="20"/>
          <w:szCs w:val="20"/>
          <w:color w:val="auto"/>
        </w:rPr>
      </w:pPr>
      <w:r>
        <w:rPr>
          <w:rFonts w:ascii="Arial" w:cs="Arial" w:eastAsia="Arial" w:hAnsi="Arial"/>
          <w:sz w:val="16"/>
          <w:szCs w:val="16"/>
          <w:color w:val="auto"/>
        </w:rPr>
        <w:t>Accordingly, purchasers who wish to trade the depositary shares before the second business day prior to the closing date specified on the cover page of this prospectus supplement will be required, by virtue of the fact that any such trade would otherwise settle before the close of this offering, to specify an alternate settlement cycle at the time of any such trade to prevent a failed settlement, and should consult their own advisor with respect to these matters.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agreed that, for a period of 30 days after the date of this prospectus supplement, we will not, without the consent of the representatives, offer, sell, contract to sell, announce the offering or otherwise dispose of any preferred securities or any other securities of ours which are substantially similar to the Series C Preferred Shares, including any guarantee of any such securities, or any securities convertible into or exchangeable for or representing the right to receive any such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 (Conflicts of Interest)</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commercial banking and other commercial dealings in the ordinary course of business with us or our affiliates.</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depositary shares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2"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Affiliates of certain underwriters are lenders under our revolving credit facility and will receive any net proceeds from this offering that are used to repay amounts outstanding thereunder.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communication of this prospectus supplement, the accompanying prospectus and any other document or materials relating to the issue of the depositary shares representing the Series 2 preferred shares, offered hereby is not being made, and such documents and/or materials have not been approved, by an authorized person for the purposes of section 21 of the United Kingdom’s Financial Services and Markets Act 2000, as amended (the “FSMA”). Accordingly, such documents and/or materials are not being distributed to, and must not be passed on to, the general public in the United Kingdom.</w:t>
      </w:r>
    </w:p>
    <w:p>
      <w:pPr>
        <w:spacing w:after="0" w:line="154"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This prospectus supplement and the accompanying prospectus are only being distributed to, and are only directed at, (1) persons who are outside the United Kingdom or (2) investment professionals falling within Article 19(5) of the Financial Services and Markets Act 2000 (Financial Promotion) Order 2005, as amended (the “Order”) or (3) high net worth companies and other entities falling within Article 49(2)(a) to (d) of the Order or (4) any other persons to whom it may otherwise lawfully be communicated under the Order (each such person being referred to as a “relevant person”). The depositary shares representing the Series C preferred shares are only available to, and any investment or investment activity to which this prospectus supplement and the accompanying prospectus relate will be engaged in only with, relevant persons. Any person who is not a relevant person should not act or rely on this prospectus supplement or the accompanying prospectus or any of their contents.</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FSMA) in connection with the issue or sale of the depositary shares representing the Series C preferred shares may only be communicated or caused to be communicated in circumstances in which Section 21(1) of the FSMA does not apply to us.</w:t>
      </w:r>
    </w:p>
    <w:p>
      <w:pPr>
        <w:spacing w:after="0" w:line="181"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depositary shares representing the Series C preferred shares in, from or otherwise involving the United Kingdom.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right="380" w:firstLine="456"/>
        <w:spacing w:after="0" w:line="257" w:lineRule="auto"/>
        <w:rPr>
          <w:sz w:val="20"/>
          <w:szCs w:val="20"/>
          <w:color w:val="auto"/>
        </w:rPr>
      </w:pPr>
      <w:r>
        <w:rPr>
          <w:rFonts w:ascii="Arial" w:cs="Arial" w:eastAsia="Arial" w:hAnsi="Arial"/>
          <w:sz w:val="18"/>
          <w:szCs w:val="18"/>
          <w:color w:val="auto"/>
        </w:rPr>
        <w:t>This document is not a prospectus for the purposes of the Prospectus Directive. 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no offer of depositary shares representing the Class C preferred shares which are the subject of the offering contemplated by this prospectus supplement and the accompanying prospectus to the public may be made in that Relevant Member State other than:</w:t>
      </w:r>
    </w:p>
    <w:p>
      <w:pPr>
        <w:spacing w:after="0" w:line="188" w:lineRule="exact"/>
        <w:rPr>
          <w:sz w:val="20"/>
          <w:szCs w:val="20"/>
          <w:color w:val="auto"/>
        </w:rPr>
      </w:pPr>
    </w:p>
    <w:p>
      <w:pPr>
        <w:ind w:left="700" w:hanging="23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98" w:lineRule="exact"/>
        <w:rPr>
          <w:rFonts w:ascii="Arial" w:cs="Arial" w:eastAsia="Arial" w:hAnsi="Arial"/>
          <w:sz w:val="18"/>
          <w:szCs w:val="18"/>
          <w:color w:val="auto"/>
        </w:rPr>
      </w:pPr>
    </w:p>
    <w:p>
      <w:pPr>
        <w:ind w:right="500" w:firstLine="464"/>
        <w:spacing w:after="0" w:line="277" w:lineRule="auto"/>
        <w:tabs>
          <w:tab w:leader="none" w:pos="7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29" w:lineRule="exact"/>
        <w:rPr>
          <w:rFonts w:ascii="Arial" w:cs="Arial" w:eastAsia="Arial" w:hAnsi="Arial"/>
          <w:sz w:val="18"/>
          <w:szCs w:val="18"/>
          <w:color w:val="auto"/>
        </w:rPr>
      </w:pPr>
    </w:p>
    <w:p>
      <w:pPr>
        <w:ind w:left="700" w:hanging="23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8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provided that no such offer of depositary shares representing the Class C preferred shares shall require the Company or any underwriter to publish a prospectus pursuant to Article 3 of the Prospectus Directive.</w:t>
      </w:r>
    </w:p>
    <w:p>
      <w:pPr>
        <w:spacing w:after="0" w:line="170"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For the purposes of this provision, the expression an “offer of depositary shares representing the Class C preferred shares to the public” in relation to any depositary shares representing the Class C preferred shares in any Relevant Member State means the communication in any form and by any means of sufficient information on the terms of the offer and the depositary shares representing the Class C preferred shares to be offered so as to enable an investor to decide to purchase or subscribe for the depositary shares representing the Class C preferred shares, as the same may be varied in that Member State by any measure implementing the Prospectus Directive in that Member State.</w:t>
      </w:r>
    </w:p>
    <w:p>
      <w:pPr>
        <w:spacing w:after="0" w:line="17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supplement and accompanying prospectus have been prepared on the basis that any offer of depositary shares representing the Class C preferred shares in any Relevant Member State will be made pursuant to an exemption under the Prospectus Directive from the requirement to publish a prospectus for offers of depositary shares representing the Class C preferred shares. Accordingly any person making or intending to make an offer in that Relevant Member State of depositary shares representing the Class C preferred shares which are the subject of the offering contemplated in this prospectus supplement and the accompanying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depositary shares representing the Class C preferred shares in circumstances in which an obligation arises for the Company or the underwriters to publish a prospectus for such offer. The expression “Prospectus Directive” means Directive 2003/71/EC (as amended, including by Directive 2010/73/EU), and includes any relevant implementing measure in the Relevant Member State.</w:t>
      </w:r>
    </w:p>
    <w:p>
      <w:pPr>
        <w:spacing w:after="0" w:line="16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Company does not intend to offer the depositary shares representing the Class C preferred shares in any Member State other than the United Kingdom.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 xml:space="preserve">The depositary shares representing the Series C preferred shares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depositary shares representing the Series C preferred shares must be made in accordance with an exemption from, or in a transaction not subject to, the prospectus requirements of applicable securities laws.</w:t>
      </w:r>
    </w:p>
    <w:p>
      <w:pPr>
        <w:spacing w:after="0" w:line="188" w:lineRule="exact"/>
        <w:rPr>
          <w:sz w:val="20"/>
          <w:szCs w:val="20"/>
          <w:color w:val="auto"/>
        </w:rPr>
      </w:pPr>
    </w:p>
    <w:p>
      <w:pPr>
        <w:jc w:val="both"/>
        <w:ind w:right="220"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consolidated financial statements, schedules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 xml:space="preserve">Certain legal matters will be passed upon for us by Pillsbury Winthrop Shaw Pittman LLP, Washington, DC, as our securities and tax counsel. Certain legal matters will be passed upon for the underwriters by Sidley Austin </w:t>
      </w:r>
      <w:r>
        <w:rPr>
          <w:rFonts w:ascii="Arial" w:cs="Arial" w:eastAsia="Arial" w:hAnsi="Arial"/>
          <w:sz w:val="14"/>
          <w:szCs w:val="14"/>
          <w:color w:val="auto"/>
        </w:rPr>
        <w:t>LLP</w:t>
      </w:r>
      <w:r>
        <w:rPr>
          <w:rFonts w:ascii="Arial" w:cs="Arial" w:eastAsia="Arial" w:hAnsi="Arial"/>
          <w:sz w:val="17"/>
          <w:szCs w:val="17"/>
          <w:color w:val="auto"/>
        </w:rPr>
        <w:t>, New York, New York, will act as counsel to the underwriters.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80"/>
          </w:cols>
          <w:pgMar w:left="240" w:top="459"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172085</wp:posOffset>
            </wp:positionV>
            <wp:extent cx="2255520" cy="909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193040</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May 8, 2015.</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Forward-Looking Statements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Risk Factors</w:t>
              </w:r>
            </w:hyperlink>
          </w:p>
        </w:tc>
        <w:tc>
          <w:tcPr>
            <w:tcW w:w="3060" w:type="dxa"/>
            <w:vAlign w:val="bottom"/>
            <w:gridSpan w:val="10"/>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Use of Proceeds</w:t>
              </w:r>
            </w:hyperlink>
          </w:p>
        </w:tc>
        <w:tc>
          <w:tcPr>
            <w:tcW w:w="2800" w:type="dxa"/>
            <w:vAlign w:val="bottom"/>
            <w:gridSpan w:val="8"/>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Description of Debt Securities</w:t>
              </w:r>
            </w:hyperlink>
          </w:p>
        </w:tc>
        <w:tc>
          <w:tcPr>
            <w:tcW w:w="1780" w:type="dxa"/>
            <w:vAlign w:val="bottom"/>
            <w:gridSpan w:val="4"/>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Description of Shares of Beneficial Interest</w:t>
              </w:r>
            </w:hyperlink>
          </w:p>
        </w:tc>
        <w:tc>
          <w:tcPr>
            <w:tcW w:w="840" w:type="dxa"/>
            <w:vAlign w:val="bottom"/>
            <w:gridSpan w:val="2"/>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Material Federal Income Tax Considerations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74">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Legal Matters</w:t>
              </w:r>
            </w:hyperlink>
          </w:p>
        </w:tc>
        <w:tc>
          <w:tcPr>
            <w:tcW w:w="2960" w:type="dxa"/>
            <w:vAlign w:val="bottom"/>
            <w:gridSpan w:val="9"/>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Experts</w:t>
              </w:r>
            </w:hyperlink>
          </w:p>
        </w:tc>
        <w:tc>
          <w:tcPr>
            <w:tcW w:w="3420" w:type="dxa"/>
            <w:vAlign w:val="bottom"/>
            <w:gridSpan w:val="11"/>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Where You Can Find More Information</w:t>
              </w:r>
            </w:hyperlink>
          </w:p>
        </w:tc>
        <w:tc>
          <w:tcPr>
            <w:tcW w:w="1100" w:type="dxa"/>
            <w:vAlign w:val="bottom"/>
            <w:gridSpan w:val="3"/>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2015, we owned or had a majority interest in community and neighborhood shopping centers and mixed-use properties which are operated as 90 predominantly retail real estate projects comprising approximately 20.7 million square feet. In total, the real estate projects were 95.4% leased and 94.5% occupied at March 31, 2015. A joint venture in which we own a 30% interest owned six retail real estate projects totaling approximately 0.8 million square feet as of March 31, 2015. In total, the joint venture properties in which we own an interest were 85.8% leased and 85.4% occupied at March 31, 2015. We have paid quarterly dividends to our shareholders continuously since our founding in 1962 and have increased our dividends per common share for 47 consecutive years.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244"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ind w:left="7400"/>
        <w:spacing w:after="0"/>
        <w:tabs>
          <w:tab w:leader="none" w:pos="9020" w:val="left"/>
        </w:tabs>
        <w:rPr>
          <w:sz w:val="20"/>
          <w:szCs w:val="20"/>
          <w:color w:val="auto"/>
        </w:rPr>
      </w:pPr>
      <w:r>
        <w:rPr>
          <w:rFonts w:ascii="Arial" w:cs="Arial" w:eastAsia="Arial" w:hAnsi="Arial"/>
          <w:sz w:val="14"/>
          <w:szCs w:val="14"/>
          <w:b w:val="1"/>
          <w:bCs w:val="1"/>
          <w:color w:val="auto"/>
        </w:rPr>
        <w:t>Ended March 31,</w:t>
      </w:r>
      <w:r>
        <w:rPr>
          <w:sz w:val="20"/>
          <w:szCs w:val="20"/>
          <w:color w:val="auto"/>
        </w:rPr>
        <w:tab/>
      </w:r>
      <w:r>
        <w:rPr>
          <w:rFonts w:ascii="Arial" w:cs="Arial" w:eastAsia="Arial" w:hAnsi="Arial"/>
          <w:sz w:val="12"/>
          <w:szCs w:val="12"/>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-3175</wp:posOffset>
            </wp:positionV>
            <wp:extent cx="26155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7780"/>
        <w:spacing w:after="0"/>
        <w:tabs>
          <w:tab w:leader="none" w:pos="8860" w:val="left"/>
          <w:tab w:leader="none" w:pos="9400" w:val="left"/>
          <w:tab w:leader="none" w:pos="9960" w:val="left"/>
          <w:tab w:leader="none" w:pos="10520" w:val="left"/>
          <w:tab w:leader="none" w:pos="110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tbl>
      <w:tblPr>
        <w:tblLayout w:type="fixed"/>
        <w:tblInd w:w="0" w:type="dxa"/>
        <w:tblCellMar>
          <w:top w:w="0" w:type="dxa"/>
          <w:left w:w="0" w:type="dxa"/>
          <w:bottom w:w="0" w:type="dxa"/>
          <w:right w:w="0" w:type="dxa"/>
        </w:tblCellMar>
      </w:tblP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right="200" w:firstLine="8"/>
        <w:spacing w:after="0" w:line="254" w:lineRule="auto"/>
        <w:tabs>
          <w:tab w:leader="none" w:pos="2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2014,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87"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30" w:lineRule="exact"/>
        <w:rPr>
          <w:rFonts w:ascii="Arial" w:cs="Arial" w:eastAsia="Arial" w:hAnsi="Arial"/>
          <w:sz w:val="18"/>
          <w:szCs w:val="18"/>
          <w:color w:val="auto"/>
        </w:rPr>
      </w:pPr>
    </w:p>
    <w:p>
      <w:pPr>
        <w:ind w:left="900" w:right="520" w:hanging="446"/>
        <w:spacing w:after="0" w:line="34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86" w:lineRule="exact"/>
        <w:rPr>
          <w:rFonts w:ascii="Arial" w:cs="Arial" w:eastAsia="Arial" w:hAnsi="Arial"/>
          <w:sz w:val="18"/>
          <w:szCs w:val="18"/>
          <w:color w:val="auto"/>
        </w:rPr>
      </w:pPr>
    </w:p>
    <w:p>
      <w:pPr>
        <w:ind w:left="900" w:right="360" w:hanging="446"/>
        <w:spacing w:after="0" w:line="279"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Mandatory Redemption. </w:t>
      </w:r>
      <w:r>
        <w:rPr>
          <w:rFonts w:ascii="Arial" w:cs="Arial" w:eastAsia="Arial" w:hAnsi="Arial"/>
          <w:sz w:val="17"/>
          <w:szCs w:val="17"/>
          <w:color w:val="auto"/>
        </w:rPr>
        <w:t>The obligation, if any, we have to redeem or repurchase the offered debt securities pursuant to any sinking fund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92"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index or pursuant to a formula or other method, the manner in which such amounts will be determined.</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900" w:right="62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92"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6" w:lineRule="exact"/>
        <w:rPr>
          <w:rFonts w:ascii="Arial" w:cs="Arial" w:eastAsia="Arial" w:hAnsi="Arial"/>
          <w:sz w:val="18"/>
          <w:szCs w:val="18"/>
          <w:color w:val="auto"/>
        </w:rPr>
      </w:pPr>
    </w:p>
    <w:p>
      <w:pPr>
        <w:ind w:left="900" w:right="440" w:hanging="446"/>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Payees. </w:t>
      </w:r>
      <w:r>
        <w:rPr>
          <w:rFonts w:ascii="Arial" w:cs="Arial" w:eastAsia="Arial" w:hAnsi="Arial"/>
          <w:sz w:val="17"/>
          <w:szCs w:val="17"/>
          <w:color w:val="auto"/>
        </w:rPr>
        <w:t>If other than as provided in the applicable indenture, the person to whom any interest on any registered security of the series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the manner in which, or the person to whom, any interest on any bearer securities of the series will be payable.</w:t>
      </w:r>
    </w:p>
    <w:p>
      <w:pPr>
        <w:spacing w:after="0" w:line="51" w:lineRule="exact"/>
        <w:rPr>
          <w:rFonts w:ascii="Arial" w:cs="Arial" w:eastAsia="Arial" w:hAnsi="Arial"/>
          <w:sz w:val="17"/>
          <w:szCs w:val="17"/>
          <w:color w:val="auto"/>
        </w:rPr>
      </w:pPr>
    </w:p>
    <w:p>
      <w:pPr>
        <w:ind w:left="900" w:right="320" w:hanging="446"/>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indenture, including, without limitation, the definition of “unrestricted subsidiary” to be used for such series.</w:t>
      </w:r>
    </w:p>
    <w:p>
      <w:pPr>
        <w:spacing w:after="0" w:line="51"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75" w:lineRule="exact"/>
        <w:rPr>
          <w:rFonts w:ascii="Arial" w:cs="Arial" w:eastAsia="Arial" w:hAnsi="Arial"/>
          <w:sz w:val="18"/>
          <w:szCs w:val="18"/>
          <w:color w:val="auto"/>
        </w:rPr>
      </w:pPr>
    </w:p>
    <w:p>
      <w:pPr>
        <w:jc w:val="both"/>
        <w:ind w:left="900" w:right="180" w:hanging="446"/>
        <w:spacing w:after="0" w:line="286"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The terms, if any, upon which the offered debt securities may be converted or exchanged into or for our common shares,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900" w:right="38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jc w:val="both"/>
        <w:ind w:left="900" w:right="40" w:hanging="446"/>
        <w:spacing w:after="0" w:line="31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U.S. Bank National Association, 214 North Tryon Street, 27</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7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Existence. </w:t>
      </w:r>
      <w:r>
        <w:rPr>
          <w:rFonts w:ascii="Arial" w:cs="Arial" w:eastAsia="Arial" w:hAnsi="Arial"/>
          <w:sz w:val="17"/>
          <w:szCs w:val="17"/>
          <w:color w:val="auto"/>
        </w:rPr>
        <w:t>Except as permitted under “Consolidation, Merger or Sale of Assets,” we will do or cause to be done all things necessary to preserve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13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29" w:lineRule="exact"/>
        <w:rPr>
          <w:sz w:val="20"/>
          <w:szCs w:val="20"/>
          <w:color w:val="auto"/>
        </w:rPr>
      </w:pPr>
    </w:p>
    <w:p>
      <w:pPr>
        <w:jc w:val="both"/>
        <w:ind w:left="900" w:right="20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460" w:right="140" w:hanging="547"/>
        <w:spacing w:after="0" w:line="264" w:lineRule="auto"/>
        <w:tabs>
          <w:tab w:leader="none" w:pos="1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51"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460" w:right="60" w:hanging="547"/>
        <w:spacing w:after="0" w:line="312" w:lineRule="auto"/>
        <w:tabs>
          <w:tab w:leader="none" w:pos="14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2"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there will be no restrictions in any subordinated indenture upon the creation of additional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7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must resume payment on our subordinated debt securities, and make any payments we have missed, when one of the following has occurred:</w:t>
      </w:r>
    </w:p>
    <w:p>
      <w:pPr>
        <w:spacing w:after="0" w:line="14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right="140" w:firstLine="464"/>
        <w:spacing w:after="0" w:line="277" w:lineRule="auto"/>
        <w:tabs>
          <w:tab w:leader="none" w:pos="62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280" w:firstLine="464"/>
        <w:spacing w:after="0" w:line="277" w:lineRule="auto"/>
        <w:tabs>
          <w:tab w:leader="none" w:pos="62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firstLine="464"/>
        <w:spacing w:after="0" w:line="264" w:lineRule="auto"/>
        <w:tabs>
          <w:tab w:leader="none" w:pos="62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1" w:lineRule="exact"/>
        <w:rPr>
          <w:sz w:val="20"/>
          <w:szCs w:val="20"/>
          <w:color w:val="auto"/>
        </w:rPr>
      </w:pPr>
    </w:p>
    <w:p>
      <w:pPr>
        <w:ind w:left="700" w:hanging="23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71" w:lineRule="auto"/>
        <w:tabs>
          <w:tab w:leader="none" w:pos="633"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 is for relief against us or any of our significant subsidiaries in an involuntary case,</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 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(c) orders our liquidation or the liquidation of any of our significant subsidiaries, and the order or decree remains unstayed and in effect for 90 days.</w:t>
      </w:r>
    </w:p>
    <w:p>
      <w:pPr>
        <w:spacing w:after="0" w:line="248" w:lineRule="exact"/>
        <w:rPr>
          <w:rFonts w:ascii="Arial" w:cs="Arial" w:eastAsia="Arial" w:hAnsi="Arial"/>
          <w:sz w:val="18"/>
          <w:szCs w:val="18"/>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225" w:lineRule="exact"/>
        <w:rPr>
          <w:sz w:val="20"/>
          <w:szCs w:val="20"/>
          <w:color w:val="auto"/>
        </w:rPr>
      </w:pPr>
    </w:p>
    <w:p>
      <w:pPr>
        <w:ind w:left="700" w:hanging="23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7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460" w:right="660" w:hanging="547"/>
        <w:spacing w:after="0" w:line="277"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460" w:right="120" w:hanging="547"/>
        <w:spacing w:after="0" w:line="277"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Notices of Default. </w:t>
      </w:r>
      <w:r>
        <w:rPr>
          <w:rFonts w:ascii="Arial" w:cs="Arial" w:eastAsia="Arial" w:hAnsi="Arial"/>
          <w:sz w:val="17"/>
          <w:szCs w:val="17"/>
          <w:color w:val="auto"/>
        </w:rPr>
        <w:t>Unless we say otherwise in a prospectus supplement, we are required to deliver to the trustee, on or before a date not more than 120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7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 powers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6"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66"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7" w:lineRule="exact"/>
        <w:rPr>
          <w:sz w:val="20"/>
          <w:szCs w:val="20"/>
          <w:color w:val="auto"/>
        </w:rPr>
      </w:pPr>
    </w:p>
    <w:p>
      <w:pPr>
        <w:ind w:left="900" w:right="22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46" w:lineRule="exact"/>
        <w:rPr>
          <w:rFonts w:ascii="Arial" w:cs="Arial" w:eastAsia="Arial" w:hAnsi="Arial"/>
          <w:sz w:val="16"/>
          <w:szCs w:val="16"/>
          <w:color w:val="auto"/>
        </w:rPr>
      </w:pPr>
    </w:p>
    <w:p>
      <w:pPr>
        <w:ind w:left="900" w:right="160"/>
        <w:spacing w:after="0" w:line="261" w:lineRule="auto"/>
        <w:rPr>
          <w:rFonts w:ascii="Arial" w:cs="Arial" w:eastAsia="Arial" w:hAnsi="Arial"/>
          <w:sz w:val="16"/>
          <w:szCs w:val="16"/>
          <w:color w:val="auto"/>
        </w:rPr>
      </w:pPr>
      <w:r>
        <w:rPr>
          <w:rFonts w:ascii="Arial" w:cs="Arial" w:eastAsia="Arial" w:hAnsi="Arial"/>
          <w:sz w:val="18"/>
          <w:szCs w:val="18"/>
          <w:color w:val="auto"/>
        </w:rPr>
        <w:t>(i) currency, currencies or currency units in which those debt securities are then specified as payable at maturity, (ii) government obligations (as defined in the applicable indenture) or (iii) any combination thereof, as will be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92"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7" w:lineRule="exact"/>
        <w:rPr>
          <w:sz w:val="20"/>
          <w:szCs w:val="20"/>
          <w:color w:val="auto"/>
        </w:rPr>
      </w:pPr>
    </w:p>
    <w:p>
      <w:pPr>
        <w:ind w:left="900" w:right="24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900" w:right="40" w:hanging="446"/>
        <w:spacing w:after="0" w:line="286"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2"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900" w:right="14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78"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May 4, 2015, we had issued and outstanding 68,682,443 common shares, and 399,896 preferred shares, which are designated as 5.417% Series 1 Cumulative Convertible Preferred Shares, which we refer to as the Series 1 preferred shares.</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76" w:lineRule="exact"/>
        <w:rPr>
          <w:sz w:val="20"/>
          <w:szCs w:val="20"/>
          <w:color w:val="auto"/>
        </w:rPr>
      </w:pPr>
    </w:p>
    <w:p>
      <w:pPr>
        <w:ind w:left="900" w:right="28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 “—Authorized Shares,” our outstanding Series 1 preferred shares rank prior to our common shares with respect to the payment of dividends and as to the distribution of assets in the event of our liquidation, dissolution or winding up.</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7" w:lineRule="exact"/>
        <w:rPr>
          <w:sz w:val="20"/>
          <w:szCs w:val="20"/>
          <w:color w:val="auto"/>
        </w:rPr>
      </w:pPr>
    </w:p>
    <w:p>
      <w:pPr>
        <w:jc w:val="both"/>
        <w:ind w:left="900" w:right="12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9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92"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i w:val="1"/>
          <w:iCs w:val="1"/>
          <w:color w:val="auto"/>
        </w:rPr>
        <w:t xml:space="preserve">Rank. </w:t>
      </w:r>
      <w:r>
        <w:rPr>
          <w:rFonts w:ascii="Arial" w:cs="Arial" w:eastAsia="Arial" w:hAnsi="Arial"/>
          <w:sz w:val="17"/>
          <w:szCs w:val="17"/>
          <w:color w:val="auto"/>
        </w:rPr>
        <w:t>The Series 1 preferred shares rank prior to the common shares with respect to the payment of dividends and the distribution of assets upon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7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purpose, cumulative preferential dividends payable in cash at a rate of 5.417% of the liquidation price of $25, which is equivalent to $1.35425 per annum.</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1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per share, plus all accrued and unpaid dividends, before any distribution shall be made with respect to the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Subject to other applicable provisions within the articles supplementary for the Series 1 preferred shares, from the date of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1 preferred shares shall be convertible, at the option of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54"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76"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any preferential rights of any outstanding shares or series of shares and to the provisions of our declaration of trust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As to any liquidation preference applicable to preferred shares offered through this prospectus, the applicable supplement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76"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8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Arial" w:cs="Arial" w:eastAsia="Arial" w:hAnsi="Arial"/>
          <w:sz w:val="17"/>
          <w:szCs w:val="17"/>
          <w:color w:val="auto"/>
        </w:rPr>
      </w:pPr>
    </w:p>
    <w:p>
      <w:pPr>
        <w:ind w:left="900" w:right="74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76" w:lineRule="exact"/>
        <w:rPr>
          <w:sz w:val="20"/>
          <w:szCs w:val="20"/>
          <w:color w:val="auto"/>
        </w:rPr>
      </w:pPr>
    </w:p>
    <w:p>
      <w:pPr>
        <w:ind w:left="900" w:right="20" w:hanging="446"/>
        <w:spacing w:after="0" w:line="31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52"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71"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0" w:lineRule="exact"/>
        <w:rPr>
          <w:sz w:val="20"/>
          <w:szCs w:val="20"/>
          <w:color w:val="auto"/>
        </w:rPr>
      </w:pPr>
    </w:p>
    <w:p>
      <w:pPr>
        <w:ind w:left="5620" w:right="2940" w:hanging="5166"/>
        <w:spacing w:after="0" w:line="449" w:lineRule="auto"/>
        <w:tabs>
          <w:tab w:leader="none" w:pos="8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 24</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6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6" w:lineRule="exact"/>
        <w:rPr>
          <w:sz w:val="20"/>
          <w:szCs w:val="20"/>
          <w:color w:val="auto"/>
        </w:rPr>
      </w:pPr>
    </w:p>
    <w:p>
      <w:pPr>
        <w:ind w:left="900" w:right="2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6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7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Shareholder Liability and Indemnification. </w:t>
      </w:r>
      <w:r>
        <w:rPr>
          <w:rFonts w:ascii="Arial" w:cs="Arial" w:eastAsia="Arial" w:hAnsi="Arial"/>
          <w:sz w:val="17"/>
          <w:szCs w:val="17"/>
          <w:color w:val="auto"/>
        </w:rPr>
        <w:t>Under Maryland law, you will not be personally liable for any obligation of ours solely because you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7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2014;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8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7" w:lineRule="exact"/>
        <w:rPr>
          <w:sz w:val="20"/>
          <w:szCs w:val="20"/>
          <w:color w:val="auto"/>
        </w:rPr>
      </w:pPr>
    </w:p>
    <w:p>
      <w:pPr>
        <w:ind w:left="900" w:right="34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any items of tax preference that we do not distribute or allocate to our shareholders;</w:t>
      </w:r>
    </w:p>
    <w:p>
      <w:pPr>
        <w:spacing w:after="0" w:line="142" w:lineRule="exact"/>
        <w:rPr>
          <w:rFonts w:ascii="Arial" w:cs="Arial" w:eastAsia="Arial" w:hAnsi="Arial"/>
          <w:sz w:val="17"/>
          <w:szCs w:val="17"/>
          <w:color w:val="auto"/>
        </w:rPr>
      </w:pPr>
    </w:p>
    <w:p>
      <w:pPr>
        <w:jc w:val="both"/>
        <w:ind w:left="900" w:right="60" w:hanging="446"/>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right="160" w:hanging="446"/>
        <w:spacing w:after="0" w:line="255"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900" w:right="80" w:hanging="446"/>
        <w:spacing w:after="0" w:line="293"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900" w:right="100" w:hanging="446"/>
        <w:spacing w:after="0" w:line="279"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446"/>
        <w:spacing w:after="0" w:line="297"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446"/>
        <w:spacing w:after="0" w:line="269"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446"/>
        <w:spacing w:after="0" w:line="273"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right="60" w:hanging="446"/>
        <w:spacing w:after="0" w:line="272"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83" w:lineRule="exact"/>
        <w:rPr>
          <w:rFonts w:ascii="Arial" w:cs="Arial" w:eastAsia="Arial" w:hAnsi="Arial"/>
          <w:sz w:val="17"/>
          <w:szCs w:val="17"/>
          <w:color w:val="auto"/>
        </w:rPr>
      </w:pPr>
    </w:p>
    <w:p>
      <w:pPr>
        <w:ind w:left="900" w:right="140" w:hanging="446"/>
        <w:spacing w:after="0" w:line="270"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or unless, in either instance, we have determined or we determine in our discretion that the amount of disqualified rent resulting from such services will not jeopardize our status as a REIT.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66"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16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20" w:hanging="446"/>
        <w:spacing w:after="0" w:line="308"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16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308"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8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and Treasury regulations,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tests.</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900" w:right="4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our properties qualify as real estate assets.</w:t>
      </w:r>
    </w:p>
    <w:p>
      <w:pPr>
        <w:spacing w:after="0" w:line="75" w:lineRule="exact"/>
        <w:rPr>
          <w:rFonts w:ascii="Arial" w:cs="Arial" w:eastAsia="Arial" w:hAnsi="Arial"/>
          <w:sz w:val="18"/>
          <w:szCs w:val="18"/>
          <w:color w:val="auto"/>
        </w:rPr>
      </w:pPr>
    </w:p>
    <w:p>
      <w:pPr>
        <w:jc w:val="both"/>
        <w:ind w:left="1460" w:right="80" w:hanging="547"/>
        <w:spacing w:after="0" w:line="264" w:lineRule="auto"/>
        <w:tabs>
          <w:tab w:leader="none" w:pos="14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60" w:right="180" w:hanging="547"/>
        <w:spacing w:after="0" w:line="277" w:lineRule="auto"/>
        <w:tabs>
          <w:tab w:leader="none" w:pos="14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property on the date the REIT acquires the loan, or (ii) the fair market value of the loan.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76"/>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In addition, the IRS previously issued a revenue procedure authorizing publicly traded REITs to make elective cash/share dividends, but that revenue procedure’s effectiveness has expired and does not apply to our current and future taxable years. Accordingly, it is unclear whether and to what extent we will be able to make taxable dividends payable in cash and shares. We have no current intention to make a taxable dividend payable in our shares or debt securities.</w:t>
      </w:r>
    </w:p>
    <w:p>
      <w:pPr>
        <w:spacing w:after="0" w:line="17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and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spacing w:after="0" w:line="2" w:lineRule="exact"/>
        <w:rPr>
          <w:sz w:val="20"/>
          <w:szCs w:val="20"/>
          <w:color w:val="auto"/>
        </w:rPr>
      </w:pPr>
    </w:p>
    <w:p>
      <w:pPr>
        <w:ind w:firstLine="8"/>
        <w:spacing w:after="0" w:line="269" w:lineRule="auto"/>
        <w:tabs>
          <w:tab w:leader="none" w:pos="215"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66"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5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Medicare Tax on Unearned Income. </w:t>
      </w:r>
      <w:r>
        <w:rPr>
          <w:rFonts w:ascii="Arial" w:cs="Arial" w:eastAsia="Arial" w:hAnsi="Arial"/>
          <w:sz w:val="17"/>
          <w:szCs w:val="17"/>
          <w:color w:val="auto"/>
        </w:rPr>
        <w:t>Certain taxable U.S. shareholders who are individuals, estates or trusts are subject to a 3.8% Medicare tax on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Current Tax Rates. </w:t>
      </w:r>
      <w:r>
        <w:rPr>
          <w:rFonts w:ascii="Arial" w:cs="Arial" w:eastAsia="Arial" w:hAnsi="Arial"/>
          <w:sz w:val="18"/>
          <w:szCs w:val="18"/>
          <w:color w:val="auto"/>
        </w:rPr>
        <w:t>The maximum tax rate on the long-term capital gains of domestic non-corporate taxpayers is 20%. The maximum tax rate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lower qualified dividend income/capital gains tax rate (at a maximum of 20%) does generally apply to:</w:t>
      </w:r>
    </w:p>
    <w:p>
      <w:pPr>
        <w:spacing w:after="0" w:line="99"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87"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80" w:hanging="446"/>
        <w:spacing w:after="0" w:line="308"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Ordinary Dividends. </w:t>
      </w:r>
      <w:r>
        <w:rPr>
          <w:rFonts w:ascii="Arial" w:cs="Arial" w:eastAsia="Arial" w:hAnsi="Arial"/>
          <w:sz w:val="17"/>
          <w:szCs w:val="17"/>
          <w:color w:val="auto"/>
        </w:rPr>
        <w:t>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we are treated as a “United States real property holding corporation,” we will be required to withhold 10% of any distribution that exceeds our current and accumulated earnings and profits. Consequently, although we intend to withhold at a rate of 30% on the entire amount of any distribution, to the extent we do not do so, we may withhold at a rate of 10% on any portion of a distribution not subject to withholding at a rate of 30%.</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Capital Gain Dividends. </w:t>
      </w:r>
      <w:r>
        <w:rPr>
          <w:rFonts w:ascii="Arial" w:cs="Arial" w:eastAsia="Arial" w:hAnsi="Arial"/>
          <w:sz w:val="17"/>
          <w:szCs w:val="17"/>
          <w:color w:val="auto"/>
        </w:rPr>
        <w:t>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5%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7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However, even if we are not, or cease to be, a domestically controlled REIT, a non-U.S. shareholder that owns, actually or constructively, 5% or less of a class of our of outstanding shares at all times during a specified testing period will not incur tax under FIRPTA on a sale of such shares if shares of such class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0"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2016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46" w:lineRule="exact"/>
        <w:rPr>
          <w:sz w:val="20"/>
          <w:szCs w:val="20"/>
          <w:color w:val="auto"/>
        </w:rPr>
      </w:pPr>
    </w:p>
    <w:p>
      <w:pPr>
        <w:ind w:left="260" w:hanging="252"/>
        <w:spacing w:after="0"/>
        <w:tabs>
          <w:tab w:leader="none" w:pos="2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through agents; (3) in “at the market offerings” to or through a market maker or into an existing trading market or securities exchange or otherwise;</w:t>
      </w:r>
    </w:p>
    <w:p>
      <w:pPr>
        <w:spacing w:after="0" w:line="20" w:lineRule="exact"/>
        <w:rPr>
          <w:rFonts w:ascii="Arial" w:cs="Arial" w:eastAsia="Arial" w:hAnsi="Arial"/>
          <w:sz w:val="17"/>
          <w:szCs w:val="17"/>
          <w:color w:val="auto"/>
        </w:rPr>
      </w:pPr>
    </w:p>
    <w:p>
      <w:pPr>
        <w:ind w:right="20" w:firstLine="8"/>
        <w:spacing w:after="0" w:line="273" w:lineRule="auto"/>
        <w:tabs>
          <w:tab w:leader="none" w:pos="255" w:val="left"/>
        </w:tabs>
        <w:numPr>
          <w:ilvl w:val="0"/>
          <w:numId w:val="83"/>
        </w:numPr>
        <w:rPr>
          <w:rFonts w:ascii="Arial" w:cs="Arial" w:eastAsia="Arial" w:hAnsi="Arial"/>
          <w:sz w:val="17"/>
          <w:szCs w:val="17"/>
          <w:color w:val="auto"/>
        </w:rPr>
      </w:pPr>
      <w:r>
        <w:rPr>
          <w:rFonts w:ascii="Arial" w:cs="Arial" w:eastAsia="Arial" w:hAnsi="Arial"/>
          <w:sz w:val="17"/>
          <w:szCs w:val="17"/>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900" w:right="8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purchases by a dealer as principal and resale by such dealer for its account pursuant to this prospectus or any prospectus supplement;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7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If underwriters or dealers are used in the sale, until the distribution of the securities is completed, SEC rules may limit the ability of any such underwriters and selling group members to bid for and purchase the securities. As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2014, filed with the SEC on February 10,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Definitive Proxy Statement for our 2015 Annual Meeting of Shareholders, filed with the SEC on March 27,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2015, filed with the SEC on May 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February 10, 2015 (with disclosures under Item 5.02) and March 17, 2015;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60"/>
        <w:spacing w:after="0"/>
        <w:rPr>
          <w:sz w:val="20"/>
          <w:szCs w:val="20"/>
          <w:color w:val="auto"/>
        </w:rPr>
      </w:pPr>
      <w:r>
        <w:rPr>
          <w:rFonts w:ascii="Arial" w:cs="Arial" w:eastAsia="Arial" w:hAnsi="Arial"/>
          <w:sz w:val="32"/>
          <w:szCs w:val="32"/>
          <w:b w:val="1"/>
          <w:bCs w:val="1"/>
          <w:color w:val="auto"/>
        </w:rPr>
        <w:t>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341630</wp:posOffset>
            </wp:positionV>
            <wp:extent cx="3147060" cy="926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4706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220"/>
        <w:spacing w:after="0"/>
        <w:tabs>
          <w:tab w:leader="none" w:pos="220" w:val="left"/>
        </w:tabs>
        <w:rPr>
          <w:sz w:val="20"/>
          <w:szCs w:val="20"/>
          <w:color w:val="auto"/>
        </w:rPr>
      </w:pPr>
      <w:r>
        <w:rPr>
          <w:rFonts w:ascii="Arial" w:cs="Arial" w:eastAsia="Arial" w:hAnsi="Arial"/>
          <w:sz w:val="25"/>
          <w:szCs w:val="25"/>
          <w:b w:val="1"/>
          <w:bCs w:val="1"/>
          <w:color w:val="auto"/>
        </w:rPr>
        <w:t>Each Representing 1/1000 of a</w:t>
      </w:r>
      <w:r>
        <w:rPr>
          <w:sz w:val="20"/>
          <w:szCs w:val="20"/>
          <w:color w:val="auto"/>
        </w:rPr>
        <w:tab/>
      </w:r>
      <w:r>
        <w:rPr>
          <w:rFonts w:ascii="Arial" w:cs="Arial" w:eastAsia="Arial" w:hAnsi="Arial"/>
          <w:sz w:val="23"/>
          <w:szCs w:val="23"/>
          <w:b w:val="1"/>
          <w:bCs w:val="1"/>
          <w:color w:val="auto"/>
        </w:rPr>
        <w:t>% Series C</w:t>
      </w:r>
    </w:p>
    <w:p>
      <w:pPr>
        <w:spacing w:after="0" w:line="3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Cumulative Redeemable Preferred Share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410845</wp:posOffset>
            </wp:positionV>
            <wp:extent cx="15176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BofA Merrill Lynch</w:t>
      </w:r>
    </w:p>
    <w:p>
      <w:pPr>
        <w:spacing w:after="0" w:line="36"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UBS Investment Bank</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Wells Fargo Securities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Raymond James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Citigroup</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Jefferies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388620</wp:posOffset>
            </wp:positionV>
            <wp:extent cx="15176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80"/>
        <w:spacing w:after="0"/>
        <w:tabs>
          <w:tab w:leader="none" w:pos="5980" w:val="left"/>
        </w:tabs>
        <w:rPr>
          <w:sz w:val="20"/>
          <w:szCs w:val="20"/>
          <w:color w:val="auto"/>
        </w:rPr>
      </w:pPr>
      <w:r>
        <w:rPr>
          <w:rFonts w:ascii="Arial" w:cs="Arial" w:eastAsia="Arial" w:hAnsi="Arial"/>
          <w:sz w:val="18"/>
          <w:szCs w:val="18"/>
          <w:b w:val="1"/>
          <w:bCs w:val="1"/>
          <w:color w:val="auto"/>
        </w:rPr>
        <w:t>September</w:t>
      </w:r>
      <w:r>
        <w:rPr>
          <w:sz w:val="20"/>
          <w:szCs w:val="20"/>
          <w:color w:val="auto"/>
        </w:rPr>
        <w:tab/>
      </w:r>
      <w:r>
        <w:rPr>
          <w:rFonts w:ascii="Arial" w:cs="Arial" w:eastAsia="Arial" w:hAnsi="Arial"/>
          <w:sz w:val="15"/>
          <w:szCs w:val="15"/>
          <w:b w:val="1"/>
          <w:bCs w:val="1"/>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decimal"/>
      <w:start w:val="3"/>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lvl w:ilvl="1">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1)"/>
      <w:numFmt w:val="lowerLetter"/>
      <w:start w:val="1"/>
    </w:lvl>
  </w:abstractNum>
  <w:abstractNum w:abstractNumId="6">
    <w:nsid w:val="4B588F54"/>
    <w:multiLevelType w:val="hybridMultilevel"/>
    <w:lvl w:ilvl="0">
      <w:lvlJc w:val="left"/>
      <w:lvlText w:val="(%1)"/>
      <w:numFmt w:val="lowerRoman"/>
      <w:start w:val="3"/>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1)"/>
      <w:numFmt w:val="lowerLetter"/>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1)"/>
      <w:numFmt w:val="lowerLetter"/>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lvl w:ilvl="1">
      <w:lvlJc w:val="left"/>
      <w:lvlText w:val="•"/>
      <w:numFmt w:val="bullet"/>
      <w:start w:val="1"/>
    </w:lvl>
  </w:abstractNum>
  <w:abstractNum w:abstractNumId="26">
    <w:nsid w:val="275AC794"/>
    <w:multiLevelType w:val="hybridMultilevel"/>
    <w:lvl w:ilvl="0">
      <w:lvlJc w:val="left"/>
      <w:lvlText w:val="•"/>
      <w:numFmt w:val="bullet"/>
      <w:start w:val="1"/>
    </w:lvl>
    <w:lvl w:ilvl="1">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1."/>
      <w:numFmt w:val="decimal"/>
      <w:start w:val="1"/>
    </w:lvl>
  </w:abstractNum>
  <w:abstractNum w:abstractNumId="32">
    <w:nsid w:val="354FE9F9"/>
    <w:multiLevelType w:val="hybridMultilevel"/>
    <w:lvl w:ilvl="0">
      <w:lvlJc w:val="left"/>
      <w:lvlText w:val="(%1)"/>
      <w:numFmt w:val="lowerLetter"/>
      <w:start w:val="1"/>
    </w:lvl>
  </w:abstractNum>
  <w:abstractNum w:abstractNumId="33">
    <w:nsid w:val="15B5AF5C"/>
    <w:multiLevelType w:val="hybridMultilevel"/>
    <w:lvl w:ilvl="0">
      <w:lvlJc w:val="left"/>
      <w:lvlText w:val="%1."/>
      <w:numFmt w:val="decimal"/>
      <w:start w:val="5"/>
    </w:lvl>
  </w:abstractNum>
  <w:abstractNum w:abstractNumId="34">
    <w:nsid w:val="741226BB"/>
    <w:multiLevelType w:val="hybridMultilevel"/>
    <w:lvl w:ilvl="0">
      <w:lvlJc w:val="left"/>
      <w:lvlText w:val="%1."/>
      <w:numFmt w:val="decimal"/>
      <w:start w:val="6"/>
    </w:lvl>
  </w:abstractNum>
  <w:abstractNum w:abstractNumId="35">
    <w:nsid w:val="D34B6A8"/>
    <w:multiLevelType w:val="hybridMultilevel"/>
    <w:lvl w:ilvl="0">
      <w:lvlJc w:val="left"/>
      <w:lvlText w:val="(%1)"/>
      <w:numFmt w:val="lowerLetter"/>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lvl w:ilvl="1">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lvl w:ilvl="1">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lvl w:ilvl="1">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lvl w:ilvl="1">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1."/>
      <w:numFmt w:val="decimal"/>
      <w:start w:val="1"/>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emdash "/>
      <w:numFmt w:val="bullet"/>
      <w:start w:val="1"/>
    </w:lvl>
  </w:abstractNum>
  <w:abstractNum w:abstractNumId="74">
    <w:nsid w:val="68EB2F63"/>
    <w:multiLevelType w:val="hybridMultilevel"/>
    <w:lvl w:ilvl="0">
      <w:lvlJc w:val="left"/>
      <w:lvlText w:val="•"/>
      <w:numFmt w:val="bullet"/>
      <w:start w:val="1"/>
    </w:lvl>
    <w:lvl w:ilvl="1">
      <w:lvlJc w:val="left"/>
      <w:lvlText w:val="•"/>
      <w:numFmt w:val="bullet"/>
      <w:start w:val="1"/>
    </w:lvl>
  </w:abstractNum>
  <w:abstractNum w:abstractNumId="75">
    <w:nsid w:val="4962813B"/>
    <w:multiLevelType w:val="hybridMultilevel"/>
    <w:lvl w:ilvl="0">
      <w:lvlJc w:val="left"/>
      <w:lvlText w:val="(%1)"/>
      <w:numFmt w:val="lowerRoman"/>
      <w:start w:val="2"/>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1)"/>
      <w:numFmt w:val="lowerRoman"/>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1)"/>
      <w:numFmt w:val="decimal"/>
      <w:start w:val="2"/>
    </w:lvl>
  </w:abstractNum>
  <w:abstractNum w:abstractNumId="82">
    <w:nsid w:val="100F59DC"/>
    <w:multiLevelType w:val="hybridMultilevel"/>
    <w:lvl w:ilvl="0">
      <w:lvlJc w:val="left"/>
      <w:lvlText w:val="(%1)"/>
      <w:numFmt w:val="decimal"/>
      <w:start w:val="4"/>
    </w:lvl>
  </w:abstractNum>
  <w:abstractNum w:abstractNumId="83">
    <w:nsid w:val="7FB7E0AA"/>
    <w:multiLevelType w:val="hybridMultilevel"/>
    <w:lvl w:ilvl="0">
      <w:lvlJc w:val="left"/>
      <w:lvlText w:val="•"/>
      <w:numFmt w:val="bullet"/>
      <w:start w:val="1"/>
    </w:lvl>
  </w:abstractNum>
  <w:abstractNum w:abstractNumId="84">
    <w:nsid w:val="6EB5B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2019-12-05T03:08:49Z</dcterms:created>
  <dcterms:modified xsi:type="dcterms:W3CDTF">2019-12-05T03:08:49Z</dcterms:modified>
</cp:coreProperties>
</file>