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333-224701</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3.20% Notes due 2029</w:t>
            </w:r>
          </w:p>
        </w:tc>
        <w:tc>
          <w:tcPr>
            <w:tcW w:w="154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$36,360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640" w:right="120" w:hanging="436"/>
        <w:spacing w:after="0" w:line="286"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filing fee is calculated in accordance with Rule 457(r) under the Securities Act of 1933, as amended (the “Securities Act”), and relates to the Registration Statement on Form S-3 (No. 333-224701) filed on May 7, 2018 (the “Registration Statement”). In accordance with Rules 456(b) and 457(r) under the Securities Act, the registrant deferred payment of the registration fee for the Registration Statement.</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 PROSPECTUS DATED MAY 7, 2018)</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178435</wp:posOffset>
            </wp:positionV>
            <wp:extent cx="2178050" cy="875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3.20%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234950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We are offering $300,000,000 aggregate principal amount of our 3.20% Notes due 2029. The notes will bear interest at the rate of 3.20% per year. Interest on the notes will be payable semi-annually in arears on June 15 and December 15 of each year, beginning on December 15, 2019. The notes will mature on June 15, 2029. We may redeem some or all of the notes at any time before maturity at the applicable redemption price discussed under the caption “Description of Notes — Optional Redemption.”</w:t>
      </w:r>
    </w:p>
    <w:p>
      <w:pPr>
        <w:spacing w:after="0" w:line="146"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notes will be our senior unsecured obligations and will rank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notes are a new issue of securities with no established trading market. We do not intend to apply to list the notes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200" w:right="20"/>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notes involves risks. See “</w:t>
      </w:r>
      <w:hyperlink w:anchor="page10">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S-5 of this prospectus supplement, on page 3 of the accompanying prospectus and in our Annual Report on Form 10-K for the year ended December 31, 2018, filed with the Securities and Exchange Commission, or the SEC, on February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172720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Per Note</w:t>
            </w:r>
          </w:p>
        </w:tc>
        <w:tc>
          <w:tcPr>
            <w:tcW w:w="4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99.838%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299,514,000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Underwriting discount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0.650%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1,950,000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99.188%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297,564,000</w:t>
            </w:r>
          </w:p>
        </w:tc>
        <w:tc>
          <w:tcPr>
            <w:tcW w:w="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from June 7, 2019, if settlement occurs after that date.</w:t>
      </w:r>
    </w:p>
    <w:p>
      <w:pPr>
        <w:spacing w:after="0" w:line="18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June 7, 2019.</w:t>
      </w:r>
    </w:p>
    <w:p>
      <w:pPr>
        <w:spacing w:after="0" w:line="139" w:lineRule="exact"/>
        <w:rPr>
          <w:sz w:val="20"/>
          <w:szCs w:val="20"/>
          <w:color w:val="auto"/>
        </w:rPr>
      </w:pPr>
    </w:p>
    <w:p>
      <w:pPr>
        <w:ind w:left="200" w:right="840"/>
        <w:spacing w:after="0" w:line="386" w:lineRule="auto"/>
        <w:rPr>
          <w:sz w:val="20"/>
          <w:szCs w:val="20"/>
          <w:color w:val="auto"/>
        </w:rPr>
      </w:pPr>
      <w:r>
        <w:rPr>
          <w:rFonts w:ascii="Arial" w:cs="Arial" w:eastAsia="Arial" w:hAnsi="Arial"/>
          <w:sz w:val="15"/>
          <w:szCs w:val="15"/>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139700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5"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Joint Book-Running Managers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57"/>
        </w:trPr>
        <w:tc>
          <w:tcPr>
            <w:tcW w:w="2800" w:type="dxa"/>
            <w:vAlign w:val="bottom"/>
          </w:tcPr>
          <w:p>
            <w:pPr>
              <w:spacing w:after="0"/>
              <w:rPr>
                <w:sz w:val="20"/>
                <w:szCs w:val="20"/>
                <w:color w:val="auto"/>
              </w:rPr>
            </w:pPr>
            <w:r>
              <w:rPr>
                <w:rFonts w:ascii="Arial" w:cs="Arial" w:eastAsia="Arial" w:hAnsi="Arial"/>
                <w:sz w:val="22"/>
                <w:szCs w:val="22"/>
                <w:b w:val="1"/>
                <w:bCs w:val="1"/>
                <w:color w:val="auto"/>
              </w:rPr>
              <w:t>BofA Merrill Lynch</w:t>
            </w:r>
          </w:p>
        </w:tc>
        <w:tc>
          <w:tcPr>
            <w:tcW w:w="5900" w:type="dxa"/>
            <w:vAlign w:val="bottom"/>
          </w:tcPr>
          <w:p>
            <w:pPr>
              <w:ind w:left="2880"/>
              <w:spacing w:after="0"/>
              <w:rPr>
                <w:sz w:val="20"/>
                <w:szCs w:val="20"/>
                <w:color w:val="auto"/>
              </w:rPr>
            </w:pPr>
            <w:r>
              <w:rPr>
                <w:rFonts w:ascii="Arial" w:cs="Arial" w:eastAsia="Arial" w:hAnsi="Arial"/>
                <w:sz w:val="22"/>
                <w:szCs w:val="22"/>
                <w:b w:val="1"/>
                <w:bCs w:val="1"/>
                <w:color w:val="auto"/>
              </w:rPr>
              <w:t>Jefferies</w:t>
            </w:r>
          </w:p>
        </w:tc>
        <w:tc>
          <w:tcPr>
            <w:tcW w:w="2320" w:type="dxa"/>
            <w:vAlign w:val="bottom"/>
          </w:tcPr>
          <w:p>
            <w:pPr>
              <w:jc w:val="right"/>
              <w:spacing w:after="0"/>
              <w:rPr>
                <w:sz w:val="20"/>
                <w:szCs w:val="20"/>
                <w:color w:val="auto"/>
              </w:rPr>
            </w:pPr>
            <w:r>
              <w:rPr>
                <w:rFonts w:ascii="Arial" w:cs="Arial" w:eastAsia="Arial" w:hAnsi="Arial"/>
                <w:sz w:val="22"/>
                <w:szCs w:val="22"/>
                <w:b w:val="1"/>
                <w:bCs w:val="1"/>
                <w:color w:val="auto"/>
              </w:rPr>
              <w:t>US Bancorp</w:t>
            </w:r>
          </w:p>
        </w:tc>
      </w:tr>
      <w:tr>
        <w:trPr>
          <w:trHeight w:val="281"/>
        </w:trPr>
        <w:tc>
          <w:tcPr>
            <w:tcW w:w="2800" w:type="dxa"/>
            <w:vAlign w:val="bottom"/>
          </w:tcPr>
          <w:p>
            <w:pPr>
              <w:spacing w:after="0"/>
              <w:rPr>
                <w:sz w:val="20"/>
                <w:szCs w:val="20"/>
                <w:color w:val="auto"/>
              </w:rPr>
            </w:pPr>
            <w:r>
              <w:rPr>
                <w:rFonts w:ascii="Arial" w:cs="Arial" w:eastAsia="Arial" w:hAnsi="Arial"/>
                <w:sz w:val="22"/>
                <w:szCs w:val="22"/>
                <w:b w:val="1"/>
                <w:bCs w:val="1"/>
                <w:color w:val="auto"/>
              </w:rPr>
              <w:t>Regions Securities LLC</w:t>
            </w:r>
          </w:p>
        </w:tc>
        <w:tc>
          <w:tcPr>
            <w:tcW w:w="5900" w:type="dxa"/>
            <w:vAlign w:val="bottom"/>
          </w:tcPr>
          <w:p>
            <w:pPr>
              <w:ind w:left="1960"/>
              <w:spacing w:after="0"/>
              <w:rPr>
                <w:sz w:val="20"/>
                <w:szCs w:val="20"/>
                <w:color w:val="auto"/>
              </w:rPr>
            </w:pPr>
            <w:r>
              <w:rPr>
                <w:rFonts w:ascii="Arial" w:cs="Arial" w:eastAsia="Arial" w:hAnsi="Arial"/>
                <w:sz w:val="22"/>
                <w:szCs w:val="22"/>
                <w:b w:val="1"/>
                <w:bCs w:val="1"/>
                <w:color w:val="auto"/>
              </w:rPr>
              <w:t>SunTrust Robinson Humphrey</w:t>
            </w:r>
          </w:p>
        </w:tc>
        <w:tc>
          <w:tcPr>
            <w:tcW w:w="2320" w:type="dxa"/>
            <w:vAlign w:val="bottom"/>
          </w:tcPr>
          <w:p>
            <w:pPr>
              <w:jc w:val="right"/>
              <w:spacing w:after="0"/>
              <w:rPr>
                <w:sz w:val="20"/>
                <w:szCs w:val="20"/>
                <w:color w:val="auto"/>
              </w:rPr>
            </w:pPr>
            <w:r>
              <w:rPr>
                <w:rFonts w:ascii="Arial" w:cs="Arial" w:eastAsia="Arial" w:hAnsi="Arial"/>
                <w:sz w:val="22"/>
                <w:szCs w:val="22"/>
                <w:b w:val="1"/>
                <w:bCs w:val="1"/>
                <w:color w:val="auto"/>
              </w:rPr>
              <w:t>TD Securities</w:t>
            </w:r>
          </w:p>
        </w:tc>
      </w:tr>
      <w:tr>
        <w:trPr>
          <w:trHeight w:val="395"/>
        </w:trPr>
        <w:tc>
          <w:tcPr>
            <w:tcW w:w="2800" w:type="dxa"/>
            <w:vAlign w:val="bottom"/>
          </w:tcPr>
          <w:p>
            <w:pPr>
              <w:spacing w:after="0"/>
              <w:rPr>
                <w:sz w:val="24"/>
                <w:szCs w:val="24"/>
                <w:color w:val="auto"/>
              </w:rPr>
            </w:pPr>
          </w:p>
        </w:tc>
        <w:tc>
          <w:tcPr>
            <w:tcW w:w="5900" w:type="dxa"/>
            <w:vAlign w:val="bottom"/>
          </w:tcPr>
          <w:p>
            <w:pPr>
              <w:ind w:left="600"/>
              <w:spacing w:after="0"/>
              <w:rPr>
                <w:sz w:val="20"/>
                <w:szCs w:val="20"/>
                <w:color w:val="auto"/>
              </w:rPr>
            </w:pPr>
            <w:r>
              <w:rPr>
                <w:rFonts w:ascii="Arial" w:cs="Arial" w:eastAsia="Arial" w:hAnsi="Arial"/>
                <w:sz w:val="18"/>
                <w:szCs w:val="18"/>
                <w:b w:val="1"/>
                <w:bCs w:val="1"/>
                <w:color w:val="auto"/>
              </w:rPr>
              <w:t>The date of this prospectus supplement is June 4, 2019.</w:t>
            </w:r>
          </w:p>
        </w:tc>
        <w:tc>
          <w:tcPr>
            <w:tcW w:w="23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60" w:type="dxa"/>
            <w:vAlign w:val="bottom"/>
            <w:gridSpan w:val="1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572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4860" w:type="dxa"/>
            <w:vAlign w:val="bottom"/>
            <w:gridSpan w:val="16"/>
            <w:vMerge w:val="continue"/>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Cautionary Statement Concerning Forward-Looking Statements</w:t>
              </w:r>
            </w:hyperlink>
          </w:p>
        </w:tc>
        <w:tc>
          <w:tcPr>
            <w:tcW w:w="2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304"/>
        </w:trPr>
        <w:tc>
          <w:tcPr>
            <w:tcW w:w="24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Prospectus Supplement Summary</w:t>
              </w:r>
            </w:hyperlink>
          </w:p>
        </w:tc>
        <w:tc>
          <w:tcPr>
            <w:tcW w:w="2380" w:type="dxa"/>
            <w:vAlign w:val="bottom"/>
            <w:gridSpan w:val="7"/>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3680" w:type="dxa"/>
            <w:vAlign w:val="bottom"/>
            <w:gridSpan w:val="12"/>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Description of Notes</w:t>
              </w:r>
            </w:hyperlink>
          </w:p>
        </w:tc>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Additional Material Federal Income Tax Considerations</w:t>
              </w:r>
            </w:hyperlink>
          </w:p>
        </w:tc>
        <w:tc>
          <w:tcPr>
            <w:tcW w:w="820" w:type="dxa"/>
            <w:vAlign w:val="bottom"/>
            <w:gridSpan w:val="2"/>
          </w:tcPr>
          <w:p>
            <w:pPr>
              <w:spacing w:after="0"/>
              <w:rPr>
                <w:sz w:val="24"/>
                <w:szCs w:val="24"/>
                <w:color w:val="auto"/>
              </w:rPr>
            </w:pPr>
          </w:p>
        </w:tc>
        <w:tc>
          <w:tcPr>
            <w:tcW w:w="57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304"/>
        </w:trPr>
        <w:tc>
          <w:tcPr>
            <w:tcW w:w="258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Underwriting (Conflicts of Interest)</w:t>
              </w:r>
            </w:hyperlink>
          </w:p>
        </w:tc>
        <w:tc>
          <w:tcPr>
            <w:tcW w:w="2280" w:type="dxa"/>
            <w:vAlign w:val="bottom"/>
            <w:gridSpan w:val="6"/>
          </w:tcPr>
          <w:p>
            <w:pPr>
              <w:spacing w:after="0"/>
              <w:rPr>
                <w:sz w:val="24"/>
                <w:szCs w:val="24"/>
                <w:color w:val="auto"/>
              </w:rPr>
            </w:pPr>
          </w:p>
        </w:tc>
        <w:tc>
          <w:tcPr>
            <w:tcW w:w="57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Experts</w:t>
              </w:r>
            </w:hyperlink>
          </w:p>
        </w:tc>
        <w:tc>
          <w:tcPr>
            <w:tcW w:w="4300" w:type="dxa"/>
            <w:vAlign w:val="bottom"/>
            <w:gridSpan w:val="15"/>
          </w:tcPr>
          <w:p>
            <w:pPr>
              <w:spacing w:after="0"/>
              <w:rPr>
                <w:sz w:val="24"/>
                <w:szCs w:val="24"/>
                <w:color w:val="auto"/>
              </w:rPr>
            </w:pPr>
          </w:p>
        </w:tc>
        <w:tc>
          <w:tcPr>
            <w:tcW w:w="57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S-23</w:t>
            </w:r>
          </w:p>
        </w:tc>
        <w:tc>
          <w:tcPr>
            <w:tcW w:w="0" w:type="dxa"/>
            <w:vAlign w:val="bottom"/>
          </w:tcPr>
          <w:p>
            <w:pPr>
              <w:spacing w:after="0"/>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57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S-23</w:t>
            </w:r>
          </w:p>
        </w:tc>
        <w:tc>
          <w:tcPr>
            <w:tcW w:w="0" w:type="dxa"/>
            <w:vAlign w:val="bottom"/>
          </w:tcPr>
          <w:p>
            <w:pPr>
              <w:spacing w:after="0"/>
              <w:rPr>
                <w:sz w:val="1"/>
                <w:szCs w:val="1"/>
                <w:color w:val="auto"/>
              </w:rPr>
            </w:pPr>
          </w:p>
        </w:tc>
      </w:tr>
      <w:tr>
        <w:trPr>
          <w:trHeight w:val="669"/>
        </w:trPr>
        <w:tc>
          <w:tcPr>
            <w:tcW w:w="5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20" w:type="dxa"/>
            <w:vAlign w:val="bottom"/>
            <w:gridSpan w:val="3"/>
          </w:tcPr>
          <w:p>
            <w:pPr>
              <w:jc w:val="right"/>
              <w:ind w:right="495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860" w:type="dxa"/>
            <w:vAlign w:val="bottom"/>
            <w:gridSpan w:val="16"/>
            <w:vMerge w:val="restart"/>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57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4860" w:type="dxa"/>
            <w:vAlign w:val="bottom"/>
            <w:gridSpan w:val="16"/>
            <w:vMerge w:val="continue"/>
          </w:tcPr>
          <w:p>
            <w:pPr>
              <w:spacing w:after="0"/>
              <w:rPr>
                <w:sz w:val="14"/>
                <w:szCs w:val="14"/>
                <w:color w:val="auto"/>
              </w:rPr>
            </w:pPr>
          </w:p>
        </w:tc>
        <w:tc>
          <w:tcPr>
            <w:tcW w:w="5820" w:type="dxa"/>
            <w:vAlign w:val="bottom"/>
            <w:gridSpan w:val="2"/>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Forward-Looking Statements</w:t>
              </w:r>
            </w:hyperlink>
          </w:p>
        </w:tc>
        <w:tc>
          <w:tcPr>
            <w:tcW w:w="2740" w:type="dxa"/>
            <w:vAlign w:val="bottom"/>
            <w:gridSpan w:val="9"/>
          </w:tcPr>
          <w:p>
            <w:pPr>
              <w:spacing w:after="0"/>
              <w:rPr>
                <w:sz w:val="24"/>
                <w:szCs w:val="24"/>
                <w:color w:val="auto"/>
              </w:rPr>
            </w:pPr>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Prospectus Summary</w:t>
              </w:r>
            </w:hyperlink>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tcBorders>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3280" w:type="dxa"/>
            <w:vAlign w:val="bottom"/>
            <w:gridSpan w:val="10"/>
          </w:tcPr>
          <w:p>
            <w:pPr>
              <w:spacing w:after="0"/>
              <w:rPr>
                <w:sz w:val="24"/>
                <w:szCs w:val="24"/>
                <w:color w:val="auto"/>
              </w:rPr>
            </w:pPr>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Use of Proceeds</w:t>
              </w:r>
            </w:hyperlink>
          </w:p>
        </w:tc>
        <w:tc>
          <w:tcPr>
            <w:tcW w:w="3680" w:type="dxa"/>
            <w:vAlign w:val="bottom"/>
            <w:gridSpan w:val="12"/>
          </w:tcPr>
          <w:p>
            <w:pPr>
              <w:spacing w:after="0"/>
              <w:rPr>
                <w:sz w:val="24"/>
                <w:szCs w:val="24"/>
                <w:color w:val="auto"/>
              </w:rPr>
            </w:pPr>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Description of Debt Securities</w:t>
              </w:r>
            </w:hyperlink>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Description of Shares of Beneficial Interest</w:t>
              </w:r>
            </w:hyperlink>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Material Federal Income Tax Considerations</w:t>
              </w:r>
            </w:hyperlink>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79">
              <w:r>
                <w:rPr>
                  <w:rFonts w:ascii="Arial" w:cs="Arial" w:eastAsia="Arial" w:hAnsi="Arial"/>
                  <w:sz w:val="18"/>
                  <w:szCs w:val="18"/>
                  <w:color w:val="0000EE"/>
                  <w:w w:val="96"/>
                </w:rPr>
                <w:t>Plan of Distribution</w:t>
              </w:r>
            </w:hyperlink>
          </w:p>
        </w:tc>
        <w:tc>
          <w:tcPr>
            <w:tcW w:w="1720" w:type="dxa"/>
            <w:vAlign w:val="bottom"/>
            <w:tcBorders>
              <w:top w:val="single" w:sz="8" w:color="0000EE"/>
            </w:tcBorders>
            <w:gridSpan w:val="8"/>
          </w:tcPr>
          <w:p>
            <w:pPr>
              <w:spacing w:after="0"/>
              <w:rPr>
                <w:sz w:val="24"/>
                <w:szCs w:val="24"/>
                <w:color w:val="auto"/>
              </w:rPr>
            </w:pPr>
          </w:p>
        </w:tc>
        <w:tc>
          <w:tcPr>
            <w:tcW w:w="1640" w:type="dxa"/>
            <w:vAlign w:val="bottom"/>
            <w:gridSpan w:val="3"/>
          </w:tcPr>
          <w:p>
            <w:pPr>
              <w:spacing w:after="0"/>
              <w:rPr>
                <w:sz w:val="24"/>
                <w:szCs w:val="24"/>
                <w:color w:val="auto"/>
              </w:rPr>
            </w:pPr>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Legal Matters</w:t>
              </w:r>
            </w:hyperlink>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5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Experts</w:t>
              </w:r>
            </w:hyperlink>
          </w:p>
        </w:tc>
        <w:tc>
          <w:tcPr>
            <w:tcW w:w="440" w:type="dxa"/>
            <w:vAlign w:val="bottom"/>
            <w:tcBorders>
              <w:top w:val="single" w:sz="8" w:color="0000EE"/>
            </w:tcBorders>
            <w:gridSpan w:val="2"/>
          </w:tcPr>
          <w:p>
            <w:pPr>
              <w:spacing w:after="0"/>
              <w:rPr>
                <w:sz w:val="24"/>
                <w:szCs w:val="24"/>
                <w:color w:val="auto"/>
              </w:rPr>
            </w:pPr>
          </w:p>
        </w:tc>
        <w:tc>
          <w:tcPr>
            <w:tcW w:w="3860" w:type="dxa"/>
            <w:vAlign w:val="bottom"/>
            <w:gridSpan w:val="13"/>
          </w:tcPr>
          <w:p>
            <w:pPr>
              <w:spacing w:after="0"/>
              <w:rPr>
                <w:sz w:val="24"/>
                <w:szCs w:val="24"/>
                <w:color w:val="auto"/>
              </w:rPr>
            </w:pPr>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4860" w:type="dxa"/>
            <w:vAlign w:val="bottom"/>
            <w:gridSpan w:val="1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Where You Can Find More Information</w:t>
              </w:r>
            </w:hyperlink>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20" w:type="dxa"/>
            <w:vAlign w:val="bottom"/>
            <w:gridSpan w:val="3"/>
          </w:tcPr>
          <w:p>
            <w:pPr>
              <w:jc w:val="right"/>
              <w:ind w:right="535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92" w:lineRule="exact"/>
        <w:rPr>
          <w:sz w:val="20"/>
          <w:szCs w:val="20"/>
          <w:color w:val="auto"/>
        </w:rPr>
      </w:pPr>
    </w:p>
    <w:p>
      <w:pPr>
        <w:ind w:left="200" w:right="240"/>
        <w:spacing w:after="0" w:line="286" w:lineRule="auto"/>
        <w:rPr>
          <w:sz w:val="20"/>
          <w:szCs w:val="20"/>
          <w:color w:val="auto"/>
        </w:rPr>
      </w:pPr>
      <w:r>
        <w:rPr>
          <w:rFonts w:ascii="Arial" w:cs="Arial" w:eastAsia="Arial" w:hAnsi="Arial"/>
          <w:sz w:val="17"/>
          <w:szCs w:val="17"/>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66"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left="200"/>
        <w:spacing w:after="0" w:line="292"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S-5 of this prospectus supplement, on page 3 of the accompanying prospectus and in our Annual Report on Form 10-K for the year ended December 31, 2018, filed with the SEC on February 13, 2019,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83" w:lineRule="exact"/>
        <w:rPr>
          <w:sz w:val="20"/>
          <w:szCs w:val="20"/>
          <w:color w:val="auto"/>
        </w:rPr>
      </w:pPr>
    </w:p>
    <w:p>
      <w:pPr>
        <w:ind w:left="1060" w:right="2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1060" w:right="280" w:hanging="316"/>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60" w:hanging="316"/>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4"/>
        </w:numPr>
        <w:rPr>
          <w:rFonts w:ascii="Arial" w:cs="Arial" w:eastAsia="Arial" w:hAnsi="Arial"/>
          <w:sz w:val="17"/>
          <w:szCs w:val="17"/>
          <w:color w:val="auto"/>
        </w:rPr>
      </w:pPr>
      <w:r>
        <w:rPr>
          <w:rFonts w:ascii="Arial" w:cs="Arial" w:eastAsia="Arial" w:hAnsi="Arial"/>
          <w:sz w:val="17"/>
          <w:szCs w:val="17"/>
          <w:color w:val="auto"/>
        </w:rPr>
        <w:t>occupancy levels at our properties and the amount of rent that we receive from our properties may be lower than expected,</w:t>
      </w:r>
    </w:p>
    <w:p>
      <w:pPr>
        <w:spacing w:after="0" w:line="142" w:lineRule="exact"/>
        <w:rPr>
          <w:rFonts w:ascii="Arial" w:cs="Arial" w:eastAsia="Arial" w:hAnsi="Arial"/>
          <w:sz w:val="17"/>
          <w:szCs w:val="17"/>
          <w:color w:val="auto"/>
        </w:rPr>
      </w:pPr>
    </w:p>
    <w:p>
      <w:pPr>
        <w:ind w:left="1620" w:hanging="43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that costs associated with the periodic maintenance and repair or renovation of space, insurance and other operations may increase,</w:t>
      </w:r>
    </w:p>
    <w:p>
      <w:pPr>
        <w:spacing w:after="0" w:line="153" w:lineRule="exact"/>
        <w:rPr>
          <w:rFonts w:ascii="Arial" w:cs="Arial" w:eastAsia="Arial" w:hAnsi="Arial"/>
          <w:sz w:val="16"/>
          <w:szCs w:val="16"/>
          <w:color w:val="auto"/>
        </w:rPr>
      </w:pPr>
    </w:p>
    <w:p>
      <w:pPr>
        <w:ind w:left="1620" w:hanging="43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ind w:left="1060" w:right="260" w:hanging="316"/>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jc w:val="both"/>
        <w:ind w:left="200" w:right="40"/>
        <w:spacing w:after="0" w:line="293"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retail and mixed-use properties. Our properties are located primarily in densely populated and affluent communities in strategically selected metropolitan markets in the Northeast and Mid-Atlantic regions of the United States, California, and South Florida. As of March 31, 2019, we owned or had a majority interest in community and neighborhood shopping centers and mixed-use properties which are operated as 105 predominantly retail real estate projects comprising approximately 24.2 million square feet. In total, the real estate projects were 94.0% leased and 93.0% occupied at March 31, 2019. We have paid quarterly dividends to our shareholders continuously since our founding in 1962 and have increased our dividends per common share for 51 consecutive years.</w:t>
      </w:r>
    </w:p>
    <w:p>
      <w:pPr>
        <w:spacing w:after="0" w:line="165"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ectPr>
          <w:pgSz w:w="11900" w:h="16838" w:orient="portrait"/>
          <w:cols w:equalWidth="0" w:num="1">
            <w:col w:w="11220"/>
          </w:cols>
          <w:pgMar w:left="240" w:top="459" w:right="43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Issuer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Investment Trust.</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$300 million aggregate principal amount of 3.20% Notes due 2029.</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Maturity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Unless redeemed prior to maturity as described below, the notes will mature on June 15, 2029.</w:t>
      </w:r>
    </w:p>
    <w:p>
      <w:pPr>
        <w:spacing w:after="0" w:line="211"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Interest on the notes will be payable semi-annually in arrears on June 15 and December 15 of each year, beginning on December 15, 2019, and at maturity (or any earlier redemption date).</w:t>
      </w:r>
    </w:p>
    <w:p>
      <w:pPr>
        <w:spacing w:after="0" w:line="151"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 xml:space="preserve">The notes will be our senior unsecured obligations and will rank </w:t>
      </w:r>
      <w:r>
        <w:rPr>
          <w:rFonts w:ascii="Arial" w:cs="Arial" w:eastAsia="Arial" w:hAnsi="Arial"/>
          <w:sz w:val="17"/>
          <w:szCs w:val="17"/>
          <w:i w:val="1"/>
          <w:iCs w:val="1"/>
          <w:color w:val="auto"/>
        </w:rPr>
        <w:t>pari passu</w:t>
      </w:r>
      <w:r>
        <w:rPr>
          <w:rFonts w:ascii="Arial" w:cs="Arial" w:eastAsia="Arial" w:hAnsi="Arial"/>
          <w:sz w:val="17"/>
          <w:szCs w:val="17"/>
          <w:color w:val="auto"/>
        </w:rPr>
        <w:t>, or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 At March 31, 2019, we had outstanding approximately $454 million (excluding net unamortized premium and debt issuance costs) of consolidated secured indebtedness, which was issued by our subsidiaries and is collateralized by all or parts of 12 properties, and which will rank senior to the notes to the extent of the securing collateral and will also be structurally senior to the notes, approximately $4 million (excluding net unamortized debt issuance costs) of unsecured indebtedness issued by our subsidiaries, which will be structurally senior to the notes, and approximately $2,714 million of unsecured indebtedness (excluding net unamortized discount or premium and debt issuance costs), which will rank equally with the notes.</w:t>
      </w:r>
    </w:p>
    <w:p>
      <w:pPr>
        <w:spacing w:after="0" w:line="12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1220"/>
          </w:cols>
          <w:pgMar w:left="240" w:top="459" w:right="4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0">
              <w:r>
                <w:rPr>
                  <w:rFonts w:ascii="Arial" w:cs="Arial" w:eastAsia="Arial" w:hAnsi="Arial"/>
                  <w:sz w:val="18"/>
                  <w:szCs w:val="18"/>
                  <w:b w:val="1"/>
                  <w:bCs w:val="1"/>
                  <w:color w:val="0000EE"/>
                  <w:w w:val="88"/>
                </w:rPr>
                <w:t>Table of Contents</w:t>
              </w:r>
            </w:hyperlink>
          </w:p>
        </w:tc>
        <w:tc>
          <w:tcPr>
            <w:tcW w:w="2140" w:type="dxa"/>
            <w:vAlign w:val="bottom"/>
          </w:tcPr>
          <w:p>
            <w:pPr>
              <w:spacing w:after="0"/>
              <w:rPr>
                <w:sz w:val="17"/>
                <w:szCs w:val="17"/>
                <w:color w:val="auto"/>
              </w:rPr>
            </w:pPr>
          </w:p>
        </w:tc>
        <w:tc>
          <w:tcPr>
            <w:tcW w:w="7720" w:type="dxa"/>
            <w:vAlign w:val="bottom"/>
          </w:tcPr>
          <w:p>
            <w:pPr>
              <w:spacing w:after="0"/>
              <w:rPr>
                <w:sz w:val="17"/>
                <w:szCs w:val="17"/>
                <w:color w:val="auto"/>
              </w:rPr>
            </w:pPr>
          </w:p>
        </w:tc>
      </w:tr>
      <w:tr>
        <w:trPr>
          <w:trHeight w:val="519"/>
        </w:trPr>
        <w:tc>
          <w:tcPr>
            <w:tcW w:w="3500" w:type="dxa"/>
            <w:vAlign w:val="bottom"/>
            <w:gridSpan w:val="2"/>
          </w:tcPr>
          <w:p>
            <w:pPr>
              <w:ind w:left="200"/>
              <w:spacing w:after="0"/>
              <w:rPr>
                <w:sz w:val="20"/>
                <w:szCs w:val="20"/>
                <w:color w:val="auto"/>
              </w:rPr>
            </w:pPr>
            <w:r>
              <w:rPr>
                <w:rFonts w:ascii="Arial" w:cs="Arial" w:eastAsia="Arial" w:hAnsi="Arial"/>
                <w:sz w:val="18"/>
                <w:szCs w:val="18"/>
                <w:color w:val="auto"/>
              </w:rPr>
              <w:t>Use of proceeds</w:t>
            </w:r>
          </w:p>
        </w:tc>
        <w:tc>
          <w:tcPr>
            <w:tcW w:w="7720" w:type="dxa"/>
            <w:vAlign w:val="bottom"/>
          </w:tcPr>
          <w:p>
            <w:pPr>
              <w:ind w:left="900"/>
              <w:spacing w:after="0"/>
              <w:rPr>
                <w:sz w:val="20"/>
                <w:szCs w:val="20"/>
                <w:color w:val="auto"/>
              </w:rPr>
            </w:pPr>
            <w:r>
              <w:rPr>
                <w:rFonts w:ascii="Arial" w:cs="Arial" w:eastAsia="Arial" w:hAnsi="Arial"/>
                <w:sz w:val="18"/>
                <w:szCs w:val="18"/>
                <w:color w:val="auto"/>
                <w:w w:val="91"/>
              </w:rPr>
              <w:t>We intend to use the net proceeds from this offering to repay in full the outstanding balance of</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7"/>
              </w:rPr>
              <w:t>our unsecured term loan and for general corporate purposes. See “Use of Proceeds” on</w:t>
            </w:r>
          </w:p>
        </w:tc>
      </w:tr>
      <w:tr>
        <w:trPr>
          <w:trHeight w:val="230"/>
        </w:trPr>
        <w:tc>
          <w:tcPr>
            <w:tcW w:w="1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page S-7 for more information.</w:t>
            </w:r>
          </w:p>
        </w:tc>
      </w:tr>
      <w:tr>
        <w:trPr>
          <w:trHeight w:val="459"/>
        </w:trPr>
        <w:tc>
          <w:tcPr>
            <w:tcW w:w="3500" w:type="dxa"/>
            <w:vAlign w:val="bottom"/>
            <w:gridSpan w:val="2"/>
          </w:tcPr>
          <w:p>
            <w:pPr>
              <w:ind w:left="200"/>
              <w:spacing w:after="0"/>
              <w:rPr>
                <w:sz w:val="20"/>
                <w:szCs w:val="20"/>
                <w:color w:val="auto"/>
              </w:rPr>
            </w:pPr>
            <w:r>
              <w:rPr>
                <w:rFonts w:ascii="Arial" w:cs="Arial" w:eastAsia="Arial" w:hAnsi="Arial"/>
                <w:sz w:val="18"/>
                <w:szCs w:val="18"/>
                <w:color w:val="auto"/>
              </w:rPr>
              <w:t>Limitations on incurrence of debt</w:t>
            </w:r>
          </w:p>
        </w:tc>
        <w:tc>
          <w:tcPr>
            <w:tcW w:w="7720" w:type="dxa"/>
            <w:vAlign w:val="bottom"/>
          </w:tcPr>
          <w:p>
            <w:pPr>
              <w:ind w:left="900"/>
              <w:spacing w:after="0"/>
              <w:rPr>
                <w:sz w:val="20"/>
                <w:szCs w:val="20"/>
                <w:color w:val="auto"/>
              </w:rPr>
            </w:pPr>
            <w:r>
              <w:rPr>
                <w:rFonts w:ascii="Arial" w:cs="Arial" w:eastAsia="Arial" w:hAnsi="Arial"/>
                <w:sz w:val="18"/>
                <w:szCs w:val="18"/>
                <w:color w:val="auto"/>
              </w:rPr>
              <w:t>The notes contain various covenants, including the following:</w:t>
            </w:r>
          </w:p>
        </w:tc>
      </w:tr>
      <w:tr>
        <w:trPr>
          <w:trHeight w:val="458"/>
        </w:trPr>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8"/>
              </w:rPr>
              <w:t>(1) we will not, and will not permit any subsidiary to, incur any Debt if, immediately after</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4"/>
              </w:rPr>
              <w:t>giving effect to the incurrence of such Debt and the application of the proceeds thereof, the</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aggregate principal amount of all of our and our subsidiaries’ outstanding Debt on a</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1"/>
              </w:rPr>
              <w:t>consolidated basis determined in accordance with generally accepted accounting principles is</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6"/>
              </w:rPr>
              <w:t>greater than 60% of the sum of (without duplication) (a) Total Assets as of the end of the</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calendar quarter covered in our Annual Report on Form 10-K or Quarterly Report on</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7"/>
              </w:rPr>
              <w:t>Form 10-Q, as the case may be, most recently filed with the SEC (or, if such filing is not</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3"/>
              </w:rPr>
              <w:t>permitted under the Exchange Act, with U.S. Bank National Association, the trustee) prior to</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2"/>
              </w:rPr>
              <w:t>the incurrence of such additional Debt and (b) the purchase price of any real estate assets or</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89"/>
              </w:rPr>
              <w:t>mortgages receivable acquired, and the amount of any securities offering proceeds received (to</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88"/>
              </w:rPr>
              <w:t>the extent such proceeds were not used to acquire real estate assets or mortgages receivable or</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0"/>
              </w:rPr>
              <w:t>used to reduce Debt), by us or any subsidiary since the end of such calendar quarter, including</w:t>
            </w:r>
          </w:p>
        </w:tc>
      </w:tr>
      <w:tr>
        <w:trPr>
          <w:trHeight w:val="230"/>
        </w:trPr>
        <w:tc>
          <w:tcPr>
            <w:tcW w:w="1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those proceeds obtained in connection with the incurrence of such additional Debt;</w:t>
            </w:r>
          </w:p>
        </w:tc>
      </w:tr>
      <w:tr>
        <w:trPr>
          <w:trHeight w:val="445"/>
        </w:trPr>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(2) we will not, and will not permit any subsidiary to, incur any Debt secured by any</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2"/>
              </w:rPr>
              <w:t>mortgage, lien, charge, pledge, encumbrance or security interest of any kind upon any of our</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7"/>
              </w:rPr>
              <w:t>or any of our subsidiaries’ property if, immediately after giving effect to the incurrence of</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0"/>
              </w:rPr>
              <w:t>such Debt and the application of the proceeds thereof, the aggregate principal amount of all of</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3"/>
              </w:rPr>
              <w:t>our and our subsidiaries’ outstanding Debt on a consolidated basis which is secured by any</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3"/>
              </w:rPr>
              <w:t>mortgage, lien, charge, pledge, encumbrance or security interest on our or our subsidiaries’</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1"/>
              </w:rPr>
              <w:t>property is greater than 40% of the sum of (without duplication) (a) Total Assets as of the end</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4"/>
              </w:rPr>
              <w:t>of the calendar quarter covered in our Annual Report on Form 10-K or Quarterly Report on</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7"/>
              </w:rPr>
              <w:t>Form 10-Q, as the case may be, most recently filed with the SEC (or, if such filing is not</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2"/>
              </w:rPr>
              <w:t>permitted under the Exchange Act, with the trustee) prior to the incurrence of such additional</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88"/>
              </w:rPr>
              <w:t>Debt and (b) the purchase price of any real estate assets or mortgages receivable acquired, and</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0"/>
              </w:rPr>
              <w:t>the amount of any securities offering proceeds received (to the extent such proceeds were not</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88"/>
              </w:rPr>
              <w:t>used to acquire real estate assets or mortgages receivable or used to reduce Debt), by us or any</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7"/>
              </w:rPr>
              <w:t>subsidiary since the end of such calendar quarter, including those proceeds obtained in</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6"/>
              </w:rPr>
              <w:t xml:space="preserve">connection with the incurrence of such additional Debt; </w:t>
            </w:r>
            <w:r>
              <w:rPr>
                <w:rFonts w:ascii="Arial" w:cs="Arial" w:eastAsia="Arial" w:hAnsi="Arial"/>
                <w:sz w:val="18"/>
                <w:szCs w:val="18"/>
                <w:i w:val="1"/>
                <w:iCs w:val="1"/>
                <w:color w:val="auto"/>
                <w:w w:val="96"/>
              </w:rPr>
              <w:t>provided that</w:t>
            </w:r>
            <w:r>
              <w:rPr>
                <w:rFonts w:ascii="Arial" w:cs="Arial" w:eastAsia="Arial" w:hAnsi="Arial"/>
                <w:sz w:val="18"/>
                <w:szCs w:val="18"/>
                <w:color w:val="auto"/>
                <w:w w:val="96"/>
              </w:rPr>
              <w:t xml:space="preserve"> for purposes of this</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limitation, the amount of obligations under capital leases shown as a liability on our</w:t>
            </w:r>
          </w:p>
        </w:tc>
      </w:tr>
      <w:tr>
        <w:trPr>
          <w:trHeight w:val="230"/>
        </w:trPr>
        <w:tc>
          <w:tcPr>
            <w:tcW w:w="1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consolidated balance sheet shall be deducted from Debt and from Total Assets;</w:t>
            </w:r>
          </w:p>
        </w:tc>
      </w:tr>
      <w:tr>
        <w:trPr>
          <w:trHeight w:val="445"/>
        </w:trPr>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(3) we will not, and will not permit any subsidiary to, incur any Debt if the ratio of</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4"/>
              </w:rPr>
              <w:t>Consolidated Income Available for Debt Service to the Annual Debt Service Charge for the</w:t>
            </w:r>
          </w:p>
        </w:tc>
      </w:tr>
      <w:tr>
        <w:trPr>
          <w:trHeight w:val="216"/>
        </w:trPr>
        <w:tc>
          <w:tcPr>
            <w:tcW w:w="1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w w:val="90"/>
              </w:rPr>
              <w:t>four consecutive fiscal quarters most recently ended prior to the date on which such additional</w:t>
            </w:r>
          </w:p>
        </w:tc>
      </w:tr>
      <w:tr>
        <w:trPr>
          <w:trHeight w:val="230"/>
        </w:trPr>
        <w:tc>
          <w:tcPr>
            <w:tcW w:w="1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720" w:type="dxa"/>
            <w:vAlign w:val="bottom"/>
          </w:tcPr>
          <w:p>
            <w:pPr>
              <w:ind w:left="900"/>
              <w:spacing w:after="0"/>
              <w:rPr>
                <w:sz w:val="20"/>
                <w:szCs w:val="20"/>
                <w:color w:val="auto"/>
              </w:rPr>
            </w:pPr>
            <w:r>
              <w:rPr>
                <w:rFonts w:ascii="Arial" w:cs="Arial" w:eastAsia="Arial" w:hAnsi="Arial"/>
                <w:sz w:val="18"/>
                <w:szCs w:val="18"/>
                <w:color w:val="auto"/>
              </w:rPr>
              <w:t>Debt</w:t>
            </w:r>
          </w:p>
        </w:tc>
      </w:tr>
      <w:tr>
        <w:trPr>
          <w:trHeight w:val="365"/>
        </w:trPr>
        <w:tc>
          <w:tcPr>
            <w:tcW w:w="1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720" w:type="dxa"/>
            <w:vAlign w:val="bottom"/>
          </w:tcPr>
          <w:p>
            <w:pPr>
              <w:ind w:left="2080"/>
              <w:spacing w:after="0"/>
              <w:rPr>
                <w:sz w:val="20"/>
                <w:szCs w:val="20"/>
                <w:color w:val="auto"/>
              </w:rPr>
            </w:pPr>
            <w:r>
              <w:rPr>
                <w:rFonts w:ascii="Arial" w:cs="Arial" w:eastAsia="Arial" w:hAnsi="Arial"/>
                <w:sz w:val="18"/>
                <w:szCs w:val="18"/>
                <w:color w:val="auto"/>
              </w:rPr>
              <w:t>S-2</w:t>
            </w:r>
          </w:p>
        </w:tc>
      </w:tr>
    </w:tbl>
    <w:p>
      <w:pPr>
        <w:ind w:left="2080"/>
        <w:spacing w:after="0"/>
        <w:rPr>
          <w:sz w:val="20"/>
          <w:szCs w:val="20"/>
          <w:color w:val="auto"/>
        </w:rPr>
        <w:sectPr>
          <w:pgSz w:w="11900" w:h="16838" w:orient="portrait"/>
          <w:cols w:equalWidth="0" w:num="1">
            <w:col w:w="11220"/>
          </w:cols>
          <w:pgMar w:left="24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Table of Contents</w:t>
              </w:r>
            </w:hyperlink>
          </w:p>
        </w:tc>
        <w:tc>
          <w:tcPr>
            <w:tcW w:w="736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2480" w:type="dxa"/>
            <w:vAlign w:val="bottom"/>
          </w:tcPr>
          <w:p>
            <w:pPr>
              <w:spacing w:after="0"/>
              <w:rPr>
                <w:sz w:val="24"/>
                <w:szCs w:val="24"/>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5"/>
              </w:rPr>
              <w:t>is to be incurred shall have been less than 1.5 to 1, on an unaudited pro forma basis after</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4"/>
              </w:rPr>
              <w:t>giving effect thereto and to the application of the proceeds therefrom and calculated on the</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2"/>
              </w:rPr>
              <w:t>assumption that: (a) such Debt and any other Debt incurred by us and our subsidiaries since</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9"/>
              </w:rPr>
              <w:t>the first day of such four-quarter period and the application of the proceeds therefrom,</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8"/>
              </w:rPr>
              <w:t>including to refinance other Debt, had occurred at the beginning of such period; (b) the</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4"/>
              </w:rPr>
              <w:t>repayment or retirement of any other Debt by us and our subsidiaries since the first day of</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4"/>
              </w:rPr>
              <w:t>such four-quarter period had been repaid or retired at the beginning of such period (except</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2"/>
              </w:rPr>
              <w:t>that, in making such computation, the amount of Debt under any revolving credit facility shall</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89"/>
              </w:rPr>
              <w:t>be computed based upon the average daily balance of such Debt during such period); (c) in the</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3"/>
              </w:rPr>
              <w:t>case of Acquired Debt or Debt incurred in connection with any acquisition since the first day</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5"/>
              </w:rPr>
              <w:t>of such four-quarter period, the related acquisition had occurred as of the first day of such</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4"/>
              </w:rPr>
              <w:t>period, with the appropriate adjustments with respect to such acquisition being included in</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2"/>
              </w:rPr>
              <w:t>such unaudited pro forma calculation; and (d) in the case of any acquisition or disposition by</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2"/>
              </w:rPr>
              <w:t>us or our subsidiaries of any asset or group of assets since the first day of such four-quarter</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0"/>
              </w:rPr>
              <w:t>period, whether by merger, stock purchase or sale, or asset purchase or sale, such acquisition</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0"/>
              </w:rPr>
              <w:t>or disposition or any related repayment of Debt had occurred as of the first day of such period,</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0"/>
              </w:rPr>
              <w:t>with the appropriate adjustments with respect to such acquisition or disposition being included</w:t>
            </w:r>
          </w:p>
        </w:tc>
      </w:tr>
      <w:tr>
        <w:trPr>
          <w:trHeight w:val="230"/>
        </w:trPr>
        <w:tc>
          <w:tcPr>
            <w:tcW w:w="1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in such unaudited pro forma calculation; and</w:t>
            </w:r>
          </w:p>
        </w:tc>
      </w:tr>
      <w:tr>
        <w:trPr>
          <w:trHeight w:val="445"/>
        </w:trPr>
        <w:tc>
          <w:tcPr>
            <w:tcW w:w="1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0"/>
              </w:rPr>
              <w:t>(4) we, together with our subsidiaries, will maintain an Unencumbered Total Asset Value in an</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0"/>
              </w:rPr>
              <w:t>amount not less than 150% of the aggregate outstanding principal amount of all of our and our</w:t>
            </w:r>
          </w:p>
        </w:tc>
      </w:tr>
      <w:tr>
        <w:trPr>
          <w:trHeight w:val="230"/>
        </w:trPr>
        <w:tc>
          <w:tcPr>
            <w:tcW w:w="1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subsidiaries’ unsecured Debt, taken as a whole.</w:t>
            </w:r>
          </w:p>
        </w:tc>
      </w:tr>
      <w:tr>
        <w:trPr>
          <w:trHeight w:val="445"/>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Optional redemption</w:t>
            </w:r>
          </w:p>
        </w:tc>
        <w:tc>
          <w:tcPr>
            <w:tcW w:w="7360" w:type="dxa"/>
            <w:vAlign w:val="bottom"/>
          </w:tcPr>
          <w:p>
            <w:pPr>
              <w:ind w:left="560"/>
              <w:spacing w:after="0"/>
              <w:rPr>
                <w:sz w:val="20"/>
                <w:szCs w:val="20"/>
                <w:color w:val="auto"/>
              </w:rPr>
            </w:pPr>
            <w:r>
              <w:rPr>
                <w:rFonts w:ascii="Arial" w:cs="Arial" w:eastAsia="Arial" w:hAnsi="Arial"/>
                <w:sz w:val="18"/>
                <w:szCs w:val="18"/>
                <w:color w:val="auto"/>
                <w:w w:val="94"/>
              </w:rPr>
              <w:t>The notes will be redeemable at any time at our option, in whole or in part. If the notes are</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4"/>
              </w:rPr>
              <w:t>redeemed before March 15, 2029 (three months prior to the maturity date), the redemption</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8"/>
              </w:rPr>
              <w:t>price will be equal to the greater of (1) 100% of the principal amount of the notes being</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6"/>
              </w:rPr>
              <w:t>redeemed, or (2) the sum of the present values of the remaining scheduled payments of</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89"/>
              </w:rPr>
              <w:t>principal and interest thereon, discounted to the redemption date on a semi-annual basis at the</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4"/>
              </w:rPr>
              <w:t>Adjusted Treasury Rate plus twenty basis points (0.20%), plus, in each case, accrued and</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0"/>
              </w:rPr>
              <w:t>unpaid interest thereon to, but excluding, the redemption date. If the notes are redeemed on or</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4"/>
              </w:rPr>
              <w:t>after March 15, 2029 (three months prior to the maturity date), the redemption price will be</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1"/>
              </w:rPr>
              <w:t>equal to 100% of the principal amount of the notes being redeemed plus accrued and unpaid</w:t>
            </w:r>
          </w:p>
        </w:tc>
      </w:tr>
      <w:tr>
        <w:trPr>
          <w:trHeight w:val="230"/>
        </w:trPr>
        <w:tc>
          <w:tcPr>
            <w:tcW w:w="1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interest thereon to, but excluding, the redemption date.</w:t>
            </w:r>
          </w:p>
        </w:tc>
      </w:tr>
      <w:tr>
        <w:trPr>
          <w:trHeight w:val="459"/>
        </w:trPr>
        <w:tc>
          <w:tcPr>
            <w:tcW w:w="1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See “Description of Notes — Optional Redemption” for more information.</w:t>
            </w:r>
          </w:p>
        </w:tc>
      </w:tr>
      <w:tr>
        <w:trPr>
          <w:trHeight w:val="445"/>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Material federal income tax considerations</w:t>
            </w:r>
          </w:p>
        </w:tc>
        <w:tc>
          <w:tcPr>
            <w:tcW w:w="7360" w:type="dxa"/>
            <w:vAlign w:val="bottom"/>
          </w:tcPr>
          <w:p>
            <w:pPr>
              <w:ind w:left="560"/>
              <w:spacing w:after="0"/>
              <w:rPr>
                <w:sz w:val="20"/>
                <w:szCs w:val="20"/>
                <w:color w:val="auto"/>
              </w:rPr>
            </w:pPr>
            <w:r>
              <w:rPr>
                <w:rFonts w:ascii="Arial" w:cs="Arial" w:eastAsia="Arial" w:hAnsi="Arial"/>
                <w:sz w:val="18"/>
                <w:szCs w:val="18"/>
                <w:color w:val="auto"/>
                <w:w w:val="93"/>
              </w:rPr>
              <w:t>For a description of the material U.S. federal income tax considerations of an investment in</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7"/>
              </w:rPr>
              <w:t>the notes, please review the disclosure in this prospectus supplement under “Additional</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95"/>
              </w:rPr>
              <w:t>Material Federal Income Tax Considerations” and in the accompanying prospectus under</w:t>
            </w:r>
          </w:p>
        </w:tc>
      </w:tr>
      <w:tr>
        <w:trPr>
          <w:trHeight w:val="230"/>
        </w:trPr>
        <w:tc>
          <w:tcPr>
            <w:tcW w:w="1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“Material Federal Income Tax Considerations.”</w:t>
            </w:r>
          </w:p>
        </w:tc>
      </w:tr>
      <w:tr>
        <w:trPr>
          <w:trHeight w:val="445"/>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Risk factors</w:t>
            </w:r>
          </w:p>
        </w:tc>
        <w:tc>
          <w:tcPr>
            <w:tcW w:w="7360" w:type="dxa"/>
            <w:vAlign w:val="bottom"/>
          </w:tcPr>
          <w:p>
            <w:pPr>
              <w:ind w:left="560"/>
              <w:spacing w:after="0"/>
              <w:rPr>
                <w:sz w:val="20"/>
                <w:szCs w:val="20"/>
                <w:color w:val="auto"/>
              </w:rPr>
            </w:pPr>
            <w:r>
              <w:rPr>
                <w:rFonts w:ascii="Arial" w:cs="Arial" w:eastAsia="Arial" w:hAnsi="Arial"/>
                <w:sz w:val="18"/>
                <w:szCs w:val="18"/>
                <w:color w:val="auto"/>
                <w:w w:val="94"/>
              </w:rPr>
              <w:t>Investing in the notes involves risks. Please review the risk factors discussed beginning on</w:t>
            </w:r>
          </w:p>
        </w:tc>
      </w:tr>
      <w:tr>
        <w:trPr>
          <w:trHeight w:val="216"/>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w w:val="89"/>
              </w:rPr>
              <w:t>page S-5 of this prospectus supplement, on page 3 of the accompanying prospectus and in our</w:t>
            </w:r>
          </w:p>
        </w:tc>
      </w:tr>
      <w:tr>
        <w:trPr>
          <w:trHeight w:val="230"/>
        </w:trPr>
        <w:tc>
          <w:tcPr>
            <w:tcW w:w="1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Annual Report on Form 10-K for the year ended December 31, 2018, filed with the</w:t>
            </w:r>
          </w:p>
        </w:tc>
      </w:tr>
      <w:tr>
        <w:trPr>
          <w:trHeight w:val="365"/>
        </w:trPr>
        <w:tc>
          <w:tcPr>
            <w:tcW w:w="1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360" w:type="dxa"/>
            <w:vAlign w:val="bottom"/>
          </w:tcPr>
          <w:p>
            <w:pPr>
              <w:ind w:left="1740"/>
              <w:spacing w:after="0"/>
              <w:rPr>
                <w:sz w:val="20"/>
                <w:szCs w:val="20"/>
                <w:color w:val="auto"/>
              </w:rPr>
            </w:pPr>
            <w:r>
              <w:rPr>
                <w:rFonts w:ascii="Arial" w:cs="Arial" w:eastAsia="Arial" w:hAnsi="Arial"/>
                <w:sz w:val="18"/>
                <w:szCs w:val="18"/>
                <w:color w:val="auto"/>
              </w:rPr>
              <w:t>S-3</w:t>
            </w:r>
          </w:p>
        </w:tc>
      </w:tr>
    </w:tbl>
    <w:p>
      <w:pPr>
        <w:ind w:left="1740"/>
        <w:spacing w:after="0"/>
        <w:rPr>
          <w:sz w:val="20"/>
          <w:szCs w:val="20"/>
          <w:color w:val="auto"/>
        </w:rPr>
        <w:sectPr>
          <w:pgSz w:w="11900" w:h="16838" w:orient="portrait"/>
          <w:cols w:equalWidth="0" w:num="1">
            <w:col w:w="11200"/>
          </w:cols>
          <w:pgMar w:left="240" w:top="446" w:right="4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0"/>
        <w:spacing w:after="0" w:line="293" w:lineRule="auto"/>
        <w:rPr>
          <w:sz w:val="20"/>
          <w:szCs w:val="20"/>
          <w:color w:val="auto"/>
        </w:rPr>
      </w:pPr>
      <w:r>
        <w:rPr>
          <w:rFonts w:ascii="Arial" w:cs="Arial" w:eastAsia="Arial" w:hAnsi="Arial"/>
          <w:sz w:val="16"/>
          <w:szCs w:val="16"/>
          <w:color w:val="auto"/>
        </w:rPr>
        <w:t>SEC on February 13, 2019, and the other information contained or incorporated by reference in this prospectus supplement and the accompanying prospectus 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51 of the accompanying prospectus.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2018 filed with the SEC on February 13, 2019 before you decide to purchase the notes. The risks and uncertainties described below and in the incorporated Form 10-K for the year ended December 31, 2018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121"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The notes will be structurally subordinated to the claims of our subsidiaries’ creditors and our subsidiaries’ preferred equity holders.</w:t>
      </w:r>
    </w:p>
    <w:p>
      <w:pPr>
        <w:spacing w:after="0" w:line="133"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Because the notes will not be guaranteed by our subsidiaries, the notes will be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March 31, 2019, our consolidated subsidiaries had approximately $458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notes will be unsecured and are effectively subordinated to our secured indebtedness.</w:t>
      </w:r>
    </w:p>
    <w:p>
      <w:pPr>
        <w:spacing w:after="0" w:line="121" w:lineRule="exact"/>
        <w:rPr>
          <w:sz w:val="20"/>
          <w:szCs w:val="20"/>
          <w:color w:val="auto"/>
        </w:rPr>
      </w:pPr>
    </w:p>
    <w:p>
      <w:pPr>
        <w:ind w:left="200" w:right="140"/>
        <w:spacing w:after="0" w:line="272" w:lineRule="auto"/>
        <w:rPr>
          <w:sz w:val="20"/>
          <w:szCs w:val="20"/>
          <w:color w:val="auto"/>
        </w:rPr>
      </w:pPr>
      <w:r>
        <w:rPr>
          <w:rFonts w:ascii="Arial" w:cs="Arial" w:eastAsia="Arial" w:hAnsi="Arial"/>
          <w:sz w:val="17"/>
          <w:szCs w:val="17"/>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March 31, 2019, we had approximately $454 million (excluding net unamortized premium and debt issuance costs) of consolidated secured debt outstanding, all of which was effectively senior to the notes to the extent of the value of the securing collateral.</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131"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5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00"/>
          </w:cols>
          <w:pgMar w:left="24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The net proceeds to us from the issuance and sale of the notes offered by this prospectus supplement are estimated to be approximately $297.0 million after deducting the underwriting discount and other estimated expenses of this offering payable by us. We intend to use these net proceeds to repay in full the outstanding balance of our unsecured term loan and for general corporate purposes. Pending application of the net proceeds, we may invest the net proceeds in short-term income-producing investments or may use the net proceeds to temporarily repay amounts outstanding under our revolving credit facility.</w:t>
      </w:r>
    </w:p>
    <w:p>
      <w:pPr>
        <w:spacing w:after="0" w:line="188"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Our $275 million unsecured term loan matures on November 21, 2019. As of March 31, 2019, our unsecured term loan accrued interest at a rate of LIBOR plus 0.90%.</w:t>
      </w:r>
    </w:p>
    <w:p>
      <w:pPr>
        <w:spacing w:after="0" w:line="17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Our $800 million revolving credit facility matures on April 20, 2020, subject to two six-month extensions at our option. LIBOR loans outstanding under our revolving credit facility bear interest at seven day, one month, three month or six month LIBOR, at our election, plus a spread of 82.5 basis points, subject to adjustment based on our credit rating. In addition, we have an option (subject to the approval of the lenders under our revolving credit facility) to increase our revolving credit facility through an accordion feature to $1.5 billion. As of March 31, 2019, we had $20.0 million outstanding under our revolving credit facility.</w:t>
      </w:r>
    </w:p>
    <w:p>
      <w:pPr>
        <w:spacing w:after="0" w:line="188"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Affiliates of certain of the underwriters are lenders under our unsecured term loan or our revolving credit facility and will receive a pro rata portion of the net proceeds used to repay our unsecured term loan or amounts outstanding under our revolving credit facility, as applicable. See “Underwriting (Conflicts of Interest) — Conflicts of Interest.”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i w:val="1"/>
          <w:iCs w:val="1"/>
          <w:color w:val="auto"/>
        </w:rPr>
        <w:t>The following description of the particular terms of the notes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are offering $300 million of our 3.20% notes maturing on June 15, 2029, which may be redeemed prior to that date in accordance with their terms.</w:t>
      </w:r>
    </w:p>
    <w:p>
      <w:pPr>
        <w:spacing w:after="0" w:line="248"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We will pay interest on the notes semi-annually in arrears at an annual rate of 3.20% on June 15 and December 15 of each year, beginning December 15, 2019, to the registered holders of the notes on the preceding June 1 and December 1. Interest will be computed and paid on the basis 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notes will be issued only in registered form in denominations of $2,000 and integral multiples of $1,000 in excess thereof.</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248"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 price, the date on which interest begins to accrue and, in some circumstances, the first interest payment date, such that these additional debt securities would form a single series with the notes. If any such additional debt securities are not fungible with the notes offered hereby for the U.S. federal income tax purposes, the additional debt securities will have a separate CUSIP number. We also may issue from time to time other series of debt securities under the indenture consisting of notes or other unsecured evidences of indebtedness.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 xml:space="preserve">The notes will be our senior unsecured obligations and will rank </w:t>
      </w:r>
      <w:r>
        <w:rPr>
          <w:rFonts w:ascii="Arial" w:cs="Arial" w:eastAsia="Arial" w:hAnsi="Arial"/>
          <w:sz w:val="17"/>
          <w:szCs w:val="17"/>
          <w:i w:val="1"/>
          <w:iCs w:val="1"/>
          <w:color w:val="auto"/>
        </w:rPr>
        <w:t>pari passu</w:t>
      </w:r>
      <w:r>
        <w:rPr>
          <w:rFonts w:ascii="Arial" w:cs="Arial" w:eastAsia="Arial" w:hAnsi="Arial"/>
          <w:sz w:val="17"/>
          <w:szCs w:val="17"/>
          <w:color w:val="auto"/>
        </w:rPr>
        <w:t>, or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 At March 31, 2019, we had outstanding approximately $454 million (excluding net unamortized premium and debt issuance costs) of consolidated secured indebtedness, which was issued by our subsidiaries and is collateralized by all or parts of 12 properties, and which ranks senior to the notes to the extent of securing collateral and will also be structurally senior to the notes, approximately $4 million (excluding net unamortized debt issuance costs) of unsecured indebtedness issued by our subsidiaries, which will be structurally senior to the notes, and approximately $2,714 million of unsecured indebtedness (excluding net unamortized premium or discount and debt issuance costs), which will rank equally with the notes.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The notes will be redeemable at any time at our option, in whole or in part. If the notes are redeemed before March 15, 2029 (the “Par Call Date”), the redemption price will be equal to the greater of (1) 100% of the principal amount of the notes being redeemed, or (2) as determined by the Quotation Agent (as defined below), the sum of the present values of the remaining scheduled payments of principal and interest (not including any portion of such payments of interest accrued to the applicable redemption date) on the notes to be redeemed, assuming that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such notes matured, and that interest on such notes was payable on, the Par Call Date, discounted to such redemption date on a semi-annual basis (assuming a 360-day year consisting of twelve 30-day months) at the Adjusted Treasury Rate (as defined below) plus twenty basis points (0.20%), plus, in each case, accrued and unpaid interest thereon to, but excluding, the redemption date. If the notes are redeemed on or after the Par Call Date, the redemption price will be equal to 100% of the principal amount of the notes being redeemed plus accrued and unpaid interest thereon to, but excluding, the redemption date.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187"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225" w:lineRule="exact"/>
        <w:rPr>
          <w:sz w:val="20"/>
          <w:szCs w:val="20"/>
          <w:color w:val="auto"/>
        </w:rPr>
      </w:pPr>
    </w:p>
    <w:p>
      <w:pPr>
        <w:ind w:left="200" w:right="3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a Primary Treasury Dealer selected by each of (1) BofA Securities, Inc., Jefferies LLC and U.S. Bancorp Investments, Inc.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Reference Treasury Dealer ceases to be a primary U.S. Government securities dealer, or a Primary Treasury Dealer, we will substitute therefor another Primary Treasury Dealer; and (2) any two other Primary Treasury Dealers selected by us.</w:t>
      </w:r>
    </w:p>
    <w:p>
      <w:pPr>
        <w:spacing w:after="0" w:line="187"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Notice of any redemption of the notes will be mailed at least 15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173"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71" w:lineRule="exact"/>
        <w:rPr>
          <w:sz w:val="20"/>
          <w:szCs w:val="20"/>
          <w:color w:val="auto"/>
        </w:rPr>
      </w:pPr>
    </w:p>
    <w:p>
      <w:pPr>
        <w:ind w:left="200" w:right="580"/>
        <w:spacing w:after="0" w:line="266"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76" w:lineRule="exact"/>
        <w:rPr>
          <w:sz w:val="20"/>
          <w:szCs w:val="20"/>
          <w:color w:val="auto"/>
        </w:rPr>
      </w:pPr>
    </w:p>
    <w:p>
      <w:pPr>
        <w:ind w:left="200" w:right="20"/>
        <w:spacing w:after="0" w:line="298" w:lineRule="auto"/>
        <w:rPr>
          <w:sz w:val="20"/>
          <w:szCs w:val="20"/>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and will cause each of our subsidiaries to, maintain insurance with financially sound and reputable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7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70" w:lineRule="exact"/>
        <w:rPr>
          <w:sz w:val="20"/>
          <w:szCs w:val="20"/>
          <w:color w:val="auto"/>
        </w:rPr>
      </w:pPr>
    </w:p>
    <w:p>
      <w:pPr>
        <w:ind w:left="200" w:right="10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2" w:lineRule="exact"/>
        <w:rPr>
          <w:sz w:val="20"/>
          <w:szCs w:val="20"/>
          <w:color w:val="auto"/>
        </w:rPr>
      </w:pPr>
    </w:p>
    <w:p>
      <w:pPr>
        <w:ind w:left="200" w:right="20" w:firstLine="4"/>
        <w:spacing w:after="0" w:line="287" w:lineRule="auto"/>
        <w:tabs>
          <w:tab w:leader="none" w:pos="45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principal amount of all of our or any of our subsidiaries’ obligations with respect to redemption, repayment or other repurchase of any Disqualified Stock or (5) any lease of property by us or any subsidiary as lessee which is reflected on our consolidated balance sheet as a financing lease liability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66"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54"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left="200" w:right="8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Assets</w:t>
      </w:r>
      <w:r>
        <w:rPr>
          <w:rFonts w:ascii="Arial" w:cs="Arial" w:eastAsia="Arial" w:hAnsi="Arial"/>
          <w:sz w:val="17"/>
          <w:szCs w:val="17"/>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47"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our and our subsidiaries’ real estate assets and finance lease right of use assets on such date, before depreciation and amortization determined on a consolidated basis in accordance with generally accepted accounting principles.</w:t>
      </w:r>
    </w:p>
    <w:p>
      <w:pPr>
        <w:spacing w:after="0" w:line="18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(a)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“Description of Debt Securities — Certain Covenants” in the accompanying prospectus for a description of additional covenants applicable to us.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will be subject to the following events of default:</w:t>
      </w:r>
    </w:p>
    <w:p>
      <w:pPr>
        <w:spacing w:after="0" w:line="117" w:lineRule="exact"/>
        <w:rPr>
          <w:sz w:val="20"/>
          <w:szCs w:val="20"/>
          <w:color w:val="auto"/>
        </w:rPr>
      </w:pPr>
    </w:p>
    <w:p>
      <w:pPr>
        <w:ind w:left="200" w:right="200" w:firstLine="4"/>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62" w:lineRule="exact"/>
        <w:rPr>
          <w:rFonts w:ascii="Arial" w:cs="Arial" w:eastAsia="Arial" w:hAnsi="Arial"/>
          <w:sz w:val="18"/>
          <w:szCs w:val="18"/>
          <w:color w:val="auto"/>
        </w:rPr>
      </w:pPr>
    </w:p>
    <w:p>
      <w:pPr>
        <w:ind w:left="200" w:right="360" w:firstLine="4"/>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62" w:lineRule="exact"/>
        <w:rPr>
          <w:rFonts w:ascii="Arial" w:cs="Arial" w:eastAsia="Arial" w:hAnsi="Arial"/>
          <w:sz w:val="18"/>
          <w:szCs w:val="18"/>
          <w:color w:val="auto"/>
        </w:rPr>
      </w:pPr>
    </w:p>
    <w:p>
      <w:pPr>
        <w:ind w:left="380" w:hanging="176"/>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17" w:lineRule="exact"/>
        <w:rPr>
          <w:rFonts w:ascii="Arial" w:cs="Arial" w:eastAsia="Arial" w:hAnsi="Arial"/>
          <w:sz w:val="18"/>
          <w:szCs w:val="18"/>
          <w:color w:val="auto"/>
        </w:rPr>
      </w:pPr>
    </w:p>
    <w:p>
      <w:pPr>
        <w:ind w:left="200" w:firstLine="4"/>
        <w:spacing w:after="0" w:line="264"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73" w:lineRule="exact"/>
        <w:rPr>
          <w:sz w:val="20"/>
          <w:szCs w:val="20"/>
          <w:color w:val="auto"/>
        </w:rPr>
      </w:pPr>
    </w:p>
    <w:p>
      <w:pPr>
        <w:ind w:left="440" w:hanging="2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17" w:lineRule="exact"/>
        <w:rPr>
          <w:rFonts w:ascii="Arial" w:cs="Arial" w:eastAsia="Arial" w:hAnsi="Arial"/>
          <w:sz w:val="18"/>
          <w:szCs w:val="18"/>
          <w:color w:val="auto"/>
        </w:rPr>
      </w:pPr>
    </w:p>
    <w:p>
      <w:pPr>
        <w:ind w:left="460" w:hanging="256"/>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117" w:lineRule="exact"/>
        <w:rPr>
          <w:sz w:val="20"/>
          <w:szCs w:val="20"/>
          <w:color w:val="auto"/>
        </w:rPr>
      </w:pPr>
    </w:p>
    <w:p>
      <w:pPr>
        <w:ind w:left="200" w:right="40" w:firstLine="4"/>
        <w:spacing w:after="0" w:line="290"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reflected on the balance sheet of the lessee as financing lease liabilities under generally accepted accounting principles but not including any indebtedness or obligations for which recourse is limited to one or more properties)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one or more properties)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58" w:lineRule="exact"/>
        <w:rPr>
          <w:rFonts w:ascii="Arial" w:cs="Arial" w:eastAsia="Arial" w:hAnsi="Arial"/>
          <w:sz w:val="16"/>
          <w:szCs w:val="16"/>
          <w:color w:val="auto"/>
        </w:rPr>
      </w:pPr>
    </w:p>
    <w:p>
      <w:pPr>
        <w:ind w:left="380" w:hanging="176"/>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17" w:lineRule="exact"/>
        <w:rPr>
          <w:sz w:val="20"/>
          <w:szCs w:val="20"/>
          <w:color w:val="auto"/>
        </w:rPr>
      </w:pPr>
    </w:p>
    <w:p>
      <w:pPr>
        <w:ind w:left="440" w:hanging="23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17" w:lineRule="exact"/>
        <w:rPr>
          <w:rFonts w:ascii="Arial" w:cs="Arial" w:eastAsia="Arial" w:hAnsi="Arial"/>
          <w:sz w:val="18"/>
          <w:szCs w:val="18"/>
          <w:color w:val="auto"/>
        </w:rPr>
      </w:pPr>
    </w:p>
    <w:p>
      <w:pPr>
        <w:ind w:left="460" w:hanging="25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117" w:lineRule="exact"/>
        <w:rPr>
          <w:rFonts w:ascii="Arial" w:cs="Arial" w:eastAsia="Arial" w:hAnsi="Arial"/>
          <w:sz w:val="18"/>
          <w:szCs w:val="18"/>
          <w:color w:val="auto"/>
        </w:rPr>
      </w:pPr>
    </w:p>
    <w:p>
      <w:pPr>
        <w:ind w:left="440" w:hanging="236"/>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 days.</w:t>
      </w:r>
    </w:p>
    <w:p>
      <w:pPr>
        <w:spacing w:after="0" w:line="140"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7. We or any of our significant subsidiaries do any of the following:</w:t>
      </w:r>
    </w:p>
    <w:p>
      <w:pPr>
        <w:spacing w:after="0" w:line="117" w:lineRule="exact"/>
        <w:rPr>
          <w:rFonts w:ascii="Arial" w:cs="Arial" w:eastAsia="Arial" w:hAnsi="Arial"/>
          <w:sz w:val="16"/>
          <w:szCs w:val="16"/>
          <w:color w:val="auto"/>
        </w:rPr>
      </w:pPr>
    </w:p>
    <w:p>
      <w:pPr>
        <w:ind w:left="440" w:hanging="23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
        <w:spacing w:after="0" w:line="277"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62" w:lineRule="exact"/>
        <w:rPr>
          <w:rFonts w:ascii="Arial" w:cs="Arial" w:eastAsia="Arial" w:hAnsi="Arial"/>
          <w:sz w:val="18"/>
          <w:szCs w:val="18"/>
          <w:color w:val="auto"/>
        </w:rPr>
      </w:pPr>
    </w:p>
    <w:p>
      <w:pPr>
        <w:ind w:left="440" w:hanging="236"/>
        <w:spacing w:after="0"/>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128" w:lineRule="exact"/>
        <w:rPr>
          <w:rFonts w:ascii="Arial" w:cs="Arial" w:eastAsia="Arial" w:hAnsi="Arial"/>
          <w:sz w:val="17"/>
          <w:szCs w:val="17"/>
          <w:color w:val="auto"/>
        </w:rPr>
      </w:pPr>
    </w:p>
    <w:p>
      <w:pPr>
        <w:ind w:left="460" w:hanging="25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Form</w:t>
      </w:r>
    </w:p>
    <w:p>
      <w:pPr>
        <w:spacing w:after="0" w:line="121"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73"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97"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w:t>
      </w:r>
    </w:p>
    <w:p>
      <w:pPr>
        <w:spacing w:after="0" w:line="2" w:lineRule="exact"/>
        <w:rPr>
          <w:sz w:val="20"/>
          <w:szCs w:val="20"/>
          <w:color w:val="auto"/>
        </w:rPr>
      </w:pPr>
    </w:p>
    <w:p>
      <w:pPr>
        <w:ind w:left="200" w:right="60" w:firstLine="4"/>
        <w:spacing w:after="0" w:line="271" w:lineRule="auto"/>
        <w:tabs>
          <w:tab w:leader="none" w:pos="4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7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7"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54"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7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93"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ind w:left="200" w:right="60"/>
        <w:spacing w:after="0" w:line="290" w:lineRule="auto"/>
        <w:rPr>
          <w:sz w:val="20"/>
          <w:szCs w:val="20"/>
          <w:color w:val="auto"/>
        </w:rPr>
      </w:pPr>
      <w:r>
        <w:rPr>
          <w:rFonts w:ascii="Arial" w:cs="Arial" w:eastAsia="Arial" w:hAnsi="Arial"/>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6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70" w:lineRule="exact"/>
        <w:rPr>
          <w:sz w:val="20"/>
          <w:szCs w:val="20"/>
          <w:color w:val="auto"/>
        </w:rPr>
      </w:pPr>
    </w:p>
    <w:p>
      <w:pPr>
        <w:jc w:val="both"/>
        <w:ind w:left="200" w:right="160"/>
        <w:spacing w:after="0" w:line="259"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For a discussion of the material federal income tax issues that you may consider relevant relating to our taxation as a REIT, see “Material Federal Income Tax Considerations” beginning on page 29 of the accompanying prospectus. For a general discussion of the material U.S. federal income tax considerations applicable to the acquisition, ownership and disposition of the notes, see below under “— Taxation of Holders of the Notes.” These discussions apply only to initial beneficial owners of the notes who purchase notes in this offering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This discussion does not address the tax consequences applicable to taxpayers subject to Section 451(b) of the Code. Except as specifically provided below with respect to Non-U.S. Holders (as defined below), the discussion is limited to beneficial owners of notes that are U.S. Holders.</w:t>
      </w:r>
    </w:p>
    <w:p>
      <w:pPr>
        <w:spacing w:after="0" w:line="279" w:lineRule="exact"/>
        <w:rPr>
          <w:sz w:val="20"/>
          <w:szCs w:val="20"/>
          <w:color w:val="auto"/>
        </w:rPr>
      </w:pPr>
    </w:p>
    <w:p>
      <w:pPr>
        <w:ind w:left="200" w:right="640"/>
        <w:spacing w:after="0" w:line="313" w:lineRule="auto"/>
        <w:rPr>
          <w:sz w:val="20"/>
          <w:szCs w:val="20"/>
          <w:color w:val="auto"/>
        </w:rPr>
      </w:pPr>
      <w:r>
        <w:rPr>
          <w:rFonts w:ascii="Arial" w:cs="Arial" w:eastAsia="Arial" w:hAnsi="Arial"/>
          <w:sz w:val="17"/>
          <w:szCs w:val="17"/>
          <w:b w:val="1"/>
          <w:bCs w:val="1"/>
          <w:color w:val="auto"/>
        </w:rPr>
        <w:t>PROSPECTIVE INVESTORS SHOULD CONSULT THEIR TAX ADVISORS REGARDING THE U.S. FEDERAL, STATE, LOCAL, FOREIGN AND OTHER TAX CONSEQUENCES OF THE ACQUISITION, OWNERSHIP AND DISPOSITION OF THE NOTES.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Holders of the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81"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“Non-U.S. Holder” means any beneficial owner of a note that is neither a U.S. Holder nor an entity or arrangement treated as a partnership for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income tax purposes.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 xml:space="preserve">Stated Interest on the Notes. </w:t>
      </w:r>
      <w:r>
        <w:rPr>
          <w:rFonts w:ascii="Arial" w:cs="Arial" w:eastAsia="Arial" w:hAnsi="Arial"/>
          <w:sz w:val="18"/>
          <w:szCs w:val="18"/>
          <w:color w:val="auto"/>
        </w:rPr>
        <w:t>A 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generally will be required to include stated interest payable on the notes as ordinary income when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accrued in accordance with the U.S. Holder’s regular method of tax accounting.</w:t>
      </w:r>
    </w:p>
    <w:p>
      <w:pPr>
        <w:spacing w:after="0" w:line="170"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b w:val="1"/>
          <w:bCs w:val="1"/>
          <w:i w:val="1"/>
          <w:iCs w:val="1"/>
          <w:color w:val="auto"/>
        </w:rPr>
        <w:t xml:space="preserve">OID and Issue Price of the Notes. </w:t>
      </w:r>
      <w:r>
        <w:rPr>
          <w:rFonts w:ascii="Arial" w:cs="Arial" w:eastAsia="Arial" w:hAnsi="Arial"/>
          <w:sz w:val="17"/>
          <w:szCs w:val="17"/>
          <w:color w:val="auto"/>
        </w:rPr>
        <w:t>A debt instrument generally has original issue discount, or OID, if its “stated redemption price at maturity” exceeds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its “issue price” by an amount that is equal to or greater than a statutory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173"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67"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18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b w:val="1"/>
          <w:bCs w:val="1"/>
          <w:i w:val="1"/>
          <w:iCs w:val="1"/>
          <w:color w:val="auto"/>
        </w:rPr>
        <w:t xml:space="preserve">Sale, Exchange, Redemption, or Other Taxable Disposition of the Notes. </w:t>
      </w:r>
      <w:r>
        <w:rPr>
          <w:rFonts w:ascii="Arial" w:cs="Arial" w:eastAsia="Arial" w:hAnsi="Arial"/>
          <w:sz w:val="17"/>
          <w:szCs w:val="17"/>
          <w:color w:val="auto"/>
        </w:rPr>
        <w:t>Unless a non-recognition provision applies, upon the sale,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75"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84" w:lineRule="exact"/>
        <w:rPr>
          <w:sz w:val="20"/>
          <w:szCs w:val="20"/>
          <w:color w:val="auto"/>
        </w:rPr>
      </w:pPr>
    </w:p>
    <w:p>
      <w:pPr>
        <w:ind w:left="200" w:right="1040"/>
        <w:spacing w:after="0" w:line="277" w:lineRule="auto"/>
        <w:rPr>
          <w:sz w:val="20"/>
          <w:szCs w:val="20"/>
          <w:color w:val="auto"/>
        </w:rPr>
      </w:pPr>
      <w:r>
        <w:rPr>
          <w:rFonts w:ascii="Arial" w:cs="Arial" w:eastAsia="Arial" w:hAnsi="Arial"/>
          <w:sz w:val="18"/>
          <w:szCs w:val="18"/>
          <w:b w:val="1"/>
          <w:bCs w:val="1"/>
          <w:i w:val="1"/>
          <w:iCs w:val="1"/>
          <w:color w:val="auto"/>
        </w:rPr>
        <w:t xml:space="preserve">U.S. Holders Holding Notes Through Foreign Accounts or Intermediaries. </w:t>
      </w:r>
      <w:r>
        <w:rPr>
          <w:rFonts w:ascii="Arial" w:cs="Arial" w:eastAsia="Arial" w:hAnsi="Arial"/>
          <w:sz w:val="18"/>
          <w:szCs w:val="18"/>
          <w:color w:val="auto"/>
        </w:rPr>
        <w:t>U.S. Holders holding their notes through foreign accounts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intermediaries should refer to “— Non-U.S. Holders — FATCA Regime” below.</w:t>
      </w:r>
    </w:p>
    <w:p>
      <w:pPr>
        <w:spacing w:after="0" w:line="166" w:lineRule="exact"/>
        <w:rPr>
          <w:sz w:val="20"/>
          <w:szCs w:val="20"/>
          <w:color w:val="auto"/>
        </w:rPr>
      </w:pPr>
    </w:p>
    <w:p>
      <w:pPr>
        <w:ind w:left="200" w:right="440"/>
        <w:spacing w:after="0" w:line="313" w:lineRule="auto"/>
        <w:rPr>
          <w:sz w:val="20"/>
          <w:szCs w:val="20"/>
          <w:color w:val="auto"/>
        </w:rPr>
      </w:pPr>
      <w:r>
        <w:rPr>
          <w:rFonts w:ascii="Arial" w:cs="Arial" w:eastAsia="Arial" w:hAnsi="Arial"/>
          <w:sz w:val="17"/>
          <w:szCs w:val="17"/>
          <w:b w:val="1"/>
          <w:bCs w:val="1"/>
          <w:i w:val="1"/>
          <w:iCs w:val="1"/>
          <w:color w:val="auto"/>
        </w:rPr>
        <w:t>Information Reporting and Backup Withholding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general, information reporting will apply to a U.S. Holder (other than an “exempt recipient,”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 corporation and certain other persons who, when required, demonstrate their exempt status) with respect to:</w:t>
      </w:r>
    </w:p>
    <w:p>
      <w:pPr>
        <w:spacing w:after="0" w:line="48"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225" w:lineRule="exact"/>
        <w:rPr>
          <w:sz w:val="20"/>
          <w:szCs w:val="20"/>
          <w:color w:val="auto"/>
        </w:rPr>
      </w:pPr>
    </w:p>
    <w:p>
      <w:pPr>
        <w:ind w:left="200" w:right="320"/>
        <w:spacing w:after="0" w:line="286" w:lineRule="auto"/>
        <w:rPr>
          <w:sz w:val="20"/>
          <w:szCs w:val="20"/>
          <w:color w:val="auto"/>
        </w:rPr>
      </w:pPr>
      <w:r>
        <w:rPr>
          <w:rFonts w:ascii="Arial" w:cs="Arial" w:eastAsia="Arial" w:hAnsi="Arial"/>
          <w:sz w:val="17"/>
          <w:szCs w:val="17"/>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 xml:space="preserve">Interest on the Notes. </w:t>
      </w:r>
      <w:r>
        <w:rPr>
          <w:rFonts w:ascii="Arial" w:cs="Arial" w:eastAsia="Arial" w:hAnsi="Arial"/>
          <w:sz w:val="17"/>
          <w:szCs w:val="17"/>
          <w:color w:val="auto"/>
        </w:rPr>
        <w:t>Subject to the rules described below under “— Information Reporting and Backup Withholding” and “— FATCA Regime,” a</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Non-U.S. Holder generally will not be subject to U.S. federal income or withholding tax on payments of interest on a note, provided that:</w:t>
      </w:r>
    </w:p>
    <w:p>
      <w:pPr>
        <w:spacing w:after="0" w:line="116"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direct, indirect or constructive owner of 10% or more of our voting stock;</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 bank whose receipt of interest on a note is pursuant to a loan agreement entered into in the ordinary course of business;</w:t>
      </w:r>
    </w:p>
    <w:p>
      <w:pPr>
        <w:spacing w:after="0" w:line="142" w:lineRule="exact"/>
        <w:rPr>
          <w:rFonts w:ascii="Arial" w:cs="Arial" w:eastAsia="Arial" w:hAnsi="Arial"/>
          <w:sz w:val="17"/>
          <w:szCs w:val="17"/>
          <w:color w:val="auto"/>
        </w:rPr>
      </w:pPr>
    </w:p>
    <w:p>
      <w:pPr>
        <w:ind w:left="1060" w:right="48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interest payments are not effectively connected with the conduct by the Non-U.S. Holder of a trade or business within the United States; and</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7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A Non-U.S. Holder that is not exempt from tax under these rules generally will be subject to U.S. federal income tax withholding at a rate of 30% unless:</w:t>
      </w:r>
    </w:p>
    <w:p>
      <w:pPr>
        <w:spacing w:after="0" w:line="76" w:lineRule="exact"/>
        <w:rPr>
          <w:sz w:val="20"/>
          <w:szCs w:val="20"/>
          <w:color w:val="auto"/>
        </w:rPr>
      </w:pPr>
    </w:p>
    <w:p>
      <w:pPr>
        <w:ind w:left="1060" w:right="22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75"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Non-U.S. Holder is entitled to the benefits of an applicable income tax treaty, which provides for a lower rate of, or exemption from, withholding tax.</w:t>
      </w:r>
    </w:p>
    <w:p>
      <w:pPr>
        <w:spacing w:after="0" w:line="17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83"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87" w:lineRule="exact"/>
        <w:rPr>
          <w:sz w:val="20"/>
          <w:szCs w:val="20"/>
          <w:color w:val="auto"/>
        </w:rPr>
      </w:pPr>
    </w:p>
    <w:p>
      <w:pPr>
        <w:ind w:left="1060" w:right="120" w:hanging="316"/>
        <w:spacing w:after="0" w:line="342"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7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Interest on the Notes.” Non-U.S. Holders should consult their tax advisors on the treatment of any accrued but unpaid interest on the notes.</w:t>
      </w:r>
    </w:p>
    <w:p>
      <w:pPr>
        <w:spacing w:after="0" w:line="17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Interest on the Notes” above, has been received or an exemption has otherwise been established provided that neither we nor our paying agent have actual knowledge or reason to know that the Non-U.S. Holder is a U.S. person or that the conditions of any other exemption are not, in fact, satisfied.</w:t>
      </w:r>
    </w:p>
    <w:p>
      <w:pPr>
        <w:spacing w:after="0" w:line="18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7"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a U.S. branch of a foreign bank or insurance company that is treated as a U.S. person;</w:t>
      </w:r>
    </w:p>
    <w:p>
      <w:pPr>
        <w:spacing w:after="0" w:line="225"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73"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sections 1471 through 1474 of the Code, Treasury regulations and related guidance (commonly referred to as “FATCA”), a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withholding tax will be imposed in certain circumstances on payments of (i) interest on the notes and (ii) subject to the proposed Treasury regulations discussed below, gross proceeds from the sale or other disposition of the notes (which includes redemption and retirement of the notes). Treasury regulations proposed in December 2018 (and upon which taxpayers and withholding agents are entitled to rely) would, when finalized, eliminate FATCA withholding on the gross proceeds from a sale or other disposition of instruments, such as the notes, that produce withholdable payments.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notes.</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We intend to offer the notes through the underwriters named below, for whom BofA Securities, Inc., Jefferies LLC and U.S. Bancorp Investments, Inc.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9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370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Notes</w:t>
            </w:r>
          </w:p>
        </w:tc>
        <w:tc>
          <w:tcPr>
            <w:tcW w:w="0" w:type="dxa"/>
            <w:vAlign w:val="bottom"/>
          </w:tcPr>
          <w:p>
            <w:pPr>
              <w:spacing w:after="0"/>
              <w:rPr>
                <w:sz w:val="1"/>
                <w:szCs w:val="1"/>
                <w:color w:val="auto"/>
              </w:rPr>
            </w:pPr>
          </w:p>
        </w:tc>
      </w:tr>
      <w:tr>
        <w:trPr>
          <w:trHeight w:val="203"/>
        </w:trPr>
        <w:tc>
          <w:tcPr>
            <w:tcW w:w="4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57,000,000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57,000,000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81"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$600,000.</w:t>
      </w:r>
    </w:p>
    <w:p>
      <w:pPr>
        <w:spacing w:after="0" w:line="225"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0.400% of the principal amount of the notes. The underwriters may allow, and the dealers may reallow, a discount not in excess of 0.250% of the principal amount of the notes on sales to other dealers. After the initial offering, the public offering price and concession to dealers may be changed.</w:t>
      </w:r>
    </w:p>
    <w:p>
      <w:pPr>
        <w:spacing w:after="0" w:line="187"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600" w:type="dxa"/>
            <w:vAlign w:val="bottom"/>
            <w:tcBorders>
              <w:bottom w:val="single" w:sz="8" w:color="CCEEFF"/>
            </w:tcBorders>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Paid by Us</w:t>
            </w:r>
          </w:p>
        </w:tc>
        <w:tc>
          <w:tcPr>
            <w:tcW w:w="200" w:type="dxa"/>
            <w:vAlign w:val="bottom"/>
            <w:tcBorders>
              <w:bottom w:val="single" w:sz="8" w:color="CCEEFF"/>
            </w:tcBorders>
          </w:tcPr>
          <w:p>
            <w:pPr>
              <w:spacing w:after="0"/>
              <w:rPr>
                <w:sz w:val="14"/>
                <w:szCs w:val="14"/>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Per note</w:t>
            </w:r>
          </w:p>
        </w:tc>
        <w:tc>
          <w:tcPr>
            <w:tcW w:w="30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0.650%</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Affiliates of certain of the underwriters are lenders under our unsecured term loan or our revolving credit facility and will receive a pro rata portion of the net proceeds used to repay our unsecured term loan or amounts outstanding under our revolving credit facility, as applicable.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 U.S. Bank National Association, the trustee under the indenture, is an affiliate of U.S. Bancorp Investments, Inc., one of the underwriters.</w:t>
      </w:r>
    </w:p>
    <w:p>
      <w:pPr>
        <w:spacing w:after="0" w:line="181"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communication of this prospectus supplement, the accompanying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 The communication of such documents and/or materials as a financial promotion is only being made to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“Order”)) or who fall within Article 49(2)(a) to (d) of the Order or who are any other persons to whom it may otherwise lawfully be communicated under the Order (each such person being referred to as a “relevant person”). In the United Kingdom, the notes are only available to, and any investment or investment activity to which this prospectus supplement and the accompanying prospectus relate will be engaged in only with, relevant persons. Any person in the United Kingdom who is not a relevant person should not act or rely on this prospectus supplement or the accompanying prospectus or any of their contents.</w:t>
      </w:r>
    </w:p>
    <w:p>
      <w:pPr>
        <w:spacing w:after="0" w:line="183"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Federal Realty Investment Trust.</w:t>
      </w:r>
    </w:p>
    <w:p>
      <w:pPr>
        <w:spacing w:after="0" w:line="18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notes in, from or otherwise involving the United Kingdom.</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Neither this prospectus supplement nor the accompanying prospectus is a prospectus for the purposes of the Prospectus Directive (as defined below). This prospectus supplement and the accompanying prospectus have been prepared on the basis that any offer of notes in any Member State of the European Economic Area (the “EEA”) which has implemented the Prospectus Directive (each, a “Relevant Member State”) will only be made to a legal entity which is a qualified investor under the Prospectus Directive (“Qualified Investors”). Accordingly any person making or intending to make an offer in that Relevant Member State of notes which are the subject of the offering contemplated in this prospectus supplement and the accompanying prospectus may only do so with respect to Qualified Investors. Neither Federal Realty Investment Trust nor the underwriters have authorized, nor do they authorize, the making of any offer of notes other than to Qualified Investors. The expression “Prospectus Directive” means Directive 2003/71/EC (as amended or superseded), and includes any relevant implementing measure in the Relevant Member State.</w:t>
      </w:r>
    </w:p>
    <w:p>
      <w:pPr>
        <w:spacing w:after="0" w:line="166"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i w:val="1"/>
          <w:iCs w:val="1"/>
          <w:color w:val="auto"/>
        </w:rPr>
        <w:t xml:space="preserve">Prohibition of Sales to EEA Retail Investors </w:t>
      </w:r>
      <w:r>
        <w:rPr>
          <w:rFonts w:ascii="Arial" w:cs="Arial" w:eastAsia="Arial" w:hAnsi="Arial"/>
          <w:sz w:val="18"/>
          <w:szCs w:val="18"/>
          <w:color w:val="auto"/>
        </w:rPr>
        <w:t>– The notes are not intended to be offered, sold or otherwise made available to and should not be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sold or otherwise made available to any retail investor in the EEA. For these purposes: (a) a retail investor means a person who is one (or more) of: (i) a retail client as defined in point (11) of Article 4(1) of Directive 2014/65/EU, as amended (“MiFID II”); or (ii) a customer within the meaning of Directive (EU) 2016/97 (the Insurance Distribution Directive), as amended or superseded, where that customer would not qualify as a professional client as defined in point (10) of Article 4(1) of MiFID II; or (iii) not a qualified investor as defined in the Prospectus Directive;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Realty Investment Trust does not intend to offer the notes in any Member State other than the United Kingdom.</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200" w:right="260"/>
        <w:spacing w:after="0" w:line="279" w:lineRule="auto"/>
        <w:rPr>
          <w:sz w:val="20"/>
          <w:szCs w:val="20"/>
          <w:color w:val="auto"/>
        </w:rPr>
      </w:pPr>
      <w:r>
        <w:rPr>
          <w:rFonts w:ascii="Arial" w:cs="Arial" w:eastAsia="Arial" w:hAnsi="Arial"/>
          <w:sz w:val="17"/>
          <w:szCs w:val="17"/>
          <w:color w:val="auto"/>
        </w:rPr>
        <w:t xml:space="preserve">The notes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audited consolidated financial statements, schedules and management’s assessment of the effectiveness of our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172085</wp:posOffset>
            </wp:positionV>
            <wp:extent cx="2246630" cy="909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4663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7, 2018.</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Forward-Looking Statements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Material Federal Income Tax Considerations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79">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Where You Can Find More Information</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564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65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66503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 24.2 million square feet. In total, the real estate projects were 94.8% leased and 93.3% occupied at March 31, 2018. We have paid quarterly dividends to our shareholders continuously since our founding in 1962 and have increased our dividends per common share for 50 consecutive years.</w:t>
      </w:r>
    </w:p>
    <w:p>
      <w:pPr>
        <w:spacing w:after="0" w:line="16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Ratios of Earnings to Fixed Charges and Combined Fixed Charges and Preferred Share Dividends</w:t>
      </w:r>
    </w:p>
    <w:p>
      <w:pPr>
        <w:spacing w:after="0" w:line="22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following table sets forth our historical ratios of earnings to fixed charges and combined Fixed Charges and preferred share dividends for the periods indicated: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For the Three Months</w:t>
            </w:r>
          </w:p>
        </w:tc>
        <w:tc>
          <w:tcPr>
            <w:tcW w:w="280" w:type="dxa"/>
            <w:vAlign w:val="bottom"/>
          </w:tcPr>
          <w:p>
            <w:pPr>
              <w:spacing w:after="0"/>
              <w:rPr>
                <w:sz w:val="14"/>
                <w:szCs w:val="14"/>
                <w:color w:val="auto"/>
              </w:rPr>
            </w:pPr>
          </w:p>
        </w:tc>
        <w:tc>
          <w:tcPr>
            <w:tcW w:w="2320" w:type="dxa"/>
            <w:vAlign w:val="bottom"/>
            <w:gridSpan w:val="7"/>
            <w:vMerge w:val="restart"/>
          </w:tcPr>
          <w:p>
            <w:pPr>
              <w:ind w:left="120"/>
              <w:spacing w:after="0"/>
              <w:rPr>
                <w:sz w:val="20"/>
                <w:szCs w:val="20"/>
                <w:color w:val="auto"/>
              </w:rPr>
            </w:pPr>
            <w:r>
              <w:rPr>
                <w:rFonts w:ascii="Arial" w:cs="Arial" w:eastAsia="Arial" w:hAnsi="Arial"/>
                <w:sz w:val="14"/>
                <w:szCs w:val="14"/>
                <w:b w:val="1"/>
                <w:bCs w:val="1"/>
                <w:color w:val="auto"/>
                <w:w w:val="94"/>
              </w:rPr>
              <w:t>For the Years Ended December 31,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2320" w:type="dxa"/>
            <w:vAlign w:val="bottom"/>
            <w:gridSpan w:val="7"/>
            <w:vMerge w:val="continue"/>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360" w:type="dxa"/>
            <w:vAlign w:val="bottom"/>
            <w:tcBorders>
              <w:top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2017</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left="200" w:right="120" w:hanging="4"/>
        <w:spacing w:after="0" w:line="254" w:lineRule="auto"/>
        <w:tabs>
          <w:tab w:leader="none" w:pos="4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risks. Before making an investment decision, please consider the risks described under the caption “Risk Factors” in our Annual Report on Form 10-K for the fiscal year ended December 31, 2017,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46"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Mandatory Redemption. </w:t>
      </w:r>
      <w:r>
        <w:rPr>
          <w:rFonts w:ascii="Arial" w:cs="Arial" w:eastAsia="Arial" w:hAnsi="Arial"/>
          <w:sz w:val="18"/>
          <w:szCs w:val="18"/>
          <w:color w:val="auto"/>
        </w:rPr>
        <w:t>The obligation, if any, we have to redeem or repurchase the offered debt securities pursuant to any sinking fund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similar provisions or upon the happening of a specified event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00" w:hanging="446"/>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66"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700" w:hanging="23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jc w:val="center"/>
        <w:ind w:left="5620" w:right="240" w:hanging="5156"/>
        <w:spacing w:after="0" w:line="449"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 and the order or decree remains unstayed and in effect for 90 days. 10</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4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20" w:hanging="446"/>
        <w:spacing w:after="0" w:line="34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80"/>
        <w:spacing w:after="0" w:line="323"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7"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2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and Series C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the articles supplementary with respect to our Series 1 preferred shares, and the articles supplementary with respect to our Series C preferred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2018, we had issued and outstanding 73,221,458 common shares, 399,896 preferred shares, which are designated as 5.417% Series 1 Cumulative Convertible Preferred Shares, which we refer to as the Series 1 preferred shares, and 6,000 preferred shares, which are designated as 5.000% Series C Cumulative Redeemable Preferred Shares, which we refer to as the Series C preferred shares.</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6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The Series 1 preferred shares rank pari pasu with the Series C preferred shares and senior to the common shares with respect to the 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9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Preferred Shares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September 2017, we issued 6,000 Series C preferred shares and we filed articles supplementary to our declaration of trust setting forth the terms of the Series C preferred shares. Below is a brief description of the terms of the Series C preferred shares, which is subject to and qualified in its entirety by reference to the articles supplementary.</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Rank. </w:t>
      </w:r>
      <w:r>
        <w:rPr>
          <w:rFonts w:ascii="Arial" w:cs="Arial" w:eastAsia="Arial" w:hAnsi="Arial"/>
          <w:sz w:val="16"/>
          <w:szCs w:val="16"/>
          <w:color w:val="auto"/>
        </w:rPr>
        <w:t>The Series C preferred shares rank pari pasu with the Series 1 preferred shares and senior to the common shares with respect to the payment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and the distribution of assets upon our liquidation, dissolution or winding up. Our declaration of trust provides that, unless full cumulative dividends on all outstanding Series C preferred shares and any other class or series of our shares of beneficial interest ranking, as to the payment of dividends and the distribution of assets upon liquidation, dissolution or winding up, on parity with the Series C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C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6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C preferred share is entitled to receive, when, as and if authorized by our Board of Trustees out of funds legally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purpose, cumulative preferential dividends payable in cash at a rate of 5.000% of the liquidation price of $25,000, which is equivalent to $1,250 per annum.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C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$25,000 per share, plus all accrued and unpaid dividends, before any distribution shall be made with respect to the common shares.</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C preferred shares generally have no voting rights. However, if and whenever dividends payable on the Series C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Series C preferred shares have no conversion rights.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by the Trust. </w:t>
      </w:r>
      <w:r>
        <w:rPr>
          <w:rFonts w:ascii="Arial" w:cs="Arial" w:eastAsia="Arial" w:hAnsi="Arial"/>
          <w:sz w:val="18"/>
          <w:szCs w:val="18"/>
          <w:color w:val="auto"/>
        </w:rPr>
        <w:t>The Series C preferred shares may be redeemed for cash, in whole or from time to time in part, on any date on or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29, 2022 at the option of the Trust at a price per share equal to $25,000.00 plus accrued and unpaid dividends thereon, if any, to, but excluding, the redemption date.</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Depositary Shares. </w:t>
      </w:r>
      <w:r>
        <w:rPr>
          <w:rFonts w:ascii="Arial" w:cs="Arial" w:eastAsia="Arial" w:hAnsi="Arial"/>
          <w:sz w:val="16"/>
          <w:szCs w:val="16"/>
          <w:color w:val="auto"/>
        </w:rPr>
        <w:t>Interests in the Series C preferred shares are represented by depositary shares, which we refer to as the Series C depositary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Stock Exchange Listing. </w:t>
      </w:r>
      <w:r>
        <w:rPr>
          <w:rFonts w:ascii="Arial" w:cs="Arial" w:eastAsia="Arial" w:hAnsi="Arial"/>
          <w:sz w:val="17"/>
          <w:szCs w:val="17"/>
          <w:color w:val="auto"/>
        </w:rPr>
        <w:t>The Series C depositary shares are traded on the New York Stock Exchange under the trading symbol “FRTPRC.”</w:t>
      </w:r>
    </w:p>
    <w:p>
      <w:pPr>
        <w:spacing w:after="0" w:line="23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C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may issue receipts for depositary shares, each of which will represent a fractional interest of a share of a particular series of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May 4, 2018, we had 6,000,000 depositary shares issued and outstanding, each representing a 1/1000th fractional interest in a Series C preferred share. See “—Series C Preferred Shares.”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8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w:t>
      </w:r>
    </w:p>
    <w:p>
      <w:pPr>
        <w:ind w:right="40"/>
        <w:spacing w:after="0" w:line="295" w:lineRule="auto"/>
        <w:rPr>
          <w:sz w:val="20"/>
          <w:szCs w:val="20"/>
          <w:color w:val="auto"/>
        </w:rPr>
      </w:pPr>
      <w:r>
        <w:rPr>
          <w:rFonts w:ascii="Arial" w:cs="Arial" w:eastAsia="Arial" w:hAnsi="Arial"/>
          <w:sz w:val="16"/>
          <w:szCs w:val="16"/>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31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7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77"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4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2017;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6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900" w:right="34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our taxable years ending on or prior to December 31, 2017, we may be subject to the “alternative minimum tax” on any items of tax preference that we do not distribute or allocate to our shareholders;</w:t>
      </w:r>
    </w:p>
    <w:p>
      <w:pPr>
        <w:spacing w:after="0" w:line="75"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enacted in 2015 and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proposed regulations providing details on some of these provisions, but the timing and content of final regulations remains uncertain.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60" w:hanging="446"/>
        <w:spacing w:after="0" w:line="271"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84" w:lineRule="exact"/>
        <w:rPr>
          <w:rFonts w:ascii="Arial" w:cs="Arial" w:eastAsia="Arial" w:hAnsi="Arial"/>
          <w:sz w:val="17"/>
          <w:szCs w:val="17"/>
          <w:color w:val="auto"/>
        </w:rPr>
      </w:pPr>
    </w:p>
    <w:p>
      <w:pPr>
        <w:ind w:left="900" w:right="100" w:hanging="446"/>
        <w:spacing w:after="0" w:line="279"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hanging="446"/>
        <w:spacing w:after="0" w:line="253"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0"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73"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60" w:hanging="446"/>
        <w:spacing w:after="0" w:line="308"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20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220" w:hanging="446"/>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6" w:lineRule="exact"/>
        <w:rPr>
          <w:rFonts w:ascii="Arial" w:cs="Arial" w:eastAsia="Arial" w:hAnsi="Arial"/>
          <w:sz w:val="18"/>
          <w:szCs w:val="18"/>
          <w:color w:val="auto"/>
        </w:rPr>
      </w:pPr>
    </w:p>
    <w:p>
      <w:pPr>
        <w:ind w:left="900" w:right="60" w:hanging="446"/>
        <w:spacing w:after="0" w:line="308"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Tax and Deduction Limits on Certain Transactions with Taxable REIT Subsidiaries. </w:t>
      </w:r>
      <w:r>
        <w:rPr>
          <w:rFonts w:ascii="Arial" w:cs="Arial" w:eastAsia="Arial" w:hAnsi="Arial"/>
          <w:sz w:val="18"/>
          <w:szCs w:val="18"/>
          <w:color w:val="auto"/>
        </w:rPr>
        <w:t>A REIT will incur a 100% tax on certain transactions between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8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92"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b w:val="1"/>
          <w:bCs w:val="1"/>
          <w:i w:val="1"/>
          <w:iCs w:val="1"/>
          <w:color w:val="auto"/>
        </w:rPr>
        <w:t xml:space="preserve">Like-Kind Exchanges. </w:t>
      </w:r>
      <w:r>
        <w:rPr>
          <w:rFonts w:ascii="Arial" w:cs="Arial" w:eastAsia="Arial" w:hAnsi="Arial"/>
          <w:sz w:val="17"/>
          <w:szCs w:val="17"/>
          <w:color w:val="auto"/>
        </w:rPr>
        <w:t>We may dispose of properties in transactions intended to qualify as like-kind exchanges under the Code. Such like-kind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Recent legislative changes eliminate like-kind exchanges for most personal property.</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2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60" w:hanging="547"/>
        <w:spacing w:after="0" w:line="259" w:lineRule="auto"/>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92" w:lineRule="exact"/>
        <w:rPr>
          <w:rFonts w:ascii="Arial" w:cs="Arial" w:eastAsia="Arial" w:hAnsi="Arial"/>
          <w:sz w:val="18"/>
          <w:szCs w:val="18"/>
          <w:color w:val="auto"/>
        </w:rPr>
      </w:pPr>
    </w:p>
    <w:p>
      <w:pPr>
        <w:jc w:val="both"/>
        <w:ind w:left="1460" w:right="100" w:hanging="547"/>
        <w:spacing w:after="0" w:line="264" w:lineRule="auto"/>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200" w:hanging="547"/>
        <w:spacing w:after="0" w:line="277" w:lineRule="auto"/>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87"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74"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67"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89"/>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w:t>
      </w:r>
    </w:p>
    <w:p>
      <w:pPr>
        <w:ind w:right="20"/>
        <w:spacing w:after="0" w:line="277" w:lineRule="auto"/>
        <w:rPr>
          <w:sz w:val="20"/>
          <w:szCs w:val="20"/>
          <w:color w:val="auto"/>
        </w:rPr>
      </w:pPr>
      <w:r>
        <w:rPr>
          <w:rFonts w:ascii="Arial" w:cs="Arial" w:eastAsia="Arial" w:hAnsi="Arial"/>
          <w:sz w:val="17"/>
          <w:szCs w:val="17"/>
          <w:color w:val="auto"/>
        </w:rPr>
        <w:t>$10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w:t>
      </w:r>
    </w:p>
    <w:p>
      <w:pPr>
        <w:spacing w:after="0" w:line="17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6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provided certain conditions are satisfied.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 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after 2017 and prior to 2026, generally non-corporate shareholders are allowed to deduct 20% of the aggregate amount of ordinary dividends distributed by us, subject to certain limitations.</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 portion of their “net investment income,” which may include all or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8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after 2017 and prior to 2026, generally non-corporate shareholders are allowed to deduct 20% of the aggregate amount of ordinary dividends distributed by us, subject to certain limitations. Further, with respect to non-corporate taxpayers, the lower qualified dividend income/capital gains tax rate (at a maximum of 20%) does generally apply to:</w:t>
      </w:r>
    </w:p>
    <w:p>
      <w:pPr>
        <w:spacing w:after="0" w:line="83"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95"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71"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9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i w:val="1"/>
          <w:iCs w:val="1"/>
          <w:color w:val="auto"/>
        </w:rPr>
        <w:t xml:space="preserve">Conversion of Preferred Shares to Common Shares. </w:t>
      </w:r>
      <w:r>
        <w:rPr>
          <w:rFonts w:ascii="Arial" w:cs="Arial" w:eastAsia="Arial" w:hAnsi="Arial"/>
          <w:sz w:val="16"/>
          <w:szCs w:val="16"/>
          <w:color w:val="auto"/>
        </w:rPr>
        <w:t>The conversion of preferred shares into our common shares may be a taxable exchange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Non-U.S. shareholders should consult with their tax advisors regarding the federal income tax consequences of any transaction by which such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 exchanges our common shares received on a conversion of preferred shares for cash or other property.</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9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2018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4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i w:val="1"/>
          <w:iCs w:val="1"/>
          <w:color w:val="auto"/>
        </w:rPr>
        <w:t xml:space="preserve">Changes to Tax Laws and Regulations. </w:t>
      </w:r>
      <w:r>
        <w:rPr>
          <w:rFonts w:ascii="Arial" w:cs="Arial" w:eastAsia="Arial" w:hAnsi="Arial"/>
          <w:sz w:val="16"/>
          <w:szCs w:val="16"/>
          <w:color w:val="auto"/>
        </w:rPr>
        <w:t>The rules dealing with federal income taxation are subject to revision by the U.S. Congress, the IRS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Department of 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substantial December 2017 amendments to the Code.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96"/>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7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87"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0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2017, filed with the SEC on February 13,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Our Definitive </w:t>
      </w:r>
      <w:hyperlink r:id="rId101">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2018 Annual Meeting of Shareholders, filed with the SEC on March 23,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02">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2018, filed with the SEC on May 2,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103">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4,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Description of our common shares contained in the Registration Statement on </w:t>
      </w:r>
      <w:hyperlink r:id="rId104">
        <w:r>
          <w:rPr>
            <w:rFonts w:ascii="Arial" w:cs="Arial" w:eastAsia="Arial" w:hAnsi="Arial"/>
            <w:sz w:val="18"/>
            <w:szCs w:val="18"/>
            <w:u w:val="single" w:color="auto"/>
            <w:color w:val="0000EE"/>
          </w:rPr>
          <w:t>Form 8-A/A</w:t>
        </w:r>
      </w:hyperlink>
      <w:r>
        <w:rPr>
          <w:rFonts w:ascii="Arial" w:cs="Arial" w:eastAsia="Arial" w:hAnsi="Arial"/>
          <w:sz w:val="18"/>
          <w:szCs w:val="18"/>
          <w:color w:val="auto"/>
        </w:rPr>
        <w:t>, filed with the SEC on June 6, 2002;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Description of our Series C preferred shares contained in the Registration Statement on </w:t>
      </w:r>
      <w:hyperlink r:id="rId105">
        <w:r>
          <w:rPr>
            <w:rFonts w:ascii="Arial" w:cs="Arial" w:eastAsia="Arial" w:hAnsi="Arial"/>
            <w:sz w:val="16"/>
            <w:szCs w:val="16"/>
            <w:u w:val="single" w:color="auto"/>
            <w:color w:val="0000EE"/>
          </w:rPr>
          <w:t>Form 8-A</w:t>
        </w:r>
      </w:hyperlink>
      <w:r>
        <w:rPr>
          <w:rFonts w:ascii="Arial" w:cs="Arial" w:eastAsia="Arial" w:hAnsi="Arial"/>
          <w:sz w:val="16"/>
          <w:szCs w:val="16"/>
          <w:color w:val="auto"/>
        </w:rPr>
        <w:t>, filed with the SEC on September 29, 2017.</w:t>
      </w:r>
    </w:p>
    <w:p>
      <w:pPr>
        <w:spacing w:after="0" w:line="248" w:lineRule="exact"/>
        <w:rPr>
          <w:rFonts w:ascii="Arial" w:cs="Arial" w:eastAsia="Arial" w:hAnsi="Arial"/>
          <w:sz w:val="18"/>
          <w:szCs w:val="18"/>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282575</wp:posOffset>
            </wp:positionV>
            <wp:extent cx="6997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20"/>
        <w:spacing w:after="0"/>
        <w:rPr>
          <w:sz w:val="20"/>
          <w:szCs w:val="20"/>
          <w:color w:val="auto"/>
        </w:rPr>
      </w:pPr>
      <w:r>
        <w:rPr>
          <w:rFonts w:ascii="Arial" w:cs="Arial" w:eastAsia="Arial" w:hAnsi="Arial"/>
          <w:sz w:val="29"/>
          <w:szCs w:val="29"/>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340360</wp:posOffset>
            </wp:positionV>
            <wp:extent cx="2178050" cy="875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217805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25"/>
          <w:szCs w:val="25"/>
          <w:b w:val="1"/>
          <w:bCs w:val="1"/>
          <w:color w:val="auto"/>
        </w:rPr>
        <w:t>3.20%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406400</wp:posOffset>
            </wp:positionV>
            <wp:extent cx="14662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242570</wp:posOffset>
            </wp:positionV>
            <wp:extent cx="14662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BofA Merrill Lynch</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Jefferies</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US Bancorp</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Regions Securities LLC</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6"/>
          <w:szCs w:val="26"/>
          <w:b w:val="1"/>
          <w:bCs w:val="1"/>
          <w:color w:val="auto"/>
        </w:rPr>
        <w:t>SunTrust Robinson Humphrey</w:t>
      </w:r>
    </w:p>
    <w:p>
      <w:pPr>
        <w:spacing w:after="0" w:line="147"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TD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408940</wp:posOffset>
            </wp:positionV>
            <wp:extent cx="14662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June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429260</wp:posOffset>
            </wp:positionV>
            <wp:extent cx="6997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488950</wp:posOffset>
            </wp:positionV>
            <wp:extent cx="699770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decimal"/>
      <w:start w:val="1"/>
    </w:lvl>
  </w:abstractNum>
  <w:abstractNum w:abstractNumId="1">
    <w:nsid w:val="749ABB43"/>
    <w:multiLevelType w:val="hybridMultilevel"/>
    <w:lvl w:ilvl="0">
      <w:lvlJc w:val="left"/>
      <w:lvlText w:val="(%1)"/>
      <w:numFmt w:val="decimal"/>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lvl w:ilvl="1">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1)"/>
      <w:numFmt w:val="decimal"/>
      <w:start w:val="4"/>
    </w:lvl>
  </w:abstractNum>
  <w:abstractNum w:abstractNumId="6">
    <w:nsid w:val="12E685FB"/>
    <w:multiLevelType w:val="hybridMultilevel"/>
    <w:lvl w:ilvl="0">
      <w:lvlJc w:val="left"/>
      <w:lvlText w:val="%1."/>
      <w:numFmt w:val="decimal"/>
      <w:start w:val="1"/>
    </w:lvl>
  </w:abstractNum>
  <w:abstractNum w:abstractNumId="7">
    <w:nsid w:val="70C6A529"/>
    <w:multiLevelType w:val="hybridMultilevel"/>
    <w:lvl w:ilvl="0">
      <w:lvlJc w:val="left"/>
      <w:lvlText w:val="(%1)"/>
      <w:numFmt w:val="lowerLetter"/>
      <w:start w:val="1"/>
    </w:lvl>
  </w:abstractNum>
  <w:abstractNum w:abstractNumId="8">
    <w:nsid w:val="520EEDD1"/>
    <w:multiLevelType w:val="hybridMultilevel"/>
    <w:lvl w:ilvl="0">
      <w:lvlJc w:val="left"/>
      <w:lvlText w:val="%1."/>
      <w:numFmt w:val="decimal"/>
      <w:start w:val="5"/>
    </w:lvl>
  </w:abstractNum>
  <w:abstractNum w:abstractNumId="9">
    <w:nsid w:val="374A3FE6"/>
    <w:multiLevelType w:val="hybridMultilevel"/>
    <w:lvl w:ilvl="0">
      <w:lvlJc w:val="left"/>
      <w:lvlText w:val="(%1)"/>
      <w:numFmt w:val="lowerLetter"/>
      <w:start w:val="1"/>
    </w:lvl>
  </w:abstractNum>
  <w:abstractNum w:abstractNumId="10">
    <w:nsid w:val="4F4EF005"/>
    <w:multiLevelType w:val="hybridMultilevel"/>
    <w:lvl w:ilvl="0">
      <w:lvlJc w:val="left"/>
      <w:lvlText w:val="(%1)"/>
      <w:numFmt w:val="lowerLetter"/>
      <w:start w:val="1"/>
    </w:lvl>
  </w:abstractNum>
  <w:abstractNum w:abstractNumId="11">
    <w:nsid w:val="23F9C13C"/>
    <w:multiLevelType w:val="hybridMultilevel"/>
    <w:lvl w:ilvl="0">
      <w:lvlJc w:val="left"/>
      <w:lvlText w:val="(%1)"/>
      <w:numFmt w:val="lowerLetter"/>
      <w:start w:val="2"/>
    </w:lvl>
  </w:abstractNum>
  <w:abstractNum w:abstractNumId="12">
    <w:nsid w:val="649BB77C"/>
    <w:multiLevelType w:val="hybridMultilevel"/>
    <w:lvl w:ilvl="0">
      <w:lvlJc w:val="left"/>
      <w:lvlText w:val="(%1)"/>
      <w:numFmt w:val="decimal"/>
      <w:start w:val="2"/>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lvl w:ilvl="1">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1)"/>
      <w:numFmt w:val="lowerLetter"/>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lvl w:ilvl="1">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lvl w:ilvl="1">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1."/>
      <w:numFmt w:val="decimal"/>
      <w:start w:val="1"/>
    </w:lvl>
  </w:abstractNum>
  <w:abstractNum w:abstractNumId="43">
    <w:nsid w:val="799D0247"/>
    <w:multiLevelType w:val="hybridMultilevel"/>
    <w:lvl w:ilvl="0">
      <w:lvlJc w:val="left"/>
      <w:lvlText w:val="(%1)"/>
      <w:numFmt w:val="lowerLetter"/>
      <w:start w:val="1"/>
    </w:lvl>
  </w:abstractNum>
  <w:abstractNum w:abstractNumId="44">
    <w:nsid w:val="6B94764"/>
    <w:multiLevelType w:val="hybridMultilevel"/>
    <w:lvl w:ilvl="0">
      <w:lvlJc w:val="left"/>
      <w:lvlText w:val="%1."/>
      <w:numFmt w:val="decimal"/>
      <w:start w:val="5"/>
    </w:lvl>
  </w:abstractNum>
  <w:abstractNum w:abstractNumId="45">
    <w:nsid w:val="42C296BD"/>
    <w:multiLevelType w:val="hybridMultilevel"/>
    <w:lvl w:ilvl="0">
      <w:lvlJc w:val="left"/>
      <w:lvlText w:val="(%1)"/>
      <w:numFmt w:val="lowerLetter"/>
      <w:start w:val="1"/>
    </w:lvl>
  </w:abstractNum>
  <w:abstractNum w:abstractNumId="46">
    <w:nsid w:val="168E121F"/>
    <w:multiLevelType w:val="hybridMultilevel"/>
    <w:lvl w:ilvl="0">
      <w:lvlJc w:val="left"/>
      <w:lvlText w:val="(%1)"/>
      <w:numFmt w:val="lowerLetter"/>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lvl w:ilvl="1">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lvl w:ilvl="1">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
      <w:numFmt w:val="bullet"/>
      <w:start w:val="1"/>
    </w:lvl>
    <w:lvl w:ilvl="1">
      <w:lvlJc w:val="left"/>
      <w:lvlText w:val="•"/>
      <w:numFmt w:val="bullet"/>
      <w:start w:val="1"/>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lvl w:ilvl="1">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
      <w:numFmt w:val="bullet"/>
      <w:start w:val="1"/>
    </w:lvl>
  </w:abstractNum>
  <w:abstractNum w:abstractNumId="79">
    <w:nsid w:val="3222E7CD"/>
    <w:multiLevelType w:val="hybridMultilevel"/>
    <w:lvl w:ilvl="0">
      <w:lvlJc w:val="left"/>
      <w:lvlText w:val="%1."/>
      <w:numFmt w:val="decimal"/>
      <w:start w:val="1"/>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
      <w:numFmt w:val="bullet"/>
      <w:start w:val="1"/>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
      <w:numFmt w:val="bullet"/>
      <w:start w:val="1"/>
    </w:lvl>
  </w:abstractNum>
  <w:abstractNum w:abstractNumId="85">
    <w:nsid w:val="39EE015C"/>
    <w:multiLevelType w:val="hybridMultilevel"/>
    <w:lvl w:ilvl="0">
      <w:lvlJc w:val="left"/>
      <w:lvlText w:val="\emdash "/>
      <w:numFmt w:val="bullet"/>
      <w:start w:val="1"/>
    </w:lvl>
  </w:abstractNum>
  <w:abstractNum w:abstractNumId="86">
    <w:nsid w:val="57FC4FBB"/>
    <w:multiLevelType w:val="hybridMultilevel"/>
    <w:lvl w:ilvl="0">
      <w:lvlJc w:val="left"/>
      <w:lvlText w:val="•"/>
      <w:numFmt w:val="bullet"/>
      <w:start w:val="1"/>
    </w:lvl>
    <w:lvl w:ilvl="1">
      <w:lvlJc w:val="left"/>
      <w:lvlText w:val="•"/>
      <w:numFmt w:val="bullet"/>
      <w:start w:val="1"/>
    </w:lvl>
  </w:abstractNum>
  <w:abstractNum w:abstractNumId="87">
    <w:nsid w:val="CC1016F"/>
    <w:multiLevelType w:val="hybridMultilevel"/>
    <w:lvl w:ilvl="0">
      <w:lvlJc w:val="left"/>
      <w:lvlText w:val="•"/>
      <w:numFmt w:val="bullet"/>
      <w:start w:val="1"/>
    </w:lvl>
  </w:abstractNum>
  <w:abstractNum w:abstractNumId="88">
    <w:nsid w:val="43F18422"/>
    <w:multiLevelType w:val="hybridMultilevel"/>
    <w:lvl w:ilvl="0">
      <w:lvlJc w:val="left"/>
      <w:lvlText w:val="(%1)"/>
      <w:numFmt w:val="lowerRoman"/>
      <w:start w:val="2"/>
    </w:lvl>
  </w:abstractNum>
  <w:abstractNum w:abstractNumId="89">
    <w:nsid w:val="60EF0119"/>
    <w:multiLevelType w:val="hybridMultilevel"/>
    <w:lvl w:ilvl="0">
      <w:lvlJc w:val="left"/>
      <w:lvlText w:val="•"/>
      <w:numFmt w:val="bullet"/>
      <w:start w:val="1"/>
    </w:lvl>
  </w:abstractNum>
  <w:abstractNum w:abstractNumId="90">
    <w:nsid w:val="26F324BA"/>
    <w:multiLevelType w:val="hybridMultilevel"/>
    <w:lvl w:ilvl="0">
      <w:lvlJc w:val="left"/>
      <w:lvlText w:val="(%1)"/>
      <w:numFmt w:val="lowerRoman"/>
      <w:start w:val="1"/>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1)"/>
      <w:numFmt w:val="decimal"/>
      <w:start w:val="2"/>
    </w:lvl>
  </w:abstractNum>
  <w:abstractNum w:abstractNumId="95">
    <w:nsid w:val="50801EE1"/>
    <w:multiLevelType w:val="hybridMultilevel"/>
    <w:lvl w:ilvl="0">
      <w:lvlJc w:val="left"/>
      <w:lvlText w:val="(%1)"/>
      <w:numFmt w:val="decimal"/>
      <w:start w:val="4"/>
    </w:lvl>
  </w:abstractNum>
  <w:abstractNum w:abstractNumId="96">
    <w:nsid w:val="488AC1A"/>
    <w:multiLevelType w:val="hybridMultilevel"/>
    <w:lvl w:ilvl="0">
      <w:lvlJc w:val="left"/>
      <w:lvlText w:val="•"/>
      <w:numFmt w:val="bullet"/>
      <w:start w:val="1"/>
    </w:lvl>
  </w:abstractNum>
  <w:abstractNum w:abstractNumId="97">
    <w:nsid w:val="5FB8011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jpe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00" Type="http://schemas.openxmlformats.org/officeDocument/2006/relationships/hyperlink" Target="http://www.sec.gov/Archives/edgar/data/34903/000003490318000009/frt-1231201710k.htm" TargetMode="External"/><Relationship Id="rId101" Type="http://schemas.openxmlformats.org/officeDocument/2006/relationships/hyperlink" Target="http://www.sec.gov/Archives/edgar/data/34903/000119312518093016/d501572ddef14a.htm" TargetMode="External"/><Relationship Id="rId102" Type="http://schemas.openxmlformats.org/officeDocument/2006/relationships/hyperlink" Target="http://www.sec.gov/Archives/edgar/data/34903/000003490318000016/frt-03312018x10q.htm" TargetMode="External"/><Relationship Id="rId103" Type="http://schemas.openxmlformats.org/officeDocument/2006/relationships/hyperlink" Target="http://www.sec.gov/Archives/edgar/data/34903/000003490318000018/frt-050420188kdocument.htm" TargetMode="External"/><Relationship Id="rId104" Type="http://schemas.openxmlformats.org/officeDocument/2006/relationships/hyperlink" Target="http://www.sec.gov/Archives/edgar/data/34903/000092838502002234/d8a12ba.txt" TargetMode="External"/><Relationship Id="rId105" Type="http://schemas.openxmlformats.org/officeDocument/2006/relationships/hyperlink" Target="http://www.sec.gov/Archives/edgar/data/34903/000119312517299279/d4535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2019-12-02T00:00:56Z</dcterms:created>
  <dcterms:modified xsi:type="dcterms:W3CDTF">2019-12-02T00:00:56Z</dcterms:modified>
</cp:coreProperties>
</file>