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4"/>
          <w:szCs w:val="24"/>
          <w:color w:val="auto"/>
        </w:rPr>
      </w:pPr>
    </w:p>
    <w:p>
      <w:pPr>
        <w:spacing w:after="0" w:line="2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5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QUARTERLY REPORT PURSUANT TO THE SECTION 13 OR 15(D) OF THE SECURITIES EXCHANGE ACT OF 1934</w:t>
      </w:r>
    </w:p>
    <w:p>
      <w:pPr>
        <w:spacing w:after="0" w:line="1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2022</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84"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91" w:lineRule="exact"/>
        <w:rPr>
          <w:sz w:val="24"/>
          <w:szCs w:val="24"/>
          <w:color w:val="auto"/>
        </w:rPr>
      </w:pPr>
    </w:p>
    <w:p>
      <w:pPr>
        <w:ind w:left="4060"/>
        <w:spacing w:after="0"/>
        <w:tabs>
          <w:tab w:leader="none" w:pos="654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Commission file number: 1-07533 (Federal Realty Investment Trust)</w:t>
      </w:r>
    </w:p>
    <w:p>
      <w:pPr>
        <w:spacing w:after="0" w:line="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Commission file number: 333-262016-01 (Federal Realty OP LP)</w:t>
      </w:r>
    </w:p>
    <w:p>
      <w:pPr>
        <w:spacing w:after="0" w:line="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t>FEDERAL REALTY INVESTMENT TRUST</w:t>
      </w:r>
    </w:p>
    <w:p>
      <w:pPr>
        <w:spacing w:after="0" w:line="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t>FEDERAL REALTY OP LP</w:t>
      </w:r>
    </w:p>
    <w:p>
      <w:pPr>
        <w:spacing w:after="0" w:line="5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02"/>
        </w:trPr>
        <w:tc>
          <w:tcPr>
            <w:tcW w:w="4620" w:type="dxa"/>
            <w:vAlign w:val="bottom"/>
            <w:gridSpan w:val="4"/>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rPr>
              <w:t>Maryland (Federal Realty Investment Trust)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87-3916363</w:t>
            </w:r>
          </w:p>
        </w:tc>
        <w:tc>
          <w:tcPr>
            <w:tcW w:w="20" w:type="dxa"/>
            <w:vAlign w:val="bottom"/>
          </w:tcPr>
          <w:p>
            <w:pPr>
              <w:spacing w:after="0"/>
              <w:rPr>
                <w:sz w:val="17"/>
                <w:szCs w:val="17"/>
                <w:color w:val="auto"/>
              </w:rPr>
            </w:pPr>
          </w:p>
        </w:tc>
      </w:tr>
      <w:tr>
        <w:trPr>
          <w:trHeight w:val="203"/>
        </w:trPr>
        <w:tc>
          <w:tcPr>
            <w:tcW w:w="4620" w:type="dxa"/>
            <w:vAlign w:val="bottom"/>
            <w:gridSpan w:val="4"/>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rPr>
              <w:t>Delaware (Federal Realty OP LP)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52-0782497</w:t>
            </w:r>
          </w:p>
        </w:tc>
        <w:tc>
          <w:tcPr>
            <w:tcW w:w="20" w:type="dxa"/>
            <w:vAlign w:val="bottom"/>
          </w:tcPr>
          <w:p>
            <w:pPr>
              <w:spacing w:after="0"/>
              <w:rPr>
                <w:sz w:val="17"/>
                <w:szCs w:val="17"/>
                <w:color w:val="auto"/>
              </w:rPr>
            </w:pPr>
          </w:p>
        </w:tc>
      </w:tr>
      <w:tr>
        <w:trPr>
          <w:trHeight w:val="203"/>
        </w:trPr>
        <w:tc>
          <w:tcPr>
            <w:tcW w:w="4620" w:type="dxa"/>
            <w:vAlign w:val="bottom"/>
            <w:gridSpan w:val="4"/>
          </w:tcPr>
          <w:p>
            <w:pPr>
              <w:jc w:val="center"/>
              <w:ind w:right="244"/>
              <w:spacing w:after="0"/>
              <w:rPr>
                <w:sz w:val="20"/>
                <w:szCs w:val="20"/>
                <w:color w:val="auto"/>
              </w:rPr>
            </w:pPr>
            <w:r>
              <w:rPr>
                <w:rFonts w:ascii="Times New Roman" w:cs="Times New Roman" w:eastAsia="Times New Roman" w:hAnsi="Times New Roman"/>
                <w:sz w:val="15"/>
                <w:szCs w:val="15"/>
                <w:b w:val="1"/>
                <w:bCs w:val="1"/>
                <w:color w:val="auto"/>
              </w:rPr>
              <w:t>(State of Organization)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40" w:type="dxa"/>
            <w:vAlign w:val="bottom"/>
            <w:gridSpan w:val="2"/>
          </w:tcPr>
          <w:p>
            <w:pPr>
              <w:jc w:val="center"/>
              <w:ind w:left="84"/>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tc>
      </w:tr>
      <w:tr>
        <w:trPr>
          <w:trHeight w:val="348"/>
        </w:trPr>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340" w:type="dxa"/>
            <w:vAlign w:val="bottom"/>
            <w:gridSpan w:val="12"/>
          </w:tcPr>
          <w:p>
            <w:pPr>
              <w:jc w:val="center"/>
              <w:ind w:right="2140"/>
              <w:spacing w:after="0"/>
              <w:rPr>
                <w:sz w:val="20"/>
                <w:szCs w:val="20"/>
                <w:color w:val="auto"/>
              </w:rPr>
            </w:pPr>
            <w:r>
              <w:rPr>
                <w:rFonts w:ascii="Times New Roman" w:cs="Times New Roman" w:eastAsia="Times New Roman" w:hAnsi="Times New Roman"/>
                <w:sz w:val="15"/>
                <w:szCs w:val="15"/>
                <w:b w:val="1"/>
                <w:bCs w:val="1"/>
                <w:color w:val="auto"/>
              </w:rPr>
              <w:t>909 Rose Avenue, Suite 200, North Bethesda, Maryland 20852</w:t>
            </w:r>
          </w:p>
        </w:tc>
      </w:tr>
      <w:tr>
        <w:trPr>
          <w:trHeight w:val="190"/>
        </w:trPr>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gridSpan w:val="9"/>
          </w:tcPr>
          <w:p>
            <w:pPr>
              <w:jc w:val="center"/>
              <w:ind w:left="88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16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3"/>
          </w:tcPr>
          <w:p>
            <w:pPr>
              <w:jc w:val="center"/>
              <w:ind w:left="244"/>
              <w:spacing w:after="0"/>
              <w:rPr>
                <w:sz w:val="20"/>
                <w:szCs w:val="20"/>
                <w:color w:val="auto"/>
              </w:rPr>
            </w:pPr>
            <w:r>
              <w:rPr>
                <w:rFonts w:ascii="Times New Roman" w:cs="Times New Roman" w:eastAsia="Times New Roman" w:hAnsi="Times New Roman"/>
                <w:sz w:val="15"/>
                <w:szCs w:val="15"/>
                <w:b w:val="1"/>
                <w:bCs w:val="1"/>
                <w:color w:val="auto"/>
              </w:rPr>
              <w:t>(301) 998-8100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0"/>
        </w:trPr>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40" w:type="dxa"/>
            <w:vAlign w:val="bottom"/>
            <w:gridSpan w:val="12"/>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401"/>
        </w:trPr>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00" w:type="dxa"/>
            <w:vAlign w:val="bottom"/>
            <w:gridSpan w:val="8"/>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Federal Realty Investment Trust</w:t>
            </w: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164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5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520" w:type="dxa"/>
            <w:vAlign w:val="bottom"/>
            <w:tcBorders>
              <w:top w:val="single" w:sz="8" w:color="auto"/>
            </w:tcBorders>
            <w:gridSpan w:val="2"/>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15"/>
        </w:trPr>
        <w:tc>
          <w:tcPr>
            <w:tcW w:w="4620" w:type="dxa"/>
            <w:vAlign w:val="bottom"/>
            <w:gridSpan w:val="4"/>
          </w:tcPr>
          <w:p>
            <w:pPr>
              <w:jc w:val="center"/>
              <w:ind w:right="44"/>
              <w:spacing w:after="0"/>
              <w:rPr>
                <w:sz w:val="20"/>
                <w:szCs w:val="20"/>
                <w:color w:val="auto"/>
              </w:rPr>
            </w:pPr>
            <w:r>
              <w:rPr>
                <w:rFonts w:ascii="Times New Roman" w:cs="Times New Roman" w:eastAsia="Times New Roman" w:hAnsi="Times New Roman"/>
                <w:sz w:val="15"/>
                <w:szCs w:val="15"/>
                <w:color w:val="auto"/>
              </w:rPr>
              <w:t>Common Shares of Beneficial Interest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center"/>
              <w:ind w:right="1100"/>
              <w:spacing w:after="0"/>
              <w:rPr>
                <w:sz w:val="20"/>
                <w:szCs w:val="20"/>
                <w:color w:val="auto"/>
              </w:rPr>
            </w:pPr>
            <w:r>
              <w:rPr>
                <w:rFonts w:ascii="Times New Roman" w:cs="Times New Roman" w:eastAsia="Times New Roman" w:hAnsi="Times New Roman"/>
                <w:sz w:val="15"/>
                <w:szCs w:val="15"/>
                <w:color w:val="auto"/>
              </w:rPr>
              <w:t>FRT</w:t>
            </w:r>
          </w:p>
        </w:tc>
        <w:tc>
          <w:tcPr>
            <w:tcW w:w="60" w:type="dxa"/>
            <w:vAlign w:val="bottom"/>
          </w:tcPr>
          <w:p>
            <w:pPr>
              <w:spacing w:after="0"/>
              <w:rPr>
                <w:sz w:val="18"/>
                <w:szCs w:val="18"/>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203"/>
        </w:trPr>
        <w:tc>
          <w:tcPr>
            <w:tcW w:w="4620" w:type="dxa"/>
            <w:vAlign w:val="bottom"/>
            <w:gridSpan w:val="4"/>
          </w:tcPr>
          <w:p>
            <w:pPr>
              <w:jc w:val="center"/>
              <w:ind w:right="44"/>
              <w:spacing w:after="0"/>
              <w:rPr>
                <w:sz w:val="20"/>
                <w:szCs w:val="20"/>
                <w:color w:val="auto"/>
              </w:rPr>
            </w:pPr>
            <w:r>
              <w:rPr>
                <w:rFonts w:ascii="Times New Roman" w:cs="Times New Roman" w:eastAsia="Times New Roman" w:hAnsi="Times New Roman"/>
                <w:sz w:val="15"/>
                <w:szCs w:val="15"/>
                <w:color w:val="auto"/>
              </w:rPr>
              <w:t>$.01 par value per share, with associated Common Share Purchase Rights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7"/>
        </w:trPr>
        <w:tc>
          <w:tcPr>
            <w:tcW w:w="4620" w:type="dxa"/>
            <w:vAlign w:val="bottom"/>
            <w:gridSpan w:val="4"/>
          </w:tcPr>
          <w:p>
            <w:pPr>
              <w:jc w:val="center"/>
              <w:ind w:right="64"/>
              <w:spacing w:after="0"/>
              <w:rPr>
                <w:sz w:val="20"/>
                <w:szCs w:val="20"/>
                <w:color w:val="auto"/>
              </w:rPr>
            </w:pPr>
            <w:r>
              <w:rPr>
                <w:rFonts w:ascii="Times New Roman" w:cs="Times New Roman" w:eastAsia="Times New Roman" w:hAnsi="Times New Roman"/>
                <w:sz w:val="15"/>
                <w:szCs w:val="15"/>
                <w:color w:val="auto"/>
              </w:rPr>
              <w:t>Depositary Shares, each representing 1/1000 of a share of</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5"/>
          </w:tcPr>
          <w:p>
            <w:pPr>
              <w:jc w:val="center"/>
              <w:ind w:right="1100"/>
              <w:spacing w:after="0"/>
              <w:rPr>
                <w:sz w:val="20"/>
                <w:szCs w:val="20"/>
                <w:color w:val="auto"/>
              </w:rPr>
            </w:pPr>
            <w:r>
              <w:rPr>
                <w:rFonts w:ascii="Times New Roman" w:cs="Times New Roman" w:eastAsia="Times New Roman" w:hAnsi="Times New Roman"/>
                <w:sz w:val="15"/>
                <w:szCs w:val="15"/>
                <w:color w:val="auto"/>
                <w:w w:val="93"/>
              </w:rPr>
              <w:t>FRT-C</w:t>
            </w:r>
          </w:p>
        </w:tc>
        <w:tc>
          <w:tcPr>
            <w:tcW w:w="6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157"/>
        </w:trPr>
        <w:tc>
          <w:tcPr>
            <w:tcW w:w="4620" w:type="dxa"/>
            <w:vAlign w:val="bottom"/>
            <w:gridSpan w:val="4"/>
          </w:tcPr>
          <w:p>
            <w:pPr>
              <w:jc w:val="center"/>
              <w:ind w:right="64"/>
              <w:spacing w:after="0" w:line="156" w:lineRule="exact"/>
              <w:rPr>
                <w:sz w:val="20"/>
                <w:szCs w:val="20"/>
                <w:color w:val="auto"/>
              </w:rPr>
            </w:pPr>
            <w:r>
              <w:rPr>
                <w:rFonts w:ascii="Times New Roman" w:cs="Times New Roman" w:eastAsia="Times New Roman" w:hAnsi="Times New Roman"/>
                <w:sz w:val="15"/>
                <w:szCs w:val="15"/>
                <w:color w:val="auto"/>
              </w:rPr>
              <w:t>5.00% Series C Cumulative Redeemable Preferred Stock, $.01 par value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8"/>
        </w:trPr>
        <w:tc>
          <w:tcPr>
            <w:tcW w:w="1640" w:type="dxa"/>
            <w:vAlign w:val="bottom"/>
          </w:tcPr>
          <w:p>
            <w:pPr>
              <w:spacing w:after="0"/>
              <w:rPr>
                <w:sz w:val="17"/>
                <w:szCs w:val="17"/>
                <w:color w:val="auto"/>
              </w:rPr>
            </w:pPr>
          </w:p>
        </w:tc>
        <w:tc>
          <w:tcPr>
            <w:tcW w:w="2980" w:type="dxa"/>
            <w:vAlign w:val="bottom"/>
            <w:gridSpan w:val="3"/>
          </w:tcPr>
          <w:p>
            <w:pPr>
              <w:jc w:val="center"/>
              <w:ind w:right="1704"/>
              <w:spacing w:after="0"/>
              <w:rPr>
                <w:sz w:val="20"/>
                <w:szCs w:val="20"/>
                <w:color w:val="auto"/>
              </w:rPr>
            </w:pPr>
            <w:r>
              <w:rPr>
                <w:rFonts w:ascii="Times New Roman" w:cs="Times New Roman" w:eastAsia="Times New Roman" w:hAnsi="Times New Roman"/>
                <w:sz w:val="15"/>
                <w:szCs w:val="15"/>
                <w:color w:val="auto"/>
              </w:rPr>
              <w:t>per share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7"/>
        </w:trPr>
        <w:tc>
          <w:tcPr>
            <w:tcW w:w="1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gridSpan w:val="7"/>
          </w:tcPr>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Federal Realty OP LP</w:t>
            </w:r>
          </w:p>
        </w:tc>
        <w:tc>
          <w:tcPr>
            <w:tcW w:w="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164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76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200" w:type="dxa"/>
            <w:vAlign w:val="bottom"/>
            <w:tcBorders>
              <w:top w:val="single" w:sz="8" w:color="auto"/>
            </w:tcBorders>
            <w:gridSpan w:val="2"/>
          </w:tcPr>
          <w:p>
            <w:pPr>
              <w:spacing w:after="0"/>
              <w:rPr>
                <w:sz w:val="22"/>
                <w:szCs w:val="22"/>
                <w:color w:val="auto"/>
              </w:rPr>
            </w:pPr>
          </w:p>
        </w:tc>
        <w:tc>
          <w:tcPr>
            <w:tcW w:w="920" w:type="dxa"/>
            <w:vAlign w:val="bottom"/>
            <w:gridSpan w:val="2"/>
          </w:tcPr>
          <w:p>
            <w:pPr>
              <w:spacing w:after="0"/>
              <w:rPr>
                <w:sz w:val="22"/>
                <w:szCs w:val="22"/>
                <w:color w:val="auto"/>
              </w:rPr>
            </w:pP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15"/>
        </w:trPr>
        <w:tc>
          <w:tcPr>
            <w:tcW w:w="16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17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1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0" w:type="dxa"/>
            <w:vAlign w:val="bottom"/>
          </w:tcPr>
          <w:p>
            <w:pPr>
              <w:spacing w:after="0"/>
              <w:rPr>
                <w:sz w:val="18"/>
                <w:szCs w:val="18"/>
                <w:color w:val="auto"/>
              </w:rPr>
            </w:pPr>
          </w:p>
        </w:tc>
      </w:tr>
    </w:tbl>
    <w:p>
      <w:pPr>
        <w:spacing w:after="0" w:line="188" w:lineRule="exact"/>
        <w:rPr>
          <w:sz w:val="24"/>
          <w:szCs w:val="24"/>
          <w:color w:val="auto"/>
        </w:rPr>
      </w:pPr>
    </w:p>
    <w:p>
      <w:pPr>
        <w:ind w:right="120"/>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59"/>
        <w:spacing w:after="0" w:line="161" w:lineRule="exact"/>
        <w:tabs>
          <w:tab w:leader="none" w:pos="12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12"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jc w:val="center"/>
        <w:ind w:right="-119"/>
        <w:spacing w:after="0" w:line="161" w:lineRule="exact"/>
        <w:tabs>
          <w:tab w:leader="none" w:pos="12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23" w:lineRule="exact"/>
        <w:rPr>
          <w:sz w:val="24"/>
          <w:szCs w:val="24"/>
          <w:color w:val="auto"/>
        </w:rPr>
      </w:pPr>
    </w:p>
    <w:p>
      <w:pPr>
        <w:ind w:right="540"/>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40"/>
          </w:cols>
          <w:pgMar w:left="320" w:top="232" w:right="439" w:bottom="1440" w:gutter="0" w:footer="0" w:header="0"/>
        </w:sectPr>
      </w:pPr>
    </w:p>
    <w:p>
      <w:pPr>
        <w:spacing w:after="0" w:line="20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ind w:right="1720" w:hanging="916"/>
        <w:spacing w:after="0" w:line="291" w:lineRule="auto"/>
        <w:rPr>
          <w:sz w:val="20"/>
          <w:szCs w:val="20"/>
          <w:color w:val="auto"/>
        </w:rPr>
      </w:pPr>
      <w:r>
        <w:rPr>
          <w:rFonts w:ascii="Times New Roman" w:cs="Times New Roman" w:eastAsia="Times New Roman" w:hAnsi="Times New Roman"/>
          <w:sz w:val="14"/>
          <w:szCs w:val="14"/>
          <w:color w:val="auto"/>
        </w:rPr>
        <w:t>Federal Realty Investment Trust</w:t>
      </w:r>
      <w:r>
        <w:rPr>
          <w:sz w:val="20"/>
          <w:szCs w:val="20"/>
          <w:color w:val="auto"/>
        </w:rPr>
        <w:t xml:space="preserve"> </w:t>
      </w:r>
      <w:r>
        <w:rPr>
          <w:rFonts w:ascii="Times New Roman" w:cs="Times New Roman" w:eastAsia="Times New Roman" w:hAnsi="Times New Roman"/>
          <w:sz w:val="14"/>
          <w:szCs w:val="14"/>
          <w:color w:val="auto"/>
        </w:rPr>
        <w:t>Federal Realty OP LP Accelerated filer Large Accelerated Filer Accelerated filer</w:t>
      </w:r>
    </w:p>
    <w:p>
      <w:pPr>
        <w:spacing w:after="0" w:line="195" w:lineRule="exact"/>
        <w:rPr>
          <w:sz w:val="24"/>
          <w:szCs w:val="24"/>
          <w:color w:val="auto"/>
        </w:rPr>
      </w:pPr>
    </w:p>
    <w:p>
      <w:pPr>
        <w:sectPr>
          <w:pgSz w:w="11900" w:h="16838" w:orient="portrait"/>
          <w:cols w:equalWidth="0" w:num="2">
            <w:col w:w="1820" w:space="720"/>
            <w:col w:w="8600"/>
          </w:cols>
          <w:pgMar w:left="320" w:top="232" w:right="439" w:bottom="1440" w:gutter="0" w:footer="0" w:header="0"/>
          <w:type w:val="continuous"/>
        </w:sectPr>
      </w:pPr>
    </w:p>
    <w:p>
      <w:pPr>
        <w:jc w:val="center"/>
        <w:ind w:left="48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3" w:lineRule="exact"/>
        <w:rPr>
          <w:sz w:val="24"/>
          <w:szCs w:val="24"/>
          <w:color w:val="auto"/>
        </w:rPr>
      </w:pPr>
    </w:p>
    <w:p>
      <w:pPr>
        <w:sectPr>
          <w:pgSz w:w="11900" w:h="16838" w:orient="portrait"/>
          <w:cols w:equalWidth="0" w:num="4">
            <w:col w:w="4040" w:space="720"/>
            <w:col w:w="2640" w:space="720"/>
            <w:col w:w="1860" w:space="720"/>
            <w:col w:w="440"/>
          </w:cols>
          <w:pgMar w:left="320" w:top="232" w:right="4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7" w:lineRule="exact"/>
        <w:rPr>
          <w:sz w:val="24"/>
          <w:szCs w:val="24"/>
          <w:color w:val="auto"/>
        </w:rPr>
      </w:pPr>
    </w:p>
    <w:p>
      <w:pPr>
        <w:sectPr>
          <w:pgSz w:w="11900" w:h="16838" w:orient="portrait"/>
          <w:cols w:equalWidth="0" w:num="4">
            <w:col w:w="1820" w:space="720"/>
            <w:col w:w="2660" w:space="720"/>
            <w:col w:w="1820" w:space="720"/>
            <w:col w:w="2680"/>
          </w:cols>
          <w:pgMar w:left="320" w:top="232" w:right="439" w:bottom="1440" w:gutter="0" w:footer="0" w:header="0"/>
          <w:type w:val="continuous"/>
        </w:sectPr>
      </w:pPr>
    </w:p>
    <w:p>
      <w:pPr>
        <w:jc w:val="center"/>
        <w:ind w:left="48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3" w:lineRule="exact"/>
        <w:rPr>
          <w:sz w:val="24"/>
          <w:szCs w:val="24"/>
          <w:color w:val="auto"/>
        </w:rPr>
      </w:pPr>
    </w:p>
    <w:p>
      <w:pPr>
        <w:sectPr>
          <w:pgSz w:w="11900" w:h="16838" w:orient="portrait"/>
          <w:cols w:equalWidth="0" w:num="4">
            <w:col w:w="4040" w:space="720"/>
            <w:col w:w="2640" w:space="720"/>
            <w:col w:w="1860" w:space="720"/>
            <w:col w:w="440"/>
          </w:cols>
          <w:pgMar w:left="320" w:top="232" w:right="439" w:bottom="1440" w:gutter="0" w:footer="0" w:header="0"/>
          <w:type w:val="continuous"/>
        </w:sectPr>
      </w:pPr>
    </w:p>
    <w:p>
      <w:pPr>
        <w:ind w:left="25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7" w:lineRule="exact"/>
        <w:rPr>
          <w:sz w:val="24"/>
          <w:szCs w:val="24"/>
          <w:color w:val="auto"/>
        </w:rPr>
      </w:pPr>
    </w:p>
    <w:p>
      <w:pPr>
        <w:sectPr>
          <w:pgSz w:w="11900" w:h="16838" w:orient="portrait"/>
          <w:cols w:equalWidth="0" w:num="2">
            <w:col w:w="7740" w:space="720"/>
            <w:col w:w="2680"/>
          </w:cols>
          <w:pgMar w:left="320" w:top="232" w:right="439" w:bottom="1440" w:gutter="0" w:footer="0" w:header="0"/>
          <w:type w:val="continuous"/>
        </w:sectPr>
      </w:pPr>
    </w:p>
    <w:p>
      <w:pPr>
        <w:ind w:left="476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ectPr>
          <w:pgSz w:w="11900" w:h="16838" w:orient="portrait"/>
          <w:cols w:equalWidth="0" w:num="2">
            <w:col w:w="9980" w:space="720"/>
            <w:col w:w="440"/>
          </w:cols>
          <w:pgMar w:left="320" w:top="232" w:right="439" w:bottom="1440" w:gutter="0" w:footer="0" w:header="0"/>
          <w:type w:val="continuous"/>
        </w:sectPr>
      </w:pPr>
    </w:p>
    <w:p>
      <w:pPr>
        <w:ind w:right="80"/>
        <w:spacing w:after="0" w:line="271" w:lineRule="auto"/>
        <w:rPr>
          <w:sz w:val="20"/>
          <w:szCs w:val="20"/>
          <w:color w:val="auto"/>
        </w:rPr>
      </w:pPr>
      <w:r>
        <w:rPr>
          <w:rFonts w:ascii="Times New Roman" w:cs="Times New Roman" w:eastAsia="Times New Roman" w:hAnsi="Times New Roman"/>
          <w:sz w:val="14"/>
          <w:szCs w:val="14"/>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1140"/>
          </w:cols>
          <w:pgMar w:left="320" w:top="232" w:right="439" w:bottom="1440" w:gutter="0" w:footer="0" w:header="0"/>
          <w:type w:val="continuous"/>
        </w:sectPr>
      </w:pPr>
    </w:p>
    <w:p>
      <w:pPr>
        <w:ind w:left="3080"/>
        <w:spacing w:after="0" w:line="161" w:lineRule="exact"/>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jc w:val="center"/>
        <w:spacing w:after="0" w:line="14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Federal Realty OP LP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0" w:lineRule="exact"/>
        <w:rPr>
          <w:sz w:val="24"/>
          <w:szCs w:val="24"/>
          <w:color w:val="auto"/>
        </w:rPr>
      </w:pPr>
    </w:p>
    <w:p>
      <w:pPr>
        <w:sectPr>
          <w:pgSz w:w="11900" w:h="16838" w:orient="portrait"/>
          <w:cols w:equalWidth="0" w:num="4">
            <w:col w:w="5100" w:space="60"/>
            <w:col w:w="220" w:space="140"/>
            <w:col w:w="2120" w:space="140"/>
            <w:col w:w="3360"/>
          </w:cols>
          <w:pgMar w:left="320" w:top="232" w:right="439" w:bottom="1440" w:gutter="0" w:footer="0" w:header="0"/>
          <w:type w:val="continuous"/>
        </w:sectPr>
      </w:pP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7" w:lineRule="exact"/>
        <w:rPr>
          <w:sz w:val="24"/>
          <w:szCs w:val="24"/>
          <w:color w:val="auto"/>
        </w:rPr>
      </w:pPr>
    </w:p>
    <w:p>
      <w:pPr>
        <w:ind w:left="3080"/>
        <w:spacing w:after="0" w:line="161" w:lineRule="exact"/>
        <w:tabs>
          <w:tab w:leader="none" w:pos="550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18" w:lineRule="exact"/>
        <w:rPr>
          <w:sz w:val="24"/>
          <w:szCs w:val="24"/>
          <w:color w:val="auto"/>
        </w:rPr>
      </w:pPr>
    </w:p>
    <w:p>
      <w:pPr>
        <w:sectPr>
          <w:pgSz w:w="11900" w:h="16838" w:orient="portrait"/>
          <w:cols w:equalWidth="0" w:num="2">
            <w:col w:w="7640" w:space="160"/>
            <w:col w:w="3340"/>
          </w:cols>
          <w:pgMar w:left="320" w:top="232"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 number of registrant’s common shares outstanding on May 2, 2022 was 79,420,226.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2"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quarter ended March 31, 2022,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spacing w:after="0" w:line="6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March 31, 2022, the Parent Company owned 100% of the outstanding partnership units (the "OP Units") in the Operating Partnership.</w:t>
      </w:r>
    </w:p>
    <w:p>
      <w:pPr>
        <w:spacing w:after="0" w:line="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combining the quarterly reports on Form 10-Q of the Parent Company and the Operating Partnership into this single report provides the following benefits:</w:t>
      </w:r>
    </w:p>
    <w:p>
      <w:pPr>
        <w:spacing w:after="0" w:line="40" w:lineRule="exact"/>
        <w:rPr>
          <w:sz w:val="20"/>
          <w:szCs w:val="20"/>
          <w:color w:val="auto"/>
        </w:rPr>
      </w:pPr>
    </w:p>
    <w:p>
      <w:pPr>
        <w:ind w:left="660" w:right="1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the Parent Company and the Operating Partnership by enabling investors to view the businesses as a whole in the same manner as management views and operates the business;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duplicate disclosure and provides a more streamlined and readable presentation;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Stockholders' equity, partner capital, and non-controlling interests are the primary areas of difference between the unaudited Condensed Consolidated Financial Statements of the Parent Company and those of the Operating Partnership. The Operating Partnership’s capital currently includes OP Units owned by the Parent, and may in the future include OP Units owned by third parties. OP Units owned by third parties, if any, are accounted for in capital in the Operating Partnership’s financial statements and in non-controlling interests in the Parent Company’s financial statements.</w:t>
      </w:r>
    </w:p>
    <w:p>
      <w:pPr>
        <w:spacing w:after="0" w:line="5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Parent Company consolidates the Operating Partnership for financial reporting purposes, and the Parent Company does not have assets other than its investment in the Operating Partnership. Therefore, while stockholders’ equity and partners' capital differ as discussed above, the assets and liabilities of the Parent Company and the Operating Partnership are the same on their respective financial statements.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MARCH 31, 2022</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394"/>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Consolidated Balance Sheets (unaudited) as of March 31, 2022 and December 31, 2021</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months ended March 31, 2022 and 2021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Shareholders' Equity (unaudited) for the three months ended March 31, 2022 and 2021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three months ended March 31, 2022 and 2021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35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Consolidated Balance Sheets (unaudited) as of March 31, 2022 and December 31, 2021</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months ended March 31, 2022 and 2021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Capital (unaudited) for the three months ended March 31, 2022 and 2021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three months ended March 31, 2022 and 2021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r>
      <w:tr>
        <w:trPr>
          <w:trHeight w:val="35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 and Federal Realty OP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11</w:t>
            </w: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480"/>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480"/>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4"/>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89"/>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0" w:type="dxa"/>
            <w:vAlign w:val="bottom"/>
          </w:tcPr>
          <w:p>
            <w:pPr>
              <w:spacing w:after="0"/>
              <w:rPr>
                <w:sz w:val="1"/>
                <w:szCs w:val="1"/>
                <w:color w:val="auto"/>
              </w:rPr>
            </w:pPr>
          </w:p>
        </w:tc>
      </w:tr>
      <w:tr>
        <w:trPr>
          <w:trHeight w:val="190"/>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at cost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(including $2,210,901 and $2,207,648 of consolidated variable interest entities, respectively)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8,843,063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8,814,791</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$21,677 and $18,752 of consolidated variable interest entities,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662,985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607,271</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9,506,048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9,422,062</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$403,533 and $389,950 of consolidated variable</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(2,587,121)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(2,531,095)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 estate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6,918,927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6,890,967</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169,007</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49,832</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237,069</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7,622,320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$334,640 and $335,301 of consolidated variable interest entities,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339,993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Notes payable,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3,406,491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3,406,088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235,168</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206,187</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4,739,755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4,745,464</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213,708</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Preferred shares, authorized 15,000,000 shares, $.01 par:</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80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176"/>
        </w:trPr>
        <w:tc>
          <w:tcPr>
            <w:tcW w:w="8600" w:type="dxa"/>
            <w:vAlign w:val="bottom"/>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399,896 shares issued and outstanding</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$.01 par, 100,000,000 shares authorized, 79,417,472 and 78,603,305</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3,572,591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3,488,794</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(1,066,932)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2,633,758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2,580,602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82,546</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2,714,577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2,663,148</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7,622,320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217,135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218,161</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63,874</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152,790</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0" w:type="dxa"/>
            <w:vAlign w:val="bottom"/>
          </w:tcPr>
          <w:p>
            <w:pPr>
              <w:spacing w:after="0"/>
              <w:rPr>
                <w:sz w:val="1"/>
                <w:szCs w:val="1"/>
                <w:color w:val="auto"/>
              </w:rPr>
            </w:pPr>
          </w:p>
        </w:tc>
      </w:tr>
      <w:tr>
        <w:trPr>
          <w:trHeight w:val="196"/>
        </w:trPr>
        <w:tc>
          <w:tcPr>
            <w:tcW w:w="8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interest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46,226</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78,446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76,842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 DILUTED:</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TRUST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5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 and 2021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1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6"/>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8"/>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tcBorders>
              <w:top w:val="single" w:sz="8" w:color="auto"/>
            </w:tcBorders>
            <w:gridSpan w:val="4"/>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3"/>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4"/>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Excess of Net</w:t>
            </w:r>
          </w:p>
        </w:tc>
        <w:tc>
          <w:tcPr>
            <w:tcW w:w="20" w:type="dxa"/>
            <w:vAlign w:val="bottom"/>
            <w:vMerge w:val="restart"/>
          </w:tcPr>
          <w:p>
            <w:pPr>
              <w:spacing w:after="0"/>
              <w:rPr>
                <w:sz w:val="2"/>
                <w:szCs w:val="2"/>
                <w:color w:val="auto"/>
              </w:rPr>
            </w:pPr>
          </w:p>
        </w:tc>
        <w:tc>
          <w:tcPr>
            <w:tcW w:w="1060" w:type="dxa"/>
            <w:vAlign w:val="bottom"/>
            <w:gridSpan w:val="5"/>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5"/>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vMerge w:val="restart"/>
          </w:tcPr>
          <w:p>
            <w:pPr>
              <w:spacing w:after="0"/>
              <w:rPr>
                <w:sz w:val="2"/>
                <w:szCs w:val="2"/>
                <w:color w:val="auto"/>
              </w:rPr>
            </w:pPr>
          </w:p>
        </w:tc>
        <w:tc>
          <w:tcPr>
            <w:tcW w:w="88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02"/>
        </w:trPr>
        <w:tc>
          <w:tcPr>
            <w:tcW w:w="3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8"/>
                <w:szCs w:val="8"/>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8"/>
                <w:szCs w:val="8"/>
                <w:color w:val="auto"/>
              </w:rPr>
            </w:pPr>
          </w:p>
        </w:tc>
        <w:tc>
          <w:tcPr>
            <w:tcW w:w="68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940" w:type="dxa"/>
            <w:vAlign w:val="bottom"/>
            <w:gridSpan w:val="4"/>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060" w:type="dxa"/>
            <w:vAlign w:val="bottom"/>
            <w:gridSpan w:val="5"/>
            <w:vMerge w:val="continue"/>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4"/>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11"/>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405,896</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$ 159,997</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78,603,305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3,488,794</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(1,066,932)</w:t>
            </w: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2,663,148</w:t>
            </w:r>
          </w:p>
        </w:tc>
        <w:tc>
          <w:tcPr>
            <w:tcW w:w="0" w:type="dxa"/>
            <w:vAlign w:val="bottom"/>
          </w:tcPr>
          <w:p>
            <w:pPr>
              <w:spacing w:after="0"/>
              <w:rPr>
                <w:sz w:val="1"/>
                <w:szCs w:val="1"/>
                <w:color w:val="auto"/>
              </w:rPr>
            </w:pPr>
          </w:p>
        </w:tc>
      </w:tr>
      <w:tr>
        <w:trPr>
          <w:trHeight w:val="139"/>
        </w:trPr>
        <w:tc>
          <w:tcPr>
            <w:tcW w:w="3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$1,735 attributable to</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51,984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52,993</w:t>
            </w:r>
          </w:p>
        </w:tc>
        <w:tc>
          <w:tcPr>
            <w:tcW w:w="0" w:type="dxa"/>
            <w:vAlign w:val="bottom"/>
          </w:tcPr>
          <w:p>
            <w:pPr>
              <w:spacing w:after="0"/>
              <w:rPr>
                <w:sz w:val="1"/>
                <w:szCs w:val="1"/>
                <w:color w:val="auto"/>
              </w:rPr>
            </w:pPr>
          </w:p>
        </w:tc>
      </w:tr>
      <w:tr>
        <w:trPr>
          <w:trHeight w:val="19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income - change in fair value</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of interest rate swaps, excluding $344 attributable to</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declared to common shareholders ($1.07</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(84,196)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(84,196)</w:t>
            </w:r>
          </w:p>
        </w:tc>
        <w:tc>
          <w:tcPr>
            <w:tcW w:w="0" w:type="dxa"/>
            <w:vAlign w:val="bottom"/>
          </w:tcPr>
          <w:p>
            <w:pPr>
              <w:spacing w:after="0"/>
              <w:rPr>
                <w:sz w:val="1"/>
                <w:szCs w:val="1"/>
                <w:color w:val="auto"/>
              </w:rPr>
            </w:pPr>
          </w:p>
        </w:tc>
      </w:tr>
      <w:tr>
        <w:trPr>
          <w:trHeight w:val="19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0" w:type="dxa"/>
            <w:vAlign w:val="bottom"/>
          </w:tcPr>
          <w:p>
            <w:pPr>
              <w:spacing w:after="0"/>
              <w:rPr>
                <w:sz w:val="1"/>
                <w:szCs w:val="1"/>
                <w:color w:val="auto"/>
              </w:rPr>
            </w:pPr>
          </w:p>
        </w:tc>
      </w:tr>
      <w:tr>
        <w:trPr>
          <w:trHeight w:val="139"/>
        </w:trPr>
        <w:tc>
          <w:tcPr>
            <w:tcW w:w="3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excluding $1,744 attributable to redeemable</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729,769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82,741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82,749</w:t>
            </w: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146"/>
        </w:trPr>
        <w:tc>
          <w:tcPr>
            <w:tcW w:w="32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Share-based compensation expense, net of</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108,891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0" w:type="dxa"/>
            <w:vAlign w:val="bottom"/>
          </w:tcPr>
          <w:p>
            <w:pPr>
              <w:spacing w:after="0"/>
              <w:rPr>
                <w:sz w:val="1"/>
                <w:szCs w:val="1"/>
                <w:color w:val="auto"/>
              </w:rPr>
            </w:pPr>
          </w:p>
        </w:tc>
      </w:tr>
      <w:tr>
        <w:trPr>
          <w:trHeight w:val="198"/>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7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(38,270)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and redemption of downREIT OP units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405,896</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color w:val="auto"/>
                <w:w w:val="99"/>
              </w:rPr>
              <w:t>$ 159,997</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79,417,472</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3,572,591</w:t>
            </w:r>
          </w:p>
        </w:tc>
        <w:tc>
          <w:tcPr>
            <w:tcW w:w="100" w:type="dxa"/>
            <w:vAlign w:val="bottom"/>
          </w:tcPr>
          <w:p>
            <w:pPr>
              <w:spacing w:after="0"/>
              <w:rPr>
                <w:sz w:val="16"/>
                <w:szCs w:val="16"/>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 (1,101,154)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2,714,577</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40" w:type="dxa"/>
            <w:vAlign w:val="bottom"/>
            <w:gridSpan w:val="2"/>
          </w:tcPr>
          <w:p>
            <w:pPr>
              <w:spacing w:after="0"/>
              <w:rPr>
                <w:sz w:val="17"/>
                <w:szCs w:val="17"/>
                <w:color w:val="auto"/>
              </w:rPr>
            </w:pPr>
          </w:p>
        </w:tc>
        <w:tc>
          <w:tcPr>
            <w:tcW w:w="7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405,896</w:t>
            </w:r>
          </w:p>
        </w:tc>
        <w:tc>
          <w:tcPr>
            <w:tcW w:w="7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$ 159,997</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76,727,394</w:t>
            </w:r>
          </w:p>
        </w:tc>
        <w:tc>
          <w:tcPr>
            <w:tcW w:w="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771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3,297,305</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(988,272)</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(5,644)</w:t>
            </w: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84,590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2,548,747</w:t>
            </w:r>
          </w:p>
        </w:tc>
        <w:tc>
          <w:tcPr>
            <w:tcW w:w="0" w:type="dxa"/>
            <w:vAlign w:val="bottom"/>
          </w:tcPr>
          <w:p>
            <w:pPr>
              <w:spacing w:after="0"/>
              <w:rPr>
                <w:sz w:val="1"/>
                <w:szCs w:val="1"/>
                <w:color w:val="auto"/>
              </w:rPr>
            </w:pPr>
          </w:p>
        </w:tc>
      </w:tr>
      <w:tr>
        <w:trPr>
          <w:trHeight w:val="139"/>
        </w:trPr>
        <w:tc>
          <w:tcPr>
            <w:tcW w:w="3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$808 attributable to redeemable</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48,236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48,931</w:t>
            </w:r>
          </w:p>
        </w:tc>
        <w:tc>
          <w:tcPr>
            <w:tcW w:w="0" w:type="dxa"/>
            <w:vAlign w:val="bottom"/>
          </w:tcPr>
          <w:p>
            <w:pPr>
              <w:spacing w:after="0"/>
              <w:rPr>
                <w:sz w:val="1"/>
                <w:szCs w:val="1"/>
                <w:color w:val="auto"/>
              </w:rPr>
            </w:pPr>
          </w:p>
        </w:tc>
      </w:tr>
      <w:tr>
        <w:trPr>
          <w:trHeight w:val="19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income - change in fair value of</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rate swaps, excluding $350 attributable to</w:t>
            </w: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0" w:type="dxa"/>
            <w:vAlign w:val="bottom"/>
          </w:tcPr>
          <w:p>
            <w:pPr>
              <w:spacing w:after="0"/>
              <w:rPr>
                <w:sz w:val="1"/>
                <w:szCs w:val="1"/>
                <w:color w:val="auto"/>
              </w:rPr>
            </w:pPr>
          </w:p>
        </w:tc>
      </w:tr>
      <w:tr>
        <w:trPr>
          <w:trHeight w:val="198"/>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declared to common shareholders ($1.06</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(82,371)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(82,371)</w:t>
            </w:r>
          </w:p>
        </w:tc>
        <w:tc>
          <w:tcPr>
            <w:tcW w:w="0" w:type="dxa"/>
            <w:vAlign w:val="bottom"/>
          </w:tcPr>
          <w:p>
            <w:pPr>
              <w:spacing w:after="0"/>
              <w:rPr>
                <w:sz w:val="1"/>
                <w:szCs w:val="1"/>
                <w:color w:val="auto"/>
              </w:rPr>
            </w:pPr>
          </w:p>
        </w:tc>
      </w:tr>
      <w:tr>
        <w:trPr>
          <w:trHeight w:val="19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0" w:type="dxa"/>
            <w:vAlign w:val="bottom"/>
          </w:tcPr>
          <w:p>
            <w:pPr>
              <w:spacing w:after="0"/>
              <w:rPr>
                <w:sz w:val="1"/>
                <w:szCs w:val="1"/>
                <w:color w:val="auto"/>
              </w:rPr>
            </w:pPr>
          </w:p>
        </w:tc>
      </w:tr>
      <w:tr>
        <w:trPr>
          <w:trHeight w:val="139"/>
        </w:trPr>
        <w:tc>
          <w:tcPr>
            <w:tcW w:w="3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excluding $696 attributable to redeemable</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19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847,493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87,206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87,214</w:t>
            </w: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6,280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147,712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(27,429)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and redemption of downREIT OP units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5,016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405,896</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$ 159,997</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77,706,466</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781</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3,386,917</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(1,024,417)</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83,982</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2,604,960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4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49,739</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63,874</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decrease in accounts receivable,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prepaid expenses and other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increase in accounts payable and accrued expenses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security deposits and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115,106</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(68,527)</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(15,189)</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from partnerships in excess of earnings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Leasing costs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mortgage and other notes receivable,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(74,841)</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mortgages, finance leases and notes payable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(48,845)</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shares, net of costs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87,329</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 to common and preferred shareholders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(82,913)</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Distributions to and redemptions of noncontrolling interests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(48,719)</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816,896</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178,189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808,442</w:t>
            </w:r>
          </w:p>
        </w:tc>
      </w:tr>
      <w:tr>
        <w:trPr>
          <w:trHeight w:val="21"/>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unit data)</w:t>
            </w:r>
          </w:p>
        </w:tc>
        <w:tc>
          <w:tcPr>
            <w:tcW w:w="0" w:type="dxa"/>
            <w:vAlign w:val="bottom"/>
          </w:tcPr>
          <w:p>
            <w:pPr>
              <w:spacing w:after="0"/>
              <w:rPr>
                <w:sz w:val="1"/>
                <w:szCs w:val="1"/>
                <w:color w:val="auto"/>
              </w:rPr>
            </w:pPr>
          </w:p>
        </w:tc>
      </w:tr>
      <w:tr>
        <w:trPr>
          <w:trHeight w:val="191"/>
        </w:trPr>
        <w:tc>
          <w:tcPr>
            <w:tcW w:w="8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at cost</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(including $2,210,901 and $2,207,648 of consolidated variable interest entities, respectively)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8,843,063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8,814,791</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$21,677 and $18,752 of consolidated variable interest entities,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662,985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607,271</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9,506,048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9,422,062</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$403,533 and $389,950 of consolidated variable</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(2,587,121)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(2,531,095)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 estate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6,918,927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6,890,967</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169,007</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49,832</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237,069</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7,622,320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CAPITAL</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$334,640 and $335,301 of consolidated variable interest entities,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339,993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Notes payable,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3,406,491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3,406,088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235,168</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206,187</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4,739,755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4,745,464</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213,708</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 capital</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Preferred units, 405,896 units issued and outstanding</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154,963</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Common units, 79,417,472 and 78,603,305 units issued and outstanding at March 31, 2022 and December</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31, 2021, respectively</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2,477,270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2,427,686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partner capital</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2,633,758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2,580,602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Noncontrolling interests in consolidated partnerships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82,546</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capital</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2,714,577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2,663,148</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CAPITAL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7,622,320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217,135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218,161</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63,874</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152,790</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interest income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on preferred units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46,226</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UNIT, BASIC:</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units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78,446</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76,842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UNIT, DILUTED:</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units</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PARTNERSHIP</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5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 and 2021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Partner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40" w:type="dxa"/>
            <w:vAlign w:val="bottom"/>
          </w:tcPr>
          <w:p>
            <w:pPr>
              <w:spacing w:after="0"/>
              <w:rPr>
                <w:sz w:val="12"/>
                <w:szCs w:val="12"/>
                <w:color w:val="auto"/>
              </w:rPr>
            </w:pPr>
          </w:p>
        </w:tc>
        <w:tc>
          <w:tcPr>
            <w:tcW w:w="11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40" w:type="dxa"/>
            <w:vAlign w:val="bottom"/>
          </w:tcPr>
          <w:p>
            <w:pPr>
              <w:spacing w:after="0"/>
              <w:rPr>
                <w:sz w:val="12"/>
                <w:szCs w:val="12"/>
                <w:color w:val="auto"/>
              </w:rPr>
            </w:pPr>
          </w:p>
        </w:tc>
        <w:tc>
          <w:tcPr>
            <w:tcW w:w="11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42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154,963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2,427,686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2,580,602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82,546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2,663,148</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$1,735 attributable to redeemable</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49,974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51,984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1,009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52,993</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income - change in fair value of interest rate</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swaps, excluding $344 attributable to redeemable noncontrolling</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(84,196)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(84,196)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(84,196)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partnerships, excluding $1,744 attributable to redeemable</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82,749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82,749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82,749</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and redemption of downREIT OP units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360" w:type="dxa"/>
            <w:vAlign w:val="bottom"/>
            <w:tcBorders>
              <w:top w:val="single" w:sz="8" w:color="auto"/>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154,963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top w:val="single" w:sz="8" w:color="auto"/>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2,477,270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2,633,758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80,819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2,714,577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154,963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2,314,838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(5,644)</w:t>
            </w: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2,464,157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84,590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2,548,747</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$808 attributable to redeemable noncontrolling</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46,226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48,236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48,931</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income - change in fair value of interest rate</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swaps, excluding $350 attributable to redeemable noncontrolling</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(82,371)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(82,371)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(82,371)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(2,010)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(2,010)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partnerships, excluding $696 attributable to redeemable noncontrolling</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87,214</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(2,805)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(2,805)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and redemption of downREIT OP units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40" w:type="dxa"/>
            <w:vAlign w:val="bottom"/>
          </w:tcPr>
          <w:p>
            <w:pPr>
              <w:spacing w:after="0"/>
              <w:rPr>
                <w:sz w:val="16"/>
                <w:szCs w:val="16"/>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154,963</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2,368,315</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(2,300)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2,520,978</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83,982</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2,604,960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4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49,739</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63,874</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decrease in accounts receivable,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prepaid expenses and other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increase in accounts payable and accrued expenses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security deposits and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115,106</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(68,527)</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(15,189)</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from partnerships in excess of earnings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Leasing costs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mortgage and other notes receivable,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mortgages, finance leases and notes payable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(48,845)</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units, net of costs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87,329</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common and preferred unit holders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(82,913)</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Distributions to and redemptions of noncontrolling interests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(48,719)</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816,896</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178,189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808,442</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4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Federal Realty Investment Trust (the "Parent Company" and the “Trust”) is an equity real estate investment trust (“REIT”). Federal Realty OP LP (the "Operating Partnership") is the entity through which the Parent Company conducts substantially all of its operations and owns all of its assets. The Parent Company owns 100% of the limited liability company interests of, is sole member of and exercises exclusive control over Federal Realty GP LLC ("the General Partner"), which in turn, is the sole general partner of the Operating Partnership. The Parent Company specializes in the ownership, management, and redevelopment of retail and mixed-use properties through the Operating Partnership, and has no other substantial assets or liabilities other than through its investment in the Operating Partnership. Our properties are located primarily in communities where we believe retail demand exceeds supply, in strategically selected metropolitan markets in the Mid-Atlantic and Northeast regions of the United States, California, and South Florida. As of March 31, 2022, we owned or had a majority interest in community and neighborhood shopping centers and mixed-use properties which are operated as 104 predominantly retail real estate projects.</w:t>
      </w:r>
    </w:p>
    <w:p>
      <w:pPr>
        <w:spacing w:after="0" w:line="1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January 2022, we completed a reorganization into an umbrella partnership real estate investment trust, or "UPREIT." For additional information on our UPREIT reorganization, please see our Current Reports on Form 8-K filed with the SEC on January 3, 2022 and January 5, 2022, as well our latest Annual Report on Form 10-K filed on February 10, 2022. Immediately following the reorganization, the Parent Company had the same consolidated assets and liabilities as Federal Realty Investment Trust immediately before the reorganization. The Parent Company exercises exclusive control over the General Partner and does not have assets or liabilities other than its investment in the Operating Partnership. As a result, the UPREIT reorganization represented a merger of entities under common control in accordance with accounting principles generally accepted in the United States ("GAAP"). Accordingly, the accompanying consolidated financial statements including the notes thereto, are presented as if the UPREIT reorganization had occurred at the earliest period presented.</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months ended March 31, 2022 are not necessarily indicative of the results that may be expected for the full year. Certain 2021 amounts have been reclassified to conform to our current period presentation.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As discussed in the </w:t>
      </w:r>
      <w:r>
        <w:rPr>
          <w:rFonts w:ascii="Times New Roman" w:cs="Times New Roman" w:eastAsia="Times New Roman" w:hAnsi="Times New Roman"/>
          <w:sz w:val="18"/>
          <w:szCs w:val="18"/>
          <w:u w:val="single" w:color="auto"/>
          <w:color w:val="0000FF"/>
        </w:rPr>
        <w:t>Explanatory Note</w:t>
      </w:r>
      <w:r>
        <w:rPr>
          <w:rFonts w:ascii="Times New Roman" w:cs="Times New Roman" w:eastAsia="Times New Roman" w:hAnsi="Times New Roman"/>
          <w:sz w:val="18"/>
          <w:szCs w:val="18"/>
          <w:color w:val="auto"/>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(“VIE”).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COVID-19 Pandemic</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continue to monitor and address risks related to the COVID-19 pandemic, and while we currently expect the impact to our properties to be temporary in nature, the extent of the future effects of COVID-19 on our business, results of operations, cash flows, and growth prospects is highly uncertain and will ultimately depend on future developments, none of which can be predicted with any certainty.</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overall economy is showing signs of recovery from the initial impacts of COVID-19; however, workforce shortages, global supply chain bottlenecks and shortages, inflation, as well as COVID-19 variants and the effectiveness of vaccines against variants are impacting the pace of recovery. Our collection of rents has continued to improve including collecting rents related to prior periods. As a result, our collectibility related adjustments were immaterial during the three months ended March 31, 2022, as compared to collectibility related adjustments of $14.8 million during the three months ended March 31, 2021, which reflected lower levels of cash collections and elevated levels of rent abatements and disputes directly related to COVID-19. As of March 31, 2022, the revenue from approximately 33% of our tenants (based on total commercial leases) is being recognized on a cash basis.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see Item 2. Management's Discussion and Analysis of Financial Condition and Results of Operations - Outlook.</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120" w:type="dxa"/>
            <w:vAlign w:val="bottom"/>
            <w:vMerge w:val="restart"/>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vMerge w:val="restart"/>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on the financial statements or</w:t>
            </w:r>
          </w:p>
        </w:tc>
        <w:tc>
          <w:tcPr>
            <w:tcW w:w="0" w:type="dxa"/>
            <w:vAlign w:val="bottom"/>
          </w:tcPr>
          <w:p>
            <w:pPr>
              <w:spacing w:after="0"/>
              <w:rPr>
                <w:sz w:val="1"/>
                <w:szCs w:val="1"/>
                <w:color w:val="auto"/>
              </w:rPr>
            </w:pPr>
          </w:p>
        </w:tc>
      </w:tr>
      <w:tr>
        <w:trPr>
          <w:trHeight w:val="238"/>
        </w:trPr>
        <w:tc>
          <w:tcPr>
            <w:tcW w:w="20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54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matters</w:t>
            </w:r>
          </w:p>
        </w:tc>
        <w:tc>
          <w:tcPr>
            <w:tcW w:w="0" w:type="dxa"/>
            <w:vAlign w:val="bottom"/>
          </w:tcPr>
          <w:p>
            <w:pPr>
              <w:spacing w:after="0"/>
              <w:rPr>
                <w:sz w:val="1"/>
                <w:szCs w:val="1"/>
                <w:color w:val="auto"/>
              </w:rPr>
            </w:pPr>
          </w:p>
        </w:tc>
      </w:tr>
      <w:tr>
        <w:trPr>
          <w:trHeight w:val="19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ASU 2020-04, March 2020,</w:t>
            </w: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This ASU provides companies with optional practical expedients to ease the</w:t>
            </w:r>
          </w:p>
        </w:tc>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 are still evaluating the impact of reference</w:t>
            </w:r>
          </w:p>
        </w:tc>
        <w:tc>
          <w:tcPr>
            <w:tcW w:w="0" w:type="dxa"/>
            <w:vAlign w:val="bottom"/>
          </w:tcPr>
          <w:p>
            <w:pPr>
              <w:spacing w:after="0"/>
              <w:rPr>
                <w:sz w:val="1"/>
                <w:szCs w:val="1"/>
                <w:color w:val="auto"/>
              </w:rPr>
            </w:pPr>
          </w:p>
        </w:tc>
      </w:tr>
      <w:tr>
        <w:trPr>
          <w:trHeight w:val="176"/>
        </w:trPr>
        <w:tc>
          <w:tcPr>
            <w:tcW w:w="2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i w:val="1"/>
                <w:iCs w:val="1"/>
                <w:color w:val="auto"/>
              </w:rPr>
              <w:t>Reference Rate Reform</w:t>
            </w:r>
          </w:p>
        </w:tc>
        <w:tc>
          <w:tcPr>
            <w:tcW w:w="5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accounting burden for contract modifications associated with transitioning</w:t>
            </w:r>
          </w:p>
        </w:tc>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rate reform and whether we will apply any of</w:t>
            </w:r>
          </w:p>
        </w:tc>
        <w:tc>
          <w:tcPr>
            <w:tcW w:w="0" w:type="dxa"/>
            <w:vAlign w:val="bottom"/>
          </w:tcPr>
          <w:p>
            <w:pPr>
              <w:spacing w:after="0"/>
              <w:rPr>
                <w:sz w:val="1"/>
                <w:szCs w:val="1"/>
                <w:color w:val="auto"/>
              </w:rPr>
            </w:pPr>
          </w:p>
        </w:tc>
      </w:tr>
      <w:tr>
        <w:trPr>
          <w:trHeight w:val="184"/>
        </w:trPr>
        <w:tc>
          <w:tcPr>
            <w:tcW w:w="22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i w:val="1"/>
                <w:iCs w:val="1"/>
                <w:color w:val="auto"/>
              </w:rPr>
              <w:t>(Topic 848)</w:t>
            </w:r>
          </w:p>
        </w:tc>
        <w:tc>
          <w:tcPr>
            <w:tcW w:w="55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color w:val="auto"/>
              </w:rPr>
              <w:t>away from LIBOR and other interbank offered rates that are expected to be</w:t>
            </w:r>
          </w:p>
        </w:tc>
        <w:tc>
          <w:tcPr>
            <w:tcW w:w="348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these practical expedients.</w:t>
            </w:r>
          </w:p>
        </w:tc>
        <w:tc>
          <w:tcPr>
            <w:tcW w:w="0" w:type="dxa"/>
            <w:vAlign w:val="bottom"/>
          </w:tcPr>
          <w:p>
            <w:pPr>
              <w:spacing w:after="0"/>
              <w:rPr>
                <w:sz w:val="1"/>
                <w:szCs w:val="1"/>
                <w:color w:val="auto"/>
              </w:rPr>
            </w:pPr>
          </w:p>
        </w:tc>
      </w:tr>
    </w:tbl>
    <w:p>
      <w:pPr>
        <w:ind w:left="2220"/>
        <w:spacing w:after="0" w:line="215" w:lineRule="auto"/>
        <w:rPr>
          <w:sz w:val="20"/>
          <w:szCs w:val="20"/>
          <w:color w:val="auto"/>
        </w:rPr>
      </w:pPr>
      <w:r>
        <w:rPr>
          <w:rFonts w:ascii="Times New Roman" w:cs="Times New Roman" w:eastAsia="Times New Roman" w:hAnsi="Times New Roman"/>
          <w:sz w:val="17"/>
          <w:szCs w:val="17"/>
          <w:color w:val="auto"/>
        </w:rPr>
        <w:t>discontinued as part of reference rate reform. For hedges, the guidance</w:t>
      </w:r>
    </w:p>
    <w:p>
      <w:pPr>
        <w:ind w:left="2220"/>
        <w:spacing w:after="0" w:line="215" w:lineRule="auto"/>
        <w:rPr>
          <w:sz w:val="20"/>
          <w:szCs w:val="20"/>
          <w:color w:val="auto"/>
        </w:rPr>
      </w:pPr>
      <w:r>
        <w:rPr>
          <w:rFonts w:ascii="Times New Roman" w:cs="Times New Roman" w:eastAsia="Times New Roman" w:hAnsi="Times New Roman"/>
          <w:sz w:val="17"/>
          <w:szCs w:val="17"/>
          <w:color w:val="auto"/>
        </w:rPr>
        <w:t>generally allows changes to the reference rate and other critical terms without</w:t>
      </w:r>
    </w:p>
    <w:p>
      <w:pPr>
        <w:ind w:left="2220"/>
        <w:spacing w:after="0" w:line="199" w:lineRule="auto"/>
        <w:rPr>
          <w:sz w:val="20"/>
          <w:szCs w:val="20"/>
          <w:color w:val="auto"/>
        </w:rPr>
      </w:pPr>
      <w:r>
        <w:rPr>
          <w:rFonts w:ascii="Times New Roman" w:cs="Times New Roman" w:eastAsia="Times New Roman" w:hAnsi="Times New Roman"/>
          <w:sz w:val="17"/>
          <w:szCs w:val="17"/>
          <w:color w:val="auto"/>
        </w:rPr>
        <w:t>having to de-designate the hedging relationship, as well as allows the shortcut</w:t>
      </w:r>
    </w:p>
    <w:p>
      <w:pPr>
        <w:ind w:left="2220"/>
        <w:spacing w:after="0" w:line="216" w:lineRule="auto"/>
        <w:rPr>
          <w:sz w:val="20"/>
          <w:szCs w:val="20"/>
          <w:color w:val="auto"/>
        </w:rPr>
      </w:pPr>
      <w:r>
        <w:rPr>
          <w:rFonts w:ascii="Times New Roman" w:cs="Times New Roman" w:eastAsia="Times New Roman" w:hAnsi="Times New Roman"/>
          <w:sz w:val="17"/>
          <w:szCs w:val="17"/>
          <w:color w:val="auto"/>
        </w:rPr>
        <w:t>method to continue to be applied. For contract modifications, changes in the</w:t>
      </w:r>
    </w:p>
    <w:p>
      <w:pPr>
        <w:ind w:left="2220"/>
        <w:spacing w:after="0" w:line="215" w:lineRule="auto"/>
        <w:rPr>
          <w:sz w:val="20"/>
          <w:szCs w:val="20"/>
          <w:color w:val="auto"/>
        </w:rPr>
      </w:pPr>
      <w:r>
        <w:rPr>
          <w:rFonts w:ascii="Times New Roman" w:cs="Times New Roman" w:eastAsia="Times New Roman" w:hAnsi="Times New Roman"/>
          <w:sz w:val="17"/>
          <w:szCs w:val="17"/>
          <w:color w:val="auto"/>
        </w:rPr>
        <w:t>reference rate or other critical terms will be treated as a continuation of the</w:t>
      </w:r>
    </w:p>
    <w:p>
      <w:pPr>
        <w:spacing w:after="0" w:line="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prior contract.</w:t>
      </w:r>
    </w:p>
    <w:p>
      <w:pPr>
        <w:spacing w:after="0" w:line="10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This guidance can be applied immediately, however, is generally only</w:t>
      </w:r>
    </w:p>
    <w:p>
      <w:pPr>
        <w:ind w:left="2220"/>
        <w:spacing w:after="0"/>
        <w:rPr>
          <w:sz w:val="20"/>
          <w:szCs w:val="20"/>
          <w:color w:val="auto"/>
        </w:rPr>
      </w:pPr>
      <w:r>
        <w:rPr>
          <w:rFonts w:ascii="Times New Roman" w:cs="Times New Roman" w:eastAsia="Times New Roman" w:hAnsi="Times New Roman"/>
          <w:sz w:val="17"/>
          <w:szCs w:val="17"/>
          <w:color w:val="auto"/>
        </w:rPr>
        <w:t>available through December 31, 2022.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Flows—Supplemental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supplemental disclosures related to the Consolidated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6"/>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5"/>
          </w:tcPr>
          <w:p>
            <w:pPr>
              <w:jc w:val="center"/>
              <w:ind w:left="7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6"/>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DISCLOSURES: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interest costs incurred</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8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Interest capitalized</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84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vMerge w:val="continue"/>
          </w:tcPr>
          <w:p>
            <w:pPr>
              <w:spacing w:after="0"/>
              <w:rPr>
                <w:sz w:val="17"/>
                <w:szCs w:val="17"/>
                <w:color w:val="auto"/>
              </w:rPr>
            </w:pPr>
          </w:p>
        </w:tc>
        <w:tc>
          <w:tcPr>
            <w:tcW w:w="8400" w:type="dxa"/>
            <w:vAlign w:val="bottom"/>
            <w:vMerge w:val="continue"/>
          </w:tcPr>
          <w:p>
            <w:pPr>
              <w:spacing w:after="0"/>
              <w:rPr>
                <w:sz w:val="17"/>
                <w:szCs w:val="17"/>
                <w:color w:val="auto"/>
              </w:rPr>
            </w:pPr>
          </w:p>
        </w:tc>
        <w:tc>
          <w:tcPr>
            <w:tcW w:w="260" w:type="dxa"/>
            <w:vAlign w:val="bottom"/>
            <w:tcBorders>
              <w:bottom w:val="single" w:sz="8" w:color="auto"/>
            </w:tcBorders>
            <w:gridSpan w:val="2"/>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30,436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gridSpan w:val="2"/>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DownREIT operating partnership units redeemed for common shares</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issued under dividend reinvestment plan</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6"/>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 (1)</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178,189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175,163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Restricted cash balances are included in "prepaid expenses and other assets" on our consolidated balance sheets.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3—DEBT</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maximum amount of borrowings outstanding under our $1.0 billion revolving credit facility was $38.0 million, the weighted average amount of borrowings outstanding was $3.8 million, and the weighted average interest rate, before amortization of debt fees, was 1.2%. At March 31, 2022, our revolving credit facility had no balance outstanding.</w:t>
      </w:r>
    </w:p>
    <w:p>
      <w:pPr>
        <w:spacing w:after="0" w:line="4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Effective April 1, 2022, as a result of the change in our credit rating, the spread over LIBOR on our revolving credit facility increased from 77.5 basis points to 82.5 basis, and the spread over LIBOR on our unsecured term loan increased from 80 basis points to 85 basis points.</w:t>
      </w:r>
    </w:p>
    <w:p>
      <w:pPr>
        <w:spacing w:after="0" w:line="4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March 31, 2022, we were in compliance with all default related debt covenants.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OF FINANCIAL INSTRUMENTS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6"/>
                <w:szCs w:val="16"/>
                <w:color w:val="auto"/>
              </w:rPr>
            </w:pPr>
          </w:p>
        </w:tc>
        <w:tc>
          <w:tcPr>
            <w:tcW w:w="2520" w:type="dxa"/>
            <w:vAlign w:val="bottom"/>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41"/>
              <w:spacing w:after="0" w:line="15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tcPr>
          <w:p>
            <w:pPr>
              <w:jc w:val="right"/>
              <w:ind w:right="321"/>
              <w:spacing w:after="0" w:line="15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3"/>
                <w:szCs w:val="13"/>
                <w:color w:val="auto"/>
              </w:rPr>
            </w:pPr>
          </w:p>
        </w:tc>
        <w:tc>
          <w:tcPr>
            <w:tcW w:w="110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4"/>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Mortgages and notes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640,776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641,459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0" w:type="dxa"/>
            <w:vAlign w:val="bottom"/>
          </w:tcPr>
          <w:p>
            <w:pPr>
              <w:spacing w:after="0"/>
              <w:rPr>
                <w:sz w:val="1"/>
                <w:szCs w:val="1"/>
                <w:color w:val="auto"/>
              </w:rPr>
            </w:pP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3,406,491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3,367,161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3,406,088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3,649,776</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March 31, 2022, we have two interest rate swap agreements with notional amounts of $56.1 million that are measured at fair value on a recurring basis. The interest rate swap agreements fix the interest rate on $56.1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March 31, 2022 was an asset of $1.9 million and is included in "prepaid expenses and other assets" on our consolidated balance sheet. For the three months ended March 31, 2022, the value of our interest rate swaps increased $3.4 million (including $0.2 million reclassified from other comprehensive income to interest expense). A summary of our financial assets (liabilities) that are measured at fair value on a recurring basis, by level within the fair value hierarchy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0" w:type="dxa"/>
            <w:vAlign w:val="bottom"/>
          </w:tcPr>
          <w:p>
            <w:pPr>
              <w:spacing w:after="0"/>
              <w:rPr>
                <w:sz w:val="16"/>
                <w:szCs w:val="16"/>
                <w:color w:val="auto"/>
              </w:rPr>
            </w:pPr>
          </w:p>
        </w:tc>
      </w:tr>
      <w:tr>
        <w:trPr>
          <w:trHeight w:val="23"/>
        </w:trPr>
        <w:tc>
          <w:tcPr>
            <w:tcW w:w="28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28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7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1,930</w:t>
            </w:r>
          </w:p>
        </w:tc>
        <w:tc>
          <w:tcPr>
            <w:tcW w:w="78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bl>
    <w:p>
      <w:pPr>
        <w:spacing w:after="0" w:line="15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One of our equity method investees has two interest rate swaps which qualify for cash flow hedge accounting. For the three ended March 31, 2022, our share of the change in fair value of the related swaps included in "accumulated other comprehensive income" was an increase of $0.5 million.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5—COMMITMENTS AND CONTINGENCIES</w:t>
      </w:r>
    </w:p>
    <w:p>
      <w:pPr>
        <w:spacing w:after="0" w:line="9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terms of certain partnership agreements, the partners have the right to exchange their operating partnership units for cash or common shares, at our option. A total of 656,824 downREIT operating partnership units are outstanding which have a total fair value of approximately $80.2 million, which is calculated by multiplying the outstanding number of downREIT partnership units by our closing stock price on March 31,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6—SHAREHOLDERS’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dividends declared and paid per share: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
        </w:trPr>
        <w:tc>
          <w:tcPr>
            <w:tcW w:w="7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7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r>
      <w:tr>
        <w:trPr>
          <w:trHeight w:val="196"/>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20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2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3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r>
      <w:tr>
        <w:trPr>
          <w:trHeight w:val="229"/>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Series C Cumulative Redeemable Preferred shares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0.313</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0.313</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Amount represents dividends per depository share, each representing 1/1000th of a share.</w:t>
      </w:r>
    </w:p>
    <w:p>
      <w:pPr>
        <w:spacing w:after="0" w:line="25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February 14, 2022, we replaced our existing ATM equity program with a new ATM equity program under which we may from time to time offer and sell common shares having an aggregate offering price of up to $500.0 million. The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5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2022, we settled forward sales agreements by issuing 729,751 common shares for net proceeds of $82.7 million. We have outstanding forward sales agreements covering 1,473,904 common shares for potential net proceeds at March 31, 2022 of $178.4 million. The open forward shares agreements may be settled at any time on or before various required settlement dates ranging from August 2022 to December 2022. The forward price that we will receive upon physical settlement of the agreements is subject to the adjustment for (i) a floating interest rate factor equal to a specified daily rate less a spread, (ii) the forward purchasers' stock borrowing costs and (iii) scheduled dividends during the term of the forward sale agreements. We have the full remaining capacity to issue up to $500.0 million in common shares under our ATM equity program as of March 31,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7—SHARE-BASED COMPENSATION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share-based compensation expense included in net income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40" w:type="dxa"/>
            <w:vAlign w:val="bottom"/>
            <w:gridSpan w:val="4"/>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r>
      <w:tr>
        <w:trPr>
          <w:trHeight w:val="202"/>
        </w:trPr>
        <w:tc>
          <w:tcPr>
            <w:tcW w:w="8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gridSpan w:val="3"/>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7"/>
                <w:szCs w:val="17"/>
                <w:color w:val="auto"/>
              </w:rPr>
            </w:pP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196"/>
        </w:trPr>
        <w:tc>
          <w:tcPr>
            <w:tcW w:w="8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gridSpan w:val="3"/>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7"/>
                <w:szCs w:val="17"/>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Grants of common shares, restricted stock units, and options</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share-based compensation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8—EARNINGS PER SHARE AND UNIT</w:t>
      </w:r>
    </w:p>
    <w:p>
      <w:pPr>
        <w:spacing w:after="0" w:line="10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both the three months ended March 31, 2022 and 2021,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potentially issuable shares were excluded from the diluted EPS and EPU calculations because their impact is anti-dilutive:</w:t>
      </w:r>
    </w:p>
    <w:p>
      <w:pPr>
        <w:spacing w:after="0" w:line="6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exercise of 2,363 stock options for the three months ended March 31, 2021,</w:t>
      </w:r>
    </w:p>
    <w:p>
      <w:pPr>
        <w:spacing w:after="0" w:line="63" w:lineRule="exact"/>
        <w:rPr>
          <w:rFonts w:ascii="Times New Roman" w:cs="Times New Roman" w:eastAsia="Times New Roman" w:hAnsi="Times New Roman"/>
          <w:sz w:val="18"/>
          <w:szCs w:val="18"/>
          <w:b w:val="1"/>
          <w:bCs w:val="1"/>
          <w:color w:val="auto"/>
        </w:rPr>
      </w:pPr>
    </w:p>
    <w:p>
      <w:pPr>
        <w:ind w:left="660" w:right="3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of downREIT operating partnership units and 5.417% Series 1 Cumulative Convertible Preferred Shares for both the three months ended March 31, 2022 and 2021,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3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0.7 million and 0.3 million shares and units issuable under common share forward sales agreements for the three months ended March 31, 2022 and 2021, respectively.</w:t>
      </w:r>
    </w:p>
    <w:p>
      <w:pPr>
        <w:spacing w:after="0" w:line="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10,441 unvested restricted stock units are excluded from the diluted EPS and EPU calculations as the market based performance criteria in the awards has not yet been achieved.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Realty Investment Trust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20" w:type="dxa"/>
            <w:vAlign w:val="bottom"/>
            <w:gridSpan w:val="4"/>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9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54,728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49,739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share dividends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from operations attributable to noncontrolling interests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(2,744)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shares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 basic and diluted</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49,667</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45,932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78,446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76,842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Open forward contracts for share issuances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78,543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76,842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 AND DILUTED:</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Federal Realty OP LP Earnings per Unit</w:t>
            </w: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8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260" w:type="dxa"/>
            <w:vAlign w:val="bottom"/>
          </w:tcPr>
          <w:p>
            <w:pPr>
              <w:spacing w:after="0"/>
              <w:rPr>
                <w:sz w:val="24"/>
                <w:szCs w:val="24"/>
                <w:color w:val="auto"/>
              </w:rPr>
            </w:pPr>
          </w:p>
        </w:tc>
        <w:tc>
          <w:tcPr>
            <w:tcW w:w="2420" w:type="dxa"/>
            <w:vAlign w:val="bottom"/>
            <w:gridSpan w:val="4"/>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9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54,728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49,739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unit distributions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from operations attributable to noncontrolling interests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(2,744)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units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unit holders, basic and diluted</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49,667</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45,932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 basic</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78,446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76,842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Common unit issuances relating to open common share forward contracts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 diluted</w:t>
            </w: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78,543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76,842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UNIT, BASIC AND DILUTED:</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9—SUBSEQUENT EVENT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20, 2022, we acquired the fee interest in a 227,000 square foot shopping center in Kingstowne, Virginia for $100.0 million.</w:t>
      </w:r>
    </w:p>
    <w:p>
      <w:pPr>
        <w:spacing w:after="0" w:line="3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2021 filed with the Securities and Exchange Commission (the “SEC”) on February 10, 2022.</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6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are some of the risks and uncertainties, although not all risks and uncertainties, that could cause our actual results to differ materially from those presented in our forward-looking statements:</w:t>
      </w:r>
    </w:p>
    <w:p>
      <w:pPr>
        <w:ind w:left="340" w:right="70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w:t>
      </w:r>
    </w:p>
    <w:p>
      <w:pPr>
        <w:ind w:left="340" w:right="12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color w:val="212529"/>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340" w:right="52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w:t>
      </w:r>
    </w:p>
    <w:p>
      <w:pPr>
        <w:spacing w:after="0" w:line="1" w:lineRule="exact"/>
        <w:rPr>
          <w:rFonts w:ascii="Times New Roman" w:cs="Times New Roman" w:eastAsia="Times New Roman" w:hAnsi="Times New Roman"/>
          <w:sz w:val="18"/>
          <w:szCs w:val="18"/>
          <w:color w:val="auto"/>
        </w:rPr>
      </w:pPr>
    </w:p>
    <w:p>
      <w:pPr>
        <w:ind w:left="340" w:right="20" w:hanging="332"/>
        <w:spacing w:after="0" w:line="253"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any forward-looking statements that we make, including those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You should carefully review the risks and the risk factors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under Part II, Item 1A in this Quarterly Report on Form 10-Q, before making any investments in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interests of, and is sole member of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Operating Partnership. We specialize in the ownership, management, and redevelopment of high quality retail and mixed-use properties As of March 31, 2022, we owned or had a majority interest in community and neighborhood shopping centers and mixed-use properties which are operated as 104 predominantly retail real estate projects comprising approximately 24.9 million square feet. In total, the real estate projects were 93.7% leased and 91.2% occupied at March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COVID-19 Pandemic</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12529"/>
        </w:rPr>
        <w:t>We continue to monitor and address risks related to the COVID-19 pandemic, which we have been impacted by since March 2020. While t</w:t>
      </w:r>
      <w:r>
        <w:rPr>
          <w:rFonts w:ascii="Times New Roman" w:cs="Times New Roman" w:eastAsia="Times New Roman" w:hAnsi="Times New Roman"/>
          <w:sz w:val="18"/>
          <w:szCs w:val="18"/>
          <w:color w:val="000000"/>
        </w:rPr>
        <w:t>he overall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economy is showing signs of recovery from the initial impacts of COVID-19, workforce shortages, global supply chain bottlenecks and shortages, inflation, as well as COVID-19 variants, and the effectiveness of vaccines against variants are impacting the pace of recovery. Our results have continued to improve and collectibility related impacts have continued to decrease as businesses have re-opened and COVID-19 restrictions are generally lifted since the onset of the pandemic. While improving, our cash flow and results of operations in the three months ended March 31, 2022 continued to be adversely impacted, with vacancy levels remaining above historical levels. Although virtually all of our leases required the tenants to pay rent even while they were not operating, we entered into numerous agreements to abate, defer, and/or restructure tenant rent payments for varying periods of time, all with the objective of collecting as much cash as reasonably possible and maintaining occupancy to the maximum extent. We believe those actions positioned many of our tenants to be able to return to payment of contractual rent as soon as possible after the initial impacts from the pandemic have started to subside.</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collection of rents has continued to improve including collecting rents related to prior periods. As a result, our collectibility related adjustments were immaterial during the three months ended March 31, 2022, as compared to collectibility related adjustments of $14.8 million during the three months ended March 31, 2021, which reflected lower levels of cash collections and elevated levels of rent abatements and disputes directly related to COVID-19. As of March 31, 2022, the revenue from approximately 33% of our tenants (based on total commercial leases) is being recognized on a cash basis.</w:t>
      </w:r>
    </w:p>
    <w:p>
      <w:pPr>
        <w:spacing w:after="0" w:line="58" w:lineRule="exact"/>
        <w:rPr>
          <w:sz w:val="20"/>
          <w:szCs w:val="20"/>
          <w:color w:val="auto"/>
        </w:rPr>
      </w:pPr>
    </w:p>
    <w:p>
      <w:pPr>
        <w:ind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believe that the actions we have taken to improve our financial position and maximize our liquidity, as described further in the “Management’s Discussion and Analysis of Financial Condition and Results of Operations” in our 2021 Annual Report on </w:t>
      </w:r>
      <w:hyperlink r:id="rId26">
        <w:r>
          <w:rPr>
            <w:rFonts w:ascii="Times New Roman" w:cs="Times New Roman" w:eastAsia="Times New Roman" w:hAnsi="Times New Roman"/>
            <w:sz w:val="18"/>
            <w:szCs w:val="18"/>
            <w:u w:val="single" w:color="auto"/>
            <w:color w:val="0000FF"/>
          </w:rPr>
          <w:t>Form 10-K</w:t>
        </w:r>
      </w:hyperlink>
      <w:r>
        <w:rPr>
          <w:rFonts w:ascii="Times New Roman" w:cs="Times New Roman" w:eastAsia="Times New Roman" w:hAnsi="Times New Roman"/>
          <w:sz w:val="18"/>
          <w:szCs w:val="18"/>
          <w:color w:val="auto"/>
        </w:rPr>
        <w:t>, will continue to mitigate the impact to our cash flow caused by tenants not timely paying contractual rent.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of the impact of COVID-19 on our business throughout Item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significant changes to the critical accounting policies disclosed in “Management’s Discussion and Analysis of Financial Condition and Results of Operations” in our 2021 Annual Report on </w:t>
      </w:r>
      <w:hyperlink r:id="rId26">
        <w:r>
          <w:rPr>
            <w:rFonts w:ascii="Times New Roman" w:cs="Times New Roman" w:eastAsia="Times New Roman" w:hAnsi="Times New Roman"/>
            <w:sz w:val="18"/>
            <w:szCs w:val="18"/>
            <w:u w:val="single" w:color="auto"/>
            <w:color w:val="0000FF"/>
          </w:rPr>
          <w:t>Form 10-K</w:t>
        </w:r>
      </w:hyperlink>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Acquisition</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On April 20, 2022, we acquired the fee interest in a 227,000 square foot shopping center in Kingstowne, Virginia for $100.0 million. </w:t>
      </w:r>
      <w:r>
        <w:rPr>
          <w:rFonts w:ascii="Times New Roman" w:cs="Times New Roman" w:eastAsia="Times New Roman" w:hAnsi="Times New Roman"/>
          <w:sz w:val="17"/>
          <w:szCs w:val="17"/>
          <w:color w:val="auto"/>
        </w:rPr>
        <w:t>In July 2022, we expect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to close on the second phase of this acquisition for an additional purchase price of $100.0 million, subject to customary closing conditions. Once the remaining acquisition is complete, the property will comprise 410,000 total square feet.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Equity Transactions</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February 14, 2022, we replaced our existing ATM equity program with a new ATM equity program under which we may from time to time offer and sell common shares having an aggregate offering price of up to $500.0 million. The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4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2022, we settled forward sales agreements by issuing 729,751 common shares for net proceeds of $82.7 million. We have outstanding forward sales agreements covering 1,473,904 common shares for potential net proceeds at March 31, 2022 of $178.4 million. The open forward shares agreements may be settled at any time on or before various required settlement dates ranging from August 2022 to December 2022. The forward price that we will receive upon physical settlement of the agreements is subject to the adjustment for (i) a floating interest rate factor equal to a specified daily rate less a spread, (ii) the forward purchasers' stock borrowing costs and (iii) scheduled dividends during the term of the forward sale agreements. We have the full remaining capacity to issue up to $500.0 million in common shares under our ATM equity program as of March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Costs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$69 million and $3 million, respectively, for the three months ended March 31, 2022, and $82 million and $2 million for the three months ended March 31, 2021. We capitalized external and internal costs related to other property improvements of $22 million and $1 million, respectively, for the three months ended March 31, 2022, and $16 million and $1 million for the three months ended March 31, 2021. We capitalized external and internal costs related to leasing activities of $4 million and $1 million, respectively, for the three months ended</w:t>
      </w:r>
    </w:p>
    <w:p>
      <w:pPr>
        <w:spacing w:after="0" w:line="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March 31, 2022, and $2 million and $1 million, respectively, for the three months ended March 31, 2021. The amount of capitalized internal costs for salaries and related benefits for development and redevelopment activities, other property improvements, and leasing activities were $2 million, $1 million, and $1 million, respectively, for both the three months ended March 31, 2022 and 2021. Total capitalized costs were $99 million and $104 million for the three months ended March 31,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growth strategy is focused on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comparable property portfolio,</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portfolio from property redevelopments and expansions,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portfolio through property acquisitions.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While the ongoing COVID-19 pandemic is impacting us in the short-term, our long-term focus has not changed. See our 10-K filed on February 10, 2022, for discussion of our long-term strategies.</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212529"/>
        </w:rPr>
        <w:t xml:space="preserve">The COVID-19 pandemic continues to negatively impact our business with the largest current impacts being lower occupancy, the timing and level of rent collections, and supply chain disruptions. At </w:t>
      </w:r>
      <w:r>
        <w:rPr>
          <w:rFonts w:ascii="Times New Roman" w:cs="Times New Roman" w:eastAsia="Times New Roman" w:hAnsi="Times New Roman"/>
          <w:sz w:val="18"/>
          <w:szCs w:val="18"/>
          <w:color w:val="000000"/>
        </w:rPr>
        <w:t>March 31, 2022</w:t>
      </w:r>
      <w:r>
        <w:rPr>
          <w:rFonts w:ascii="Times New Roman" w:cs="Times New Roman" w:eastAsia="Times New Roman" w:hAnsi="Times New Roman"/>
          <w:sz w:val="18"/>
          <w:szCs w:val="18"/>
          <w:color w:val="212529"/>
        </w:rPr>
        <w:t xml:space="preserve">, our commercial space is 91.2% occupied, which is below historical levels largely due to tenant failures as a result of the pandemic. This lower occupancy will adversely impact our results until we can release the space and the tenant commences paying rent, as well as limit future vacancies caused by the pandemic. We are, however, experiencing strong demand for our commercial space as evidenced by the 2.0 </w:t>
      </w:r>
      <w:r>
        <w:rPr>
          <w:rFonts w:ascii="Times New Roman" w:cs="Times New Roman" w:eastAsia="Times New Roman" w:hAnsi="Times New Roman"/>
          <w:sz w:val="18"/>
          <w:szCs w:val="18"/>
          <w:color w:val="000000"/>
        </w:rPr>
        <w:t>million</w:t>
      </w:r>
      <w:r>
        <w:rPr>
          <w:rFonts w:ascii="Times New Roman" w:cs="Times New Roman" w:eastAsia="Times New Roman" w:hAnsi="Times New Roman"/>
          <w:sz w:val="18"/>
          <w:szCs w:val="18"/>
          <w:color w:val="212529"/>
        </w:rPr>
        <w:t xml:space="preserve"> square feet of comparable space leasing we've completed in the last twelve months, and the 2.5% spread between our leased rate of 93.7% and our occupied rate of 91.2%. Our percentage of contractual rents actually collected continued to increase since the low point in April 2020, including some tenants paying past due amounts. While increasing monthly cash collection rates is a positive, we expect our rent collections may continue to be below our tenants' contractual rent obligations and historical levels in 2022, which will continue to adversely impact our results of operations. We continue to see impacts of overall supply chain disruptions affecting the broader economy, including significantly longer lead times, limited availability, and increased costs for certain construction and other materials that support our development and redevelopment activities. If disruptions continue to worsen, they could result in extended timeframes and/or increased costs for completion of our projects and tenant build-outs, which could delay the commencement of rent payments under new leases. Similarly, if our tenants experience significant disruptions in supply chains supporting their own products, or staffing issues due to labor shortages, their ability to pay rent may be adversely affected. We continue to monitor these macroeconomic developments and are working with our tenants and our vendors to limit the overall impact to our business.</w:t>
      </w:r>
    </w:p>
    <w:p>
      <w:pPr>
        <w:spacing w:after="0" w:line="22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212529"/>
        </w:rPr>
        <w:t>The duration and severity of the economic impact from COVID-19 will depend on future developments, which are highly uncertain and cannot be fully predicted, however, we seek to position the Company to continue to participate in the resulting economic recovery.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have several development projects in process being delivered as follows:</w:t>
      </w:r>
    </w:p>
    <w:p>
      <w:pPr>
        <w:spacing w:after="0" w:line="27" w:lineRule="exact"/>
        <w:rPr>
          <w:sz w:val="20"/>
          <w:szCs w:val="20"/>
          <w:color w:val="auto"/>
        </w:rPr>
      </w:pPr>
    </w:p>
    <w:p>
      <w:pPr>
        <w:jc w:val="both"/>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of Assembly Row includes 277,000 square feet of office space, 56,000 square feet of retail space, and 500 residential units. The expected costs for Phase III are between $465 million and $485 million, with spaces being delivered beginning in the second quarter of 2021. At March 31, 2022, 236,000 square feet of office space has been delivered, all of the units in the residential building have been delivered, and 33,000 square feet of retail space has opened.</w:t>
      </w:r>
    </w:p>
    <w:p>
      <w:pPr>
        <w:spacing w:after="0" w:line="1"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at Pike &amp; Rose includes a 212,000 square foot office building (which includes 7,000 square feet of ground floor retail space). The building is expected to cost between $128 million and $135 million. At March 31, 2022, approximately 162,000 square feet of office and retail has been delivered, of which approximately 45,000 square feet is our new corporate headquarters.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660" w:right="12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IV at Pike &amp; Rose is a 276,000 square foot office building (which includes 10,000 square feet of ground floor retail space). Approximately 105,000 square feet of the office space is pre-leased to a single tenant. The building is expected to cost between $185 million and $200 million, and begin delivering in late 2023.</w:t>
      </w:r>
    </w:p>
    <w:p>
      <w:pPr>
        <w:spacing w:after="0" w:line="1"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phase of construction on Santana West includes an eight story 376,000 square foot office building, which is expected to cost between $300 million and $315 million.</w:t>
      </w:r>
    </w:p>
    <w:p>
      <w:pPr>
        <w:ind w:left="660" w:right="22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portfolio, we currently have redevelopment projects underway with a projected total cost of approximately $218 million that we expect to stabilize over the next several years.</w:t>
      </w:r>
    </w:p>
    <w:p>
      <w:pPr>
        <w:spacing w:after="0" w:line="208"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COVID-19, supply chain disruptions affecting the broader economy, and inflation.</w:t>
      </w:r>
    </w:p>
    <w:p>
      <w:pPr>
        <w:spacing w:after="0" w:line="12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March 31, 2022, the leasable square feet in our properties was 93.7% leased and 91.2%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Rollovers</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the first quarter of 2022, we signed leases for a total of 460,000 square feet of retail space including 444,000 square feet of comparable space leases (leases for which there was a prior tenant) at an average rental increase of 7% on a cash basis. New leases for comparable spaces were signed for 176,000 square feet at an average rental increase of 14% on a cash basis. Renewals for comparable spaces were signed for 268,000 square feet at a 2% average rental increase on a cash basis. Tenant improvements and incentives for comparable spaces were $32.55 per square foot, of which, $78.65 per square foot was for new leases and $2.23 per square foot was for renewals for the three months ended March 31, 2022.</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rental increases associated with comparable spaces generally include all leases signed for retail space in 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spaces reported in this calculation. As a result of accommodations made to certain tenants to help them to stay open during and after the COVID-19 pandemic, we have found it necessary to exercise more judgement since the pandemic started than in prior years in order to appropriately reflect the comparability of rents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spacing w:after="0" w:line="13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Historically, we have executed comparable space leases for 1.4 to 2.0 million square feet of retail space each year. We expect the volume in 2022 will be in line with, or potentially exceed, our historical averages given a larger amount of vacancy as 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result of COVID-19. We expect some rental rates to continue to be negatively impacted by the COVID-19 pandemic, which we started experiencing in the second quarter of 2020.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leases signed in 2022 generally become effective over the following two years though some may not become effective until 2025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Properties</w:t>
      </w:r>
    </w:p>
    <w:p>
      <w:pPr>
        <w:spacing w:after="0" w:line="10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months ended March 31, 2022, all or a portion of 95 properties were considered comparable properties and seven properties were considered non-comparable properties. For the three months ended March 31, 2022, one property was moved from comparable properties to non-comparable properties and one property was moved from non-comparable properties to comparable properties, compared to the designations as of December 31, 2021.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w:t>
      </w:r>
    </w:p>
    <w:p>
      <w:pPr>
        <w:spacing w:after="0" w:line="6"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year. Acquisitions are moved to comparable properties once we have owned the property for the entirety of comparable periods and the property is not under development or being repositioned for significant redevelopment and investment.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39,372</w:t>
            </w: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revenue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38,610</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30,497</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5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114.7 %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right="280" w:hanging="332"/>
        <w:spacing w:after="0" w:line="282"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340" w:right="260"/>
        <w:spacing w:after="0" w:line="266" w:lineRule="auto"/>
        <w:rPr>
          <w:sz w:val="20"/>
          <w:szCs w:val="20"/>
          <w:color w:val="auto"/>
        </w:rPr>
      </w:pPr>
      <w:r>
        <w:rPr>
          <w:rFonts w:ascii="Times New Roman" w:cs="Times New Roman" w:eastAsia="Times New Roman" w:hAnsi="Times New Roman"/>
          <w:sz w:val="18"/>
          <w:szCs w:val="18"/>
          <w:color w:val="auto"/>
        </w:rPr>
        <w:t>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March 31, 2022 and 2021 is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3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82,799</w:t>
            </w: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w:t>
            </w: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63,874</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r>
      <w:tr>
        <w:trPr>
          <w:trHeight w:val="248"/>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139,503</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Total property revenue increased $38.6 million, or 17.7%, to $256.8 million in the three months ended March 31, 2022 compared to $218.2 million in the three months ended March 31, 2021. The percentage occupied at our shopping centers was 91.2% and 89.5% at March 31, 2022 and 2021, respectively. The most significant driver of the increase in property revenues is the generally lifted COVID-19 restrictions during the three months ended March 31, 2022, as compared to the three months ended March 31, 2021, when COVID-19 government imposed closures and restrictions were still in effect. Changes in the components of property revenue are discussed below.</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Income</w:t>
      </w:r>
    </w:p>
    <w:p>
      <w:pPr>
        <w:spacing w:after="0" w:line="10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Rental income consists primarily of minimum rent, cost reimbursements from tenants and percentage rent, and is net of collectibility related adjustments. Rental income increased $39.4 million, or 18.1%, to $256.5 million in the three months ended March 31, 2022 compared to $217.1 million in the three months ended March 31, 2021 due primarily to the following:</w:t>
      </w:r>
    </w:p>
    <w:p>
      <w:pPr>
        <w:spacing w:after="0" w:line="14" w:lineRule="exact"/>
        <w:rPr>
          <w:sz w:val="20"/>
          <w:szCs w:val="20"/>
          <w:color w:val="auto"/>
        </w:rPr>
      </w:pPr>
    </w:p>
    <w:p>
      <w:pPr>
        <w:ind w:left="1140" w:right="640" w:hanging="241"/>
        <w:spacing w:after="0" w:line="281"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$14.9 million decrease in collectibility related impacts across all properties primarily due to higher collection rates and lower rent abatements in the first quarter of 2022 as tenants continue to recover from the initial impacts of COVID-19,</w:t>
      </w:r>
    </w:p>
    <w:p>
      <w:pPr>
        <w:spacing w:after="0" w:line="1"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$11.7 million from 2021 acquisitions,</w:t>
      </w:r>
    </w:p>
    <w:p>
      <w:pPr>
        <w:spacing w:after="0" w:line="63" w:lineRule="exact"/>
        <w:rPr>
          <w:rFonts w:ascii="Times New Roman" w:cs="Times New Roman" w:eastAsia="Times New Roman" w:hAnsi="Times New Roman"/>
          <w:sz w:val="18"/>
          <w:szCs w:val="18"/>
          <w:color w:val="auto"/>
        </w:rPr>
      </w:pPr>
    </w:p>
    <w:p>
      <w:pPr>
        <w:ind w:left="1140" w:right="240" w:hanging="241"/>
        <w:spacing w:after="0" w:line="266"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$7.7 million from non-comparable properties primarily driven by the opening of Phase III at Assembly Row in 2021, redevelopment related occupancy increases at CocoWalk, and the 2021 openings at the Phase III office building at Pike &amp; Rose, partially offset by redevelopment related occupancy decreases at Huntington Shopping Center, and</w:t>
      </w:r>
    </w:p>
    <w:p>
      <w:pPr>
        <w:spacing w:after="0" w:line="13" w:lineRule="exact"/>
        <w:rPr>
          <w:rFonts w:ascii="Times New Roman" w:cs="Times New Roman" w:eastAsia="Times New Roman" w:hAnsi="Times New Roman"/>
          <w:sz w:val="18"/>
          <w:szCs w:val="18"/>
          <w:color w:val="auto"/>
        </w:rPr>
      </w:pPr>
    </w:p>
    <w:p>
      <w:pPr>
        <w:ind w:left="1140" w:right="60" w:hanging="241"/>
        <w:spacing w:after="0" w:line="261"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$6.8 million from comparable properties primarily related to higher percentage rent, specialty leasing, and parking income of $3.7 million primarily due to the impacts of COVID-19 related closures and restrictions in the first quarter of 2021, higher rental rates of $2.0 million, higher average occupancy of approximately $1.5 million, and a $1.0 million increase in CAM recoveries on higher CAM costs, partially offset by lower net termination fees and legal fee income of $1.4 million,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right="6340" w:firstLine="899"/>
        <w:spacing w:after="0" w:line="352" w:lineRule="auto"/>
        <w:tabs>
          <w:tab w:leader="none" w:pos="11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$2.6 million from 2021 property sales. </w:t>
      </w:r>
      <w:r>
        <w:rPr>
          <w:rFonts w:ascii="Times New Roman" w:cs="Times New Roman" w:eastAsia="Times New Roman" w:hAnsi="Times New Roman"/>
          <w:sz w:val="18"/>
          <w:szCs w:val="18"/>
          <w:i w:val="1"/>
          <w:iCs w:val="1"/>
          <w:color w:val="auto"/>
        </w:rPr>
        <w:t>Mortgage Interest Income</w:t>
      </w:r>
    </w:p>
    <w:p>
      <w:pPr>
        <w:ind w:right="400"/>
        <w:spacing w:after="0" w:line="282" w:lineRule="auto"/>
        <w:rPr>
          <w:sz w:val="20"/>
          <w:szCs w:val="20"/>
          <w:color w:val="auto"/>
        </w:rPr>
      </w:pPr>
      <w:r>
        <w:rPr>
          <w:rFonts w:ascii="Times New Roman" w:cs="Times New Roman" w:eastAsia="Times New Roman" w:hAnsi="Times New Roman"/>
          <w:sz w:val="18"/>
          <w:szCs w:val="18"/>
          <w:color w:val="auto"/>
        </w:rPr>
        <w:t>Mortgage interest income decreased $0.8 million, or 74.3%, to $0.3 million in the three months ended March 31, 2022 compared to $1.0 million in the three months ended March 31, 2021 primarily due to the repayment of $31.1 million of mortgage notes receivable in May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$8.1 million, or 10.3%, to $86.8 million in the three months ended March 31, 2022 compared to $78.7 million in the three months ended March 31, 2021. Changes in the components of property expenses are discussed below.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92"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Rental expenses increased $7.0 million, or 14.2%, to $56.2 million in the three months ended March 31, 2022 compared to $49.2 million in the three months ended March 31, 2021. This increase is primarily due to the following:</w:t>
      </w:r>
    </w:p>
    <w:p>
      <w:pPr>
        <w:spacing w:after="0" w:line="1" w:lineRule="exact"/>
        <w:rPr>
          <w:sz w:val="20"/>
          <w:szCs w:val="20"/>
          <w:color w:val="auto"/>
        </w:rPr>
      </w:pPr>
    </w:p>
    <w:p>
      <w:pPr>
        <w:jc w:val="both"/>
        <w:ind w:left="1140" w:right="240" w:hanging="241"/>
        <w:spacing w:after="0" w:line="298" w:lineRule="auto"/>
        <w:tabs>
          <w:tab w:leader="none" w:pos="11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$2.5 million from comparable properties due primarily to higher repairs and maintenance costs, utilities, and management fees, as 2021 had lower costs as a result of COVID-19 impacts, and higher insurance costs, partially offset by lower snow removal costs,</w:t>
      </w:r>
    </w:p>
    <w:p>
      <w:pPr>
        <w:ind w:left="1140" w:right="60" w:hanging="241"/>
        <w:spacing w:after="0" w:line="281"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$2.2 million from non-comparable properties driven by the 2021 openings at Phase III at Assembly Row, the Phase III office building at Pike &amp; Rose, and CocoWalk, and</w:t>
      </w:r>
    </w:p>
    <w:p>
      <w:pPr>
        <w:spacing w:after="0" w:line="1"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 million from 2021 acquisitions,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tab/>
        <w:t>a decrease of $0.5 million from 2021 property sales.</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and rental expenses as discussed above, rental expenses as a percentage of rental income decreased to 21.9% in the three months ended March 31, 2022 from 22.7% in the three months ended March 31, 2021.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10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Real estate tax expense increased $1.1 million, or 3.9%, to $30.6 million in the three months ended March 31, 2022 compared to $29.4 million in the three months ended March 31, 2021. This increase is primarily due the following:</w:t>
      </w:r>
    </w:p>
    <w:p>
      <w:pPr>
        <w:spacing w:after="0" w:line="1" w:lineRule="exact"/>
        <w:rPr>
          <w:sz w:val="20"/>
          <w:szCs w:val="20"/>
          <w:color w:val="auto"/>
        </w:rPr>
      </w:pPr>
    </w:p>
    <w:p>
      <w:pPr>
        <w:ind w:left="1140" w:hanging="241"/>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 million from 2021 acquisitions, and</w:t>
      </w:r>
    </w:p>
    <w:p>
      <w:pPr>
        <w:spacing w:after="0" w:line="63" w:lineRule="exact"/>
        <w:rPr>
          <w:rFonts w:ascii="Times New Roman" w:cs="Times New Roman" w:eastAsia="Times New Roman" w:hAnsi="Times New Roman"/>
          <w:sz w:val="18"/>
          <w:szCs w:val="18"/>
          <w:color w:val="auto"/>
        </w:rPr>
      </w:pPr>
    </w:p>
    <w:p>
      <w:pPr>
        <w:ind w:left="1140" w:right="680" w:hanging="241"/>
        <w:spacing w:after="0" w:line="281"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$0.9 million from non-comparable properties due primarily to the 2021 openings of Phase III at Assembly Row, and CocoWalk,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$0.6 million from comparable properties primarily due to successful tax appeals, and</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$0.3 million from 2021 property sales.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Property operating income increased $30.5 million, or 21.9%, to $170.0 million in the three months ended March 31, 2022 compared to $139.5 million in the three months ended March 31, 2021. This increase is primarily due to the lifting of COVID-19 restrictions, which resulted in lower collectibility related adjustments, higher percentage rent, specialty leasing, and parking income compared to the first quarter of 2021 which still had COVID-19 related restrictions. Also contributing to the increase were 2021 acquisitions, the opening of Phase III at Assembly Row in 2021, higher occupancy and rental rates at comparable properties, and redevelopment related occupancy increases at CocoWalk, partially offset by 2021 property sales, higher repairs and maintenance expense, and lower net termination fees and legal fee income.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0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$2.1 million, or 20.3%, to $12.3 million in the three months ended March 31, 2022 from $10.3 million in the three months ended March 31, 2021. This increase is due primarily to higher personnel related costs.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$7.8 million, or 12.2%, to $71.7 million in the three months ended March 31, 2022 from $63.9 million in the three months ended March 31, 2021. This increase is due primarily to 2021 acquisitions, the opening of Phase III at Assembly Row, partially offset by 2021 property sales.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Real Estate and Change in Control of Interest</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$17.4 million gain on sale of real estate and change in control of interest for the three months ended March 31, 2021 is due primarily to a $15.6 million gain related to the sale of a portion of Graham Park Plaza in Falls Church, Virginia and a $2.1 million gain relating to the acquisition of the previously unconsolidated Pike &amp; Rose hotel joint venture.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Operating income increased $3.2 million, or 3.8%, to $86.0 million in the three months ended March 31, 2022 compared to $82.8 million in the three months ended March 31, 2021. This increase is primarily due to the lifting of COVID-19 restrictions, which resulted in lower collectibility related adjustments, higher percentage rent, specialty leasing, and parking income compared to the first quarter of 2021 which still had COVID-19 related restrictions. Also contributing to the increase were 2021 acquisitions, the opening of Phase III at Assembly Row in 2021, higher occupancy and rental rates at comparable properties, and redevelopment related occupancy increases at CocoWalk, partially offset by the gains related to the sale of a portion of Graham Park Plaza and the acquisition of the previously unconsolidated Pike &amp; Rose hotel joint venture in 2021, higher personnel related costs, 2021 property sales, higher repairs and maintenance expense, and lower net termination fees and legal fee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Interest expense decreased $0.5 million, or 1.6%, to $31.6 million in the three months ended March 31, 2022 compared to $32.1 million in the three months ended March 31, 2021. This decrease is due primarily to the following:</w:t>
      </w:r>
    </w:p>
    <w:p>
      <w:pPr>
        <w:spacing w:after="0" w:line="1" w:lineRule="exact"/>
        <w:rPr>
          <w:sz w:val="20"/>
          <w:szCs w:val="20"/>
          <w:color w:val="auto"/>
        </w:rPr>
      </w:pPr>
    </w:p>
    <w:p>
      <w:pPr>
        <w:ind w:left="1140" w:hanging="241"/>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$2.0 million due to lower weighted average borrowings, and</w:t>
      </w:r>
    </w:p>
    <w:p>
      <w:pPr>
        <w:spacing w:after="0" w:line="63" w:lineRule="exact"/>
        <w:rPr>
          <w:rFonts w:ascii="Times New Roman" w:cs="Times New Roman" w:eastAsia="Times New Roman" w:hAnsi="Times New Roman"/>
          <w:sz w:val="18"/>
          <w:szCs w:val="18"/>
          <w:color w:val="auto"/>
        </w:rPr>
      </w:pPr>
    </w:p>
    <w:p>
      <w:pPr>
        <w:ind w:right="4160" w:firstLine="899"/>
        <w:spacing w:after="0" w:line="313" w:lineRule="auto"/>
        <w:tabs>
          <w:tab w:leader="none" w:pos="11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$0.4 million due to a lower overall weighted average borrowing rate, partially offset by,</w:t>
      </w:r>
    </w:p>
    <w:p>
      <w:pPr>
        <w:ind w:left="1140" w:hanging="241"/>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$1.9 million in capitalized interest.</w:t>
      </w:r>
    </w:p>
    <w:p>
      <w:pPr>
        <w:spacing w:after="0" w:line="10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Gross interest costs were $36.2 million and $38.6 million in the three months ended March 31, 2022 and 2021, respectively. Capitalized interest was $4.6 million and $6.5 million for the three months ended March 31, 2022 and 2021,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partnerships</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Income from partnerships increased $1.5 million, or 114.7%, to $0.2 million in the three months ended March 31, 2022 compared to a loss of $1.3 million in the three months ended March 31, 2021. This increase is due primarily to improved operating results at our restaurant joint ventures and at our Assembly Row hotel joint venture, largely the result of the easing of COVID-19 closures and restrictions.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increased $1.2 million, or 82.6%, to $2.7 million in the three months ended March 31, 2022 compared to $1.5 million in the three months ended March 31, 2021. The increase is primarily due to 2021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three months ended March 31, 2022 were approximately $86.1 million).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 $1.0 billion revolving credit facility to fund short term cash flow needs and also look to the public and private debt and equity markets, joint venture relationships, and property dispositions to fund capital expenditures on a long-term basis.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first quarter of 2022, we have continued to see improvements in overall cash collections from tenants with collection rates nearing pre-pandemic levels. We have also taken multiple steps over the past two years to strengthen our financial position, maximize liquidity, and to provide maximum flexibility during these uncertain times, including maintaining levels of cash in excess of the cash balances we have historically maintained.</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there were no borrowings on our $1.0 billion unsecured revolving credit facility, and as of March 31, 2022, we had cash and cash equivalents of $157.9 million. We also had outstanding forward equity sales agreements for net proceeds of $178.4 million as of March 31, 2022, and the capacity to issue up to $500.0 million in common shares under our ATM equity program. Additionally, we have no debt maturing until the second quarter of 2023.</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overall capital requirements for the remainder of 2022 will be impacted by the extent and duration of COVID-19 related closures and restrictions, impacts on our cash collections, and overall economic impacts that might occur including supply chain issues. Cash requirements will also be impacted by acquisition opportunities and the level and general timing of our redevelopment and development activities. While the amount of future expenditures will depend on numerous factors, we expect to continue to see elevated levels of investment as we continue to invest in our overall portfolio to better position our properties for a post-COVID environment, costs to prepare vacant space for new tenants, and investments to complete the current phase and start the next phase of our larger mixed-use development projects although at a slightly reduced level from 2021, largely due to deliveries in 2021 of our third phase of Assembly Row.</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We believe cash flow from operations, the cash </w:t>
      </w:r>
      <w:r>
        <w:rPr>
          <w:rFonts w:ascii="Times New Roman" w:cs="Times New Roman" w:eastAsia="Times New Roman" w:hAnsi="Times New Roman"/>
          <w:sz w:val="18"/>
          <w:szCs w:val="18"/>
          <w:color w:val="212529"/>
        </w:rPr>
        <w:t>on our balance sheet, and our $1.0 billion revolving credit facility will allow us to continue to operate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business through the remainder of the COVID-19 pandemic. </w:t>
      </w:r>
      <w:r>
        <w:rPr>
          <w:rFonts w:ascii="Times New Roman" w:cs="Times New Roman" w:eastAsia="Times New Roman" w:hAnsi="Times New Roman"/>
          <w:sz w:val="18"/>
          <w:szCs w:val="18"/>
          <w:color w:val="000000"/>
        </w:rPr>
        <w:t>Given our past ability to access the capital markets, we also expect debt or equity to be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available to us. We also have the ability to delay the timing of certain development and redevelopment projects as well as limit future acquisitions, reduce our operating expenditures, or re-evaluate our dividend policy. While we have seen significant improvements from the initial negative impacts of the COVID-19 pandemic, it has continued to affect our overall business, and we expect it will continue to negatively impact our business in the short term. However, we intend to operate with and to maintain our long term commitment to a conservative capital structure that will allow us to maintain strong debt service coverage and fixed-charge coverage ratios as part of our commitment to investment-grade debt ratings.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3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103,069</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115,106</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(74,841)</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(11,849)</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(48,719)</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175,163</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816,896</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178,189</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808,442</w:t>
            </w:r>
          </w:p>
        </w:tc>
      </w:tr>
      <w:tr>
        <w:trPr>
          <w:trHeight w:val="20"/>
        </w:trPr>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decreased $12.0 million to $103.1 million during the three months ended March 31, 2022 from $115.1 million during the three months ended March 31, 2021. The decrease was primarily attributable to collections of year end real estate tax reconciliation billings during the three months ended March 31, 2021 and the timing of payments, partially offset by higher net income before non-cash items, as COVID-19 related restrictions were largely still in place for the quarter ended March 31,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increased $13.4 million to $88.2 million during the three months ended March 31, 2022 from $74.8 million during the three months ended March 31, 2021. The increase was primarily attributable to:</w:t>
      </w:r>
    </w:p>
    <w:p>
      <w:pPr>
        <w:spacing w:after="0" w:line="1" w:lineRule="exact"/>
        <w:rPr>
          <w:sz w:val="20"/>
          <w:szCs w:val="20"/>
          <w:color w:val="auto"/>
        </w:rPr>
      </w:pPr>
    </w:p>
    <w:p>
      <w:pPr>
        <w:ind w:right="1440" w:firstLine="899"/>
        <w:spacing w:after="0" w:line="313" w:lineRule="auto"/>
        <w:tabs>
          <w:tab w:leader="none" w:pos="11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 million of net proceeds from the sale of a portion of Graham Park Plaza in Falls Church, Virginia in March 2021, partially offset by,</w:t>
      </w:r>
    </w:p>
    <w:p>
      <w:pPr>
        <w:ind w:left="1140" w:right="320" w:hanging="241"/>
        <w:spacing w:after="0" w:line="282"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$5.7 million decrease in acquisitions of real estate due to the February 2021 acquisition of the fee interest at our Mount Vernon Plaza property in Alexandria, Virginia.</w:t>
      </w:r>
    </w:p>
    <w:p>
      <w:pPr>
        <w:spacing w:after="0" w:line="108"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decreased $36.9 million to $11.8 million during the three months ended March 31, 2022 from $48.7 million in the three months ended March 31, 2021. The decrease was primarily attributable to:</w:t>
      </w:r>
    </w:p>
    <w:p>
      <w:pPr>
        <w:spacing w:after="0" w:line="1" w:lineRule="exact"/>
        <w:rPr>
          <w:sz w:val="20"/>
          <w:szCs w:val="20"/>
          <w:color w:val="auto"/>
        </w:rPr>
      </w:pPr>
    </w:p>
    <w:p>
      <w:pPr>
        <w:ind w:left="1140" w:right="60" w:hanging="241"/>
        <w:spacing w:after="0" w:line="266"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$48.0 million decrease in repayment of mortgages, finance leases, and notes payable primarily due to the $31.5 million repayment of the mortgage loan related to the Pike &amp; Rose hotel in January 2021 and the $16.2 million repayment of the mortgage loan on Sylmar Towne Center in February 2021,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140" w:hanging="241"/>
        <w:spacing w:after="0" w:line="281"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 million decrease in net proceeds from the issuance of common shares under our ATM program for net proceeds of $82.7 million and $87.2 million, respectively, during the three months ended March 31, 2022 and 2021,</w:t>
      </w:r>
    </w:p>
    <w:p>
      <w:pPr>
        <w:spacing w:after="0" w:line="1" w:lineRule="exact"/>
        <w:rPr>
          <w:rFonts w:ascii="Times New Roman" w:cs="Times New Roman" w:eastAsia="Times New Roman" w:hAnsi="Times New Roman"/>
          <w:sz w:val="18"/>
          <w:szCs w:val="18"/>
          <w:color w:val="auto"/>
        </w:rPr>
      </w:pPr>
    </w:p>
    <w:p>
      <w:pPr>
        <w:ind w:left="1140" w:right="80" w:hanging="241"/>
        <w:spacing w:after="0" w:line="281"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$2.8 million increase in dividends paid to common and preferred shareholders due to an increase in the number of outstanding shares, as well as an increase to the common share dividend rate, and</w:t>
      </w:r>
    </w:p>
    <w:p>
      <w:pPr>
        <w:spacing w:after="0" w:line="1"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increase in distributions to and redemptions of noncontrolling interests primarily related to our 2021 property acquisitions.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 Arrangements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total debt outstanding as of March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20" w:type="dxa"/>
            <w:vAlign w:val="bottom"/>
          </w:tcPr>
          <w:p>
            <w:pPr>
              <w:spacing w:after="0"/>
              <w:rPr>
                <w:sz w:val="13"/>
                <w:szCs w:val="13"/>
                <w:color w:val="auto"/>
              </w:rPr>
            </w:pP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 as of</w:t>
            </w:r>
          </w:p>
        </w:tc>
        <w:tc>
          <w:tcPr>
            <w:tcW w:w="1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13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11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as of March 31,</w:t>
            </w:r>
          </w:p>
        </w:tc>
        <w:tc>
          <w:tcPr>
            <w:tcW w:w="1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3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6"/>
        </w:trPr>
        <w:tc>
          <w:tcPr>
            <w:tcW w:w="4440" w:type="dxa"/>
            <w:vAlign w:val="bottom"/>
            <w:vMerge w:val="continue"/>
          </w:tcPr>
          <w:p>
            <w:pPr>
              <w:spacing w:after="0"/>
              <w:rPr>
                <w:sz w:val="17"/>
                <w:szCs w:val="17"/>
                <w:color w:val="auto"/>
              </w:rPr>
            </w:pP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7"/>
                <w:szCs w:val="17"/>
                <w:color w:val="auto"/>
              </w:rPr>
            </w:pPr>
          </w:p>
        </w:tc>
        <w:tc>
          <w:tcPr>
            <w:tcW w:w="11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2620" w:type="dxa"/>
            <w:vAlign w:val="bottom"/>
            <w:tcBorders>
              <w:top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Mortgages payable</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Azalea</w:t>
            </w:r>
          </w:p>
        </w:tc>
        <w:tc>
          <w:tcPr>
            <w:tcW w:w="1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Acquired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12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November 1, 2025</w:t>
            </w: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Bell Gardens</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Acquired</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4.06 %</w:t>
            </w:r>
          </w:p>
        </w:tc>
        <w:tc>
          <w:tcPr>
            <w:tcW w:w="120" w:type="dxa"/>
            <w:vAlign w:val="bottom"/>
          </w:tcPr>
          <w:p>
            <w:pPr>
              <w:spacing w:after="0"/>
              <w:rPr>
                <w:sz w:val="19"/>
                <w:szCs w:val="19"/>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August 1, 2026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Plaza El Segundo</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June 5, 2027</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43,600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September 1, 2027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Brook 35</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11,500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July 1, 2029</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Hoboken (24 Buildings) (1)</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56,450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56,102</w:t>
            </w:r>
          </w:p>
        </w:tc>
        <w:tc>
          <w:tcPr>
            <w:tcW w:w="1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LIBOR + 1.95%</w:t>
            </w: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December 15, 2029</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Various Hoboken (14 Buildings) (2)</w:t>
            </w:r>
          </w:p>
        </w:tc>
        <w:tc>
          <w:tcPr>
            <w:tcW w:w="1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31,586</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Various</w:t>
            </w: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Various through 2029</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Chelsea</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January 15, 2031</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Hoboken (1 Building) (3)</w:t>
            </w:r>
          </w:p>
        </w:tc>
        <w:tc>
          <w:tcPr>
            <w:tcW w:w="1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16,148</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July 1, 2042</w:t>
            </w:r>
          </w:p>
        </w:tc>
        <w:tc>
          <w:tcPr>
            <w:tcW w:w="0" w:type="dxa"/>
            <w:vAlign w:val="bottom"/>
          </w:tcPr>
          <w:p>
            <w:pPr>
              <w:spacing w:after="0"/>
              <w:rPr>
                <w:sz w:val="1"/>
                <w:szCs w:val="1"/>
                <w:color w:val="auto"/>
              </w:rPr>
            </w:pPr>
          </w:p>
        </w:tc>
      </w:tr>
      <w:tr>
        <w:trPr>
          <w:trHeight w:val="207"/>
        </w:trPr>
        <w:tc>
          <w:tcPr>
            <w:tcW w:w="4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340,743</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3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3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339,236</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Notes payable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Revolving credit facility (4) (6)</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1,000,000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LIBOR + 0.775%</w:t>
            </w: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January 19, 2024</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Term loan (5) (6)</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LIBOR + 0.80%</w:t>
            </w: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April 16, 2024</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Various</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7,239</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Various through 2028</w:t>
            </w:r>
          </w:p>
        </w:tc>
        <w:tc>
          <w:tcPr>
            <w:tcW w:w="0" w:type="dxa"/>
            <w:vAlign w:val="bottom"/>
          </w:tcPr>
          <w:p>
            <w:pPr>
              <w:spacing w:after="0"/>
              <w:rPr>
                <w:sz w:val="1"/>
                <w:szCs w:val="1"/>
                <w:color w:val="auto"/>
              </w:rPr>
            </w:pPr>
          </w:p>
        </w:tc>
      </w:tr>
      <w:tr>
        <w:trPr>
          <w:trHeight w:val="207"/>
        </w:trPr>
        <w:tc>
          <w:tcPr>
            <w:tcW w:w="4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302,584</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3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notes payable, net</w:t>
            </w:r>
          </w:p>
        </w:tc>
        <w:tc>
          <w:tcPr>
            <w:tcW w:w="13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301,540</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Senior notes and debentures (6)</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2.75% notes</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June 1, 2023</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3.95% notes</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January 15, 2024</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1.25% notes</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February 15, 2026</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7.48% debentures</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August 15, 2026</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3.25% notes</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475,000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July 15, 2027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6.82% medium term notes</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August 1, 2027</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3.20% notes</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June 15, 2029</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3.50% notes</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June 1, 2030</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4.50% notes</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550,000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December 1, 2044</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3.625% notes</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August 1, 2046</w:t>
            </w:r>
          </w:p>
        </w:tc>
        <w:tc>
          <w:tcPr>
            <w:tcW w:w="0" w:type="dxa"/>
            <w:vAlign w:val="bottom"/>
          </w:tcPr>
          <w:p>
            <w:pPr>
              <w:spacing w:after="0"/>
              <w:rPr>
                <w:sz w:val="1"/>
                <w:szCs w:val="1"/>
                <w:color w:val="auto"/>
              </w:rPr>
            </w:pPr>
          </w:p>
        </w:tc>
      </w:tr>
      <w:tr>
        <w:trPr>
          <w:trHeight w:val="207"/>
        </w:trPr>
        <w:tc>
          <w:tcPr>
            <w:tcW w:w="4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3,419,200</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3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3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3,406,491</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1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4,047,267</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4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26, 2019, we entered into two interest rate swap agreements that fix the interest rate on this mortgage loan at 3.67%.</w:t>
      </w:r>
    </w:p>
    <w:p>
      <w:pPr>
        <w:spacing w:after="0" w:line="6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on these mortgages range from 3.91% to 5.00%.</w:t>
      </w:r>
    </w:p>
    <w:p>
      <w:pPr>
        <w:spacing w:after="0" w:line="63" w:lineRule="exact"/>
        <w:rPr>
          <w:rFonts w:ascii="Times New Roman" w:cs="Times New Roman" w:eastAsia="Times New Roman" w:hAnsi="Times New Roman"/>
          <w:sz w:val="18"/>
          <w:szCs w:val="18"/>
          <w:color w:val="auto"/>
        </w:rPr>
      </w:pPr>
    </w:p>
    <w:p>
      <w:pPr>
        <w:ind w:left="660" w:right="200" w:hanging="652"/>
        <w:spacing w:after="0" w:line="281"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mortgage loan has a fixed interest rate, however, the rate resets every five years until maturity. The current interest rate is fixed until July 1, 2022, and the loan is prepayable at par anytime after this date.</w:t>
      </w:r>
    </w:p>
    <w:p>
      <w:pPr>
        <w:spacing w:after="0" w:line="1" w:lineRule="exact"/>
        <w:rPr>
          <w:rFonts w:ascii="Times New Roman" w:cs="Times New Roman" w:eastAsia="Times New Roman" w:hAnsi="Times New Roman"/>
          <w:sz w:val="18"/>
          <w:szCs w:val="18"/>
          <w:color w:val="auto"/>
        </w:rPr>
      </w:pPr>
    </w:p>
    <w:p>
      <w:pPr>
        <w:ind w:left="660" w:right="340" w:hanging="652"/>
        <w:spacing w:after="0" w:line="266"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drawn under our revolving credit facility during the three months ended March 31, 2022 was $38.0 million and the weighted average interest rate on borrowings under our revolving credit facility, before amortization of debt fees, was 1.2%. Effective April 1, 2022, the spread over LIBOR increased to 82.5 basis points as a result of the change in our credit rating.</w:t>
      </w:r>
    </w:p>
    <w:p>
      <w:pPr>
        <w:spacing w:after="0" w:line="1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2022, the spread over LIBOR increased to 85 basis points as a result of the change in our credit rating.</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is the obligor under our revolving credit facility, term loan, and senior notes and debentures.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revolving credit facility, unsecured term loan, and other debt agreements include financial and other covenants that may limit our operating activities in the future. As of March 31, 2022,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scheduled principal repayments as of March 31, 2022:</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190"/>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400" w:type="dxa"/>
            <w:vAlign w:val="bottom"/>
            <w:shd w:val="clear" w:color="auto" w:fill="CCEEFF"/>
          </w:tcPr>
          <w:p>
            <w:pPr>
              <w:spacing w:after="0"/>
              <w:rPr>
                <w:sz w:val="20"/>
                <w:szCs w:val="20"/>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275,758</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279,307</w:t>
            </w:r>
          </w:p>
        </w:tc>
        <w:tc>
          <w:tcPr>
            <w:tcW w:w="40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900,659</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904,347</w:t>
            </w:r>
          </w:p>
        </w:tc>
        <w:tc>
          <w:tcPr>
            <w:tcW w:w="400" w:type="dxa"/>
            <w:vAlign w:val="bottom"/>
            <w:shd w:val="clear" w:color="auto" w:fill="CCEEFF"/>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48,033</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48,416</w:t>
            </w:r>
          </w:p>
        </w:tc>
        <w:tc>
          <w:tcPr>
            <w:tcW w:w="4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429,254</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26,657</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455,911</w:t>
            </w:r>
          </w:p>
        </w:tc>
        <w:tc>
          <w:tcPr>
            <w:tcW w:w="400" w:type="dxa"/>
            <w:vAlign w:val="bottom"/>
            <w:shd w:val="clear" w:color="auto" w:fill="CCEEFF"/>
          </w:tcPr>
          <w:p>
            <w:pPr>
              <w:spacing w:after="0"/>
              <w:rPr>
                <w:sz w:val="19"/>
                <w:szCs w:val="19"/>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2,115,037</w:t>
            </w:r>
          </w:p>
        </w:tc>
        <w:tc>
          <w:tcPr>
            <w:tcW w:w="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256,301</w:t>
            </w:r>
          </w:p>
        </w:tc>
        <w:tc>
          <w:tcPr>
            <w:tcW w:w="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2,371,338</w:t>
            </w:r>
          </w:p>
        </w:tc>
        <w:tc>
          <w:tcPr>
            <w:tcW w:w="400" w:type="dxa"/>
            <w:vAlign w:val="bottom"/>
            <w:tcBorders>
              <w:bottom w:val="single" w:sz="8" w:color="CCEEFF"/>
            </w:tcBorders>
          </w:tcPr>
          <w:p>
            <w:pPr>
              <w:spacing w:after="0"/>
              <w:rPr>
                <w:sz w:val="19"/>
                <w:szCs w:val="19"/>
                <w:color w:val="auto"/>
              </w:rPr>
            </w:pPr>
          </w:p>
        </w:tc>
      </w:tr>
      <w:tr>
        <w:trPr>
          <w:trHeight w:val="248"/>
        </w:trPr>
        <w:tc>
          <w:tcPr>
            <w:tcW w:w="5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3,721,784</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340,743</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4,062,527</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63"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$300.0 million term loan matures on April 16, 2024, plus two one-year extensions at our option.</w:t>
      </w:r>
    </w:p>
    <w:p>
      <w:pPr>
        <w:spacing w:after="0" w:line="63" w:lineRule="exact"/>
        <w:rPr>
          <w:rFonts w:ascii="Times New Roman" w:cs="Times New Roman" w:eastAsia="Times New Roman" w:hAnsi="Times New Roman"/>
          <w:sz w:val="18"/>
          <w:szCs w:val="18"/>
          <w:color w:val="auto"/>
        </w:rPr>
      </w:pPr>
    </w:p>
    <w:p>
      <w:pPr>
        <w:ind w:left="660" w:right="180" w:hanging="652"/>
        <w:spacing w:after="0" w:line="281" w:lineRule="auto"/>
        <w:tabs>
          <w:tab w:leader="none" w:pos="3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$1.0 billion revolving credit facility matures on January 19, 2024, plus two six-month extensions at our option. As of March 31, 2022, there was no outstanding balance under this credit facility.</w:t>
      </w:r>
    </w:p>
    <w:p>
      <w:pPr>
        <w:spacing w:after="0" w:line="1" w:lineRule="exact"/>
        <w:rPr>
          <w:rFonts w:ascii="Times New Roman" w:cs="Times New Roman" w:eastAsia="Times New Roman" w:hAnsi="Times New Roman"/>
          <w:sz w:val="18"/>
          <w:szCs w:val="18"/>
          <w:color w:val="auto"/>
        </w:rPr>
      </w:pPr>
    </w:p>
    <w:p>
      <w:pPr>
        <w:ind w:left="660" w:right="900" w:hanging="652"/>
        <w:spacing w:after="0" w:line="282" w:lineRule="auto"/>
        <w:tabs>
          <w:tab w:leader="none" w:pos="3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 maturities differ from the total reported on the consolidated balance sheet due to the unamortized net debt issuance costs and premium/discount on mortgage loans, notes payable, and senior notes as of March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Hedging</w:t>
      </w:r>
    </w:p>
    <w:p>
      <w:pPr>
        <w:spacing w:after="0" w:line="10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March 31, 2022, we have two interest rate swap agreements that effectively fix the rate on a mortgage payable associated with our Hoboken portfolio at 3.67%. Our Assembly Row hotel joint venture is also a party to two interest rate swap agreements that effectively fix their debt at 5.206%. All swaps were designated and qualify as cash flow hedges. Hedge ineffectiveness has not impacted earnings as of March 31,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REIT Qualification</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25" w:lineRule="exact"/>
        <w:rPr>
          <w:sz w:val="20"/>
          <w:szCs w:val="20"/>
          <w:color w:val="auto"/>
        </w:rPr>
      </w:pPr>
    </w:p>
    <w:p>
      <w:pPr>
        <w:ind w:left="1700" w:right="260" w:hanging="801"/>
        <w:spacing w:after="0" w:line="281" w:lineRule="auto"/>
        <w:tabs>
          <w:tab w:leader="none" w:pos="1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considered an alternative to net income as an indication of our performance;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net income to FFO available for common shareholders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4"/>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49,739</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Funds from operations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preferred shares (1)</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196"/>
        </w:trPr>
        <w:tc>
          <w:tcPr>
            <w:tcW w:w="7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Funds from operations available for common shareholders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119,149</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91,105</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diluted (1)(2)</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 per diluted share (2)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9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280" w:hanging="652"/>
        <w:spacing w:after="0" w:line="281"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2022, dividends on our Series 1 preferred stock were not deducted in the calculation of FFO available to common shareholders, as the related shares were dilutive and included in "weighted average common shares, diluted."</w:t>
      </w:r>
    </w:p>
    <w:p>
      <w:pPr>
        <w:spacing w:after="0" w:line="1" w:lineRule="exact"/>
        <w:rPr>
          <w:rFonts w:ascii="Times New Roman" w:cs="Times New Roman" w:eastAsia="Times New Roman" w:hAnsi="Times New Roman"/>
          <w:sz w:val="18"/>
          <w:szCs w:val="18"/>
          <w:color w:val="auto"/>
        </w:rPr>
      </w:pPr>
    </w:p>
    <w:p>
      <w:pPr>
        <w:jc w:val="both"/>
        <w:ind w:left="660" w:right="140" w:hanging="652"/>
        <w:spacing w:after="0" w:line="266"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Interest Rate Debt</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March 31, 2022, we had $3.7 billion of fixed-rate debt outstanding, including $56.1 million of mortgage payables for which the rate is effectively fixed by two interest rate swap agreements. If market interest rates used to calculate the fair value on our fixed-rate debt instruments at March 31, 2022 had been 1.0% higher, the fair value of those debt instruments on that date would have decreased by approximately $222.4 million. If market interest rates used to calculate the fair value on our fixed-rate debt instruments at March 31, 2022 had been 1.0% lower, the fair value of those debt instruments on that date would have increased by approximately $249.1 million.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Rate Debt</w:t>
      </w:r>
    </w:p>
    <w:p>
      <w:pPr>
        <w:spacing w:after="0" w:line="1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Generally, we believe that our primary interest rate risk is due to fluctuations in interest rates on our outstanding variable rate debt. At March 31, 2022, we had $300.0 million of variable rate debt outstanding (the principal balance on our unsecured term loan). Based upon this amount of variable rate debt and the specific terms, if market interest rates increased 1.0%, our annual interest expense would increase approximately $3.0 million with a corresponding decrease in our net income and cash flows for the year. Conversely, if market interest rates decreased 1.0%, our annual interest expense would decrease by approximately $3.0 million with a corresponding increase in our net income and cash flows for the year.</w:t>
      </w:r>
    </w:p>
    <w:p>
      <w:pPr>
        <w:spacing w:after="0" w:line="2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(Federal Realty Investment Trust)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the Trust's disclosure controls and procedures as of March 31, 2022. Based on this evaluation, our management, including our Chief Executive Officer and Chief Financial Officer, concluded that the Trust's disclosure controls and procedures were effective as of March 31, 2022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(Federal Realty OP 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March 31, 2022. Based on this evaluation, our management, including our Chief Executive Officer and Chief Financial Officer, concluded that the Operating Partnership's disclosure controls and procedures were effective as of March 31, 2022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in any of our legal proceedings since the disclosure contained in our Annual Report to Form 10-K for the fiscal year ended December 31, 2021.</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to our Form 10-K for the year ended December 31, 2021 filed with the SEC on February 10, 2022.</w:t>
      </w:r>
    </w:p>
    <w:p>
      <w:pPr>
        <w:spacing w:after="0" w:line="2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March 31, 2022, we redeemed 10,007 downREIT operating partnership units for common shares.</w:t>
      </w:r>
    </w:p>
    <w:p>
      <w:pPr>
        <w:spacing w:after="0" w:line="54" w:lineRule="exact"/>
        <w:rPr>
          <w:sz w:val="20"/>
          <w:szCs w:val="20"/>
          <w:color w:val="auto"/>
        </w:rPr>
      </w:pPr>
    </w:p>
    <w:p>
      <w:pPr>
        <w:ind w:right="2060"/>
        <w:spacing w:after="0" w:line="282" w:lineRule="auto"/>
        <w:rPr>
          <w:sz w:val="20"/>
          <w:szCs w:val="20"/>
          <w:color w:val="auto"/>
        </w:rPr>
      </w:pPr>
      <w:r>
        <w:rPr>
          <w:rFonts w:ascii="Times New Roman" w:cs="Times New Roman" w:eastAsia="Times New Roman" w:hAnsi="Times New Roman"/>
          <w:sz w:val="18"/>
          <w:szCs w:val="18"/>
          <w:color w:val="auto"/>
        </w:rPr>
        <w:t>From time to time, we could be deemed to have repurchased shares as a result of shares withheld for tax purposes upon a stock compensation related vesting event.</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80" w:type="dxa"/>
            <w:vAlign w:val="bottom"/>
            <w:gridSpan w:val="3"/>
          </w:tcPr>
          <w:p>
            <w:pPr>
              <w:ind w:left="14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8"/>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24"/>
                <w:szCs w:val="24"/>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Merger Agreement and Plan of Reorganization dated December 2, 2021, by and among the Operating Partnership (f.k.a. Federal Realty</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Investment Trust, the "Predecessor"), the Parent Company (f.k.a. FRT Holdco REIT), and FRT Merger Sub REIT (previously filed as</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7"/>
          </w:tcPr>
          <w:p>
            <w:pPr>
              <w:spacing w:after="0" w:line="189"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 xml:space="preserve">Exhibit 2.1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our Current Report on Form 8-K filed on December 2, 2021 and incorporated herein by reference)</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6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10.1</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Omnibus Assignment, Assumption and Amendment entered into between the Predecessor and the Parent Company (previously filed as</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7"/>
          </w:tcPr>
          <w:p>
            <w:pPr>
              <w:spacing w:after="0" w:line="189"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 xml:space="preserve">Exhibit 10.1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our Current Report on Form 8-K, filed on January 3, 2022 and incorporated herein by reference)</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6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10.2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Second Amendment to Amended and Restated Credit Agreement and Consent, dated as of January 1, 2022, by and among the</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Predecessor, as borrower, each of the lenders party thereto and Wells Fargo Bank, National Association, as administrative agent</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7"/>
          </w:tcPr>
          <w:p>
            <w:pPr>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(previously filed as </w:t>
            </w:r>
            <w:hyperlink r:id="rId44">
              <w:r>
                <w:rPr>
                  <w:rFonts w:ascii="Times New Roman" w:cs="Times New Roman" w:eastAsia="Times New Roman" w:hAnsi="Times New Roman"/>
                  <w:sz w:val="18"/>
                  <w:szCs w:val="18"/>
                  <w:color w:val="0000FF"/>
                </w:rPr>
                <w:t>Exhibit 10.2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our Current Report on Form 8-K filed on January 3, 2022 and incorporated herein by reference)</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6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10.3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Second Amendment to Term Loan Agreement and Consent, dated as of January 1, 2022, by and among the Predecessor, as borrower, each</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7"/>
          </w:tcPr>
          <w:p>
            <w:pPr>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lenders party thereto and PNC Bank, National Association, as administrative agent (previously filed as </w:t>
            </w:r>
            <w:hyperlink r:id="rId45">
              <w:r>
                <w:rPr>
                  <w:rFonts w:ascii="Times New Roman" w:cs="Times New Roman" w:eastAsia="Times New Roman" w:hAnsi="Times New Roman"/>
                  <w:sz w:val="18"/>
                  <w:szCs w:val="18"/>
                  <w:color w:val="0000FF"/>
                </w:rPr>
                <w:t>Exhibit 10.3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our Current</w:t>
            </w:r>
          </w:p>
        </w:tc>
      </w:tr>
      <w:tr>
        <w:trPr>
          <w:trHeight w:val="214"/>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Report on Form 8-K filed on January 3, 2022 and incorporated herein by reference)</w:t>
            </w:r>
          </w:p>
        </w:tc>
        <w:tc>
          <w:tcPr>
            <w:tcW w:w="900" w:type="dxa"/>
            <w:vAlign w:val="bottom"/>
            <w:tcBorders>
              <w:top w:val="single" w:sz="8" w:color="0000FF"/>
            </w:tcBorders>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Rule 13a-14(a) Certification of Chief Executive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Rule 13a-14(a) Certification of Chief Financial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Rule 13a-14(a) Certification of Chief Executive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Rule 13a-14(a) Certification of Chief Financial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Section 1350 Certification of Chief Executive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Section 1350 Certification of Chief Financial Officer - Federal Realty Investment Trust (filed herewith)</w:t>
            </w:r>
          </w:p>
        </w:tc>
      </w:tr>
      <w:tr>
        <w:trPr>
          <w:trHeight w:val="264"/>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Section 1350 Certification of Chief Executive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Section 1350 Certification of Chief Financial Officer - Federal Realty OP LP (filed herewith)</w:t>
            </w:r>
          </w:p>
        </w:tc>
      </w:tr>
    </w:tbl>
    <w:p>
      <w:pPr>
        <w:spacing w:after="0" w:line="76" w:lineRule="exact"/>
        <w:rPr>
          <w:sz w:val="20"/>
          <w:szCs w:val="20"/>
          <w:color w:val="auto"/>
        </w:rPr>
      </w:pPr>
    </w:p>
    <w:p>
      <w:pPr>
        <w:ind w:left="1140" w:right="140" w:hanging="1114"/>
        <w:spacing w:after="0" w:line="224"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Federal Realty Investment Trust’s Quarterly Report on Form 10-Q for the quarter ended March 31, 2022,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51" w:lineRule="exact"/>
        <w:rPr>
          <w:sz w:val="20"/>
          <w:szCs w:val="20"/>
          <w:color w:val="auto"/>
        </w:rPr>
      </w:pPr>
    </w:p>
    <w:p>
      <w:pPr>
        <w:ind w:left="1140" w:hanging="111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authorized.</w:t>
      </w:r>
    </w:p>
    <w:p>
      <w:pPr>
        <w:spacing w:after="0" w:line="3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72" w:lineRule="exact"/>
        <w:rPr>
          <w:sz w:val="20"/>
          <w:szCs w:val="20"/>
          <w:color w:val="auto"/>
        </w:rPr>
      </w:pPr>
    </w:p>
    <w:p>
      <w:pPr>
        <w:ind w:left="20"/>
        <w:spacing w:after="0"/>
        <w:tabs>
          <w:tab w:leader="none" w:pos="7780" w:val="left"/>
        </w:tabs>
        <w:rPr>
          <w:sz w:val="20"/>
          <w:szCs w:val="20"/>
          <w:color w:val="auto"/>
        </w:rPr>
      </w:pPr>
      <w:r>
        <w:rPr>
          <w:rFonts w:ascii="Times New Roman" w:cs="Times New Roman" w:eastAsia="Times New Roman" w:hAnsi="Times New Roman"/>
          <w:sz w:val="18"/>
          <w:szCs w:val="18"/>
          <w:color w:val="auto"/>
        </w:rPr>
        <w:t>May 5, 2022</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72"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May 5, 2022</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Executive Vice President</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340"/>
          </w:cols>
          <w:pgMar w:left="320" w:top="124" w:right="1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May 5, 2022</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May 5, 2022</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OP LP;</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73" w:lineRule="auto"/>
        <w:tabs>
          <w:tab w:leader="none" w:pos="134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560" w:val="left"/>
        </w:tabs>
        <w:rPr>
          <w:sz w:val="20"/>
          <w:szCs w:val="20"/>
          <w:color w:val="auto"/>
        </w:rPr>
      </w:pPr>
      <w:r>
        <w:rPr>
          <w:rFonts w:ascii="Times New Roman" w:cs="Times New Roman" w:eastAsia="Times New Roman" w:hAnsi="Times New Roman"/>
          <w:sz w:val="18"/>
          <w:szCs w:val="18"/>
          <w:color w:val="auto"/>
        </w:rPr>
        <w:t>May 5, 2022</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OP LP;</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73" w:lineRule="auto"/>
        <w:tabs>
          <w:tab w:leader="none" w:pos="13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340" w:val="left"/>
        </w:tabs>
        <w:rPr>
          <w:sz w:val="20"/>
          <w:szCs w:val="20"/>
          <w:color w:val="auto"/>
        </w:rPr>
      </w:pPr>
      <w:r>
        <w:rPr>
          <w:rFonts w:ascii="Times New Roman" w:cs="Times New Roman" w:eastAsia="Times New Roman" w:hAnsi="Times New Roman"/>
          <w:sz w:val="18"/>
          <w:szCs w:val="18"/>
          <w:color w:val="auto"/>
        </w:rPr>
        <w:t>May 5, 2022</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2022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May 5, 2022</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Executive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20" w:firstLine="445"/>
        <w:spacing w:after="0" w:line="289" w:lineRule="auto"/>
        <w:rPr>
          <w:sz w:val="20"/>
          <w:szCs w:val="20"/>
          <w:color w:val="auto"/>
        </w:rPr>
      </w:pPr>
      <w:r>
        <w:rPr>
          <w:rFonts w:ascii="Times New Roman" w:cs="Times New Roman" w:eastAsia="Times New Roman" w:hAnsi="Times New Roman"/>
          <w:sz w:val="17"/>
          <w:szCs w:val="17"/>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2022 (the “Report”). The undersigned hereby certifies, to the best of his knowledge, that:</w:t>
      </w:r>
    </w:p>
    <w:p>
      <w:pPr>
        <w:spacing w:after="0" w:line="50" w:lineRule="exact"/>
        <w:rPr>
          <w:sz w:val="20"/>
          <w:szCs w:val="20"/>
          <w:color w:val="auto"/>
        </w:rPr>
      </w:pPr>
    </w:p>
    <w:p>
      <w:pPr>
        <w:ind w:left="1300" w:hanging="887"/>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May 5, 2022</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March 31, 2021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73" w:lineRule="auto"/>
        <w:tabs>
          <w:tab w:leader="none" w:pos="12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20"/>
        <w:spacing w:after="0"/>
        <w:tabs>
          <w:tab w:leader="none" w:pos="7560" w:val="left"/>
        </w:tabs>
        <w:rPr>
          <w:sz w:val="20"/>
          <w:szCs w:val="20"/>
          <w:color w:val="auto"/>
        </w:rPr>
      </w:pPr>
      <w:r>
        <w:rPr>
          <w:rFonts w:ascii="Times New Roman" w:cs="Times New Roman" w:eastAsia="Times New Roman" w:hAnsi="Times New Roman"/>
          <w:sz w:val="18"/>
          <w:szCs w:val="18"/>
          <w:color w:val="auto"/>
        </w:rPr>
        <w:t>May 5, 2021</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March 31, 2021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20"/>
        <w:spacing w:after="0"/>
        <w:tabs>
          <w:tab w:leader="none" w:pos="7340" w:val="left"/>
        </w:tabs>
        <w:rPr>
          <w:sz w:val="20"/>
          <w:szCs w:val="20"/>
          <w:color w:val="auto"/>
        </w:rPr>
      </w:pPr>
      <w:r>
        <w:rPr>
          <w:rFonts w:ascii="Times New Roman" w:cs="Times New Roman" w:eastAsia="Times New Roman" w:hAnsi="Times New Roman"/>
          <w:sz w:val="18"/>
          <w:szCs w:val="18"/>
          <w:color w:val="auto"/>
        </w:rPr>
        <w:t>May 5, 2022</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6"/>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01"/>
    </w:lvl>
  </w:abstractNum>
  <w:abstractNum w:abstractNumId="25">
    <w:nsid w:val="8138641"/>
    <w:multiLevelType w:val="hybridMultilevel"/>
    <w:lvl w:ilvl="0">
      <w:lvlJc w:val="left"/>
      <w:lvlText w:val="%1"/>
      <w:numFmt w:val="decimal"/>
      <w:start w:val="104"/>
    </w:lvl>
  </w:abstractNum>
  <w:abstractNum w:abstractNumId="26">
    <w:nsid w:val="1E7FF521"/>
    <w:multiLevelType w:val="hybridMultilevel"/>
    <w:lvl w:ilvl="0">
      <w:lvlJc w:val="left"/>
      <w:lvlText w:val="%1)"/>
      <w:numFmt w:val="decimal"/>
      <w:start w:val="1"/>
    </w:lvl>
    <w:lvl w:ilvl="1">
      <w:lvlJc w:val="left"/>
      <w:lvlText w:val="%2)"/>
      <w:numFmt w:val="lowerLetter"/>
      <w:start w:val="1"/>
    </w:lvl>
  </w:abstractNum>
  <w:abstractNum w:abstractNumId="27">
    <w:nsid w:val="7C3DBD3D"/>
    <w:multiLevelType w:val="hybridMultilevel"/>
    <w:lvl w:ilvl="0">
      <w:lvlJc w:val="left"/>
      <w:lvlText w:val="%1)"/>
      <w:numFmt w:val="decimal"/>
      <w:start w:val="1"/>
    </w:lvl>
    <w:lvl w:ilvl="1">
      <w:lvlJc w:val="left"/>
      <w:lvlText w:val="%2)"/>
      <w:numFmt w:val="lowerLetter"/>
      <w:start w:val="1"/>
    </w:lvl>
  </w:abstractNum>
  <w:abstractNum w:abstractNumId="28">
    <w:nsid w:val="737B8DDC"/>
    <w:multiLevelType w:val="hybridMultilevel"/>
    <w:lvl w:ilvl="0">
      <w:lvlJc w:val="left"/>
      <w:lvlText w:val="%1)"/>
      <w:numFmt w:val="decimal"/>
      <w:start w:val="1"/>
    </w:lvl>
    <w:lvl w:ilvl="1">
      <w:lvlJc w:val="left"/>
      <w:lvlText w:val="%2)"/>
      <w:numFmt w:val="lowerLetter"/>
      <w:start w:val="1"/>
    </w:lvl>
  </w:abstractNum>
  <w:abstractNum w:abstractNumId="29">
    <w:nsid w:val="6CEAF087"/>
    <w:multiLevelType w:val="hybridMultilevel"/>
    <w:lvl w:ilvl="0">
      <w:lvlJc w:val="left"/>
      <w:lvlText w:val="%1)"/>
      <w:numFmt w:val="decimal"/>
      <w:start w:val="1"/>
    </w:lvl>
    <w:lvl w:ilvl="1">
      <w:lvlJc w:val="left"/>
      <w:lvlText w:val="%2)"/>
      <w:numFmt w:val="lowerLetter"/>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26" Type="http://schemas.openxmlformats.org/officeDocument/2006/relationships/hyperlink" Target="https://www.sec.gov/ix?doc=/Archives/edgar/data/34903/000003490321000020/frt-20201231.htm" TargetMode="External"/><Relationship Id="rId42" Type="http://schemas.openxmlformats.org/officeDocument/2006/relationships/hyperlink" Target="https://www.sec.gov/Archives/edgar/data/34903/000003490321000080/frt-12022021exhibit21.htm" TargetMode="External"/><Relationship Id="rId43" Type="http://schemas.openxmlformats.org/officeDocument/2006/relationships/hyperlink" Target="https://www.sec.gov/Archives/edgar/data/0000034903/000119312522000302/d231372dex101.htm" TargetMode="External"/><Relationship Id="rId44" Type="http://schemas.openxmlformats.org/officeDocument/2006/relationships/hyperlink" Target="https://www.sec.gov/Archives/edgar/data/34903/000119312522000302/d231372dex102.htm" TargetMode="External"/><Relationship Id="rId45" Type="http://schemas.openxmlformats.org/officeDocument/2006/relationships/hyperlink" Target="https://www.sec.gov/Archives/edgar/data/34903/000119312522000302/d231372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2022-05-05T06:39:36Z</dcterms:created>
  <dcterms:modified xsi:type="dcterms:W3CDTF">2022-05-05T06:39:36Z</dcterms:modified>
</cp:coreProperties>
</file>