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Real Estate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313747206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313747206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1,476,032</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2,732,618</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2,732,618</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3.8%</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20" w:hanging="593"/>
        <w:spacing w:after="0"/>
        <w:tabs>
          <w:tab w:leader="none" w:pos="1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20"/>
        <w:spacing w:after="0"/>
        <w:rPr>
          <w:rFonts w:ascii="Arial" w:cs="Arial" w:eastAsia="Arial" w:hAnsi="Arial"/>
          <w:sz w:val="22"/>
          <w:szCs w:val="22"/>
          <w:b w:val="1"/>
          <w:bCs w:val="1"/>
          <w:color w:val="auto"/>
        </w:rPr>
      </w:pPr>
      <w:r>
        <w:rPr>
          <w:rFonts w:ascii="Arial" w:cs="Arial" w:eastAsia="Arial" w:hAnsi="Arial"/>
          <w:sz w:val="22"/>
          <w:szCs w:val="22"/>
          <w:color w:val="auto"/>
        </w:rPr>
        <w:t>Federal Realty Investment Trust</w:t>
      </w:r>
    </w:p>
    <w:p>
      <w:pPr>
        <w:spacing w:after="0" w:line="101" w:lineRule="exact"/>
        <w:rPr>
          <w:rFonts w:ascii="Arial" w:cs="Arial" w:eastAsia="Arial" w:hAnsi="Arial"/>
          <w:sz w:val="22"/>
          <w:szCs w:val="22"/>
          <w:b w:val="1"/>
          <w:bCs w:val="1"/>
          <w:color w:val="auto"/>
        </w:rPr>
      </w:pPr>
    </w:p>
    <w:p>
      <w:pPr>
        <w:ind w:left="1520" w:right="4980" w:hanging="593"/>
        <w:spacing w:after="0" w:line="335" w:lineRule="auto"/>
        <w:tabs>
          <w:tab w:leader="none" w:pos="15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Issuer's Principal Executive Offices </w:t>
      </w:r>
      <w:r>
        <w:rPr>
          <w:rFonts w:ascii="Arial" w:cs="Arial" w:eastAsia="Arial" w:hAnsi="Arial"/>
          <w:sz w:val="19"/>
          <w:szCs w:val="19"/>
          <w:color w:val="auto"/>
        </w:rPr>
        <w:t>1626, East Jefferson Street, Rockville MD 20852-4041</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20" w:right="72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520" w:right="4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520" w:right="87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520" w:right="72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Real Estate Investment Trust</w:t>
      </w:r>
    </w:p>
    <w:p>
      <w:pPr>
        <w:spacing w:after="0" w:line="11" w:lineRule="exact"/>
        <w:rPr>
          <w:rFonts w:ascii="Arial" w:cs="Arial" w:eastAsia="Arial" w:hAnsi="Arial"/>
          <w:sz w:val="19"/>
          <w:szCs w:val="19"/>
          <w:b w:val="1"/>
          <w:bCs w:val="1"/>
          <w:color w:val="auto"/>
        </w:rPr>
      </w:pPr>
    </w:p>
    <w:p>
      <w:pPr>
        <w:ind w:left="1520" w:right="826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313747206</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1813);</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40"/>
            <w:col w:w="892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20" w:right="8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2,732,618 shares of the Issuer which are held of record by clients of Invesco Ltd. ..</w:t>
      </w:r>
    </w:p>
    <w:p>
      <w:pPr>
        <w:spacing w:after="0" w:line="24"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3.8%</w:t>
      </w:r>
    </w:p>
    <w:p>
      <w:pPr>
        <w:spacing w:after="0" w:line="125"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260"/>
          </w:cols>
          <w:pgMar w:left="320" w:top="423" w:right="319" w:bottom="0" w:gutter="0" w:footer="0" w:header="0"/>
          <w:type w:val="continuous"/>
        </w:sectPr>
      </w:pPr>
    </w:p>
    <w:p>
      <w:pPr>
        <w:spacing w:after="0" w:line="125" w:lineRule="exact"/>
        <w:rPr>
          <w:sz w:val="20"/>
          <w:szCs w:val="20"/>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80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1,476,032</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2,732,618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40" w:space="320"/>
            <w:col w:w="440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6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44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ind w:left="920"/>
        <w:spacing w:after="0" w:line="238" w:lineRule="auto"/>
        <w:rPr>
          <w:sz w:val="20"/>
          <w:szCs w:val="20"/>
          <w:color w:val="auto"/>
        </w:rPr>
      </w:pPr>
      <w:r>
        <w:rPr>
          <w:rFonts w:ascii="Arial" w:cs="Arial" w:eastAsia="Arial" w:hAnsi="Arial"/>
          <w:sz w:val="22"/>
          <w:szCs w:val="22"/>
          <w:color w:val="auto"/>
        </w:rPr>
        <w:t>Invesco Asset Management Japan Limited</w:t>
      </w:r>
    </w:p>
    <w:p>
      <w:pPr>
        <w:ind w:left="920"/>
        <w:spacing w:after="0" w:line="230" w:lineRule="auto"/>
        <w:rPr>
          <w:sz w:val="20"/>
          <w:szCs w:val="20"/>
          <w:color w:val="auto"/>
        </w:rPr>
      </w:pPr>
      <w:r>
        <w:rPr>
          <w:rFonts w:ascii="Arial" w:cs="Arial" w:eastAsia="Arial" w:hAnsi="Arial"/>
          <w:sz w:val="22"/>
          <w:szCs w:val="22"/>
          <w:color w:val="auto"/>
        </w:rPr>
        <w:t>Invesco Investment Advisers, LLC</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PowerShares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12" w:right="4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Date: February 07, 2018</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Title: Global Assurance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2019-12-05T05:30:28Z</dcterms:created>
  <dcterms:modified xsi:type="dcterms:W3CDTF">2019-12-05T05:30:28Z</dcterms:modified>
</cp:coreProperties>
</file>