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5267d8k.htm"/>
      <w:bookmarkStart w:id="1" w:name="ksd1052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w:t>
      </w:r>
    </w:p>
    <w:p>
      <w:pPr>
        <w:pStyle w:val="TextBody"/>
        <w:bidi w:val="0"/>
        <w:spacing w:before="0" w:after="0"/>
        <w:jc w:val="center"/>
        <w:rPr>
          <w:rFonts w:ascii="Times New Roman" w:hAnsi="Times New Roman"/>
          <w:b/>
          <w:sz w:val="24"/>
        </w:rPr>
      </w:pPr>
      <w:r>
        <w:rPr>
          <w:rFonts w:ascii="Times New Roman" w:hAnsi="Times New Roman"/>
          <w:b/>
          <w:sz w:val="24"/>
        </w:rPr>
        <w:t>d</w:t>
      </w:r>
    </w:p>
    <w:p>
      <w:pPr>
        <w:pStyle w:val="TextBody"/>
        <w:bidi w:val="0"/>
        <w:spacing w:before="0" w:after="0"/>
        <w:jc w:val="center"/>
        <w:rPr>
          <w:rFonts w:ascii="Times New Roman" w:hAnsi="Times New Roman"/>
          <w:b/>
          <w:sz w:val="24"/>
        </w:rPr>
      </w:pP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April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Federal Realty Investment Trust</w:t>
      </w:r>
    </w:p>
    <w:p>
      <w:pPr>
        <w:pStyle w:val="TextBody"/>
        <w:bidi w:val="0"/>
        <w:spacing w:before="120" w:after="0"/>
        <w:jc w:val="center"/>
        <w:rPr>
          <w:rFonts w:ascii="Times New Roman" w:hAnsi="Times New Roman"/>
          <w:b/>
          <w:sz w:val="48"/>
        </w:rPr>
      </w:pPr>
      <w:r>
        <w:rPr>
          <w:rFonts w:ascii="Times New Roman" w:hAnsi="Times New Roman"/>
          <w:b/>
          <w:sz w:val="48"/>
        </w:rPr>
        <w:t>Federal Realty OP LP</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1-07533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87-3916363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3935"/>
        <w:gridCol w:w="60"/>
        <w:gridCol w:w="1490"/>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b/>
                <w:spacing w:val="0"/>
              </w:rPr>
            </w:pPr>
            <w:r>
              <w:rPr>
                <w:b/>
                <w:spacing w:val="0"/>
              </w:rPr>
              <w:t>333-262016-01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52-0782497</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909 Rose Avenue, Suite 200,</w:t>
            </w:r>
          </w:p>
          <w:p>
            <w:pPr>
              <w:pStyle w:val="TableContents"/>
              <w:bidi w:val="0"/>
              <w:spacing w:before="0" w:after="20"/>
              <w:jc w:val="center"/>
              <w:rPr>
                <w:rFonts w:ascii="Times New Roman" w:hAnsi="Times New Roman"/>
                <w:b/>
                <w:sz w:val="20"/>
              </w:rPr>
            </w:pPr>
            <w:r>
              <w:rPr>
                <w:rFonts w:ascii="Times New Roman" w:hAnsi="Times New Roman"/>
                <w:b/>
                <w:sz w:val="20"/>
              </w:rPr>
              <w:t>North Bethesda, Maryland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20852-4041</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301/998-8100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Federal Realty Investment Trust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18"/>
        <w:gridCol w:w="60"/>
        <w:gridCol w:w="710"/>
        <w:gridCol w:w="60"/>
        <w:gridCol w:w="1857"/>
      </w:tblGrid>
      <w:tr>
        <w:trPr/>
        <w:tc>
          <w:tcPr>
            <w:tcW w:w="7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751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8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7518" w:type="dxa"/>
            <w:tcBorders/>
            <w:vAlign w:val="center"/>
          </w:tcPr>
          <w:p>
            <w:pPr>
              <w:pStyle w:val="TableContents"/>
              <w:bidi w:val="0"/>
              <w:spacing w:before="0" w:after="283"/>
              <w:jc w:val="center"/>
              <w:rPr/>
            </w:pPr>
            <w:r>
              <w:rPr/>
              <w:t>Common Shares of Beneficial Interest $.01 par value per share, with associated Common Share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FRT</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r>
        <w:trPr/>
        <w:tc>
          <w:tcPr>
            <w:tcW w:w="7518" w:type="dxa"/>
            <w:tcBorders/>
            <w:vAlign w:val="center"/>
          </w:tcPr>
          <w:p>
            <w:pPr>
              <w:pStyle w:val="TableContents"/>
              <w:bidi w:val="0"/>
              <w:spacing w:before="0" w:after="283"/>
              <w:jc w:val="center"/>
              <w:rPr/>
            </w:pPr>
            <w:r>
              <w:rPr/>
              <w:t>Depositary Shares, each representing 1/1000 of a share of 5.00% Series C Cumulative Redeemable Preferred Stock, $.01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FRT-C</w:t>
            </w:r>
          </w:p>
        </w:tc>
        <w:tc>
          <w:tcPr>
            <w:tcW w:w="6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center"/>
              <w:rPr/>
            </w:pPr>
            <w:r>
              <w:rPr/>
              <w:t>New York Stock Exchange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Federal Realty OP LP </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85"/>
        <w:gridCol w:w="60"/>
        <w:gridCol w:w="605"/>
        <w:gridCol w:w="60"/>
        <w:gridCol w:w="1805"/>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18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85"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pPr>
            <w:r>
              <w:rPr/>
              <w:t>N/A</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right"/>
        <w:rPr>
          <w:rFonts w:ascii="Times New Roman" w:hAnsi="Times New Roman"/>
          <w:b/>
          <w:spacing w:val="0"/>
          <w:sz w:val="20"/>
        </w:rPr>
      </w:pPr>
      <w:r>
        <w:rPr>
          <w:rFonts w:ascii="Times New Roman" w:hAnsi="Times New Roman"/>
          <w:b/>
          <w:spacing w:val="0"/>
          <w:sz w:val="20"/>
        </w:rPr>
        <w:t>Federal Realty Investment Trust </w:t>
      </w:r>
    </w:p>
    <w:p>
      <w:pPr>
        <w:pStyle w:val="TextBody"/>
        <w:bidi w:val="0"/>
        <w:spacing w:before="240" w:after="0"/>
        <w:jc w:val="right"/>
        <w:rPr/>
      </w:pPr>
      <w:r>
        <w:rPr/>
        <w:t>☐</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Federal Realty OP LP </w:t>
      </w:r>
    </w:p>
    <w:p>
      <w:pPr>
        <w:pStyle w:val="TextBody"/>
        <w:bidi w:val="0"/>
        <w:spacing w:before="0" w:after="0"/>
        <w:jc w:val="righ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checkmark if the registrant has elected not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660" w:type="dxa"/>
        <w:jc w:val="left"/>
        <w:tblInd w:w="0" w:type="dxa"/>
        <w:tblLayout w:type="fixed"/>
        <w:tblCellMar>
          <w:top w:w="0" w:type="dxa"/>
          <w:left w:w="0" w:type="dxa"/>
          <w:bottom w:w="0" w:type="dxa"/>
          <w:right w:w="0" w:type="dxa"/>
        </w:tblCellMar>
      </w:tblPr>
      <w:tblGrid>
        <w:gridCol w:w="1025"/>
        <w:gridCol w:w="3635"/>
      </w:tblGrid>
      <w:tr>
        <w:trPr/>
        <w:tc>
          <w:tcPr>
            <w:tcW w:w="1025" w:type="dxa"/>
            <w:tcBorders/>
            <w:vAlign w:val="center"/>
          </w:tcPr>
          <w:p>
            <w:pPr>
              <w:pStyle w:val="TableContents"/>
              <w:bidi w:val="0"/>
              <w:spacing w:before="0" w:after="0"/>
              <w:jc w:val="left"/>
              <w:rPr>
                <w:b/>
                <w:spacing w:val="0"/>
              </w:rPr>
            </w:pPr>
            <w:r>
              <w:rPr>
                <w:b/>
                <w:spacing w:val="0"/>
              </w:rPr>
              <w:t>Item 1.01.</w:t>
            </w:r>
          </w:p>
        </w:tc>
        <w:tc>
          <w:tcPr>
            <w:tcW w:w="36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Material Definitive Agreement.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Amendments to Credit Agreement and Term Loan Agreements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Third Amended and Restated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14, 2026, Federal Realty OP LP (the “Partnership”) entered into a Third Amended and Restated Credit Agreement (the “New Credit Agreement”), by and among the Partnership, as Borrower, the financial institutions party thereto and their permitted assignees, as Lenders, Wells Fargo Bank, National Association, as Administrative Agent,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New Credit Agreement replaces that certain Second Amended and Restated Credit Agreement, dated as of October 5, 2022 (as amended, the “Old Credit Agreement”), by and among the Partnership, as Borrower, and the financial institutions party thereto. The Old Credit Agreement consisted of a $1.25 billion unsecured revolving credit facility (the “Old Facility”) with a maturity date of April 5, 2027. As of December 31, 2025, the Old Facility had an outstanding balance of $310.0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New Credit Agreement consists of a $1.4 billion unsecured revolving credit facility (the “New Facility”) with a maturity date of April 12, 2030, subject to </w:t>
      </w:r>
    </w:p>
    <w:p>
      <w:pPr>
        <w:pStyle w:val="TextBody"/>
        <w:bidi w:val="0"/>
        <w:spacing w:before="240" w:after="0"/>
        <w:jc w:val="left"/>
        <w:rPr>
          <w:rFonts w:ascii="Times New Roman" w:hAnsi="Times New Roman"/>
          <w:sz w:val="20"/>
        </w:rPr>
      </w:pPr>
      <w:r>
        <w:rPr>
          <w:rFonts w:ascii="Times New Roman" w:hAnsi="Times New Roman"/>
          <w:sz w:val="20"/>
        </w:rPr>
        <w:t>two six-month extensions</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Partnership. Generally, the New Facility bears interest, at the Partnership’s option, at a rate based on (i) SOFR, or (ii) a Base Rate (each as defined therein), in each case plus an applicable margin that depends on the Partnership’s credit rating. The applicable margins for SOFR loans under the New Credit Agreement range from 62.5 basis points to 135 basis points, and the applicable margins for Base Rate loans under the New Credit Agreement range from 0 basis points to 35 basis points. Initially, the applicable margin for SOFR loans will be 72.5 basis points. Under an accordion feature, the Partnership has the option to expand the borrowing capacity under the New Facility to up to $2.0 billion.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New Credit Agreement are substantially similar to the terms of the Old Credit Agreement, except (i) as described herein and (ii) for certain immaterial amendments (the “Updated Terms”) intended to, among other things, increase the Partnership’s operating flexibility, decrease certain of the Partnership’s notice, reporting and compliance obligations and adjust certain aspects of the Partnership’s financial covenants. The New Credit Agreement contains a number of restrictions on the Partnership’s business that are similar to the restrictions contained in the Old Credit Agreement, including, but not limited to, restrictions on the Partnership’s ability to incur indebtedness, make investments, incur liens, engage in certain affiliate transactions, and engage in major transactions such as mergers. In addition, the Partnership is subject to various financial maintenance covenants, including, but not limited to, a minimum fixed charge coverage ratio, a maximum secured indebtedness ratio, and a minimum unencumbered leverage ratio. The New Credit Agreement also contains affirmative covenants and events of default, including, but not limited to, a cross default to the Partnership’s other indebtedness and the occurrence of a change of control. The Partnership’s failure to comply with these covenants, or the occurrence of an event of default, could result in acceleration of the Partnership’s debt and other financial obligations under the New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does not constitute a complete summary of the terms and conditions of the New Credit Agreement, which is attached hereto as Exhibit 10.1, or of the Old Credit Agreement, which was included as Exhibit 10.1 to the Partnership’s Current Report on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filed with the Securities and Exchange Commission on October 11, 2022. The descriptions contained herein of the terms and conditions of the New Credit Agreement and Old Credit Agreement are qualified in their entirety by reference to the New Credit Agreement and Old Credit Agreement, respectively.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Term Loan Amendments </w:t>
      </w:r>
    </w:p>
    <w:p>
      <w:pPr>
        <w:pStyle w:val="TextBody"/>
        <w:bidi w:val="0"/>
        <w:spacing w:before="120" w:after="0"/>
        <w:jc w:val="left"/>
        <w:rPr>
          <w:rFonts w:ascii="Times New Roman" w:hAnsi="Times New Roman"/>
          <w:sz w:val="20"/>
        </w:rPr>
      </w:pPr>
      <w:r>
        <w:rPr>
          <w:rFonts w:ascii="Times New Roman" w:hAnsi="Times New Roman"/>
          <w:sz w:val="20"/>
        </w:rPr>
        <w:t>In connection with the New Credit Agreement, the Partnership entered into amendments (the “Term Loan Amendments”) to (i) its Amended and Restated Term Loan Agreement, dated as of March 20, 2025, by and among the Partnership and FRIT San Jose Town and Country Village, LLC, as Borrowers, the financial institutions party thereto and their permitted assignees, as Lenders, PNC Bank, National Ass</w:t>
      </w:r>
    </w:p>
    <w:p>
      <w:pPr>
        <w:pStyle w:val="TextBody"/>
        <w:bidi w:val="0"/>
        <w:spacing w:before="120" w:after="0"/>
        <w:jc w:val="left"/>
        <w:rPr>
          <w:rFonts w:ascii="Times New Roman" w:hAnsi="Times New Roman"/>
          <w:sz w:val="20"/>
        </w:rPr>
      </w:pPr>
      <w:r>
        <w:rPr>
          <w:rFonts w:ascii="Times New Roman" w:hAnsi="Times New Roman"/>
          <w:sz w:val="20"/>
        </w:rPr>
        <w:t>ociat</w:t>
      </w:r>
    </w:p>
    <w:p>
      <w:pPr>
        <w:pStyle w:val="TextBody"/>
        <w:bidi w:val="0"/>
        <w:spacing w:before="120" w:after="0"/>
        <w:jc w:val="left"/>
        <w:rPr>
          <w:rFonts w:ascii="Times New Roman" w:hAnsi="Times New Roman"/>
          <w:sz w:val="20"/>
        </w:rPr>
      </w:pPr>
      <w:r>
        <w:rPr>
          <w:rFonts w:ascii="Times New Roman" w:hAnsi="Times New Roman"/>
          <w:sz w:val="20"/>
        </w:rPr>
        <w:t xml:space="preserve">ion, as Administrative Agent, and the other parties thereto and (ii) its Term Loan Agreement, dated as of November 17, 2025, by and among the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Partnership, as Borrower, the financial institutions party thereto and their permitted assignees, as Lenders, Truist Bank, as Administrative Agent, and the other parties thereto (such items (i) and (ii), the “Term Loan Agreements”). The purpose of the Term Loan Amendments was to effect changes similar to the Updated Terms described above in connection with the New Credit Agreement. The foregoing summary of the Term Loan Amendments does not constitute a complete description of, and is qualified in its entirety by reference to, the terms and conditions of the Term Loan Amendments, which are filed herewith as Exhibits 10.2 and 10.3.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Certain Relationships </w:t>
      </w:r>
    </w:p>
    <w:p>
      <w:pPr>
        <w:pStyle w:val="TextBody"/>
        <w:bidi w:val="0"/>
        <w:spacing w:before="120" w:after="0"/>
        <w:jc w:val="left"/>
        <w:rPr>
          <w:rFonts w:ascii="Times New Roman" w:hAnsi="Times New Roman"/>
          <w:sz w:val="20"/>
        </w:rPr>
      </w:pPr>
      <w:r>
        <w:rPr>
          <w:rFonts w:ascii="Times New Roman" w:hAnsi="Times New Roman"/>
          <w:sz w:val="20"/>
        </w:rPr>
        <w:t xml:space="preserve">Affiliates of certain lenders under the New Credit Agreement and the Term Loan Agreements have served, and may serve in the future, as underwriters in connection with public offerings of equity and debt securities by Federal Realty Investment Trust (the “Parent Company”) and/or the Partnership, including serving as agent and/or principal pursuant to an equity distribution agreement in connection with the Parent Company’s “at the market” equity offering program. In addition, affiliates of certain lenders under the New Credit Agreement and the Term Loan Agreements have provided from time to time, and may provide in the future, investment and commercial banking and financial advisory services to the Parent Company, the Partnership or their affiliates in the ordinary course of business for which they have received and may continue to receive customary fees and commissions.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1025"/>
        <w:gridCol w:w="4205"/>
      </w:tblGrid>
      <w:tr>
        <w:trPr/>
        <w:tc>
          <w:tcPr>
            <w:tcW w:w="1025" w:type="dxa"/>
            <w:tcBorders/>
            <w:vAlign w:val="center"/>
          </w:tcPr>
          <w:p>
            <w:pPr>
              <w:pStyle w:val="TableContents"/>
              <w:bidi w:val="0"/>
              <w:spacing w:before="0" w:after="0"/>
              <w:jc w:val="left"/>
              <w:rPr>
                <w:b/>
                <w:spacing w:val="0"/>
              </w:rPr>
            </w:pPr>
            <w:r>
              <w:rPr>
                <w:b/>
                <w:spacing w:val="0"/>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required by this Item 1.02 is included in Item 1.01 and incorporated herein by reference. </w:t>
      </w:r>
    </w:p>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1025"/>
        <w:gridCol w:w="5570"/>
      </w:tblGrid>
      <w:tr>
        <w:trPr/>
        <w:tc>
          <w:tcPr>
            <w:tcW w:w="1025" w:type="dxa"/>
            <w:tcBorders/>
            <w:vAlign w:val="center"/>
          </w:tcPr>
          <w:p>
            <w:pPr>
              <w:pStyle w:val="TableContents"/>
              <w:bidi w:val="0"/>
              <w:spacing w:before="0" w:after="0"/>
              <w:jc w:val="left"/>
              <w:rPr>
                <w:b/>
                <w:spacing w:val="0"/>
              </w:rPr>
            </w:pPr>
            <w:r>
              <w:rPr>
                <w:b/>
                <w:spacing w:val="0"/>
              </w:rPr>
              <w:t>Item 2.03.</w:t>
            </w:r>
          </w:p>
        </w:tc>
        <w:tc>
          <w:tcPr>
            <w:tcW w:w="5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an Off-Balance Sheet</w:t>
            </w:r>
          </w:p>
          <w:p>
            <w:pPr>
              <w:pStyle w:val="TableContents"/>
              <w:bidi w:val="0"/>
              <w:spacing w:before="0" w:after="0"/>
              <w:jc w:val="left"/>
              <w:rPr>
                <w:rFonts w:ascii="Times New Roman" w:hAnsi="Times New Roman"/>
                <w:b/>
                <w:sz w:val="20"/>
              </w:rPr>
            </w:pPr>
            <w:r>
              <w:rPr>
                <w:rFonts w:ascii="Times New Roman" w:hAnsi="Times New Roman"/>
                <w:b/>
                <w:sz w:val="20"/>
              </w:rPr>
              <w:t xml:space="preserve">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required by this Item 2.03 is included in Item 1.01 and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5267dex101.htm">
              <w:r>
                <w:rPr>
                  <w:rStyle w:val="InternetLink"/>
                </w:rPr>
                <w:t xml:space="preserve">Third Amended and Restated Credit Agreement, dated as of April 14, 2026, by and among the Partnership, the financial institutions party thereto, as Lenders, Wells Fargo Bank, National Association, as Administrative Agent, and the other parties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5267dex102.htm">
              <w:r>
                <w:rPr>
                  <w:rStyle w:val="InternetLink"/>
                </w:rPr>
                <w:t xml:space="preserve">Second Amendment to Amended and Restated Term Loan Agreement, dated as of April 14, 2026, by and among the Partnership and FRIT San Jose Town and Country Village, LLC, as Borrowers, the financial institutions party thereto and their permitted assignees, as Lenders, PNC Bank, National Association, as Administrative Agent, and the other parties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05267dex103.htm">
              <w:r>
                <w:rPr>
                  <w:rStyle w:val="InternetLink"/>
                </w:rPr>
                <w:t xml:space="preserve">First Amendment to Amended and Restated Term Loan Agreement, dated as of April 14, 2026, by and among the Partnership, as Borrower, the financial institutions party thereto and their permitted assignees, as Lenders, and Truist Bank, as Administrative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Interactive Data File is embedded within the Inline XBRL document)</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7931" w:type="dxa"/>
        <w:jc w:val="left"/>
        <w:tblInd w:w="0" w:type="dxa"/>
        <w:tblLayout w:type="fixed"/>
        <w:tblCellMar>
          <w:top w:w="0" w:type="dxa"/>
          <w:left w:w="0" w:type="dxa"/>
          <w:bottom w:w="0" w:type="dxa"/>
          <w:right w:w="0" w:type="dxa"/>
        </w:tblCellMar>
      </w:tblPr>
      <w:tblGrid>
        <w:gridCol w:w="2000"/>
        <w:gridCol w:w="60"/>
        <w:gridCol w:w="23"/>
        <w:gridCol w:w="60"/>
        <w:gridCol w:w="23"/>
        <w:gridCol w:w="60"/>
        <w:gridCol w:w="570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b/>
                <w:spacing w:val="0"/>
              </w:rPr>
            </w:pPr>
            <w:r>
              <w:rPr>
                <w:b/>
                <w:spacing w:val="0"/>
              </w:rPr>
              <w:t>FEDERAL REALTY INVESTMENT TRUST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b/>
                <w:spacing w:val="0"/>
              </w:rPr>
            </w:pPr>
            <w:r>
              <w:rPr>
                <w:b/>
                <w:spacing w:val="0"/>
              </w:rPr>
              <w:t>FEDERAL REALTY OP LP</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6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Dawn M. Becker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Dawn M. Becker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Executive Vice President-Chief Legal Officer and Secretary</w:t>
            </w:r>
          </w:p>
        </w:tc>
      </w:tr>
    </w:tbl>
    <w:p>
      <w:pPr>
        <w:pStyle w:val="TextBody"/>
        <w:bidi w:val="0"/>
        <w:spacing w:before="0" w:after="0"/>
        <w:jc w:val="right"/>
        <w:rPr>
          <w:rFonts w:ascii="Times New Roman" w:hAnsi="Times New Roman"/>
          <w:b/>
          <w:sz w:val="20"/>
        </w:rPr>
      </w:pPr>
      <w:bookmarkStart w:id="2" w:name="d105267dex101.htm"/>
      <w:bookmarkStart w:id="3" w:name="ksd105267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sz w:val="20"/>
        </w:rPr>
        <w:t xml:space="preserve">Loan Number: 1004039 </w:t>
      </w:r>
    </w:p>
    <w:p>
      <w:pPr>
        <w:pStyle w:val="TextBody"/>
        <w:bidi w:val="0"/>
        <w:spacing w:before="0" w:after="0"/>
        <w:jc w:val="left"/>
        <w:rPr/>
      </w:pPr>
      <w:r>
        <w:rPr/>
        <w:t> </w:t>
      </w:r>
    </w:p>
    <w:p>
      <w:pPr>
        <w:pStyle w:val="TextBody"/>
        <w:bidi w:val="0"/>
        <w:spacing w:before="0" w:after="0"/>
        <w:jc w:val="left"/>
        <w:rPr/>
      </w:pPr>
      <w:r>
        <w:rPr/>
        <w:drawing>
          <wp:inline distT="0" distB="0" distL="0" distR="0">
            <wp:extent cx="685800" cy="6978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 cy="697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THIRD 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April 14,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FINANCIAL INSTITUTIONS PARTY HERETO </w:t>
      </w:r>
    </w:p>
    <w:p>
      <w:pPr>
        <w:pStyle w:val="TextBody"/>
        <w:bidi w:val="0"/>
        <w:spacing w:before="0" w:after="0"/>
        <w:jc w:val="center"/>
        <w:rPr>
          <w:rFonts w:ascii="Times New Roman" w:hAnsi="Times New Roman"/>
          <w:sz w:val="20"/>
        </w:rPr>
      </w:pPr>
      <w:r>
        <w:rPr>
          <w:rFonts w:ascii="Times New Roman" w:hAnsi="Times New Roman"/>
          <w:sz w:val="20"/>
        </w:rPr>
        <w:t xml:space="preserve">AND THEIR PERMITTED ASSIGNEES UNDER SECTION 12.6.,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Joint Book Managers, </w:t>
      </w:r>
    </w:p>
    <w:p>
      <w:pPr>
        <w:pStyle w:val="TextBody"/>
        <w:bidi w:val="0"/>
        <w:spacing w:before="240" w:after="0"/>
        <w:jc w:val="center"/>
        <w:rPr>
          <w:rFonts w:ascii="Times New Roman" w:hAnsi="Times New Roman"/>
          <w:sz w:val="20"/>
        </w:rPr>
      </w:pPr>
      <w:r>
        <w:rPr>
          <w:rFonts w:ascii="Times New Roman" w:hAnsi="Times New Roman"/>
          <w:sz w:val="20"/>
        </w:rPr>
        <w:t xml:space="preserve">WELLS FARGO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REGIONS CAPITAL MARKETS, A DIVISION OF REGIONS BANK, </w:t>
      </w:r>
    </w:p>
    <w:p>
      <w:pPr>
        <w:pStyle w:val="TextBody"/>
        <w:bidi w:val="0"/>
        <w:spacing w:before="0" w:after="0"/>
        <w:jc w:val="center"/>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center"/>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REGIONS BANK, </w:t>
      </w:r>
    </w:p>
    <w:p>
      <w:pPr>
        <w:pStyle w:val="TextBody"/>
        <w:bidi w:val="0"/>
        <w:spacing w:before="0" w:after="0"/>
        <w:jc w:val="center"/>
        <w:rPr>
          <w:rFonts w:ascii="Times New Roman" w:hAnsi="Times New Roman"/>
          <w:sz w:val="20"/>
        </w:rPr>
      </w:pPr>
      <w:r>
        <w:rPr>
          <w:rFonts w:ascii="Times New Roman" w:hAnsi="Times New Roman"/>
          <w:sz w:val="20"/>
        </w:rPr>
        <w:t xml:space="preserve">TD BANK N.A., </w:t>
      </w:r>
    </w:p>
    <w:p>
      <w:pPr>
        <w:pStyle w:val="TextBody"/>
        <w:bidi w:val="0"/>
        <w:spacing w:before="0" w:after="0"/>
        <w:jc w:val="center"/>
        <w:rPr>
          <w:rFonts w:ascii="Times New Roman" w:hAnsi="Times New Roman"/>
          <w:sz w:val="20"/>
        </w:rPr>
      </w:pPr>
      <w:r>
        <w:rPr>
          <w:rFonts w:ascii="Times New Roman" w:hAnsi="Times New Roman"/>
          <w:sz w:val="20"/>
        </w:rPr>
        <w:t xml:space="preserve">TRUIST BANK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as Sustainability Structuring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3"/>
        <w:gridCol w:w="172"/>
        <w:gridCol w:w="60"/>
        <w:gridCol w:w="267"/>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I. Definitions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1.1.  Definitions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1.2.  General; References to Pacific Time</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1.3.  Financial Attributes of Non-Wholly Owned Subsidiaries and Calculation of Financial Covenants in Certain Circumstances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1.4.  Rates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1.5.  Divisions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II. Credit Facility</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2.1.  Revolving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2.2.  Bid Rate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2.3.  Letters of Credit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2.4.  Swingline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2.5.  Rates and Payment of Interest on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2.6.  Number of Interest Periods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2.7.  Repayment of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2.8.  Prepayments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2.9.  Continuation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Conversion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Notes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2.12.  Voluntary Reductions of the Revolving Commitment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2.13.  Extension of Revolving Termination Date</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2.14.  Expiration Date of Letters of Credit Past Revolving Commitment Termination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2.15.  Amount Limitations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2.16.  Increase in Revolving Commitments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2.17.  Funds Transfer Disbursements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III. Payments, Fees and Other General Provisions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3.1.  Payments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3.2.  Pro Rata Treatment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3.3.  Sharing of Payments, Etc.</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3.4.  Several Obligations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3.5.  Fees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3.6.  Computations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3.7.  Usury</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3.8.  Statements of Account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3.9.  Defaulting Lenders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3.10.  Taxes; Foreign Lenders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IV. Yield Protection, Etc.</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4.1.  Additional Costs; Capital Adequacy</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4.2.  Inability to Determine Interest Rates; Alternative Rate of Interest</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4.3.  Illegality</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4.4.  Compensation</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4.5.  Treatment of Affected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4.6.  Affected Lenders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4.7.  Change of Lending Office</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4.8.  Assumptions Concerning Funding of SOFR Loans</w:t>
            </w:r>
          </w:p>
        </w:tc>
        <w:tc>
          <w:tcPr>
            <w:tcW w:w="1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3"/>
        <w:gridCol w:w="171"/>
        <w:gridCol w:w="60"/>
        <w:gridCol w:w="268"/>
        <w:gridCol w:w="63"/>
      </w:tblGrid>
      <w:tr>
        <w:trPr/>
        <w:tc>
          <w:tcPr>
            <w:tcW w:w="9643"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V. Conditions Precedent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5.1.  Initial Conditions Precedent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5.2.  Conditions Precedent to All Loans and Letters of Credit</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VI. Representations and Warranties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6.1.  Representations and Warranties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6.2 . Survival of Representations and Warranties, Etc.</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VII. Affirmative Covenants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84</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7.1.  Preservation of Existence and Similar Matters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7.2.  Compliance with Applicable Law</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7.3.  Maintenance of Property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7.4.  Conduct of Business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7.5.  Insurance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7.6.  Payment of Taxes and Claims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7.7.  Books and Records; Inspections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7.8.  Use of Proceeds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7.9.  Environmental Matters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7.10.  Further Assurances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7.11.  Compliance with Anti-Corruption Laws; Beneficial Ownership Regulation, Anti-Money Laundering Laws and Sanctions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7.12.  REIT Status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7.13.  Exchange Listing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7.14.  Guarantors; Assets Included in Unencumbered Asset Value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VIII. Information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8.1.  Quarterly Financial Statements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8.2.  Year-End Statements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8.3.  Compliance Certificate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8.4.  Other Information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8.5.  Electronic Delivery of Certain Information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8.6.  Public/Private Information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8.7.  USA Patriot Act Notice; Compliance</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283"/>
              <w:jc w:val="left"/>
              <w:rPr/>
            </w:pPr>
            <w:r>
              <w:rPr/>
              <w:t>Article IX. Negative Covenants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643" w:type="dxa"/>
            <w:tcBorders/>
            <w:vAlign w:val="center"/>
          </w:tcPr>
          <w:p>
            <w:pPr>
              <w:pStyle w:val="TableContents"/>
              <w:bidi w:val="0"/>
              <w:spacing w:before="0" w:after="283"/>
              <w:jc w:val="left"/>
              <w:rPr>
                <w:sz w:val="4"/>
                <w:szCs w:val="4"/>
              </w:rPr>
            </w:pPr>
            <w:r>
              <w:rPr>
                <w:sz w:val="4"/>
                <w:szCs w:val="4"/>
              </w:rPr>
            </w:r>
          </w:p>
        </w:tc>
        <w:tc>
          <w:tcPr>
            <w:tcW w:w="562" w:type="dxa"/>
            <w:gridSpan w:val="4"/>
            <w:tcBorders/>
            <w:vAlign w:val="center"/>
          </w:tcPr>
          <w:p>
            <w:pPr>
              <w:pStyle w:val="TableContents"/>
              <w:bidi w:val="0"/>
              <w:spacing w:before="0" w:after="283"/>
              <w:jc w:val="left"/>
              <w:rPr>
                <w:sz w:val="4"/>
                <w:szCs w:val="4"/>
              </w:rPr>
            </w:pPr>
            <w:r>
              <w:rPr>
                <w:sz w:val="4"/>
                <w:szCs w:val="4"/>
              </w:rPr>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9.1.  Financial Covenants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9.2.  [Intentionally Omitted]</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9.3.  Liens; Negative Pledges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9.4.  Restrictions on Intercompany Transfers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9.5.  Merger, Consolidation, Sales of Assets and Other Arrangements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9.6.  Plans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9.7.  Fiscal Year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9.8.  Modifications of Organizational Documents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9.9.  Transactions with Affiliates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9.10.  Environmental Matters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9.11.  Non-Controlled Properties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9.12.  Derivatives Contracts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9.13.  Use of Proceeds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9.14.  Parent and General Partner</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43" w:type="dxa"/>
            <w:tcBorders/>
          </w:tcPr>
          <w:p>
            <w:pPr>
              <w:pStyle w:val="TableContents"/>
              <w:bidi w:val="0"/>
              <w:spacing w:before="0" w:after="0"/>
              <w:jc w:val="left"/>
              <w:rPr>
                <w:rFonts w:ascii="Times New Roman" w:hAnsi="Times New Roman"/>
                <w:sz w:val="20"/>
              </w:rPr>
            </w:pPr>
            <w:r>
              <w:rPr>
                <w:rFonts w:ascii="Times New Roman" w:hAnsi="Times New Roman"/>
                <w:sz w:val="20"/>
              </w:rPr>
              <w:t>Section 9.15.  Outbound Investment Status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34"/>
        <w:gridCol w:w="157"/>
        <w:gridCol w:w="60"/>
        <w:gridCol w:w="392"/>
        <w:gridCol w:w="62"/>
      </w:tblGrid>
      <w:tr>
        <w:trPr/>
        <w:tc>
          <w:tcPr>
            <w:tcW w:w="953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283"/>
              <w:jc w:val="left"/>
              <w:rPr/>
            </w:pPr>
            <w:r>
              <w:rPr/>
              <w:t>Article X. Default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34" w:type="dxa"/>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Events of Default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Remedies Upon Event of Default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10.3.  Remedies Upon Default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10.4.  Marshaling; Payments Set Aside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10.5.  Allocation of Proceeds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10.6.  Letter of Credit Collateral Account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10.7.  Rescission of Acceleration by Requisite Lenders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10.8.  Performance by Administrative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10.9.  Rights Cumulative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rHeight w:val="120" w:hRule="atLeast"/>
        </w:trPr>
        <w:tc>
          <w:tcPr>
            <w:tcW w:w="9534" w:type="dxa"/>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283"/>
              <w:jc w:val="left"/>
              <w:rPr/>
            </w:pPr>
            <w:r>
              <w:rPr/>
              <w:t>Article XI. The Administrative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107</w:t>
            </w:r>
          </w:p>
        </w:tc>
        <w:tc>
          <w:tcPr>
            <w:tcW w:w="62" w:type="dxa"/>
            <w:tcBorders/>
            <w:vAlign w:val="bottom"/>
          </w:tcPr>
          <w:p>
            <w:pPr>
              <w:pStyle w:val="TableContents"/>
              <w:bidi w:val="0"/>
              <w:spacing w:before="0" w:after="283"/>
              <w:jc w:val="left"/>
              <w:rPr/>
            </w:pPr>
            <w:r>
              <w:rPr/>
              <w:t> </w:t>
            </w:r>
          </w:p>
        </w:tc>
      </w:tr>
      <w:tr>
        <w:trPr>
          <w:trHeight w:val="120" w:hRule="atLeast"/>
        </w:trPr>
        <w:tc>
          <w:tcPr>
            <w:tcW w:w="9534" w:type="dxa"/>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11.1.  Appointment and Authorization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11.2.  Wells Fargo as Lender</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11.3.  Approvals of Lenders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11.4.  Notice of Events of Default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11.5.  Administrative Agent’s and Sustainability Structuring Agent’s Reliance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11.6.  Indemnification of Administrative Agent and Sustainability Structuring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11.7.  Lender Credit Decision,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11.8.  Successor Administrative Agent and Sustainability Structuring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11.9.  Titled Agents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11.10.  Erroneous Payments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112</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11.11.  Sustainability Structuring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rHeight w:val="120" w:hRule="atLeast"/>
        </w:trPr>
        <w:tc>
          <w:tcPr>
            <w:tcW w:w="9534" w:type="dxa"/>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283"/>
              <w:jc w:val="left"/>
              <w:rPr/>
            </w:pPr>
            <w:r>
              <w:rPr/>
              <w:t>Article XII. Miscellaneous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114</w:t>
            </w:r>
          </w:p>
        </w:tc>
        <w:tc>
          <w:tcPr>
            <w:tcW w:w="62" w:type="dxa"/>
            <w:tcBorders/>
            <w:vAlign w:val="bottom"/>
          </w:tcPr>
          <w:p>
            <w:pPr>
              <w:pStyle w:val="TableContents"/>
              <w:bidi w:val="0"/>
              <w:spacing w:before="0" w:after="283"/>
              <w:jc w:val="left"/>
              <w:rPr/>
            </w:pPr>
            <w:r>
              <w:rPr/>
              <w:t> </w:t>
            </w:r>
          </w:p>
        </w:tc>
      </w:tr>
      <w:tr>
        <w:trPr>
          <w:trHeight w:val="120" w:hRule="atLeast"/>
        </w:trPr>
        <w:tc>
          <w:tcPr>
            <w:tcW w:w="9534" w:type="dxa"/>
            <w:tcBorders/>
            <w:vAlign w:val="center"/>
          </w:tcPr>
          <w:p>
            <w:pPr>
              <w:pStyle w:val="TableContents"/>
              <w:bidi w:val="0"/>
              <w:spacing w:before="0" w:after="283"/>
              <w:jc w:val="left"/>
              <w:rPr>
                <w:sz w:val="4"/>
                <w:szCs w:val="4"/>
              </w:rPr>
            </w:pPr>
            <w:r>
              <w:rPr>
                <w:sz w:val="4"/>
                <w:szCs w:val="4"/>
              </w:rPr>
            </w:r>
          </w:p>
        </w:tc>
        <w:tc>
          <w:tcPr>
            <w:tcW w:w="671" w:type="dxa"/>
            <w:gridSpan w:val="4"/>
            <w:tcBorders/>
            <w:vAlign w:val="center"/>
          </w:tcPr>
          <w:p>
            <w:pPr>
              <w:pStyle w:val="TableContents"/>
              <w:bidi w:val="0"/>
              <w:spacing w:before="0" w:after="283"/>
              <w:jc w:val="left"/>
              <w:rPr>
                <w:sz w:val="4"/>
                <w:szCs w:val="4"/>
              </w:rPr>
            </w:pPr>
            <w:r>
              <w:rPr>
                <w:sz w:val="4"/>
                <w:szCs w:val="4"/>
              </w:rPr>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12.1.  Notices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12.2.  Expenses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12.3.  Stamp, Intangible and Recording Taxes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12.4.  Setoff</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12.5.  Litigation; Jurisdiction; Other Matters; Waivers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12.6.  Successors and Assigns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119</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12.7.  Amendments and Waivers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12.8.  Nonliability of Administrative Agent, Sustainability Structuring Agent and Lenders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12.9.  Confidentiality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12.10.  Indemnification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12.11.  Termination; Survival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12.12.  Severability of Provisions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12.13.  GOVERNING LAW</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12.14.  Counterparts; Integration; Effectiveness; Electronic Execution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12.15.  Obligations with Respect to Loan Parties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12.16.  Independence of Covenants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12.17.  Limitation of Liability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12.18.  Entire Agreement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12.19.  Construction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12.20.  Headings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5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12.21.  Limitation of Liability of Trustees,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29"/>
        <w:gridCol w:w="158"/>
        <w:gridCol w:w="60"/>
        <w:gridCol w:w="395"/>
        <w:gridCol w:w="63"/>
      </w:tblGrid>
      <w:tr>
        <w:trPr/>
        <w:tc>
          <w:tcPr>
            <w:tcW w:w="952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29" w:type="dxa"/>
            <w:tcBorders/>
          </w:tcPr>
          <w:p>
            <w:pPr>
              <w:pStyle w:val="TableContents"/>
              <w:bidi w:val="0"/>
              <w:spacing w:before="0" w:after="0"/>
              <w:jc w:val="left"/>
              <w:rPr>
                <w:rFonts w:ascii="Times New Roman" w:hAnsi="Times New Roman"/>
                <w:sz w:val="20"/>
              </w:rPr>
            </w:pPr>
            <w:r>
              <w:rPr>
                <w:rFonts w:ascii="Times New Roman" w:hAnsi="Times New Roman"/>
                <w:sz w:val="20"/>
              </w:rPr>
              <w:t>Section 12.22.  Acknowledgement and Consent to Bail-In of EEA Financial Institutions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529" w:type="dxa"/>
            <w:tcBorders/>
          </w:tcPr>
          <w:p>
            <w:pPr>
              <w:pStyle w:val="TableContents"/>
              <w:bidi w:val="0"/>
              <w:spacing w:before="0" w:after="0"/>
              <w:jc w:val="left"/>
              <w:rPr>
                <w:rFonts w:ascii="Times New Roman" w:hAnsi="Times New Roman"/>
                <w:sz w:val="20"/>
              </w:rPr>
            </w:pPr>
            <w:r>
              <w:rPr>
                <w:rFonts w:ascii="Times New Roman" w:hAnsi="Times New Roman"/>
                <w:sz w:val="20"/>
              </w:rPr>
              <w:t>Section 12.23.  Effect of Amendment and Restatement</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529" w:type="dxa"/>
            <w:tcBorders/>
          </w:tcPr>
          <w:p>
            <w:pPr>
              <w:pStyle w:val="TableContents"/>
              <w:bidi w:val="0"/>
              <w:spacing w:before="0" w:after="0"/>
              <w:jc w:val="left"/>
              <w:rPr>
                <w:rFonts w:ascii="Times New Roman" w:hAnsi="Times New Roman"/>
                <w:sz w:val="20"/>
              </w:rPr>
            </w:pPr>
            <w:r>
              <w:rPr>
                <w:rFonts w:ascii="Times New Roman" w:hAnsi="Times New Roman"/>
                <w:sz w:val="20"/>
              </w:rPr>
              <w:t>Section 12.24.  Acknowledgement Regarding Any Supported QFCs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c>
          <w:tcPr>
            <w:tcW w:w="9529" w:type="dxa"/>
            <w:tcBorders/>
          </w:tcPr>
          <w:p>
            <w:pPr>
              <w:pStyle w:val="TableContents"/>
              <w:bidi w:val="0"/>
              <w:spacing w:before="0" w:after="0"/>
              <w:jc w:val="left"/>
              <w:rPr>
                <w:rFonts w:ascii="Times New Roman" w:hAnsi="Times New Roman"/>
                <w:sz w:val="20"/>
              </w:rPr>
            </w:pPr>
            <w:r>
              <w:rPr>
                <w:rFonts w:ascii="Times New Roman" w:hAnsi="Times New Roman"/>
                <w:sz w:val="20"/>
              </w:rPr>
              <w:t>Section 12.25  KPI Metrics</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204"/>
        <w:gridCol w:w="7961"/>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SCHEDULE I</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Commitments</w:t>
            </w:r>
          </w:p>
        </w:tc>
      </w:tr>
      <w:tr>
        <w:trPr/>
        <w:tc>
          <w:tcPr>
            <w:tcW w:w="2040" w:type="dxa"/>
            <w:tcBorders/>
          </w:tcPr>
          <w:p>
            <w:pPr>
              <w:pStyle w:val="TableContents"/>
              <w:bidi w:val="0"/>
              <w:spacing w:before="0" w:after="283"/>
              <w:jc w:val="left"/>
              <w:rPr/>
            </w:pPr>
            <w:r>
              <w:rPr/>
              <w:t>SCHEDULE 1.1.(a)</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List of Loan Parties</w:t>
            </w:r>
          </w:p>
        </w:tc>
      </w:tr>
      <w:tr>
        <w:trPr/>
        <w:tc>
          <w:tcPr>
            <w:tcW w:w="2040" w:type="dxa"/>
            <w:tcBorders/>
          </w:tcPr>
          <w:p>
            <w:pPr>
              <w:pStyle w:val="TableContents"/>
              <w:bidi w:val="0"/>
              <w:spacing w:before="0" w:after="283"/>
              <w:jc w:val="left"/>
              <w:rPr/>
            </w:pPr>
            <w:r>
              <w:rPr/>
              <w:t>SCHEDULE 1.1.(b)</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Existing Letters of Credit</w:t>
            </w:r>
          </w:p>
        </w:tc>
      </w:tr>
      <w:tr>
        <w:trPr/>
        <w:tc>
          <w:tcPr>
            <w:tcW w:w="2040" w:type="dxa"/>
            <w:tcBorders/>
          </w:tcPr>
          <w:p>
            <w:pPr>
              <w:pStyle w:val="TableContents"/>
              <w:bidi w:val="0"/>
              <w:spacing w:before="0" w:after="283"/>
              <w:jc w:val="left"/>
              <w:rPr/>
            </w:pPr>
            <w:r>
              <w:rPr/>
              <w:t>SCHEDULE 6.1.(b)</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Ownership Structure</w:t>
            </w:r>
          </w:p>
        </w:tc>
      </w:tr>
      <w:tr>
        <w:trPr/>
        <w:tc>
          <w:tcPr>
            <w:tcW w:w="2040" w:type="dxa"/>
            <w:tcBorders/>
          </w:tcPr>
          <w:p>
            <w:pPr>
              <w:pStyle w:val="TableContents"/>
              <w:bidi w:val="0"/>
              <w:spacing w:before="0" w:after="283"/>
              <w:jc w:val="left"/>
              <w:rPr/>
            </w:pPr>
            <w:r>
              <w:rPr/>
              <w:t>SCHEDULE 6.1.(f)</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Properties</w:t>
            </w:r>
          </w:p>
        </w:tc>
      </w:tr>
      <w:tr>
        <w:trPr/>
        <w:tc>
          <w:tcPr>
            <w:tcW w:w="2040" w:type="dxa"/>
            <w:tcBorders/>
          </w:tcPr>
          <w:p>
            <w:pPr>
              <w:pStyle w:val="TableContents"/>
              <w:bidi w:val="0"/>
              <w:spacing w:before="0" w:after="283"/>
              <w:jc w:val="left"/>
              <w:rPr/>
            </w:pPr>
            <w:r>
              <w:rPr/>
              <w:t>SCHEDULE 6.1.(g)</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Indebtedness and Guaranties</w:t>
            </w:r>
          </w:p>
        </w:tc>
      </w:tr>
      <w:tr>
        <w:trPr/>
        <w:tc>
          <w:tcPr>
            <w:tcW w:w="2040" w:type="dxa"/>
            <w:tcBorders/>
          </w:tcPr>
          <w:p>
            <w:pPr>
              <w:pStyle w:val="TableContents"/>
              <w:bidi w:val="0"/>
              <w:spacing w:before="0" w:after="283"/>
              <w:jc w:val="left"/>
              <w:rPr/>
            </w:pPr>
            <w:r>
              <w:rPr/>
              <w:t>SCHEDULE 6.1.(i)</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Litigation</w:t>
            </w:r>
          </w:p>
        </w:tc>
      </w:tr>
      <w:tr>
        <w:trPr/>
        <w:tc>
          <w:tcPr>
            <w:tcW w:w="2040" w:type="dxa"/>
            <w:tcBorders/>
          </w:tcPr>
          <w:p>
            <w:pPr>
              <w:pStyle w:val="TableContents"/>
              <w:bidi w:val="0"/>
              <w:spacing w:before="0" w:after="283"/>
              <w:jc w:val="left"/>
              <w:rPr/>
            </w:pPr>
            <w:r>
              <w:rPr/>
              <w:t>SCHEDULE 6.1.(z)</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Unencumbered Assets</w:t>
            </w:r>
          </w:p>
        </w:tc>
      </w:tr>
      <w:tr>
        <w:trPr>
          <w:trHeight w:val="24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pPr>
            <w:r>
              <w:rPr/>
              <w:t>EXHIBIT A</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Assignment and Assumption Agreement</w:t>
            </w:r>
          </w:p>
        </w:tc>
      </w:tr>
      <w:tr>
        <w:trPr/>
        <w:tc>
          <w:tcPr>
            <w:tcW w:w="2040" w:type="dxa"/>
            <w:tcBorders/>
          </w:tcPr>
          <w:p>
            <w:pPr>
              <w:pStyle w:val="TableContents"/>
              <w:bidi w:val="0"/>
              <w:spacing w:before="0" w:after="283"/>
              <w:jc w:val="left"/>
              <w:rPr/>
            </w:pPr>
            <w:r>
              <w:rPr/>
              <w:t>EXHIBIT B</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Bid Rate Note</w:t>
            </w:r>
          </w:p>
        </w:tc>
      </w:tr>
      <w:tr>
        <w:trPr/>
        <w:tc>
          <w:tcPr>
            <w:tcW w:w="2040" w:type="dxa"/>
            <w:tcBorders/>
          </w:tcPr>
          <w:p>
            <w:pPr>
              <w:pStyle w:val="TableContents"/>
              <w:bidi w:val="0"/>
              <w:spacing w:before="0" w:after="283"/>
              <w:jc w:val="left"/>
              <w:rPr/>
            </w:pPr>
            <w:r>
              <w:rPr/>
              <w:t>EXHIBIT C</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Designation Agreement</w:t>
            </w:r>
          </w:p>
        </w:tc>
      </w:tr>
      <w:tr>
        <w:trPr/>
        <w:tc>
          <w:tcPr>
            <w:tcW w:w="2040" w:type="dxa"/>
            <w:tcBorders/>
          </w:tcPr>
          <w:p>
            <w:pPr>
              <w:pStyle w:val="TableContents"/>
              <w:bidi w:val="0"/>
              <w:spacing w:before="0" w:after="283"/>
              <w:jc w:val="left"/>
              <w:rPr/>
            </w:pPr>
            <w:r>
              <w:rPr/>
              <w:t>EXHIBIT D</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Guaranty</w:t>
            </w:r>
          </w:p>
        </w:tc>
      </w:tr>
      <w:tr>
        <w:trPr/>
        <w:tc>
          <w:tcPr>
            <w:tcW w:w="2040" w:type="dxa"/>
            <w:tcBorders/>
          </w:tcPr>
          <w:p>
            <w:pPr>
              <w:pStyle w:val="TableContents"/>
              <w:bidi w:val="0"/>
              <w:spacing w:before="0" w:after="283"/>
              <w:jc w:val="left"/>
              <w:rPr/>
            </w:pPr>
            <w:r>
              <w:rPr/>
              <w:t>EXHIBIT E</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Notice of Borrowing</w:t>
            </w:r>
          </w:p>
        </w:tc>
      </w:tr>
      <w:tr>
        <w:trPr/>
        <w:tc>
          <w:tcPr>
            <w:tcW w:w="2040" w:type="dxa"/>
            <w:tcBorders/>
          </w:tcPr>
          <w:p>
            <w:pPr>
              <w:pStyle w:val="TableContents"/>
              <w:bidi w:val="0"/>
              <w:spacing w:before="0" w:after="283"/>
              <w:jc w:val="left"/>
              <w:rPr/>
            </w:pPr>
            <w:r>
              <w:rPr/>
              <w:t>EXHIBIT F</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Notice of Continuation</w:t>
            </w:r>
          </w:p>
        </w:tc>
      </w:tr>
      <w:tr>
        <w:trPr/>
        <w:tc>
          <w:tcPr>
            <w:tcW w:w="2040" w:type="dxa"/>
            <w:tcBorders/>
          </w:tcPr>
          <w:p>
            <w:pPr>
              <w:pStyle w:val="TableContents"/>
              <w:bidi w:val="0"/>
              <w:spacing w:before="0" w:after="283"/>
              <w:jc w:val="left"/>
              <w:rPr/>
            </w:pPr>
            <w:r>
              <w:rPr/>
              <w:t>EXHIBIT G</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Notice of Conversion</w:t>
            </w:r>
          </w:p>
        </w:tc>
      </w:tr>
      <w:tr>
        <w:trPr/>
        <w:tc>
          <w:tcPr>
            <w:tcW w:w="2040" w:type="dxa"/>
            <w:tcBorders/>
          </w:tcPr>
          <w:p>
            <w:pPr>
              <w:pStyle w:val="TableContents"/>
              <w:bidi w:val="0"/>
              <w:spacing w:before="0" w:after="283"/>
              <w:jc w:val="left"/>
              <w:rPr/>
            </w:pPr>
            <w:r>
              <w:rPr/>
              <w:t>EXHIBIT H</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Notice of Swingline Borrowing</w:t>
            </w:r>
          </w:p>
        </w:tc>
      </w:tr>
      <w:tr>
        <w:trPr/>
        <w:tc>
          <w:tcPr>
            <w:tcW w:w="2040" w:type="dxa"/>
            <w:tcBorders/>
          </w:tcPr>
          <w:p>
            <w:pPr>
              <w:pStyle w:val="TableContents"/>
              <w:bidi w:val="0"/>
              <w:spacing w:before="0" w:after="283"/>
              <w:jc w:val="left"/>
              <w:rPr/>
            </w:pPr>
            <w:r>
              <w:rPr/>
              <w:t>EXHIBIT I</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Revolving Note</w:t>
            </w:r>
          </w:p>
        </w:tc>
      </w:tr>
      <w:tr>
        <w:trPr/>
        <w:tc>
          <w:tcPr>
            <w:tcW w:w="2040" w:type="dxa"/>
            <w:tcBorders/>
          </w:tcPr>
          <w:p>
            <w:pPr>
              <w:pStyle w:val="TableContents"/>
              <w:bidi w:val="0"/>
              <w:spacing w:before="0" w:after="283"/>
              <w:jc w:val="left"/>
              <w:rPr/>
            </w:pPr>
            <w:r>
              <w:rPr/>
              <w:t>EXHIBIT J</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Swingline Note</w:t>
            </w:r>
          </w:p>
        </w:tc>
      </w:tr>
      <w:tr>
        <w:trPr/>
        <w:tc>
          <w:tcPr>
            <w:tcW w:w="2040" w:type="dxa"/>
            <w:tcBorders/>
          </w:tcPr>
          <w:p>
            <w:pPr>
              <w:pStyle w:val="TableContents"/>
              <w:bidi w:val="0"/>
              <w:spacing w:before="0" w:after="283"/>
              <w:jc w:val="left"/>
              <w:rPr/>
            </w:pPr>
            <w:r>
              <w:rPr/>
              <w:t>EXHIBIT K</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Disbursement Instruction Agreement</w:t>
            </w:r>
          </w:p>
        </w:tc>
      </w:tr>
      <w:tr>
        <w:trPr/>
        <w:tc>
          <w:tcPr>
            <w:tcW w:w="2040" w:type="dxa"/>
            <w:tcBorders/>
          </w:tcPr>
          <w:p>
            <w:pPr>
              <w:pStyle w:val="TableContents"/>
              <w:bidi w:val="0"/>
              <w:spacing w:before="0" w:after="283"/>
              <w:jc w:val="left"/>
              <w:rPr/>
            </w:pPr>
            <w:r>
              <w:rPr/>
              <w:t>EXHIBIT L</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Bid Rate Quote Request</w:t>
            </w:r>
          </w:p>
        </w:tc>
      </w:tr>
      <w:tr>
        <w:trPr/>
        <w:tc>
          <w:tcPr>
            <w:tcW w:w="2040" w:type="dxa"/>
            <w:tcBorders/>
          </w:tcPr>
          <w:p>
            <w:pPr>
              <w:pStyle w:val="TableContents"/>
              <w:bidi w:val="0"/>
              <w:spacing w:before="0" w:after="283"/>
              <w:jc w:val="left"/>
              <w:rPr/>
            </w:pPr>
            <w:r>
              <w:rPr/>
              <w:t>EXHIBIT M</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Bid Rate Quote</w:t>
            </w:r>
          </w:p>
        </w:tc>
      </w:tr>
      <w:tr>
        <w:trPr/>
        <w:tc>
          <w:tcPr>
            <w:tcW w:w="2040" w:type="dxa"/>
            <w:tcBorders/>
          </w:tcPr>
          <w:p>
            <w:pPr>
              <w:pStyle w:val="TableContents"/>
              <w:bidi w:val="0"/>
              <w:spacing w:before="0" w:after="283"/>
              <w:jc w:val="left"/>
              <w:rPr/>
            </w:pPr>
            <w:r>
              <w:rPr/>
              <w:t>EXHIBIT N</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Bid Rate Quote Acceptance</w:t>
            </w:r>
          </w:p>
        </w:tc>
      </w:tr>
      <w:tr>
        <w:trPr/>
        <w:tc>
          <w:tcPr>
            <w:tcW w:w="2040" w:type="dxa"/>
            <w:tcBorders/>
          </w:tcPr>
          <w:p>
            <w:pPr>
              <w:pStyle w:val="TableContents"/>
              <w:bidi w:val="0"/>
              <w:spacing w:before="0" w:after="283"/>
              <w:jc w:val="left"/>
              <w:rPr/>
            </w:pPr>
            <w:r>
              <w:rPr/>
              <w:t>EXHIBIT O</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Opinion of Counsel</w:t>
            </w:r>
          </w:p>
        </w:tc>
      </w:tr>
      <w:tr>
        <w:trPr/>
        <w:tc>
          <w:tcPr>
            <w:tcW w:w="2040" w:type="dxa"/>
            <w:tcBorders/>
          </w:tcPr>
          <w:p>
            <w:pPr>
              <w:pStyle w:val="TableContents"/>
              <w:bidi w:val="0"/>
              <w:spacing w:before="0" w:after="283"/>
              <w:jc w:val="left"/>
              <w:rPr/>
            </w:pPr>
            <w:r>
              <w:rPr/>
              <w:t>EXHIBIT P</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Compliance Certificate</w:t>
            </w:r>
          </w:p>
        </w:tc>
      </w:tr>
      <w:tr>
        <w:trPr/>
        <w:tc>
          <w:tcPr>
            <w:tcW w:w="2040" w:type="dxa"/>
            <w:tcBorders/>
          </w:tcPr>
          <w:p>
            <w:pPr>
              <w:pStyle w:val="TableContents"/>
              <w:bidi w:val="0"/>
              <w:spacing w:before="0" w:after="283"/>
              <w:jc w:val="left"/>
              <w:rPr/>
            </w:pPr>
            <w:r>
              <w:rPr/>
              <w:t>EXHIBIT Q-1</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U.S. Tax Compliance Certificates</w:t>
            </w:r>
          </w:p>
        </w:tc>
      </w:tr>
      <w:tr>
        <w:trPr/>
        <w:tc>
          <w:tcPr>
            <w:tcW w:w="2040" w:type="dxa"/>
            <w:tcBorders/>
          </w:tcPr>
          <w:p>
            <w:pPr>
              <w:pStyle w:val="TableContents"/>
              <w:bidi w:val="0"/>
              <w:spacing w:before="0" w:after="283"/>
              <w:jc w:val="left"/>
              <w:rPr/>
            </w:pPr>
            <w:r>
              <w:rPr/>
              <w:t>EXHIBIT Q-2</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U.S. Tax Compliance Certificates</w:t>
            </w:r>
          </w:p>
        </w:tc>
      </w:tr>
      <w:tr>
        <w:trPr/>
        <w:tc>
          <w:tcPr>
            <w:tcW w:w="2040" w:type="dxa"/>
            <w:tcBorders/>
          </w:tcPr>
          <w:p>
            <w:pPr>
              <w:pStyle w:val="TableContents"/>
              <w:bidi w:val="0"/>
              <w:spacing w:before="0" w:after="283"/>
              <w:jc w:val="left"/>
              <w:rPr/>
            </w:pPr>
            <w:r>
              <w:rPr/>
              <w:t>EXHIBIT Q-3</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U.S. Tax Compliance Certificates</w:t>
            </w:r>
          </w:p>
        </w:tc>
      </w:tr>
      <w:tr>
        <w:trPr/>
        <w:tc>
          <w:tcPr>
            <w:tcW w:w="2040" w:type="dxa"/>
            <w:tcBorders/>
          </w:tcPr>
          <w:p>
            <w:pPr>
              <w:pStyle w:val="TableContents"/>
              <w:bidi w:val="0"/>
              <w:spacing w:before="0" w:after="283"/>
              <w:jc w:val="left"/>
              <w:rPr/>
            </w:pPr>
            <w:r>
              <w:rPr/>
              <w:t>EXHIBIT Q-4</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U.S. Tax Compliance Certificates</w:t>
            </w:r>
          </w:p>
        </w:tc>
      </w:tr>
      <w:tr>
        <w:trPr/>
        <w:tc>
          <w:tcPr>
            <w:tcW w:w="2040" w:type="dxa"/>
            <w:tcBorders/>
          </w:tcPr>
          <w:p>
            <w:pPr>
              <w:pStyle w:val="TableContents"/>
              <w:bidi w:val="0"/>
              <w:spacing w:before="0" w:after="283"/>
              <w:jc w:val="left"/>
              <w:rPr/>
            </w:pPr>
            <w:r>
              <w:rPr/>
              <w:t>EXHIBIT R</w:t>
            </w:r>
          </w:p>
        </w:tc>
        <w:tc>
          <w:tcPr>
            <w:tcW w:w="204" w:type="dxa"/>
            <w:tcBorders/>
            <w:vAlign w:val="bottom"/>
          </w:tcPr>
          <w:p>
            <w:pPr>
              <w:pStyle w:val="TableContents"/>
              <w:bidi w:val="0"/>
              <w:spacing w:before="0" w:after="283"/>
              <w:jc w:val="left"/>
              <w:rPr/>
            </w:pPr>
            <w:r>
              <w:rPr/>
              <w:t>  </w:t>
            </w:r>
          </w:p>
        </w:tc>
        <w:tc>
          <w:tcPr>
            <w:tcW w:w="7961" w:type="dxa"/>
            <w:tcBorders/>
          </w:tcPr>
          <w:p>
            <w:pPr>
              <w:pStyle w:val="TableContents"/>
              <w:bidi w:val="0"/>
              <w:spacing w:before="0" w:after="283"/>
              <w:jc w:val="left"/>
              <w:rPr/>
            </w:pPr>
            <w:r>
              <w:rPr/>
              <w:t>Form of Parent/General Partner Guaranty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iiv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THIRD AMENDED AND RESTATED CREDIT AGREEMENT (this “</w:t>
      </w:r>
      <w:r>
        <w:rPr>
          <w:rFonts w:ascii="Times New Roman" w:hAnsi="Times New Roman"/>
          <w:b/>
          <w:sz w:val="20"/>
        </w:rPr>
        <w:t>Agreement</w:t>
      </w:r>
      <w:r>
        <w:rPr>
          <w:rFonts w:ascii="Times New Roman" w:hAnsi="Times New Roman"/>
          <w:sz w:val="20"/>
        </w:rPr>
        <w:t>”) dated as of April 14, 2026, by and among FEDERAL REALTY OP LP, a Delaware limited partnership (the “</w:t>
      </w:r>
      <w:r>
        <w:rPr>
          <w:rFonts w:ascii="Times New Roman" w:hAnsi="Times New Roman"/>
          <w:b/>
          <w:sz w:val="20"/>
        </w:rPr>
        <w:t>Borrower</w:t>
      </w:r>
      <w:r>
        <w:rPr>
          <w:rFonts w:ascii="Times New Roman" w:hAnsi="Times New Roman"/>
          <w:sz w:val="20"/>
        </w:rPr>
        <w:t>”), each of the financial institutions initially a signatory hereto together with their successors and permitted assignees under Section 12.6. (the “</w:t>
      </w:r>
      <w:r>
        <w:rPr>
          <w:rFonts w:ascii="Times New Roman" w:hAnsi="Times New Roman"/>
          <w:b/>
          <w:sz w:val="20"/>
        </w:rPr>
        <w:t>Lenders</w:t>
      </w:r>
      <w:r>
        <w:rPr>
          <w:rFonts w:ascii="Times New Roman" w:hAnsi="Times New Roman"/>
          <w:sz w:val="20"/>
        </w:rPr>
        <w:t>”), WELLS FARGO BANK, NATIONAL ASSOCIATION, as Administrative Agent (together with its successors and permitted assigns, the “</w:t>
      </w:r>
      <w:r>
        <w:rPr>
          <w:rFonts w:ascii="Times New Roman" w:hAnsi="Times New Roman"/>
          <w:b/>
          <w:sz w:val="20"/>
        </w:rPr>
        <w:t>Administrative Agent</w:t>
      </w:r>
      <w:r>
        <w:rPr>
          <w:rFonts w:ascii="Times New Roman" w:hAnsi="Times New Roman"/>
          <w:sz w:val="20"/>
        </w:rPr>
        <w:t>”) and PNC BANK, NATIONAL ASSOCIATION and JPMORGAN CHASE BANK, N.A., as Co-Syndication Agents (each a “</w:t>
      </w:r>
      <w:r>
        <w:rPr>
          <w:rFonts w:ascii="Times New Roman" w:hAnsi="Times New Roman"/>
          <w:b/>
          <w:sz w:val="20"/>
        </w:rPr>
        <w:t>Syndication Agent</w:t>
      </w:r>
      <w:r>
        <w:rPr>
          <w:rFonts w:ascii="Times New Roman" w:hAnsi="Times New Roman"/>
          <w:sz w:val="20"/>
        </w:rPr>
        <w:t>”), each of BANK OF AMERICA, N.A., REGIONS BANK, TD BANK N.A., TRUIST BANK and U.S. BANK NATIONAL ASSOCIATION, as Documentation Agents (each a “</w:t>
      </w:r>
      <w:r>
        <w:rPr>
          <w:rFonts w:ascii="Times New Roman" w:hAnsi="Times New Roman"/>
          <w:b/>
          <w:sz w:val="20"/>
        </w:rPr>
        <w:t>Documentation Agent</w:t>
      </w:r>
      <w:r>
        <w:rPr>
          <w:rFonts w:ascii="Times New Roman" w:hAnsi="Times New Roman"/>
          <w:sz w:val="20"/>
        </w:rPr>
        <w:t>”), PNC CAPITAL MARKETS LLC, as Sustainability Structuring Agent (the “</w:t>
      </w:r>
      <w:r>
        <w:rPr>
          <w:rFonts w:ascii="Times New Roman" w:hAnsi="Times New Roman"/>
          <w:b/>
          <w:sz w:val="20"/>
        </w:rPr>
        <w:t>Sustainability Structuring Agent</w:t>
      </w:r>
      <w:r>
        <w:rPr>
          <w:rFonts w:ascii="Times New Roman" w:hAnsi="Times New Roman"/>
          <w:sz w:val="20"/>
        </w:rPr>
        <w:t>”), each of WELLS FARGO SECURITIES, LLC, PNC CAPITAL MARKETS LLC and JPMORGAN CHASE BANK, N.A., as Joint Book Managers (each a “</w:t>
      </w:r>
      <w:r>
        <w:rPr>
          <w:rFonts w:ascii="Times New Roman" w:hAnsi="Times New Roman"/>
          <w:b/>
          <w:sz w:val="20"/>
        </w:rPr>
        <w:t>Book Manager</w:t>
      </w:r>
      <w:r>
        <w:rPr>
          <w:rFonts w:ascii="Times New Roman" w:hAnsi="Times New Roman"/>
          <w:sz w:val="20"/>
        </w:rPr>
        <w:t>”) and each of WELLS FARGO SECURITIES, LLC, PNC CAPITAL MARKETS LLC, JPMORGAN CHASE BANK, N.A., BOFA SECURITIES, INC., REGIONS CAPITAL MARKETS, A DIVISION OF REGIONS BANK, TD SECURITIES (USA) LLC, TRUIST SECURITIES, INC. and U.S. BANK NATIONAL ASSOCIATION, as Joint Lead Arrangers (each an “</w:t>
      </w:r>
      <w:r>
        <w:rPr>
          <w:rFonts w:ascii="Times New Roman" w:hAnsi="Times New Roman"/>
          <w:b/>
          <w:sz w:val="20"/>
        </w:rPr>
        <w:t>Arranger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each of the financial institutions party thereto as a “Lender”, the Administrative Agent and certain other parties have entered into that certain Second Amended and Restated Credit Agreement dated as of October 5, 2022 (as amended and as in effect immediately prior to the date hereof, the “</w:t>
      </w:r>
      <w:r>
        <w:rPr>
          <w:rFonts w:ascii="Times New Roman" w:hAnsi="Times New Roman"/>
          <w:b/>
          <w:sz w:val="20"/>
        </w:rPr>
        <w:t>Existing Credit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the Administrative Agent, the Issuing Bank and the Lenders desire to amend and restate the Existing Credit Agreement, to, among other things, make available to the Borrower an unsecured revolving credit facility in the amount of $1,400,000,000 with a $100,000,000 swingline subfacility and a letter of credit subfacility of up to $50,000,000, on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DEFINITIONS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Definitions.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terms defined elsewhere herein, the following terms shall have the following meanings for the purposes of this Agreement: </w:t>
      </w:r>
    </w:p>
    <w:p>
      <w:pPr>
        <w:pStyle w:val="TextBody"/>
        <w:bidi w:val="0"/>
        <w:spacing w:before="120" w:after="0"/>
        <w:jc w:val="left"/>
        <w:rPr/>
      </w:pPr>
      <w:r>
        <w:rPr/>
        <w:t>“</w:t>
      </w:r>
      <w:r>
        <w:rPr>
          <w:rFonts w:ascii="Times New Roman" w:hAnsi="Times New Roman"/>
          <w:b/>
          <w:sz w:val="20"/>
        </w:rPr>
        <w:t>Absolute Rate</w:t>
      </w:r>
      <w:r>
        <w:rPr>
          <w:rFonts w:ascii="Times New Roman" w:hAnsi="Times New Roman"/>
          <w:sz w:val="20"/>
        </w:rPr>
        <w:t xml:space="preserve">” has the meaning given that term in Section 2.2.(c)(ii)(C). </w:t>
      </w:r>
    </w:p>
    <w:p>
      <w:pPr>
        <w:pStyle w:val="TextBody"/>
        <w:bidi w:val="0"/>
        <w:spacing w:before="240" w:after="0"/>
        <w:jc w:val="left"/>
        <w:rPr/>
      </w:pPr>
      <w:r>
        <w:rPr/>
        <w:t>“</w:t>
      </w:r>
      <w:r>
        <w:rPr>
          <w:rFonts w:ascii="Times New Roman" w:hAnsi="Times New Roman"/>
          <w:b/>
          <w:sz w:val="20"/>
        </w:rPr>
        <w:t>Absolute Rate Auction</w:t>
      </w:r>
      <w:r>
        <w:rPr>
          <w:rFonts w:ascii="Times New Roman" w:hAnsi="Times New Roman"/>
          <w:sz w:val="20"/>
        </w:rPr>
        <w:t xml:space="preserve">” means a solicitation of Bid Rate Quotes setting forth Absolute Rates pursuant to Section 2.2. </w:t>
      </w:r>
    </w:p>
    <w:p>
      <w:pPr>
        <w:pStyle w:val="TextBody"/>
        <w:bidi w:val="0"/>
        <w:spacing w:before="240" w:after="0"/>
        <w:jc w:val="left"/>
        <w:rPr/>
      </w:pPr>
      <w:r>
        <w:rPr/>
        <w:t>“</w:t>
      </w:r>
      <w:r>
        <w:rPr>
          <w:rFonts w:ascii="Times New Roman" w:hAnsi="Times New Roman"/>
          <w:b/>
          <w:sz w:val="20"/>
        </w:rPr>
        <w:t>Absolute Rate Loan</w:t>
      </w:r>
      <w:r>
        <w:rPr>
          <w:rFonts w:ascii="Times New Roman" w:hAnsi="Times New Roman"/>
          <w:sz w:val="20"/>
        </w:rPr>
        <w:t xml:space="preserve">” means a Bid Rate Loan, the interest rate on which is determined on the basis of an Absolute Rate pursuant to an Absolute Rate Auction. </w:t>
      </w:r>
    </w:p>
    <w:p>
      <w:pPr>
        <w:pStyle w:val="TextBody"/>
        <w:bidi w:val="0"/>
        <w:spacing w:before="240" w:after="0"/>
        <w:jc w:val="left"/>
        <w:rPr/>
      </w:pPr>
      <w:r>
        <w:rPr/>
        <w:t>“</w:t>
      </w:r>
      <w:r>
        <w:rPr>
          <w:rFonts w:ascii="Times New Roman" w:hAnsi="Times New Roman"/>
          <w:b/>
          <w:sz w:val="20"/>
        </w:rPr>
        <w:t>Accession Agreement</w:t>
      </w:r>
      <w:r>
        <w:rPr>
          <w:rFonts w:ascii="Times New Roman" w:hAnsi="Times New Roman"/>
          <w:sz w:val="20"/>
        </w:rPr>
        <w:t xml:space="preserve">” means an Accession Agreement substantially in the form of Annex I to the Guaranty. </w:t>
      </w:r>
    </w:p>
    <w:p>
      <w:pPr>
        <w:pStyle w:val="TextBody"/>
        <w:bidi w:val="0"/>
        <w:spacing w:before="240" w:after="0"/>
        <w:jc w:val="left"/>
        <w:rPr/>
      </w:pPr>
      <w:r>
        <w:rPr/>
        <w:t>“</w:t>
      </w:r>
      <w:r>
        <w:rPr>
          <w:rFonts w:ascii="Times New Roman" w:hAnsi="Times New Roman"/>
          <w:b/>
          <w:sz w:val="20"/>
        </w:rPr>
        <w:t>Additional Costs</w:t>
      </w:r>
      <w:r>
        <w:rPr>
          <w:rFonts w:ascii="Times New Roman" w:hAnsi="Times New Roman"/>
          <w:sz w:val="20"/>
        </w:rPr>
        <w:t xml:space="preserve">” has the meaning given that term in Section 4.1.(b).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Adjusted EBITDA</w:t>
      </w:r>
      <w:r>
        <w:rPr>
          <w:rFonts w:ascii="Times New Roman" w:hAnsi="Times New Roman"/>
          <w:sz w:val="20"/>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Times New Roman" w:hAnsi="Times New Roman"/>
          <w:sz w:val="20"/>
          <w:u w:val="single"/>
        </w:rPr>
        <w:t>minus</w:t>
      </w:r>
      <w:r>
        <w:rPr>
          <w:rFonts w:ascii="Times New Roman" w:hAnsi="Times New Roman"/>
          <w:sz w:val="20"/>
        </w:rPr>
        <w:t xml:space="preserve"> (b) Capital Reserves. </w:t>
      </w:r>
    </w:p>
    <w:p>
      <w:pPr>
        <w:pStyle w:val="TextBody"/>
        <w:bidi w:val="0"/>
        <w:spacing w:before="240" w:after="0"/>
        <w:jc w:val="left"/>
        <w:rPr/>
      </w:pPr>
      <w:r>
        <w:rPr/>
        <w:t>“</w:t>
      </w:r>
      <w:r>
        <w:rPr>
          <w:rFonts w:ascii="Times New Roman" w:hAnsi="Times New Roman"/>
          <w:b/>
          <w:sz w:val="20"/>
        </w:rPr>
        <w:t>Adjusted Total Asset Value</w:t>
      </w:r>
      <w:r>
        <w:rPr>
          <w:rFonts w:ascii="Times New Roman" w:hAnsi="Times New Roman"/>
          <w:sz w:val="20"/>
        </w:rPr>
        <w:t xml:space="preserve">” means Total Asset Value determined exclusive of assets that are owned by Excluded Subsidiaries and Unconsolidated Affiliates.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means Wells Fargo Bank, National Association as contractual representative of the Lenders under this Agreement, or any successor Administrative Agent appointed pursuant to Section 11.8.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the Administrative Questionnaire completed by each Lender and delivered to the Administrative Agent in a form supplied by the Administrative Agent to the Lenders from time to time.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 </w:t>
      </w:r>
    </w:p>
    <w:p>
      <w:pPr>
        <w:pStyle w:val="TextBody"/>
        <w:bidi w:val="0"/>
        <w:spacing w:before="240" w:after="0"/>
        <w:jc w:val="left"/>
        <w:rPr/>
      </w:pPr>
      <w:r>
        <w:rPr/>
        <w:t>“</w:t>
      </w:r>
      <w:r>
        <w:rPr>
          <w:rFonts w:ascii="Times New Roman" w:hAnsi="Times New Roman"/>
          <w:b/>
          <w:sz w:val="20"/>
        </w:rPr>
        <w:t>Agreement Date</w:t>
      </w:r>
      <w:r>
        <w:rPr>
          <w:rFonts w:ascii="Times New Roman" w:hAnsi="Times New Roman"/>
          <w:sz w:val="20"/>
        </w:rPr>
        <w:t xml:space="preserve">” means the date as of which this Agreement is dated.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 </w:t>
      </w:r>
    </w:p>
    <w:p>
      <w:pPr>
        <w:pStyle w:val="TextBody"/>
        <w:bidi w:val="0"/>
        <w:spacing w:before="240" w:after="0"/>
        <w:jc w:val="left"/>
        <w:rPr/>
      </w:pPr>
      <w:r>
        <w:rPr/>
        <w:t>“</w:t>
      </w:r>
      <w:r>
        <w:rPr>
          <w:rFonts w:ascii="Times New Roman" w:hAnsi="Times New Roman"/>
          <w:b/>
          <w:sz w:val="20"/>
        </w:rPr>
        <w:t>Anti-Money Laundering Laws</w:t>
      </w:r>
      <w:r>
        <w:rPr>
          <w:rFonts w:ascii="Times New Roman" w:hAnsi="Times New Roman"/>
          <w:sz w:val="20"/>
        </w:rPr>
        <w:t xml:space="preserve">”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 </w:t>
      </w:r>
    </w:p>
    <w:p>
      <w:pPr>
        <w:pStyle w:val="TextBody"/>
        <w:bidi w:val="0"/>
        <w:spacing w:before="240" w:after="0"/>
        <w:jc w:val="left"/>
        <w:rPr/>
      </w:pPr>
      <w:r>
        <w:rPr/>
        <w:t>“</w:t>
      </w:r>
      <w:r>
        <w:rPr>
          <w:rFonts w:ascii="Times New Roman" w:hAnsi="Times New Roman"/>
          <w:b/>
          <w:sz w:val="20"/>
        </w:rPr>
        <w:t>Applicable Facility Fee</w:t>
      </w:r>
      <w:r>
        <w:rPr>
          <w:rFonts w:ascii="Times New Roman" w:hAnsi="Times New Roman"/>
          <w:sz w:val="20"/>
        </w:rPr>
        <w:t xml:space="preserve">” means the percentage set forth in the table below corresponding to the Level at which the “Applicable Margin” is determined in accordance with the definition thereof: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0"/>
        <w:gridCol w:w="4400"/>
        <w:gridCol w:w="116"/>
        <w:gridCol w:w="1487"/>
        <w:gridCol w:w="376"/>
      </w:tblGrid>
      <w:tr>
        <w:trPr/>
        <w:tc>
          <w:tcPr>
            <w:tcW w:w="560" w:type="dxa"/>
            <w:tcBorders/>
            <w:vAlign w:val="center"/>
          </w:tcPr>
          <w:p>
            <w:pPr>
              <w:pStyle w:val="TableContents"/>
              <w:bidi w:val="0"/>
              <w:spacing w:before="0" w:after="283"/>
              <w:jc w:val="left"/>
              <w:rPr>
                <w:sz w:val="4"/>
                <w:szCs w:val="4"/>
              </w:rPr>
            </w:pPr>
            <w:r>
              <w:rPr>
                <w:sz w:val="4"/>
                <w:szCs w:val="4"/>
              </w:rPr>
            </w:r>
          </w:p>
        </w:tc>
        <w:tc>
          <w:tcPr>
            <w:tcW w:w="4400"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w:t>
            </w:r>
          </w:p>
        </w:tc>
        <w:tc>
          <w:tcPr>
            <w:tcW w:w="4400"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Facility Fee</w:t>
            </w:r>
          </w:p>
        </w:tc>
        <w:tc>
          <w:tcPr>
            <w:tcW w:w="376"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center"/>
              <w:rPr/>
            </w:pPr>
            <w:r>
              <w:rPr/>
              <w:t>1</w:t>
            </w:r>
          </w:p>
        </w:tc>
        <w:tc>
          <w:tcPr>
            <w:tcW w:w="440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0.100</w:t>
            </w:r>
          </w:p>
        </w:tc>
        <w:tc>
          <w:tcPr>
            <w:tcW w:w="376"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center"/>
              <w:rPr/>
            </w:pPr>
            <w:r>
              <w:rPr/>
              <w:t>2</w:t>
            </w:r>
          </w:p>
        </w:tc>
        <w:tc>
          <w:tcPr>
            <w:tcW w:w="440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0.100</w:t>
            </w:r>
          </w:p>
        </w:tc>
        <w:tc>
          <w:tcPr>
            <w:tcW w:w="376"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center"/>
              <w:rPr/>
            </w:pPr>
            <w:r>
              <w:rPr/>
              <w:t>3</w:t>
            </w:r>
          </w:p>
        </w:tc>
        <w:tc>
          <w:tcPr>
            <w:tcW w:w="440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0.125</w:t>
            </w:r>
          </w:p>
        </w:tc>
        <w:tc>
          <w:tcPr>
            <w:tcW w:w="376"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center"/>
              <w:rPr/>
            </w:pPr>
            <w:r>
              <w:rPr/>
              <w:t>4</w:t>
            </w:r>
          </w:p>
        </w:tc>
        <w:tc>
          <w:tcPr>
            <w:tcW w:w="440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0.150</w:t>
            </w:r>
          </w:p>
        </w:tc>
        <w:tc>
          <w:tcPr>
            <w:tcW w:w="376"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center"/>
              <w:rPr/>
            </w:pPr>
            <w:r>
              <w:rPr/>
              <w:t>5</w:t>
            </w:r>
          </w:p>
        </w:tc>
        <w:tc>
          <w:tcPr>
            <w:tcW w:w="440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0.200</w:t>
            </w:r>
          </w:p>
        </w:tc>
        <w:tc>
          <w:tcPr>
            <w:tcW w:w="376" w:type="dxa"/>
            <w:tcBorders/>
            <w:shd w:fill="CCEEFF" w:val="clear"/>
            <w:vAlign w:val="bottom"/>
          </w:tcPr>
          <w:p>
            <w:pPr>
              <w:pStyle w:val="TableContents"/>
              <w:bidi w:val="0"/>
              <w:spacing w:before="0" w:after="283"/>
              <w:jc w:val="left"/>
              <w:rPr/>
            </w:pPr>
            <w:r>
              <w:rPr/>
              <w:t>% </w:t>
            </w:r>
          </w:p>
        </w:tc>
      </w:tr>
      <w:tr>
        <w:trPr/>
        <w:tc>
          <w:tcPr>
            <w:tcW w:w="560" w:type="dxa"/>
            <w:tcBorders/>
          </w:tcPr>
          <w:p>
            <w:pPr>
              <w:pStyle w:val="TableContents"/>
              <w:bidi w:val="0"/>
              <w:spacing w:before="0" w:after="283"/>
              <w:jc w:val="center"/>
              <w:rPr/>
            </w:pPr>
            <w:r>
              <w:rPr/>
              <w:t>6</w:t>
            </w:r>
          </w:p>
        </w:tc>
        <w:tc>
          <w:tcPr>
            <w:tcW w:w="440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0.250</w:t>
            </w:r>
          </w:p>
        </w:tc>
        <w:tc>
          <w:tcPr>
            <w:tcW w:w="376" w:type="dxa"/>
            <w:tcBorders/>
            <w:vAlign w:val="bottom"/>
          </w:tcPr>
          <w:p>
            <w:pPr>
              <w:pStyle w:val="TableContents"/>
              <w:bidi w:val="0"/>
              <w:spacing w:before="0" w:after="283"/>
              <w:jc w:val="left"/>
              <w:rPr/>
            </w:pPr>
            <w:r>
              <w:rPr/>
              <w:t>% </w:t>
            </w:r>
          </w:p>
        </w:tc>
      </w:tr>
      <w:tr>
        <w:trPr/>
        <w:tc>
          <w:tcPr>
            <w:tcW w:w="560" w:type="dxa"/>
            <w:tcBorders/>
            <w:shd w:fill="CCEEFF" w:val="clear"/>
          </w:tcPr>
          <w:p>
            <w:pPr>
              <w:pStyle w:val="TableContents"/>
              <w:bidi w:val="0"/>
              <w:spacing w:before="0" w:after="283"/>
              <w:jc w:val="center"/>
              <w:rPr/>
            </w:pPr>
            <w:r>
              <w:rPr/>
              <w:t>7</w:t>
            </w:r>
          </w:p>
        </w:tc>
        <w:tc>
          <w:tcPr>
            <w:tcW w:w="4400"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0.300</w:t>
            </w:r>
          </w:p>
        </w:tc>
        <w:tc>
          <w:tcPr>
            <w:tcW w:w="3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change in the applicable Level at which the Applicable Margin is determined shall result in a corresponding and simultaneous change in the Applicable Facility Fee. The provisions of this definition shall be subject to Section 2.5.(c).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240" w:after="0"/>
        <w:jc w:val="left"/>
        <w:rPr/>
      </w:pPr>
      <w:r>
        <w:rPr/>
        <w:t>“</w:t>
      </w:r>
      <w:r>
        <w:rPr>
          <w:rFonts w:ascii="Times New Roman" w:hAnsi="Times New Roman"/>
          <w:b/>
          <w:sz w:val="20"/>
        </w:rPr>
        <w:t>Applicable Margin</w:t>
      </w:r>
      <w:r>
        <w:rPr>
          <w:rFonts w:ascii="Times New Roman" w:hAnsi="Times New Roman"/>
          <w:sz w:val="20"/>
        </w:rPr>
        <w:t>” means the percentage rate set forth in the table below corresponding to the level (each a “</w:t>
      </w:r>
      <w:r>
        <w:rPr>
          <w:rFonts w:ascii="Times New Roman" w:hAnsi="Times New Roman"/>
          <w:b/>
          <w:sz w:val="20"/>
        </w:rPr>
        <w:t>Level</w:t>
      </w:r>
      <w:r>
        <w:rPr>
          <w:rFonts w:ascii="Times New Roman" w:hAnsi="Times New Roman"/>
          <w:sz w:val="20"/>
        </w:rPr>
        <w:t xml:space="preserve">”) into which the Borrower’s Credit Rating then falls. As of the Agreement Date, the Applicable Margin is determined based on Level 4.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Credit Ratings from each of S&amp;P, Fitch and Moody’s that are not equivalent and the difference between the highest and lowest of such Credit Ratings is (i) one Level, then the Applicable Margin shall be determined based on the highest of such Credit Ratings or (ii) two or more Levels, then the Applicable Margin shall be determined based on the average of the two highest Credit Ratings (unless the average is not a recognized Level, in which case the Applicable Margin shall be determined based on the second highest Credit Rating). During any period that the Borrower has received only two Credit Ratings from any of S&amp;P, Fitch and Moody’s that are not equivalent and the difference between such Credit Ratings is (x) one Level, then the Applicable Margin shall be determined based on the higher of such Credit Ratings or (y) two or more Levels, then the Applicable Margin shall be determined based on the Level that would be applicable if the rating was one higher than the lower of the two applicable Credit Ratings received. During any period that the Borrower has only received one Credit Rating, then the Applicable Margin shall be based upon such Credit Rating. During any period that the Borrower has not received a Credit Rating from any Rating Agency, the Applicable Margin shall be determined based on Level 7. The provisions of this definition shall be subject to Section 2.5.(c).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0"/>
        <w:gridCol w:w="178"/>
        <w:gridCol w:w="4504"/>
        <w:gridCol w:w="178"/>
        <w:gridCol w:w="2569"/>
        <w:gridCol w:w="178"/>
        <w:gridCol w:w="2188"/>
      </w:tblGrid>
      <w:tr>
        <w:trPr/>
        <w:tc>
          <w:tcPr>
            <w:tcW w:w="41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4504"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w:t>
            </w:r>
          </w:p>
        </w:tc>
        <w:tc>
          <w:tcPr>
            <w:tcW w:w="178" w:type="dxa"/>
            <w:tcBorders/>
            <w:vAlign w:val="bottom"/>
          </w:tcPr>
          <w:p>
            <w:pPr>
              <w:pStyle w:val="TableContents"/>
              <w:bidi w:val="0"/>
              <w:spacing w:before="0" w:after="283"/>
              <w:jc w:val="left"/>
              <w:rPr/>
            </w:pPr>
            <w:r>
              <w:rPr/>
              <w:t>  </w:t>
            </w:r>
          </w:p>
        </w:tc>
        <w:tc>
          <w:tcPr>
            <w:tcW w:w="4504"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Borrower’s Credit Rating</w:t>
            </w:r>
          </w:p>
          <w:p>
            <w:pPr>
              <w:pStyle w:val="TableContents"/>
              <w:bidi w:val="0"/>
              <w:spacing w:before="0" w:after="0"/>
              <w:jc w:val="left"/>
              <w:rPr>
                <w:rFonts w:ascii="Times New Roman" w:hAnsi="Times New Roman"/>
                <w:b/>
                <w:sz w:val="16"/>
              </w:rPr>
            </w:pPr>
            <w:r>
              <w:rPr>
                <w:rFonts w:ascii="Times New Roman" w:hAnsi="Times New Roman"/>
                <w:b/>
                <w:sz w:val="16"/>
              </w:rPr>
              <w:t>(S&amp;P/Moody’s or</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equivalent)</w:t>
            </w:r>
          </w:p>
        </w:tc>
        <w:tc>
          <w:tcPr>
            <w:tcW w:w="178" w:type="dxa"/>
            <w:tcBorders/>
            <w:vAlign w:val="bottom"/>
          </w:tcPr>
          <w:p>
            <w:pPr>
              <w:pStyle w:val="TableContents"/>
              <w:bidi w:val="0"/>
              <w:spacing w:before="0" w:after="283"/>
              <w:jc w:val="left"/>
              <w:rPr/>
            </w:pPr>
            <w:r>
              <w:rPr/>
              <w:t>  </w:t>
            </w:r>
          </w:p>
        </w:tc>
        <w:tc>
          <w:tcPr>
            <w:tcW w:w="256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Applicable Margin for</w:t>
            </w:r>
          </w:p>
          <w:p>
            <w:pPr>
              <w:pStyle w:val="TableContents"/>
              <w:bidi w:val="0"/>
              <w:spacing w:before="0" w:after="0"/>
              <w:jc w:val="center"/>
              <w:rPr>
                <w:rFonts w:ascii="Times New Roman" w:hAnsi="Times New Roman"/>
                <w:b/>
                <w:sz w:val="16"/>
              </w:rPr>
            </w:pPr>
            <w:r>
              <w:rPr>
                <w:rFonts w:ascii="Times New Roman" w:hAnsi="Times New Roman"/>
                <w:b/>
                <w:sz w:val="16"/>
              </w:rPr>
              <w:t>Revolving Loans that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are SOFR Loans</w:t>
            </w:r>
          </w:p>
        </w:tc>
        <w:tc>
          <w:tcPr>
            <w:tcW w:w="178" w:type="dxa"/>
            <w:tcBorders/>
            <w:vAlign w:val="bottom"/>
          </w:tcPr>
          <w:p>
            <w:pPr>
              <w:pStyle w:val="TableContents"/>
              <w:bidi w:val="0"/>
              <w:spacing w:before="0" w:after="283"/>
              <w:jc w:val="left"/>
              <w:rPr/>
            </w:pPr>
            <w:r>
              <w:rPr/>
              <w:t>  </w:t>
            </w:r>
          </w:p>
        </w:tc>
        <w:tc>
          <w:tcPr>
            <w:tcW w:w="218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Applicable</w:t>
            </w:r>
          </w:p>
          <w:p>
            <w:pPr>
              <w:pStyle w:val="TableContents"/>
              <w:bidi w:val="0"/>
              <w:spacing w:before="0" w:after="0"/>
              <w:jc w:val="center"/>
              <w:rPr>
                <w:rFonts w:ascii="Times New Roman" w:hAnsi="Times New Roman"/>
                <w:b/>
                <w:sz w:val="16"/>
              </w:rPr>
            </w:pPr>
            <w:r>
              <w:rPr>
                <w:rFonts w:ascii="Times New Roman" w:hAnsi="Times New Roman"/>
                <w:b/>
                <w:sz w:val="16"/>
              </w:rPr>
              <w:t>Margin for all</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Base Rate Loans</w:t>
            </w:r>
          </w:p>
        </w:tc>
      </w:tr>
      <w:tr>
        <w:trPr/>
        <w:tc>
          <w:tcPr>
            <w:tcW w:w="410" w:type="dxa"/>
            <w:tcBorders/>
            <w:shd w:fill="CCEEFF" w:val="clear"/>
          </w:tcPr>
          <w:p>
            <w:pPr>
              <w:pStyle w:val="TableContents"/>
              <w:bidi w:val="0"/>
              <w:spacing w:before="0" w:after="283"/>
              <w:jc w:val="left"/>
              <w:rPr/>
            </w:pPr>
            <w:r>
              <w:rPr/>
              <w:t>1</w:t>
            </w:r>
          </w:p>
        </w:tc>
        <w:tc>
          <w:tcPr>
            <w:tcW w:w="178" w:type="dxa"/>
            <w:tcBorders/>
            <w:shd w:fill="CCEEFF" w:val="clear"/>
            <w:vAlign w:val="bottom"/>
          </w:tcPr>
          <w:p>
            <w:pPr>
              <w:pStyle w:val="TableContents"/>
              <w:bidi w:val="0"/>
              <w:spacing w:before="0" w:after="283"/>
              <w:jc w:val="left"/>
              <w:rPr/>
            </w:pPr>
            <w:r>
              <w:rPr/>
              <w:t>  </w:t>
            </w:r>
          </w:p>
        </w:tc>
        <w:tc>
          <w:tcPr>
            <w:tcW w:w="4504" w:type="dxa"/>
            <w:tcBorders/>
            <w:shd w:fill="CCEEFF" w:val="clear"/>
            <w:vAlign w:val="bottom"/>
          </w:tcPr>
          <w:p>
            <w:pPr>
              <w:pStyle w:val="TableContents"/>
              <w:bidi w:val="0"/>
              <w:spacing w:before="0" w:after="283"/>
              <w:jc w:val="left"/>
              <w:rPr/>
            </w:pPr>
            <w:r>
              <w:rPr/>
              <w:t>A+/A1 (or equivalent) or better</w:t>
            </w:r>
          </w:p>
        </w:tc>
        <w:tc>
          <w:tcPr>
            <w:tcW w:w="178" w:type="dxa"/>
            <w:tcBorders/>
            <w:shd w:fill="CCEEFF" w:val="clear"/>
            <w:vAlign w:val="bottom"/>
          </w:tcPr>
          <w:p>
            <w:pPr>
              <w:pStyle w:val="TableContents"/>
              <w:bidi w:val="0"/>
              <w:spacing w:before="0" w:after="283"/>
              <w:jc w:val="left"/>
              <w:rPr/>
            </w:pPr>
            <w:r>
              <w:rPr/>
              <w:t>  </w:t>
            </w:r>
          </w:p>
        </w:tc>
        <w:tc>
          <w:tcPr>
            <w:tcW w:w="2569" w:type="dxa"/>
            <w:tcBorders/>
            <w:shd w:fill="CCEEFF" w:val="clear"/>
            <w:vAlign w:val="bottom"/>
          </w:tcPr>
          <w:p>
            <w:pPr>
              <w:pStyle w:val="TableContents"/>
              <w:bidi w:val="0"/>
              <w:spacing w:before="0" w:after="283"/>
              <w:jc w:val="center"/>
              <w:rPr/>
            </w:pPr>
            <w:r>
              <w:rPr/>
              <w:t>0.625%</w:t>
            </w:r>
          </w:p>
        </w:tc>
        <w:tc>
          <w:tcPr>
            <w:tcW w:w="1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center"/>
              <w:rPr/>
            </w:pPr>
            <w:r>
              <w:rPr/>
              <w:t>0.000%</w:t>
            </w:r>
          </w:p>
        </w:tc>
      </w:tr>
      <w:tr>
        <w:trPr/>
        <w:tc>
          <w:tcPr>
            <w:tcW w:w="410" w:type="dxa"/>
            <w:tcBorders/>
          </w:tcPr>
          <w:p>
            <w:pPr>
              <w:pStyle w:val="TableContents"/>
              <w:bidi w:val="0"/>
              <w:spacing w:before="0" w:after="283"/>
              <w:jc w:val="left"/>
              <w:rPr/>
            </w:pPr>
            <w:r>
              <w:rPr/>
              <w:t>2</w:t>
            </w:r>
          </w:p>
        </w:tc>
        <w:tc>
          <w:tcPr>
            <w:tcW w:w="178" w:type="dxa"/>
            <w:tcBorders/>
            <w:vAlign w:val="bottom"/>
          </w:tcPr>
          <w:p>
            <w:pPr>
              <w:pStyle w:val="TableContents"/>
              <w:bidi w:val="0"/>
              <w:spacing w:before="0" w:after="283"/>
              <w:jc w:val="left"/>
              <w:rPr/>
            </w:pPr>
            <w:r>
              <w:rPr/>
              <w:t>  </w:t>
            </w:r>
          </w:p>
        </w:tc>
        <w:tc>
          <w:tcPr>
            <w:tcW w:w="4504" w:type="dxa"/>
            <w:tcBorders/>
            <w:vAlign w:val="bottom"/>
          </w:tcPr>
          <w:p>
            <w:pPr>
              <w:pStyle w:val="TableContents"/>
              <w:bidi w:val="0"/>
              <w:spacing w:before="0" w:after="283"/>
              <w:jc w:val="left"/>
              <w:rPr/>
            </w:pPr>
            <w:r>
              <w:rPr/>
              <w:t>A/A2 (or equivalent)</w:t>
            </w:r>
          </w:p>
        </w:tc>
        <w:tc>
          <w:tcPr>
            <w:tcW w:w="178" w:type="dxa"/>
            <w:tcBorders/>
            <w:vAlign w:val="bottom"/>
          </w:tcPr>
          <w:p>
            <w:pPr>
              <w:pStyle w:val="TableContents"/>
              <w:bidi w:val="0"/>
              <w:spacing w:before="0" w:after="283"/>
              <w:jc w:val="left"/>
              <w:rPr/>
            </w:pPr>
            <w:r>
              <w:rPr/>
              <w:t>  </w:t>
            </w:r>
          </w:p>
        </w:tc>
        <w:tc>
          <w:tcPr>
            <w:tcW w:w="2569" w:type="dxa"/>
            <w:tcBorders/>
            <w:vAlign w:val="bottom"/>
          </w:tcPr>
          <w:p>
            <w:pPr>
              <w:pStyle w:val="TableContents"/>
              <w:bidi w:val="0"/>
              <w:spacing w:before="0" w:after="283"/>
              <w:jc w:val="center"/>
              <w:rPr/>
            </w:pPr>
            <w:r>
              <w:rPr/>
              <w:t>0.650%</w:t>
            </w:r>
          </w:p>
        </w:tc>
        <w:tc>
          <w:tcPr>
            <w:tcW w:w="178" w:type="dxa"/>
            <w:tcBorders/>
            <w:vAlign w:val="bottom"/>
          </w:tcPr>
          <w:p>
            <w:pPr>
              <w:pStyle w:val="TableContents"/>
              <w:bidi w:val="0"/>
              <w:spacing w:before="0" w:after="283"/>
              <w:jc w:val="left"/>
              <w:rPr/>
            </w:pPr>
            <w:r>
              <w:rPr/>
              <w:t>  </w:t>
            </w:r>
          </w:p>
        </w:tc>
        <w:tc>
          <w:tcPr>
            <w:tcW w:w="2188" w:type="dxa"/>
            <w:tcBorders/>
            <w:vAlign w:val="bottom"/>
          </w:tcPr>
          <w:p>
            <w:pPr>
              <w:pStyle w:val="TableContents"/>
              <w:bidi w:val="0"/>
              <w:spacing w:before="0" w:after="283"/>
              <w:jc w:val="center"/>
              <w:rPr/>
            </w:pPr>
            <w:r>
              <w:rPr/>
              <w:t>0.000%</w:t>
            </w:r>
          </w:p>
        </w:tc>
      </w:tr>
      <w:tr>
        <w:trPr/>
        <w:tc>
          <w:tcPr>
            <w:tcW w:w="410" w:type="dxa"/>
            <w:tcBorders/>
            <w:shd w:fill="CCEEFF" w:val="clear"/>
          </w:tcPr>
          <w:p>
            <w:pPr>
              <w:pStyle w:val="TableContents"/>
              <w:bidi w:val="0"/>
              <w:spacing w:before="0" w:after="283"/>
              <w:jc w:val="left"/>
              <w:rPr/>
            </w:pPr>
            <w:r>
              <w:rPr/>
              <w:t>3</w:t>
            </w:r>
          </w:p>
        </w:tc>
        <w:tc>
          <w:tcPr>
            <w:tcW w:w="178" w:type="dxa"/>
            <w:tcBorders/>
            <w:shd w:fill="CCEEFF" w:val="clear"/>
            <w:vAlign w:val="bottom"/>
          </w:tcPr>
          <w:p>
            <w:pPr>
              <w:pStyle w:val="TableContents"/>
              <w:bidi w:val="0"/>
              <w:spacing w:before="0" w:after="283"/>
              <w:jc w:val="left"/>
              <w:rPr/>
            </w:pPr>
            <w:r>
              <w:rPr/>
              <w:t>  </w:t>
            </w:r>
          </w:p>
        </w:tc>
        <w:tc>
          <w:tcPr>
            <w:tcW w:w="4504" w:type="dxa"/>
            <w:tcBorders/>
            <w:shd w:fill="CCEEFF" w:val="clear"/>
            <w:vAlign w:val="bottom"/>
          </w:tcPr>
          <w:p>
            <w:pPr>
              <w:pStyle w:val="TableContents"/>
              <w:bidi w:val="0"/>
              <w:spacing w:before="0" w:after="283"/>
              <w:jc w:val="left"/>
              <w:rPr/>
            </w:pPr>
            <w:r>
              <w:rPr/>
              <w:t>A-/A3 (or equivalent)</w:t>
            </w:r>
          </w:p>
        </w:tc>
        <w:tc>
          <w:tcPr>
            <w:tcW w:w="178" w:type="dxa"/>
            <w:tcBorders/>
            <w:shd w:fill="CCEEFF" w:val="clear"/>
            <w:vAlign w:val="bottom"/>
          </w:tcPr>
          <w:p>
            <w:pPr>
              <w:pStyle w:val="TableContents"/>
              <w:bidi w:val="0"/>
              <w:spacing w:before="0" w:after="283"/>
              <w:jc w:val="left"/>
              <w:rPr/>
            </w:pPr>
            <w:r>
              <w:rPr/>
              <w:t>  </w:t>
            </w:r>
          </w:p>
        </w:tc>
        <w:tc>
          <w:tcPr>
            <w:tcW w:w="2569" w:type="dxa"/>
            <w:tcBorders/>
            <w:shd w:fill="CCEEFF" w:val="clear"/>
            <w:vAlign w:val="bottom"/>
          </w:tcPr>
          <w:p>
            <w:pPr>
              <w:pStyle w:val="TableContents"/>
              <w:bidi w:val="0"/>
              <w:spacing w:before="0" w:after="283"/>
              <w:jc w:val="center"/>
              <w:rPr/>
            </w:pPr>
            <w:r>
              <w:rPr/>
              <w:t>0.675%</w:t>
            </w:r>
          </w:p>
        </w:tc>
        <w:tc>
          <w:tcPr>
            <w:tcW w:w="1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center"/>
              <w:rPr/>
            </w:pPr>
            <w:r>
              <w:rPr/>
              <w:t>0.000%</w:t>
            </w:r>
          </w:p>
        </w:tc>
      </w:tr>
      <w:tr>
        <w:trPr/>
        <w:tc>
          <w:tcPr>
            <w:tcW w:w="410" w:type="dxa"/>
            <w:tcBorders/>
          </w:tcPr>
          <w:p>
            <w:pPr>
              <w:pStyle w:val="TableContents"/>
              <w:bidi w:val="0"/>
              <w:spacing w:before="0" w:after="283"/>
              <w:jc w:val="left"/>
              <w:rPr/>
            </w:pPr>
            <w:r>
              <w:rPr/>
              <w:t>4</w:t>
            </w:r>
          </w:p>
        </w:tc>
        <w:tc>
          <w:tcPr>
            <w:tcW w:w="178" w:type="dxa"/>
            <w:tcBorders/>
            <w:vAlign w:val="bottom"/>
          </w:tcPr>
          <w:p>
            <w:pPr>
              <w:pStyle w:val="TableContents"/>
              <w:bidi w:val="0"/>
              <w:spacing w:before="0" w:after="283"/>
              <w:jc w:val="left"/>
              <w:rPr/>
            </w:pPr>
            <w:r>
              <w:rPr/>
              <w:t>  </w:t>
            </w:r>
          </w:p>
        </w:tc>
        <w:tc>
          <w:tcPr>
            <w:tcW w:w="4504" w:type="dxa"/>
            <w:tcBorders/>
            <w:vAlign w:val="bottom"/>
          </w:tcPr>
          <w:p>
            <w:pPr>
              <w:pStyle w:val="TableContents"/>
              <w:bidi w:val="0"/>
              <w:spacing w:before="0" w:after="283"/>
              <w:jc w:val="left"/>
              <w:rPr/>
            </w:pPr>
            <w:r>
              <w:rPr/>
              <w:t>BBB+/Baa1 (or equivalent)</w:t>
            </w:r>
          </w:p>
        </w:tc>
        <w:tc>
          <w:tcPr>
            <w:tcW w:w="178" w:type="dxa"/>
            <w:tcBorders/>
            <w:vAlign w:val="bottom"/>
          </w:tcPr>
          <w:p>
            <w:pPr>
              <w:pStyle w:val="TableContents"/>
              <w:bidi w:val="0"/>
              <w:spacing w:before="0" w:after="283"/>
              <w:jc w:val="left"/>
              <w:rPr/>
            </w:pPr>
            <w:r>
              <w:rPr/>
              <w:t>  </w:t>
            </w:r>
          </w:p>
        </w:tc>
        <w:tc>
          <w:tcPr>
            <w:tcW w:w="2569" w:type="dxa"/>
            <w:tcBorders/>
            <w:vAlign w:val="bottom"/>
          </w:tcPr>
          <w:p>
            <w:pPr>
              <w:pStyle w:val="TableContents"/>
              <w:bidi w:val="0"/>
              <w:spacing w:before="0" w:after="283"/>
              <w:jc w:val="center"/>
              <w:rPr/>
            </w:pPr>
            <w:r>
              <w:rPr/>
              <w:t>0.725%</w:t>
            </w:r>
          </w:p>
        </w:tc>
        <w:tc>
          <w:tcPr>
            <w:tcW w:w="178" w:type="dxa"/>
            <w:tcBorders/>
            <w:vAlign w:val="bottom"/>
          </w:tcPr>
          <w:p>
            <w:pPr>
              <w:pStyle w:val="TableContents"/>
              <w:bidi w:val="0"/>
              <w:spacing w:before="0" w:after="283"/>
              <w:jc w:val="left"/>
              <w:rPr/>
            </w:pPr>
            <w:r>
              <w:rPr/>
              <w:t>  </w:t>
            </w:r>
          </w:p>
        </w:tc>
        <w:tc>
          <w:tcPr>
            <w:tcW w:w="2188" w:type="dxa"/>
            <w:tcBorders/>
            <w:vAlign w:val="bottom"/>
          </w:tcPr>
          <w:p>
            <w:pPr>
              <w:pStyle w:val="TableContents"/>
              <w:bidi w:val="0"/>
              <w:spacing w:before="0" w:after="283"/>
              <w:jc w:val="center"/>
              <w:rPr/>
            </w:pPr>
            <w:r>
              <w:rPr/>
              <w:t>0.000%</w:t>
            </w:r>
          </w:p>
        </w:tc>
      </w:tr>
      <w:tr>
        <w:trPr/>
        <w:tc>
          <w:tcPr>
            <w:tcW w:w="410" w:type="dxa"/>
            <w:tcBorders/>
            <w:shd w:fill="CCEEFF" w:val="clear"/>
          </w:tcPr>
          <w:p>
            <w:pPr>
              <w:pStyle w:val="TableContents"/>
              <w:bidi w:val="0"/>
              <w:spacing w:before="0" w:after="283"/>
              <w:jc w:val="left"/>
              <w:rPr/>
            </w:pPr>
            <w:r>
              <w:rPr/>
              <w:t>5</w:t>
            </w:r>
          </w:p>
        </w:tc>
        <w:tc>
          <w:tcPr>
            <w:tcW w:w="178" w:type="dxa"/>
            <w:tcBorders/>
            <w:shd w:fill="CCEEFF" w:val="clear"/>
            <w:vAlign w:val="bottom"/>
          </w:tcPr>
          <w:p>
            <w:pPr>
              <w:pStyle w:val="TableContents"/>
              <w:bidi w:val="0"/>
              <w:spacing w:before="0" w:after="283"/>
              <w:jc w:val="left"/>
              <w:rPr/>
            </w:pPr>
            <w:r>
              <w:rPr/>
              <w:t>  </w:t>
            </w:r>
          </w:p>
        </w:tc>
        <w:tc>
          <w:tcPr>
            <w:tcW w:w="4504" w:type="dxa"/>
            <w:tcBorders/>
            <w:shd w:fill="CCEEFF" w:val="clear"/>
            <w:vAlign w:val="bottom"/>
          </w:tcPr>
          <w:p>
            <w:pPr>
              <w:pStyle w:val="TableContents"/>
              <w:bidi w:val="0"/>
              <w:spacing w:before="0" w:after="283"/>
              <w:jc w:val="left"/>
              <w:rPr/>
            </w:pPr>
            <w:r>
              <w:rPr/>
              <w:t>BBB/Baa2 (or equivalent)</w:t>
            </w:r>
          </w:p>
        </w:tc>
        <w:tc>
          <w:tcPr>
            <w:tcW w:w="178" w:type="dxa"/>
            <w:tcBorders/>
            <w:shd w:fill="CCEEFF" w:val="clear"/>
            <w:vAlign w:val="bottom"/>
          </w:tcPr>
          <w:p>
            <w:pPr>
              <w:pStyle w:val="TableContents"/>
              <w:bidi w:val="0"/>
              <w:spacing w:before="0" w:after="283"/>
              <w:jc w:val="left"/>
              <w:rPr/>
            </w:pPr>
            <w:r>
              <w:rPr/>
              <w:t>  </w:t>
            </w:r>
          </w:p>
        </w:tc>
        <w:tc>
          <w:tcPr>
            <w:tcW w:w="2569" w:type="dxa"/>
            <w:tcBorders/>
            <w:shd w:fill="CCEEFF" w:val="clear"/>
            <w:vAlign w:val="bottom"/>
          </w:tcPr>
          <w:p>
            <w:pPr>
              <w:pStyle w:val="TableContents"/>
              <w:bidi w:val="0"/>
              <w:spacing w:before="0" w:after="283"/>
              <w:jc w:val="center"/>
              <w:rPr/>
            </w:pPr>
            <w:r>
              <w:rPr/>
              <w:t>0.800%</w:t>
            </w:r>
          </w:p>
        </w:tc>
        <w:tc>
          <w:tcPr>
            <w:tcW w:w="1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center"/>
              <w:rPr/>
            </w:pPr>
            <w:r>
              <w:rPr/>
              <w:t>0.000%</w:t>
            </w:r>
          </w:p>
        </w:tc>
      </w:tr>
      <w:tr>
        <w:trPr/>
        <w:tc>
          <w:tcPr>
            <w:tcW w:w="410" w:type="dxa"/>
            <w:tcBorders/>
          </w:tcPr>
          <w:p>
            <w:pPr>
              <w:pStyle w:val="TableContents"/>
              <w:bidi w:val="0"/>
              <w:spacing w:before="0" w:after="283"/>
              <w:jc w:val="left"/>
              <w:rPr/>
            </w:pPr>
            <w:r>
              <w:rPr/>
              <w:t>6</w:t>
            </w:r>
          </w:p>
        </w:tc>
        <w:tc>
          <w:tcPr>
            <w:tcW w:w="178" w:type="dxa"/>
            <w:tcBorders/>
            <w:vAlign w:val="bottom"/>
          </w:tcPr>
          <w:p>
            <w:pPr>
              <w:pStyle w:val="TableContents"/>
              <w:bidi w:val="0"/>
              <w:spacing w:before="0" w:after="283"/>
              <w:jc w:val="left"/>
              <w:rPr/>
            </w:pPr>
            <w:r>
              <w:rPr/>
              <w:t>  </w:t>
            </w:r>
          </w:p>
        </w:tc>
        <w:tc>
          <w:tcPr>
            <w:tcW w:w="4504" w:type="dxa"/>
            <w:tcBorders/>
            <w:vAlign w:val="bottom"/>
          </w:tcPr>
          <w:p>
            <w:pPr>
              <w:pStyle w:val="TableContents"/>
              <w:bidi w:val="0"/>
              <w:spacing w:before="0" w:after="283"/>
              <w:jc w:val="left"/>
              <w:rPr/>
            </w:pPr>
            <w:r>
              <w:rPr/>
              <w:t>BBB-/Baa3 (or equivalent)</w:t>
            </w:r>
          </w:p>
        </w:tc>
        <w:tc>
          <w:tcPr>
            <w:tcW w:w="178" w:type="dxa"/>
            <w:tcBorders/>
            <w:vAlign w:val="bottom"/>
          </w:tcPr>
          <w:p>
            <w:pPr>
              <w:pStyle w:val="TableContents"/>
              <w:bidi w:val="0"/>
              <w:spacing w:before="0" w:after="283"/>
              <w:jc w:val="left"/>
              <w:rPr/>
            </w:pPr>
            <w:r>
              <w:rPr/>
              <w:t>  </w:t>
            </w:r>
          </w:p>
        </w:tc>
        <w:tc>
          <w:tcPr>
            <w:tcW w:w="2569" w:type="dxa"/>
            <w:tcBorders/>
            <w:vAlign w:val="bottom"/>
          </w:tcPr>
          <w:p>
            <w:pPr>
              <w:pStyle w:val="TableContents"/>
              <w:bidi w:val="0"/>
              <w:spacing w:before="0" w:after="283"/>
              <w:jc w:val="center"/>
              <w:rPr/>
            </w:pPr>
            <w:r>
              <w:rPr/>
              <w:t>1.000%</w:t>
            </w:r>
          </w:p>
        </w:tc>
        <w:tc>
          <w:tcPr>
            <w:tcW w:w="178" w:type="dxa"/>
            <w:tcBorders/>
            <w:vAlign w:val="bottom"/>
          </w:tcPr>
          <w:p>
            <w:pPr>
              <w:pStyle w:val="TableContents"/>
              <w:bidi w:val="0"/>
              <w:spacing w:before="0" w:after="283"/>
              <w:jc w:val="left"/>
              <w:rPr/>
            </w:pPr>
            <w:r>
              <w:rPr/>
              <w:t>  </w:t>
            </w:r>
          </w:p>
        </w:tc>
        <w:tc>
          <w:tcPr>
            <w:tcW w:w="2188" w:type="dxa"/>
            <w:tcBorders/>
            <w:vAlign w:val="bottom"/>
          </w:tcPr>
          <w:p>
            <w:pPr>
              <w:pStyle w:val="TableContents"/>
              <w:bidi w:val="0"/>
              <w:spacing w:before="0" w:after="283"/>
              <w:jc w:val="center"/>
              <w:rPr/>
            </w:pPr>
            <w:r>
              <w:rPr/>
              <w:t>0.000%</w:t>
            </w:r>
          </w:p>
        </w:tc>
      </w:tr>
      <w:tr>
        <w:trPr/>
        <w:tc>
          <w:tcPr>
            <w:tcW w:w="410" w:type="dxa"/>
            <w:tcBorders/>
            <w:shd w:fill="CCEEFF" w:val="clear"/>
          </w:tcPr>
          <w:p>
            <w:pPr>
              <w:pStyle w:val="TableContents"/>
              <w:bidi w:val="0"/>
              <w:spacing w:before="0" w:after="283"/>
              <w:jc w:val="left"/>
              <w:rPr/>
            </w:pPr>
            <w:r>
              <w:rPr/>
              <w:t>7</w:t>
            </w:r>
          </w:p>
        </w:tc>
        <w:tc>
          <w:tcPr>
            <w:tcW w:w="178" w:type="dxa"/>
            <w:tcBorders/>
            <w:shd w:fill="CCEEFF" w:val="clear"/>
            <w:vAlign w:val="bottom"/>
          </w:tcPr>
          <w:p>
            <w:pPr>
              <w:pStyle w:val="TableContents"/>
              <w:bidi w:val="0"/>
              <w:spacing w:before="0" w:after="283"/>
              <w:jc w:val="left"/>
              <w:rPr/>
            </w:pPr>
            <w:r>
              <w:rPr/>
              <w:t>  </w:t>
            </w:r>
          </w:p>
        </w:tc>
        <w:tc>
          <w:tcPr>
            <w:tcW w:w="4504" w:type="dxa"/>
            <w:tcBorders/>
            <w:shd w:fill="CCEEFF" w:val="clear"/>
            <w:vAlign w:val="bottom"/>
          </w:tcPr>
          <w:p>
            <w:pPr>
              <w:pStyle w:val="TableContents"/>
              <w:bidi w:val="0"/>
              <w:spacing w:before="0" w:after="283"/>
              <w:jc w:val="left"/>
              <w:rPr/>
            </w:pPr>
            <w:r>
              <w:rPr/>
              <w:t>Lower than BBB-/Baa3 (or equivalent)</w:t>
            </w:r>
          </w:p>
        </w:tc>
        <w:tc>
          <w:tcPr>
            <w:tcW w:w="178" w:type="dxa"/>
            <w:tcBorders/>
            <w:shd w:fill="CCEEFF" w:val="clear"/>
            <w:vAlign w:val="bottom"/>
          </w:tcPr>
          <w:p>
            <w:pPr>
              <w:pStyle w:val="TableContents"/>
              <w:bidi w:val="0"/>
              <w:spacing w:before="0" w:after="283"/>
              <w:jc w:val="left"/>
              <w:rPr/>
            </w:pPr>
            <w:r>
              <w:rPr/>
              <w:t>  </w:t>
            </w:r>
          </w:p>
        </w:tc>
        <w:tc>
          <w:tcPr>
            <w:tcW w:w="2569" w:type="dxa"/>
            <w:tcBorders/>
            <w:shd w:fill="CCEEFF" w:val="clear"/>
            <w:vAlign w:val="bottom"/>
          </w:tcPr>
          <w:p>
            <w:pPr>
              <w:pStyle w:val="TableContents"/>
              <w:bidi w:val="0"/>
              <w:spacing w:before="0" w:after="283"/>
              <w:jc w:val="center"/>
              <w:rPr/>
            </w:pPr>
            <w:r>
              <w:rPr/>
              <w:t>1.350%</w:t>
            </w:r>
          </w:p>
        </w:tc>
        <w:tc>
          <w:tcPr>
            <w:tcW w:w="178" w:type="dxa"/>
            <w:tcBorders/>
            <w:shd w:fill="CCEEFF" w:val="clear"/>
            <w:vAlign w:val="bottom"/>
          </w:tcPr>
          <w:p>
            <w:pPr>
              <w:pStyle w:val="TableContents"/>
              <w:bidi w:val="0"/>
              <w:spacing w:before="0" w:after="283"/>
              <w:jc w:val="left"/>
              <w:rPr/>
            </w:pPr>
            <w:r>
              <w:rPr/>
              <w:t>  </w:t>
            </w:r>
          </w:p>
        </w:tc>
        <w:tc>
          <w:tcPr>
            <w:tcW w:w="2188" w:type="dxa"/>
            <w:tcBorders/>
            <w:shd w:fill="CCEEFF" w:val="clear"/>
            <w:vAlign w:val="bottom"/>
          </w:tcPr>
          <w:p>
            <w:pPr>
              <w:pStyle w:val="TableContents"/>
              <w:bidi w:val="0"/>
              <w:spacing w:before="0" w:after="283"/>
              <w:jc w:val="center"/>
              <w:rPr/>
            </w:pPr>
            <w:r>
              <w:rPr/>
              <w:t>0.350%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Approved Fund</w:t>
      </w:r>
      <w:r>
        <w:rPr>
          <w:rFonts w:ascii="Times New Roman" w:hAnsi="Times New Roman"/>
          <w:sz w:val="20"/>
        </w:rPr>
        <w:t xml:space="preserve">” means any Fund that is administered or managed by (a) a Lender, (b) an Affiliate of a Lender, or (c) an entity or an Affiliate of any entity that administers or manages a Lender. </w:t>
      </w:r>
    </w:p>
    <w:p>
      <w:pPr>
        <w:pStyle w:val="TextBody"/>
        <w:bidi w:val="0"/>
        <w:spacing w:before="240" w:after="0"/>
        <w:jc w:val="left"/>
        <w:rPr/>
      </w:pPr>
      <w:r>
        <w:rPr/>
        <w:t>“</w:t>
      </w:r>
      <w:r>
        <w:rPr>
          <w:rFonts w:ascii="Times New Roman" w:hAnsi="Times New Roman"/>
          <w:b/>
          <w:sz w:val="20"/>
        </w:rPr>
        <w:t>Arranger</w:t>
      </w:r>
      <w:r>
        <w:rPr>
          <w:rFonts w:ascii="Times New Roman" w:hAnsi="Times New Roman"/>
          <w:sz w:val="20"/>
        </w:rPr>
        <w:t xml:space="preserve">” has the meaning set forth in the introductory paragraph hereof and shall include each Arranger’s successors and permitted assigns. </w:t>
      </w:r>
    </w:p>
    <w:p>
      <w:pPr>
        <w:pStyle w:val="TextBody"/>
        <w:bidi w:val="0"/>
        <w:spacing w:before="240" w:after="0"/>
        <w:jc w:val="left"/>
        <w:rPr/>
      </w:pPr>
      <w:r>
        <w:rPr/>
        <w:t>“</w:t>
      </w:r>
      <w:r>
        <w:rPr>
          <w:rFonts w:ascii="Times New Roman" w:hAnsi="Times New Roman"/>
          <w:b/>
          <w:sz w:val="20"/>
        </w:rPr>
        <w:t>Assignment and Assumption</w:t>
      </w:r>
      <w:r>
        <w:rPr>
          <w:rFonts w:ascii="Times New Roman" w:hAnsi="Times New Roman"/>
          <w:sz w:val="20"/>
        </w:rPr>
        <w:t xml:space="preserve">” means an Assignment and Assumption Agreement among a Lender, an Eligible Assignee and the Administrative Agent, substantially in the form of Exhibit A.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the Bankruptcy Code of 1978, as amended. </w:t>
      </w:r>
    </w:p>
    <w:p>
      <w:pPr>
        <w:pStyle w:val="TextBody"/>
        <w:bidi w:val="0"/>
        <w:spacing w:before="240" w:after="0"/>
        <w:jc w:val="left"/>
        <w:rPr/>
      </w:pPr>
      <w:r>
        <w:rPr/>
        <w:t>“</w:t>
      </w:r>
      <w:r>
        <w:rPr>
          <w:rFonts w:ascii="Times New Roman" w:hAnsi="Times New Roman"/>
          <w:b/>
          <w:sz w:val="20"/>
        </w:rPr>
        <w:t>Base Rate</w:t>
      </w:r>
      <w:r>
        <w:rPr>
          <w:rFonts w:ascii="Times New Roman" w:hAnsi="Times New Roman"/>
          <w:sz w:val="20"/>
        </w:rPr>
        <w:t xml:space="preserve">” means, at any time, the highest of (a) the Prime Rate, (b) the Federal Funds Rate plus 0.50% and (c) Term SOFR for a one-month tenor in effect on such day plus 1.00%; each change in the Base Rate shall take effect simultaneously with the corresponding change or changes in the Prime Rate, the Federal Funds Rate or Term SOFR, as applicable (provided that clause (c) shall not be applicable during any period in which Term SOFR is unavailable or unascertainable). Notwithstanding the foregoing, in no event shall the Base Rate be less than 1.00%.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any Loan bearing interest at a rate based on the Base Rate, and, for the avoidance of doubt, except as otherwise expressly provided, shall include Same-Day Borrowings bearing interest at the Base Rate. </w:t>
      </w:r>
    </w:p>
    <w:p>
      <w:pPr>
        <w:pStyle w:val="TextBody"/>
        <w:bidi w:val="0"/>
        <w:spacing w:before="240" w:after="0"/>
        <w:jc w:val="left"/>
        <w:rPr/>
      </w:pPr>
      <w:r>
        <w:rPr/>
        <w:t>“</w:t>
      </w:r>
      <w:r>
        <w:rPr>
          <w:rFonts w:ascii="Times New Roman" w:hAnsi="Times New Roman"/>
          <w:b/>
          <w:sz w:val="20"/>
        </w:rPr>
        <w:t>Base Rate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pPr>
      <w:r>
        <w:rPr/>
        <w:t>“</w:t>
      </w:r>
      <w:r>
        <w:rPr>
          <w:rFonts w:ascii="Times New Roman" w:hAnsi="Times New Roman"/>
          <w:b/>
          <w:sz w:val="20"/>
        </w:rPr>
        <w:t>Benchmark</w:t>
      </w:r>
      <w:r>
        <w:rPr>
          <w:rFonts w:ascii="Times New Roman" w:hAnsi="Times New Roman"/>
          <w:sz w:val="20"/>
        </w:rPr>
        <w:t xml:space="preserve">” means, initially, Daily Simple SOFR or Term SOFR, as applicable; </w:t>
      </w:r>
      <w:r>
        <w:rPr>
          <w:rFonts w:ascii="Times New Roman" w:hAnsi="Times New Roman"/>
          <w:sz w:val="20"/>
          <w:u w:val="single"/>
        </w:rPr>
        <w:t>provided</w:t>
      </w:r>
      <w:r>
        <w:rPr>
          <w:rFonts w:ascii="Times New Roman" w:hAnsi="Times New Roman"/>
          <w:sz w:val="20"/>
        </w:rPr>
        <w:t xml:space="preserve"> that if a Benchmark Transition Event has occurred with respect to Daily Simple SOFR or Term SOFR, as applicable, or the applicable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4.2.(b)(i)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Replacement</w:t>
      </w:r>
      <w:r>
        <w:rPr>
          <w:rFonts w:ascii="Times New Roman" w:hAnsi="Times New Roman"/>
          <w:sz w:val="20"/>
        </w:rPr>
        <w:t xml:space="preserve">”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b/>
          <w:sz w:val="20"/>
        </w:rPr>
        <w:t>Benchmark Replacement Date</w:t>
      </w:r>
      <w:r>
        <w:rPr>
          <w:rFonts w:ascii="Times New Roman" w:hAnsi="Times New Roman"/>
          <w:sz w:val="20"/>
        </w:rPr>
        <w:t xml:space="preserve">” means the earlier to occur of the following events with respect to any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(if applicable)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Transition Event</w:t>
      </w:r>
      <w:r>
        <w:rPr>
          <w:rFonts w:ascii="Times New Roman" w:hAnsi="Times New Roman"/>
          <w:sz w:val="20"/>
        </w:rPr>
        <w:t xml:space="preserve">” means the occurrence of one or more of the following events with respect to any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b/>
          <w:sz w:val="20"/>
        </w:rPr>
        <w:t>Benchmark Unavailability Period</w:t>
      </w:r>
      <w:r>
        <w:rPr>
          <w:rFonts w:ascii="Times New Roman" w:hAnsi="Times New Roman"/>
          <w:sz w:val="20"/>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and (y) ending at the time that a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certification regarding beneficial ownership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Arrangement</w:t>
      </w:r>
      <w:r>
        <w:rPr>
          <w:rFonts w:ascii="Times New Roman" w:hAnsi="Times New Roman"/>
          <w:sz w:val="20"/>
        </w:rPr>
        <w:t xml:space="preserve">” means at any time an employee benefit plan within the meaning of Section 3(3) of ERISA which is not a Plan or a Multiemployer Plan and which is maintained or otherwise contributed to by any member of the ERISA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Bid Rate Borrowing</w:t>
      </w:r>
      <w:r>
        <w:rPr>
          <w:rFonts w:ascii="Times New Roman" w:hAnsi="Times New Roman"/>
          <w:sz w:val="20"/>
        </w:rPr>
        <w:t xml:space="preserve">” has the meaning given that term in Section 2.2.(b). </w:t>
      </w:r>
    </w:p>
    <w:p>
      <w:pPr>
        <w:pStyle w:val="TextBody"/>
        <w:bidi w:val="0"/>
        <w:spacing w:before="240" w:after="0"/>
        <w:jc w:val="left"/>
        <w:rPr/>
      </w:pPr>
      <w:r>
        <w:rPr/>
        <w:t>“</w:t>
      </w:r>
      <w:r>
        <w:rPr>
          <w:rFonts w:ascii="Times New Roman" w:hAnsi="Times New Roman"/>
          <w:b/>
          <w:sz w:val="20"/>
        </w:rPr>
        <w:t>Bid Rate Loan</w:t>
      </w:r>
      <w:r>
        <w:rPr>
          <w:rFonts w:ascii="Times New Roman" w:hAnsi="Times New Roman"/>
          <w:sz w:val="20"/>
        </w:rPr>
        <w:t xml:space="preserve">” means a loan made by a Lender under Section 2.2.(f). </w:t>
      </w:r>
    </w:p>
    <w:p>
      <w:pPr>
        <w:pStyle w:val="TextBody"/>
        <w:bidi w:val="0"/>
        <w:spacing w:before="240" w:after="0"/>
        <w:jc w:val="left"/>
        <w:rPr/>
      </w:pPr>
      <w:r>
        <w:rPr/>
        <w:t>“</w:t>
      </w:r>
      <w:r>
        <w:rPr>
          <w:rFonts w:ascii="Times New Roman" w:hAnsi="Times New Roman"/>
          <w:b/>
          <w:sz w:val="20"/>
        </w:rPr>
        <w:t>Bid Rate Note</w:t>
      </w:r>
      <w:r>
        <w:rPr>
          <w:rFonts w:ascii="Times New Roman" w:hAnsi="Times New Roman"/>
          <w:sz w:val="20"/>
        </w:rPr>
        <w:t xml:space="preserve">” means a promissory note of the Borrower substantially in the form of Exhibit B, payable to the order of a Lender as originally in effect and otherwise duly completed. </w:t>
      </w:r>
    </w:p>
    <w:p>
      <w:pPr>
        <w:pStyle w:val="TextBody"/>
        <w:bidi w:val="0"/>
        <w:spacing w:before="240" w:after="0"/>
        <w:jc w:val="left"/>
        <w:rPr/>
      </w:pPr>
      <w:r>
        <w:rPr/>
        <w:t>“</w:t>
      </w:r>
      <w:r>
        <w:rPr>
          <w:rFonts w:ascii="Times New Roman" w:hAnsi="Times New Roman"/>
          <w:b/>
          <w:sz w:val="20"/>
        </w:rPr>
        <w:t>Bid Rate Quote</w:t>
      </w:r>
      <w:r>
        <w:rPr>
          <w:rFonts w:ascii="Times New Roman" w:hAnsi="Times New Roman"/>
          <w:sz w:val="20"/>
        </w:rPr>
        <w:t xml:space="preserve">” means an offer in accordance with Section 2.2.(c) by a Lender to make a Bid Rate Loan with one single specified interest rate. </w:t>
      </w:r>
    </w:p>
    <w:p>
      <w:pPr>
        <w:pStyle w:val="TextBody"/>
        <w:bidi w:val="0"/>
        <w:spacing w:before="240" w:after="0"/>
        <w:jc w:val="left"/>
        <w:rPr/>
      </w:pPr>
      <w:r>
        <w:rPr/>
        <w:t>“</w:t>
      </w:r>
      <w:r>
        <w:rPr>
          <w:rFonts w:ascii="Times New Roman" w:hAnsi="Times New Roman"/>
          <w:b/>
          <w:sz w:val="20"/>
        </w:rPr>
        <w:t>Bid Rate Quote Request</w:t>
      </w:r>
      <w:r>
        <w:rPr>
          <w:rFonts w:ascii="Times New Roman" w:hAnsi="Times New Roman"/>
          <w:sz w:val="20"/>
        </w:rPr>
        <w:t xml:space="preserve">” has the meaning given that term in Section 2.2.(b).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set forth in the introductory paragraph hereof and shall include the Borrower’s successors and permitted assigns. </w:t>
      </w:r>
    </w:p>
    <w:p>
      <w:pPr>
        <w:pStyle w:val="TextBody"/>
        <w:bidi w:val="0"/>
        <w:spacing w:before="240" w:after="0"/>
        <w:jc w:val="left"/>
        <w:rPr/>
      </w:pPr>
      <w:r>
        <w:rPr/>
        <w:t>“</w:t>
      </w:r>
      <w:r>
        <w:rPr>
          <w:rFonts w:ascii="Times New Roman" w:hAnsi="Times New Roman"/>
          <w:b/>
          <w:sz w:val="20"/>
        </w:rPr>
        <w:t>Borrower Information</w:t>
      </w:r>
      <w:r>
        <w:rPr>
          <w:rFonts w:ascii="Times New Roman" w:hAnsi="Times New Roman"/>
          <w:sz w:val="20"/>
        </w:rPr>
        <w:t xml:space="preserve">” has the meaning given that term in Section 2.5.(c).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(a) is not a Saturday, Sunday or other day on which the Federal Reserve Bank of New York is closed and (b) is not a day on which commercial banks in Charlotte, North Carolina are closed. </w:t>
      </w:r>
    </w:p>
    <w:p>
      <w:pPr>
        <w:pStyle w:val="TextBody"/>
        <w:bidi w:val="0"/>
        <w:spacing w:before="240" w:after="0"/>
        <w:jc w:val="left"/>
        <w:rPr/>
      </w:pPr>
      <w:r>
        <w:rPr/>
        <w:t>“</w:t>
      </w:r>
      <w:r>
        <w:rPr>
          <w:rFonts w:ascii="Times New Roman" w:hAnsi="Times New Roman"/>
          <w:b/>
          <w:sz w:val="20"/>
        </w:rPr>
        <w:t>Capital Reserves</w:t>
      </w:r>
      <w:r>
        <w:rPr>
          <w:rFonts w:ascii="Times New Roman" w:hAnsi="Times New Roman"/>
          <w:sz w:val="20"/>
        </w:rPr>
        <w:t xml:space="preserve">” 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units), an amount equal to (a) $200 per apartment unit in such Multifamily Property </w:t>
      </w:r>
      <w:r>
        <w:rPr>
          <w:rFonts w:ascii="Times New Roman" w:hAnsi="Times New Roman"/>
          <w:sz w:val="20"/>
          <w:u w:val="single"/>
        </w:rPr>
        <w:t>times,</w:t>
      </w:r>
      <w:r>
        <w:rPr>
          <w:rFonts w:ascii="Times New Roman" w:hAnsi="Times New Roman"/>
          <w:sz w:val="20"/>
        </w:rPr>
        <w:t xml:space="preserve"> (b)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 </w:t>
      </w:r>
    </w:p>
    <w:p>
      <w:pPr>
        <w:pStyle w:val="TextBody"/>
        <w:bidi w:val="0"/>
        <w:spacing w:before="240" w:after="0"/>
        <w:jc w:val="left"/>
        <w:rPr/>
      </w:pPr>
      <w:r>
        <w:rPr/>
        <w:t>“</w:t>
      </w:r>
      <w:r>
        <w:rPr>
          <w:rFonts w:ascii="Times New Roman" w:hAnsi="Times New Roman"/>
          <w:b/>
          <w:sz w:val="20"/>
        </w:rPr>
        <w:t>Capitalization Rate</w:t>
      </w:r>
      <w:r>
        <w:rPr>
          <w:rFonts w:ascii="Times New Roman" w:hAnsi="Times New Roman"/>
          <w:sz w:val="20"/>
        </w:rPr>
        <w:t xml:space="preserve">” means 6.00% for all Properties. </w:t>
      </w:r>
    </w:p>
    <w:p>
      <w:pPr>
        <w:pStyle w:val="TextBody"/>
        <w:bidi w:val="0"/>
        <w:spacing w:before="240" w:after="0"/>
        <w:jc w:val="left"/>
        <w:rPr/>
      </w:pPr>
      <w:r>
        <w:rPr/>
        <w:t>“</w:t>
      </w:r>
      <w:r>
        <w:rPr>
          <w:rFonts w:ascii="Times New Roman" w:hAnsi="Times New Roman"/>
          <w:b/>
          <w:sz w:val="20"/>
        </w:rPr>
        <w:t>Capitalized Lease Obligation</w:t>
      </w:r>
      <w:r>
        <w:rPr>
          <w:rFonts w:ascii="Times New Roman" w:hAnsi="Times New Roman"/>
          <w:sz w:val="20"/>
        </w:rPr>
        <w:t xml:space="preserve">”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Cash Collateralize</w:t>
      </w:r>
      <w:r>
        <w:rPr>
          <w:rFonts w:ascii="Times New Roman" w:hAnsi="Times New Roman"/>
          <w:sz w:val="20"/>
        </w:rPr>
        <w:t xml:space="preserve">” means, to pledge and deposit with or deliver to the Administrative Agent, for the benefit of the Issuing Bank or the Lenders, as collateral for Letter of Credit Liabilities or obligations of Lenders to fund participations in respect of Letter of Credit Liabilities, cash, or deposit account balances or, if the Administrative Agent and the Issuing Bank shall agree in their sole discretion, other credit support, in each case pursuant to documentation in form and substance satisfactory to the Administrative Agent and the Issuing Bank. “Cash Collateral” shall have a meaning correlative to the foregoing and shall include the proceeds of such cash collateral and other credit support, but shall not include any deposit accounts (or other assets) of Borrower not specifically designated by the Borrower as “Cash Collateral.”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as to a Lender, such Lender’s Revolving Commitment. </w:t>
      </w:r>
    </w:p>
    <w:p>
      <w:pPr>
        <w:pStyle w:val="TextBody"/>
        <w:bidi w:val="0"/>
        <w:spacing w:before="24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§1 et seq.), as amended from time to time, and any successor statute.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has the meaning given that term in Section 8.3.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4.4</w:t>
      </w:r>
      <w:r>
        <w:rPr>
          <w:rFonts w:ascii="Times New Roman" w:hAnsi="Times New Roman"/>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Continue</w:t>
      </w:r>
      <w:r>
        <w:rPr>
          <w:rFonts w:ascii="Times New Roman" w:hAnsi="Times New Roman"/>
          <w:sz w:val="20"/>
        </w:rPr>
        <w:t>”, “</w:t>
      </w:r>
      <w:r>
        <w:rPr>
          <w:rFonts w:ascii="Times New Roman" w:hAnsi="Times New Roman"/>
          <w:b/>
          <w:sz w:val="20"/>
        </w:rPr>
        <w:t>Continuation</w:t>
      </w:r>
      <w:r>
        <w:rPr>
          <w:rFonts w:ascii="Times New Roman" w:hAnsi="Times New Roman"/>
          <w:sz w:val="20"/>
        </w:rPr>
        <w:t>” and “</w:t>
      </w:r>
      <w:r>
        <w:rPr>
          <w:rFonts w:ascii="Times New Roman" w:hAnsi="Times New Roman"/>
          <w:b/>
          <w:sz w:val="20"/>
        </w:rPr>
        <w:t>Continued</w:t>
      </w:r>
      <w:r>
        <w:rPr>
          <w:rFonts w:ascii="Times New Roman" w:hAnsi="Times New Roman"/>
          <w:sz w:val="20"/>
        </w:rPr>
        <w:t xml:space="preserve">” each refers to the continuation of a SOFR Loan from one Interest Period to another Interest Period pursuant to Section 2.9. </w:t>
      </w:r>
    </w:p>
    <w:p>
      <w:pPr>
        <w:pStyle w:val="TextBody"/>
        <w:bidi w:val="0"/>
        <w:spacing w:before="240" w:after="0"/>
        <w:jc w:val="left"/>
        <w:rPr/>
      </w:pPr>
      <w:r>
        <w:rPr/>
        <w:t>“</w:t>
      </w:r>
      <w:r>
        <w:rPr>
          <w:rFonts w:ascii="Times New Roman" w:hAnsi="Times New Roman"/>
          <w:b/>
          <w:sz w:val="20"/>
        </w:rPr>
        <w:t>Construction-in-Process”</w:t>
      </w:r>
      <w:r>
        <w:rPr>
          <w:rFonts w:ascii="Times New Roman" w:hAnsi="Times New Roman"/>
          <w:sz w:val="20"/>
        </w:rPr>
        <w:t xml:space="preserve">means cash expenditures for land and improvements (including indirect costs internally allocated and development costs) in accordance with GAAP on all Development Properties.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b/>
          <w:sz w:val="20"/>
        </w:rPr>
        <w:t>Controlled Property</w:t>
      </w:r>
      <w:r>
        <w:rPr>
          <w:rFonts w:ascii="Times New Roman" w:hAnsi="Times New Roman"/>
          <w:sz w:val="20"/>
        </w:rPr>
        <w:t xml:space="preserve">”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 </w:t>
      </w:r>
    </w:p>
    <w:p>
      <w:pPr>
        <w:pStyle w:val="TextBody"/>
        <w:bidi w:val="0"/>
        <w:spacing w:before="240" w:after="0"/>
        <w:jc w:val="left"/>
        <w:rPr/>
      </w:pPr>
      <w:r>
        <w:rPr/>
        <w:t>“</w:t>
      </w:r>
      <w:r>
        <w:rPr>
          <w:rFonts w:ascii="Times New Roman" w:hAnsi="Times New Roman"/>
          <w:b/>
          <w:sz w:val="20"/>
        </w:rPr>
        <w:t>Convert</w:t>
      </w:r>
      <w:r>
        <w:rPr>
          <w:rFonts w:ascii="Times New Roman" w:hAnsi="Times New Roman"/>
          <w:sz w:val="20"/>
        </w:rPr>
        <w:t>”, “</w:t>
      </w:r>
      <w:r>
        <w:rPr>
          <w:rFonts w:ascii="Times New Roman" w:hAnsi="Times New Roman"/>
          <w:b/>
          <w:sz w:val="20"/>
        </w:rPr>
        <w:t>Conversion</w:t>
      </w:r>
      <w:r>
        <w:rPr>
          <w:rFonts w:ascii="Times New Roman" w:hAnsi="Times New Roman"/>
          <w:sz w:val="20"/>
        </w:rPr>
        <w:t>” and “</w:t>
      </w:r>
      <w:r>
        <w:rPr>
          <w:rFonts w:ascii="Times New Roman" w:hAnsi="Times New Roman"/>
          <w:b/>
          <w:sz w:val="20"/>
        </w:rPr>
        <w:t>Converted</w:t>
      </w:r>
      <w:r>
        <w:rPr>
          <w:rFonts w:ascii="Times New Roman" w:hAnsi="Times New Roman"/>
          <w:sz w:val="20"/>
        </w:rPr>
        <w:t xml:space="preserve">” each refers to the conversion of a Loan of one Type into a Loan of another Type pursuant to Section 2.10. </w:t>
      </w:r>
    </w:p>
    <w:p>
      <w:pPr>
        <w:pStyle w:val="TextBody"/>
        <w:bidi w:val="0"/>
        <w:spacing w:before="240" w:after="0"/>
        <w:jc w:val="left"/>
        <w:rPr/>
      </w:pPr>
      <w:r>
        <w:rPr/>
        <w:t>“</w:t>
      </w:r>
      <w:r>
        <w:rPr>
          <w:rFonts w:ascii="Times New Roman" w:hAnsi="Times New Roman"/>
          <w:b/>
          <w:sz w:val="20"/>
        </w:rPr>
        <w:t>Convertible Notes</w:t>
      </w:r>
      <w:r>
        <w:rPr>
          <w:rFonts w:ascii="Times New Roman" w:hAnsi="Times New Roman"/>
          <w:sz w:val="20"/>
        </w:rPr>
        <w:t xml:space="preserve">” has the meaning given that term in Section 9.12. </w:t>
      </w:r>
    </w:p>
    <w:p>
      <w:pPr>
        <w:pStyle w:val="TextBody"/>
        <w:bidi w:val="0"/>
        <w:spacing w:before="240" w:after="0"/>
        <w:jc w:val="left"/>
        <w:rPr/>
      </w:pPr>
      <w:r>
        <w:rPr/>
        <w:t>“</w:t>
      </w:r>
      <w:r>
        <w:rPr>
          <w:rFonts w:ascii="Times New Roman" w:hAnsi="Times New Roman"/>
          <w:sz w:val="20"/>
        </w:rPr>
        <w:t xml:space="preserve">Covered Entity”means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w:t>
      </w:r>
    </w:p>
    <w:p>
      <w:pPr>
        <w:pStyle w:val="TextBody"/>
        <w:bidi w:val="0"/>
        <w:spacing w:before="240" w:after="0"/>
        <w:jc w:val="left"/>
        <w:rPr/>
      </w:pPr>
      <w:r>
        <w:rPr/>
        <w:t>“</w:t>
      </w:r>
      <w:r>
        <w:rPr>
          <w:rFonts w:ascii="Times New Roman" w:hAnsi="Times New Roman"/>
          <w:b/>
          <w:sz w:val="20"/>
        </w:rPr>
        <w:t>Covered Party</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Credit Event</w:t>
      </w:r>
      <w:r>
        <w:rPr>
          <w:rFonts w:ascii="Times New Roman" w:hAnsi="Times New Roman"/>
          <w:sz w:val="20"/>
        </w:rPr>
        <w:t xml:space="preserve">” means any of the following: (a) the making (or deemed making) of any Loan, (b) the Conversion of a Base Rate Loan into a SOFR Loan, (c) the Continuation of a SOFR Loan and (d) the issuance of a Letter of Credit. </w:t>
      </w:r>
    </w:p>
    <w:p>
      <w:pPr>
        <w:pStyle w:val="TextBody"/>
        <w:bidi w:val="0"/>
        <w:spacing w:before="240" w:after="0"/>
        <w:jc w:val="left"/>
        <w:rPr/>
      </w:pPr>
      <w:r>
        <w:rPr/>
        <w:t>“</w:t>
      </w:r>
      <w:r>
        <w:rPr>
          <w:rFonts w:ascii="Times New Roman" w:hAnsi="Times New Roman"/>
          <w:b/>
          <w:sz w:val="20"/>
        </w:rPr>
        <w:t>Credit Rating</w:t>
      </w:r>
      <w:r>
        <w:rPr>
          <w:rFonts w:ascii="Times New Roman" w:hAnsi="Times New Roman"/>
          <w:sz w:val="20"/>
        </w:rPr>
        <w:t xml:space="preserve">” means the rating assigned by a Rating Agency to the senior unsecured long term Indebtedness of a Person.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means, for any day (a “</w:t>
      </w:r>
      <w:r>
        <w:rPr>
          <w:rFonts w:ascii="Times New Roman" w:hAnsi="Times New Roman"/>
          <w:sz w:val="20"/>
          <w:u w:val="single"/>
        </w:rPr>
        <w:t>Simple SOFR Rate Day</w:t>
      </w:r>
      <w:r>
        <w:rPr>
          <w:rFonts w:ascii="Times New Roman" w:hAnsi="Times New Roman"/>
          <w:sz w:val="20"/>
        </w:rPr>
        <w:t>”), a rate per annum equal to the greater of (a) SOFR for the day (such day, a “</w:t>
      </w:r>
      <w:r>
        <w:rPr>
          <w:rFonts w:ascii="Times New Roman" w:hAnsi="Times New Roman"/>
          <w:sz w:val="20"/>
          <w:u w:val="single"/>
        </w:rPr>
        <w:t>Simple SOFR Determination Day</w:t>
      </w:r>
      <w:r>
        <w:rPr>
          <w:rFonts w:ascii="Times New Roman" w:hAnsi="Times New Roman"/>
          <w:sz w:val="20"/>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hAnsi="Times New Roman"/>
          <w:sz w:val="20"/>
          <w:u w:val="single"/>
        </w:rPr>
        <w:t>provided</w:t>
      </w:r>
      <w:r>
        <w:rPr>
          <w:rFonts w:ascii="Times New Roman" w:hAnsi="Times New Roman"/>
          <w:sz w:val="20"/>
        </w:rPr>
        <w:t xml:space="preserve"> that if by 5:00 p.m. on the second (2nd) U.S. Government Securities Business Day immediately following any Simple SOFR Determination Day, SOFR in respect of such Simple SOFR Determination Day has not been published on the SOFR Administrator’s Website and a Benchmark Replacement Date with respect to Daily Simple SOFR has not occurred, then SOFR for such Simple SOFR Determination Day will be SOFR as published in respect of the first preceding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Government Securities Business Day for which such SOFR was published on the SOFR Administrator’s Website; </w:t>
      </w:r>
      <w:r>
        <w:rPr>
          <w:rFonts w:ascii="Times New Roman" w:hAnsi="Times New Roman"/>
          <w:sz w:val="20"/>
          <w:u w:val="single"/>
        </w:rPr>
        <w:t>provided further</w:t>
      </w:r>
      <w:r>
        <w:rPr>
          <w:rFonts w:ascii="Times New Roman" w:hAnsi="Times New Roman"/>
          <w:sz w:val="20"/>
        </w:rPr>
        <w:t xml:space="preserve"> that SOFR as determined pursuant to this proviso shall be utilized for purposes of calculation of Daily Simple SOFR for no more than three (3) consecutive Simple SOFR Rate Days and (b) the Floor. Any change in Daily Simple SOFR due to a change in SOFR shall be effective from and including the effective date of such change in SOFR without notice to the Borrower. </w:t>
      </w:r>
    </w:p>
    <w:p>
      <w:pPr>
        <w:pStyle w:val="TextBody"/>
        <w:bidi w:val="0"/>
        <w:spacing w:before="240" w:after="0"/>
        <w:jc w:val="left"/>
        <w:rPr/>
      </w:pPr>
      <w:r>
        <w:rPr/>
        <w:t>“</w:t>
      </w:r>
      <w:r>
        <w:rPr>
          <w:rFonts w:ascii="Times New Roman" w:hAnsi="Times New Roman"/>
          <w:b/>
          <w:sz w:val="20"/>
        </w:rPr>
        <w:t>Daily Simple SOFR Loan</w:t>
      </w:r>
      <w:r>
        <w:rPr>
          <w:rFonts w:ascii="Times New Roman" w:hAnsi="Times New Roman"/>
          <w:sz w:val="20"/>
        </w:rPr>
        <w:t xml:space="preserve">” means any Loan bearing interest at a rate based on Daily Simple SOFR, and, for the avoidance of doubt, except as otherwise expressly provided, shall include Same-Day Borrowings bearing interest at the Daily Simple SOFR. </w:t>
      </w:r>
    </w:p>
    <w:p>
      <w:pPr>
        <w:pStyle w:val="TextBody"/>
        <w:bidi w:val="0"/>
        <w:spacing w:before="240" w:after="0"/>
        <w:jc w:val="left"/>
        <w:rPr/>
      </w:pPr>
      <w:r>
        <w:rPr/>
        <w:t>“</w:t>
      </w:r>
      <w:r>
        <w:rPr>
          <w:rFonts w:ascii="Times New Roman" w:hAnsi="Times New Roman"/>
          <w:b/>
          <w:sz w:val="20"/>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of the events specified in Section 10.1., whether or not there has been satisfied any requirement for the giving of notice, the lapse of time, or both.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subject to Section 3.9.(f),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3.9.(f)) upon delivery of written notice of such determination to the Borrower, the Issuing Bank, the Swingline Lender and each Lender.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Derivatives Contract</w:t>
      </w:r>
      <w:r>
        <w:rPr>
          <w:rFonts w:ascii="Times New Roman" w:hAnsi="Times New Roman"/>
          <w:sz w:val="20"/>
        </w:rPr>
        <w:t xml:space="preserve">”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240" w:after="0"/>
        <w:jc w:val="left"/>
        <w:rPr/>
      </w:pPr>
      <w:r>
        <w:rPr/>
        <w:t>“</w:t>
      </w:r>
      <w:r>
        <w:rPr>
          <w:rFonts w:ascii="Times New Roman" w:hAnsi="Times New Roman"/>
          <w:b/>
          <w:sz w:val="20"/>
        </w:rPr>
        <w:t>Derivatives Support Document</w:t>
      </w:r>
      <w:r>
        <w:rPr>
          <w:rFonts w:ascii="Times New Roman" w:hAnsi="Times New Roman"/>
          <w:sz w:val="20"/>
        </w:rPr>
        <w:t xml:space="preserve">”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 </w:t>
      </w:r>
    </w:p>
    <w:p>
      <w:pPr>
        <w:pStyle w:val="TextBody"/>
        <w:bidi w:val="0"/>
        <w:spacing w:before="240" w:after="0"/>
        <w:jc w:val="left"/>
        <w:rPr/>
      </w:pPr>
      <w:r>
        <w:rPr/>
        <w:t>“</w:t>
      </w:r>
      <w:r>
        <w:rPr>
          <w:rFonts w:ascii="Times New Roman" w:hAnsi="Times New Roman"/>
          <w:b/>
          <w:sz w:val="20"/>
        </w:rPr>
        <w:t>Derivatives Termination Value</w:t>
      </w:r>
      <w:r>
        <w:rPr>
          <w:rFonts w:ascii="Times New Roman" w:hAnsi="Times New Roman"/>
          <w:sz w:val="20"/>
        </w:rPr>
        <w:t xml:space="preserve">”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 </w:t>
      </w:r>
    </w:p>
    <w:p>
      <w:pPr>
        <w:pStyle w:val="TextBody"/>
        <w:bidi w:val="0"/>
        <w:spacing w:before="240" w:after="0"/>
        <w:jc w:val="left"/>
        <w:rPr/>
      </w:pPr>
      <w:r>
        <w:rPr/>
        <w:t>“</w:t>
      </w:r>
      <w:r>
        <w:rPr>
          <w:rFonts w:ascii="Times New Roman" w:hAnsi="Times New Roman"/>
          <w:b/>
          <w:sz w:val="20"/>
        </w:rPr>
        <w:t>Designated Lender</w:t>
      </w:r>
      <w:r>
        <w:rPr>
          <w:rFonts w:ascii="Times New Roman" w:hAnsi="Times New Roman"/>
          <w:sz w:val="20"/>
        </w:rPr>
        <w:t xml:space="preserve">” means a special purpose corporation which is an Affiliate of, or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12.6.(h) and (c) is not otherwise a Lender. </w:t>
      </w:r>
    </w:p>
    <w:p>
      <w:pPr>
        <w:pStyle w:val="TextBody"/>
        <w:bidi w:val="0"/>
        <w:spacing w:before="240" w:after="0"/>
        <w:jc w:val="left"/>
        <w:rPr/>
      </w:pPr>
      <w:r>
        <w:rPr/>
        <w:t>“</w:t>
      </w:r>
      <w:r>
        <w:rPr>
          <w:rFonts w:ascii="Times New Roman" w:hAnsi="Times New Roman"/>
          <w:b/>
          <w:sz w:val="20"/>
        </w:rPr>
        <w:t>Designating Lender</w:t>
      </w:r>
      <w:r>
        <w:rPr>
          <w:rFonts w:ascii="Times New Roman" w:hAnsi="Times New Roman"/>
          <w:sz w:val="20"/>
        </w:rPr>
        <w:t xml:space="preserve">” has the meaning given that term in Section 12.6.(h).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Designation Agreement</w:t>
      </w:r>
      <w:r>
        <w:rPr>
          <w:rFonts w:ascii="Times New Roman" w:hAnsi="Times New Roman"/>
          <w:sz w:val="20"/>
        </w:rPr>
        <w:t xml:space="preserve">” means a Designation Agreement between a Lender and a Designated Lender and accepted by the Administrative Agent, substantially in the form of Exhibit C or such other form as may be agreed to by such Lender, such Designated Lender and the Administrative Agent. </w:t>
      </w:r>
    </w:p>
    <w:p>
      <w:pPr>
        <w:pStyle w:val="TextBody"/>
        <w:bidi w:val="0"/>
        <w:spacing w:before="240" w:after="0"/>
        <w:jc w:val="left"/>
        <w:rPr/>
      </w:pPr>
      <w:r>
        <w:rPr/>
        <w:t>“</w:t>
      </w:r>
      <w:r>
        <w:rPr>
          <w:rFonts w:ascii="Times New Roman" w:hAnsi="Times New Roman"/>
          <w:b/>
          <w:sz w:val="20"/>
        </w:rPr>
        <w:t>Development Property</w:t>
      </w:r>
      <w:r>
        <w:rPr>
          <w:rFonts w:ascii="Times New Roman" w:hAnsi="Times New Roman"/>
          <w:sz w:val="20"/>
        </w:rPr>
        <w:t xml:space="preserve">”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 (a) the date that is six months past substantial completion of such Property and (b) achieving an Occupancy Rate of 85.0% and (y) in the case of a Hotel Property, the date that is 12 months past substantial completion of such Property. </w:t>
      </w:r>
    </w:p>
    <w:p>
      <w:pPr>
        <w:pStyle w:val="TextBody"/>
        <w:bidi w:val="0"/>
        <w:spacing w:before="240" w:after="0"/>
        <w:jc w:val="left"/>
        <w:rPr/>
      </w:pPr>
      <w:r>
        <w:rPr/>
        <w:t>“</w:t>
      </w:r>
      <w:r>
        <w:rPr>
          <w:rFonts w:ascii="Times New Roman" w:hAnsi="Times New Roman"/>
          <w:b/>
          <w:sz w:val="20"/>
        </w:rPr>
        <w:t>Disbursement Instruction Agreement</w:t>
      </w:r>
      <w:r>
        <w:rPr>
          <w:rFonts w:ascii="Times New Roman" w:hAnsi="Times New Roman"/>
          <w:sz w:val="20"/>
        </w:rPr>
        <w:t xml:space="preserve">” means an agreement substantially in the form of Exhibit K to be executed and delivered by the Borrower, as the same may be amended, restated or modified from time to time with the prior written approval of the Administrative Agent.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240" w:after="0"/>
        <w:jc w:val="left"/>
        <w:rPr/>
      </w:pPr>
      <w:r>
        <w:rPr/>
        <w:t>“</w:t>
      </w:r>
      <w:r>
        <w:rPr>
          <w:rFonts w:ascii="Times New Roman" w:hAnsi="Times New Roman"/>
          <w:b/>
          <w:sz w:val="20"/>
        </w:rPr>
        <w:t>EBITDA</w:t>
      </w:r>
      <w:r>
        <w:rPr>
          <w:rFonts w:ascii="Times New Roman" w:hAnsi="Times New Roman"/>
          <w:sz w:val="20"/>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hAnsi="Times New Roman"/>
          <w:sz w:val="20"/>
          <w:u w:val="single"/>
        </w:rPr>
        <w:t>plus</w:t>
      </w:r>
      <w:r>
        <w:rPr>
          <w:rFonts w:ascii="Times New Roman" w:hAnsi="Times New Roman"/>
          <w:sz w:val="20"/>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later of (a) the Agreement Date and (b) the date on which all of the conditions precedent set forth in Section 5.1. shall have been fulfilled or waived by all of the Lenders. </w:t>
      </w:r>
    </w:p>
    <w:p>
      <w:pPr>
        <w:pStyle w:val="TextBody"/>
        <w:bidi w:val="0"/>
        <w:spacing w:before="240" w:after="0"/>
        <w:jc w:val="left"/>
        <w:rPr/>
      </w:pPr>
      <w:r>
        <w:rPr/>
        <w:t>“</w:t>
      </w:r>
      <w:r>
        <w:rPr>
          <w:rFonts w:ascii="Times New Roman" w:hAnsi="Times New Roman"/>
          <w:b/>
          <w:sz w:val="20"/>
        </w:rPr>
        <w:t>Electronic Record</w:t>
      </w:r>
      <w:r>
        <w:rPr>
          <w:rFonts w:ascii="Times New Roman" w:hAnsi="Times New Roman"/>
          <w:sz w:val="20"/>
        </w:rPr>
        <w:t xml:space="preserve">” has the meaning assigned to that term in, and shall be interpreted in accordance with, 15 U.S.C. 7006. </w:t>
      </w:r>
    </w:p>
    <w:p>
      <w:pPr>
        <w:pStyle w:val="TextBody"/>
        <w:bidi w:val="0"/>
        <w:spacing w:before="240" w:after="0"/>
        <w:jc w:val="left"/>
        <w:rPr/>
      </w:pPr>
      <w:r>
        <w:rPr/>
        <w:t>“</w:t>
      </w:r>
      <w:r>
        <w:rPr>
          <w:rFonts w:ascii="Times New Roman" w:hAnsi="Times New Roman"/>
          <w:b/>
          <w:sz w:val="20"/>
        </w:rPr>
        <w:t>Electronic Signature</w:t>
      </w:r>
      <w:r>
        <w:rPr>
          <w:rFonts w:ascii="Times New Roman" w:hAnsi="Times New Roman"/>
          <w:sz w:val="20"/>
        </w:rPr>
        <w:t xml:space="preserve">” has the meaning assigned to that term in, and shall be interpreted in accordance with, 15 U.S.C. 7006.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Eligible Assignee</w:t>
      </w:r>
      <w:r>
        <w:rPr>
          <w:rFonts w:ascii="Times New Roman" w:hAnsi="Times New Roman"/>
          <w:sz w:val="20"/>
        </w:rPr>
        <w:t xml:space="preserve">”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 </w:t>
      </w:r>
    </w:p>
    <w:p>
      <w:pPr>
        <w:pStyle w:val="TextBody"/>
        <w:bidi w:val="0"/>
        <w:spacing w:before="240" w:after="0"/>
        <w:jc w:val="left"/>
        <w:rPr/>
      </w:pPr>
      <w:r>
        <w:rPr/>
        <w:t>“</w:t>
      </w:r>
      <w:r>
        <w:rPr>
          <w:rFonts w:ascii="Times New Roman" w:hAnsi="Times New Roman"/>
          <w:b/>
          <w:sz w:val="20"/>
        </w:rPr>
        <w:t>Eligible Property</w:t>
      </w:r>
      <w:r>
        <w:rPr>
          <w:rFonts w:ascii="Times New Roman" w:hAnsi="Times New Roman"/>
          <w:sz w:val="20"/>
        </w:rPr>
        <w:t xml:space="preserve">”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 </w:t>
      </w:r>
    </w:p>
    <w:p>
      <w:pPr>
        <w:pStyle w:val="TextBody"/>
        <w:bidi w:val="0"/>
        <w:spacing w:before="240" w:after="0"/>
        <w:jc w:val="left"/>
        <w:rPr/>
      </w:pPr>
      <w:r>
        <w:rPr/>
        <w:t>“</w:t>
      </w:r>
      <w:r>
        <w:rPr>
          <w:rFonts w:ascii="Times New Roman" w:hAnsi="Times New Roman"/>
          <w:b/>
          <w:sz w:val="20"/>
        </w:rPr>
        <w:t>Equity Interest</w:t>
      </w:r>
      <w:r>
        <w:rPr>
          <w:rFonts w:ascii="Times New Roman" w:hAnsi="Times New Roman"/>
          <w:sz w:val="20"/>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w:t>
      </w:r>
    </w:p>
    <w:p>
      <w:pPr>
        <w:pStyle w:val="TextBody"/>
        <w:bidi w:val="0"/>
        <w:spacing w:before="240" w:after="0"/>
        <w:jc w:val="left"/>
        <w:rPr/>
      </w:pPr>
      <w:r>
        <w:rPr/>
        <w:t>“</w:t>
      </w:r>
      <w:r>
        <w:rPr>
          <w:rFonts w:ascii="Times New Roman" w:hAnsi="Times New Roman"/>
          <w:b/>
          <w:sz w:val="20"/>
        </w:rPr>
        <w:t>Equity Issuance</w:t>
      </w:r>
      <w:r>
        <w:rPr>
          <w:rFonts w:ascii="Times New Roman" w:hAnsi="Times New Roman"/>
          <w:sz w:val="20"/>
        </w:rPr>
        <w:t xml:space="preserve">”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in effect from time to time.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 </w:t>
      </w:r>
    </w:p>
    <w:p>
      <w:pPr>
        <w:pStyle w:val="TextBody"/>
        <w:bidi w:val="0"/>
        <w:spacing w:before="240" w:after="0"/>
        <w:jc w:val="left"/>
        <w:rPr/>
      </w:pPr>
      <w:r>
        <w:rPr/>
        <w:t>“</w:t>
      </w:r>
      <w:r>
        <w:rPr>
          <w:rFonts w:ascii="Times New Roman" w:hAnsi="Times New Roman"/>
          <w:b/>
          <w:sz w:val="20"/>
        </w:rPr>
        <w:t>ERISA Group</w:t>
      </w:r>
      <w:r>
        <w:rPr>
          <w:rFonts w:ascii="Times New Roman" w:hAnsi="Times New Roman"/>
          <w:sz w:val="20"/>
        </w:rPr>
        <w:t xml:space="preserve">”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 </w:t>
      </w:r>
    </w:p>
    <w:p>
      <w:pPr>
        <w:pStyle w:val="TextBody"/>
        <w:bidi w:val="0"/>
        <w:spacing w:before="240" w:after="0"/>
        <w:jc w:val="left"/>
        <w:rPr/>
      </w:pPr>
      <w:r>
        <w:rPr/>
        <w:t>“</w:t>
      </w:r>
      <w:r>
        <w:rPr>
          <w:rFonts w:ascii="Times New Roman" w:hAnsi="Times New Roman"/>
          <w:b/>
          <w:sz w:val="20"/>
        </w:rPr>
        <w:t>Erroneous Payment</w:t>
      </w:r>
      <w:r>
        <w:rPr>
          <w:rFonts w:ascii="Times New Roman" w:hAnsi="Times New Roman"/>
          <w:sz w:val="20"/>
        </w:rPr>
        <w:t xml:space="preserve">” has the meaning assigned thereto in Section 11.10(a). </w:t>
      </w:r>
    </w:p>
    <w:p>
      <w:pPr>
        <w:pStyle w:val="TextBody"/>
        <w:bidi w:val="0"/>
        <w:spacing w:before="240" w:after="0"/>
        <w:jc w:val="left"/>
        <w:rPr/>
      </w:pPr>
      <w:r>
        <w:rPr/>
        <w:t>“</w:t>
      </w:r>
      <w:r>
        <w:rPr>
          <w:rFonts w:ascii="Times New Roman" w:hAnsi="Times New Roman"/>
          <w:b/>
          <w:sz w:val="20"/>
        </w:rPr>
        <w:t>Erroneous Payment Deficiency Assignment</w:t>
      </w:r>
      <w:r>
        <w:rPr>
          <w:rFonts w:ascii="Times New Roman" w:hAnsi="Times New Roman"/>
          <w:sz w:val="20"/>
        </w:rPr>
        <w:t xml:space="preserve">” has the meaning assigned thereto in Section 11.10(d). </w:t>
      </w:r>
    </w:p>
    <w:p>
      <w:pPr>
        <w:pStyle w:val="TextBody"/>
        <w:bidi w:val="0"/>
        <w:spacing w:before="240" w:after="0"/>
        <w:jc w:val="left"/>
        <w:rPr/>
      </w:pPr>
      <w:r>
        <w:rPr/>
        <w:t>“</w:t>
      </w:r>
      <w:r>
        <w:rPr>
          <w:rFonts w:ascii="Times New Roman" w:hAnsi="Times New Roman"/>
          <w:b/>
          <w:sz w:val="20"/>
        </w:rPr>
        <w:t>Erroneous Payment Impact Class</w:t>
      </w:r>
      <w:r>
        <w:rPr>
          <w:rFonts w:ascii="Times New Roman" w:hAnsi="Times New Roman"/>
          <w:sz w:val="20"/>
        </w:rPr>
        <w:t xml:space="preserve">” has the meaning assigned thereto in Section 11.10(d). </w:t>
      </w:r>
    </w:p>
    <w:p>
      <w:pPr>
        <w:pStyle w:val="TextBody"/>
        <w:bidi w:val="0"/>
        <w:spacing w:before="240" w:after="0"/>
        <w:jc w:val="left"/>
        <w:rPr/>
      </w:pPr>
      <w:r>
        <w:rPr/>
        <w:t>“</w:t>
      </w:r>
      <w:r>
        <w:rPr>
          <w:rFonts w:ascii="Times New Roman" w:hAnsi="Times New Roman"/>
          <w:b/>
          <w:sz w:val="20"/>
        </w:rPr>
        <w:t>Erroneous Payment Return Deficiency</w:t>
      </w:r>
      <w:r>
        <w:rPr>
          <w:rFonts w:ascii="Times New Roman" w:hAnsi="Times New Roman"/>
          <w:sz w:val="20"/>
        </w:rPr>
        <w:t xml:space="preserve">” has the meaning assigned thereto in Section 11.10(d).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means any of the events specified in Section 10.1., provided that any requirement for notice or lapse of time or any other condition has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Subsidiary</w:t>
      </w:r>
      <w:r>
        <w:rPr>
          <w:rFonts w:ascii="Times New Roman" w:hAnsi="Times New Roman"/>
          <w:sz w:val="20"/>
        </w:rPr>
        <w:t xml:space="preserve">” means any Subsidiary (a) that (i) holds title to assets that are or are to become collateral for any Secured Indebtedness of such Subsidiary and (ii) is prohibited from Guarantying the Indebtedness of any other Person pursuant to (x) any document, instrument, or agreement evidencing such Secured Indebtedness or (y) a provision of such Subsidiary’s organizational documents (or the organizational documents of another Subsidiary that directly or indirectly owns a majority of the Equity Interests of such Subsidiary) which provision was included in such organizational documents as a condition to the extension of such Secured Indebtedness or (b) (i) that is not a Wholly Owned Subsidiary, (ii) that does not directly or indirectly own any asset included in the calculation of Unencumbered Asset Value and (iii) whose organizational documents (or the organizational documents of another Subsidiary that directly or indirectly owns a majority of the Equity Interests of such Subsidiary) include provisions which restrict such Subsidiary from (w) granting Liens in its assets, (x) paying distributions to, or repaying Indebtedness owed to, the Borrower or any Subsidiary, (y) making loans or advances to the Borrower or any Subsidiary or (z) transferring property or assets to Borrower or any Subsidiary; provided that, in each case described in this clause (b)(iii), such provisions were not included in the applicable organizational documents for the purpose of making such Subsidiary an Excluded Subsidiary. </w:t>
      </w:r>
    </w:p>
    <w:p>
      <w:pPr>
        <w:pStyle w:val="TextBody"/>
        <w:bidi w:val="0"/>
        <w:spacing w:before="240" w:after="0"/>
        <w:jc w:val="left"/>
        <w:rPr/>
      </w:pPr>
      <w:r>
        <w:rPr/>
        <w:t>“</w:t>
      </w:r>
      <w:r>
        <w:rPr>
          <w:rFonts w:ascii="Times New Roman" w:hAnsi="Times New Roman"/>
          <w:b/>
          <w:sz w:val="20"/>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 </w:t>
      </w:r>
    </w:p>
    <w:p>
      <w:pPr>
        <w:pStyle w:val="TextBody"/>
        <w:bidi w:val="0"/>
        <w:spacing w:before="240" w:after="0"/>
        <w:jc w:val="left"/>
        <w:rPr/>
      </w:pPr>
      <w:r>
        <w:rPr/>
        <w:t>“</w:t>
      </w:r>
      <w:r>
        <w:rPr>
          <w:rFonts w:ascii="Times New Roman" w:hAnsi="Times New Roman"/>
          <w:b/>
          <w:sz w:val="20"/>
        </w:rPr>
        <w:t>Existing Credit Agreement</w:t>
      </w:r>
      <w:r>
        <w:rPr>
          <w:rFonts w:ascii="Times New Roman" w:hAnsi="Times New Roman"/>
          <w:sz w:val="20"/>
        </w:rPr>
        <w:t xml:space="preserve">” has the meaning set forth in the first recital hereof. </w:t>
      </w:r>
    </w:p>
    <w:p>
      <w:pPr>
        <w:pStyle w:val="TextBody"/>
        <w:bidi w:val="0"/>
        <w:spacing w:before="240" w:after="0"/>
        <w:jc w:val="left"/>
        <w:rPr/>
      </w:pPr>
      <w:r>
        <w:rPr/>
        <w:t>“</w:t>
      </w:r>
      <w:r>
        <w:rPr>
          <w:rFonts w:ascii="Times New Roman" w:hAnsi="Times New Roman"/>
          <w:b/>
          <w:sz w:val="20"/>
        </w:rPr>
        <w:t>Existing Lender</w:t>
      </w:r>
      <w:r>
        <w:rPr>
          <w:rFonts w:ascii="Times New Roman" w:hAnsi="Times New Roman"/>
          <w:sz w:val="20"/>
        </w:rPr>
        <w:t xml:space="preserve">” has the meaning given that term in Section 2.1.(e). </w:t>
      </w:r>
    </w:p>
    <w:p>
      <w:pPr>
        <w:pStyle w:val="TextBody"/>
        <w:bidi w:val="0"/>
        <w:spacing w:before="240" w:after="0"/>
        <w:jc w:val="left"/>
        <w:rPr/>
      </w:pPr>
      <w:r>
        <w:rPr/>
        <w:t>“</w:t>
      </w:r>
      <w:r>
        <w:rPr>
          <w:rFonts w:ascii="Times New Roman" w:hAnsi="Times New Roman"/>
          <w:b/>
          <w:sz w:val="20"/>
        </w:rPr>
        <w:t>Existing Letters of Credit</w:t>
      </w:r>
      <w:r>
        <w:rPr>
          <w:rFonts w:ascii="Times New Roman" w:hAnsi="Times New Roman"/>
          <w:sz w:val="20"/>
        </w:rPr>
        <w:t xml:space="preserve">” means the letters of credit described on Schedule 1.1.(b). </w:t>
      </w:r>
    </w:p>
    <w:p>
      <w:pPr>
        <w:pStyle w:val="TextBody"/>
        <w:bidi w:val="0"/>
        <w:spacing w:before="240" w:after="0"/>
        <w:jc w:val="left"/>
        <w:rPr/>
      </w:pPr>
      <w:r>
        <w:rPr/>
        <w:t>“</w:t>
      </w:r>
      <w:r>
        <w:rPr>
          <w:rFonts w:ascii="Times New Roman" w:hAnsi="Times New Roman"/>
          <w:b/>
          <w:sz w:val="20"/>
        </w:rPr>
        <w:t>Extended Letter of Credit</w:t>
      </w:r>
      <w:r>
        <w:rPr>
          <w:rFonts w:ascii="Times New Roman" w:hAnsi="Times New Roman"/>
          <w:sz w:val="20"/>
        </w:rPr>
        <w:t xml:space="preserve">” has the meaning given that term in Section 2.3.(b).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Fair Market Value</w:t>
      </w:r>
      <w:r>
        <w:rPr>
          <w:rFonts w:ascii="Times New Roman" w:hAnsi="Times New Roman"/>
          <w:sz w:val="20"/>
        </w:rPr>
        <w:t xml:space="preserve">”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 </w:t>
      </w:r>
    </w:p>
    <w:p>
      <w:pPr>
        <w:pStyle w:val="TextBody"/>
        <w:bidi w:val="0"/>
        <w:spacing w:before="240" w:after="0"/>
        <w:jc w:val="left"/>
        <w:rPr/>
      </w:pPr>
      <w:r>
        <w:rPr/>
        <w:t>“</w:t>
      </w:r>
      <w:r>
        <w:rPr>
          <w:rFonts w:ascii="Times New Roman" w:hAnsi="Times New Roman"/>
          <w:b/>
          <w:sz w:val="20"/>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means that certain fee letter dated February 26, 2026, by and between the Borrower, the Administrative Agent, Wells Fargo Securities, LLC, PNC Bank, National Association and PNC Capital Markets LLC and any other fee letter entered into with respect hereto. </w:t>
      </w:r>
    </w:p>
    <w:p>
      <w:pPr>
        <w:pStyle w:val="TextBody"/>
        <w:bidi w:val="0"/>
        <w:spacing w:before="240" w:after="0"/>
        <w:jc w:val="left"/>
        <w:rPr/>
      </w:pPr>
      <w:r>
        <w:rPr/>
        <w:t>“</w:t>
      </w:r>
      <w:r>
        <w:rPr>
          <w:rFonts w:ascii="Times New Roman" w:hAnsi="Times New Roman"/>
          <w:b/>
          <w:sz w:val="20"/>
        </w:rPr>
        <w:t>Fees</w:t>
      </w:r>
      <w:r>
        <w:rPr>
          <w:rFonts w:ascii="Times New Roman" w:hAnsi="Times New Roman"/>
          <w:sz w:val="20"/>
        </w:rPr>
        <w:t xml:space="preserve">” means the fees and commissions provided for or referred to in Section 3.5. and any other fees payable by the Borrower hereunder, under any other Loan Document or under the Fee Letter. </w:t>
      </w:r>
    </w:p>
    <w:p>
      <w:pPr>
        <w:pStyle w:val="TextBody"/>
        <w:bidi w:val="0"/>
        <w:spacing w:before="240" w:after="0"/>
        <w:jc w:val="left"/>
        <w:rPr/>
      </w:pPr>
      <w:r>
        <w:rPr/>
        <w:t>“</w:t>
      </w:r>
      <w:r>
        <w:rPr>
          <w:rFonts w:ascii="Times New Roman" w:hAnsi="Times New Roman"/>
          <w:b/>
          <w:sz w:val="20"/>
        </w:rPr>
        <w:t>Fitch</w:t>
      </w:r>
      <w:r>
        <w:rPr>
          <w:rFonts w:ascii="Times New Roman" w:hAnsi="Times New Roman"/>
          <w:sz w:val="20"/>
        </w:rPr>
        <w:t xml:space="preserve">” means Fitch Ratings Inc. and its successors. </w:t>
      </w:r>
    </w:p>
    <w:p>
      <w:pPr>
        <w:pStyle w:val="TextBody"/>
        <w:bidi w:val="0"/>
        <w:spacing w:before="240" w:after="0"/>
        <w:jc w:val="left"/>
        <w:rPr/>
      </w:pPr>
      <w:r>
        <w:rPr/>
        <w:t>“</w:t>
      </w:r>
      <w:r>
        <w:rPr>
          <w:rFonts w:ascii="Times New Roman" w:hAnsi="Times New Roman"/>
          <w:b/>
          <w:sz w:val="20"/>
        </w:rPr>
        <w:t>Fixed Charges</w:t>
      </w:r>
      <w:r>
        <w:rPr>
          <w:rFonts w:ascii="Times New Roman" w:hAnsi="Times New Roman"/>
          <w:sz w:val="20"/>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Borrower’s Ownership Share of the amounts (other than inter-company amounts) set forth in clauses (a) through (c) above with respect to Unconsolidated Affiliates of the Borrower shall be included in determinations of Fixed Charges. </w:t>
      </w:r>
    </w:p>
    <w:p>
      <w:pPr>
        <w:pStyle w:val="TextBody"/>
        <w:bidi w:val="0"/>
        <w:spacing w:before="240" w:after="0"/>
        <w:jc w:val="left"/>
        <w:rPr/>
      </w:pPr>
      <w:r>
        <w:rPr/>
        <w:t>“</w:t>
      </w:r>
      <w:r>
        <w:rPr>
          <w:rFonts w:ascii="Times New Roman" w:hAnsi="Times New Roman"/>
          <w:b/>
          <w:sz w:val="20"/>
        </w:rPr>
        <w:t>Floor</w:t>
      </w:r>
      <w:r>
        <w:rPr>
          <w:rFonts w:ascii="Times New Roman" w:hAnsi="Times New Roman"/>
          <w:sz w:val="20"/>
        </w:rPr>
        <w:t xml:space="preserve">” means a rate of interest equal to 0.00%. </w:t>
      </w:r>
    </w:p>
    <w:p>
      <w:pPr>
        <w:pStyle w:val="TextBody"/>
        <w:bidi w:val="0"/>
        <w:spacing w:before="240" w:after="0"/>
        <w:jc w:val="left"/>
        <w:rPr/>
      </w:pPr>
      <w:r>
        <w:rPr/>
        <w:t>“</w:t>
      </w:r>
      <w:r>
        <w:rPr>
          <w:rFonts w:ascii="Times New Roman" w:hAnsi="Times New Roman"/>
          <w:b/>
          <w:sz w:val="20"/>
        </w:rPr>
        <w:t>Foreign Lender</w:t>
      </w:r>
      <w:r>
        <w:rPr>
          <w:rFonts w:ascii="Times New Roman" w:hAnsi="Times New Roman"/>
          <w:sz w:val="20"/>
        </w:rPr>
        <w:t xml:space="preserve">” means (a) if the Borrower is a U.S. Person, a Lender that is not a U.S. Person, and (b) if the Borrower is not a U.S. Person, a Lender that is resident or organized under the laws of a jurisdiction other than that in which the Borrower is resident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Franchise Agreement</w:t>
      </w:r>
      <w:r>
        <w:rPr>
          <w:rFonts w:ascii="Times New Roman" w:hAnsi="Times New Roman"/>
          <w:sz w:val="20"/>
        </w:rPr>
        <w:t xml:space="preserve">” means an agreement permitting the use of the applicable hotel brand name, hotel system trademarks, trade names and any related rights in connection with the ownership or operation of a Property. </w:t>
      </w:r>
    </w:p>
    <w:p>
      <w:pPr>
        <w:pStyle w:val="TextBody"/>
        <w:bidi w:val="0"/>
        <w:spacing w:before="240" w:after="0"/>
        <w:jc w:val="left"/>
        <w:rPr/>
      </w:pPr>
      <w:r>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Fronting Exposure</w:t>
      </w:r>
      <w:r>
        <w:rPr>
          <w:rFonts w:ascii="Times New Roman" w:hAnsi="Times New Roman"/>
          <w:sz w:val="20"/>
        </w:rPr>
        <w:t xml:space="preserve">” means, at any time there is a Defaulting Lender, (a) with respect to the Issuing Bank, such Defaulting Lender’s Revolving Commitment Percentage of the outstanding Letter of Credit Liabilities other than Letter of Credit Liabilities as to which such Defaulting Lender’s participation obligation has been reallocated to other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Lenders.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240" w:after="0"/>
        <w:jc w:val="left"/>
        <w:rPr/>
      </w:pPr>
      <w:r>
        <w:rPr/>
        <w:t>“</w:t>
      </w:r>
      <w:r>
        <w:rPr>
          <w:rFonts w:ascii="Times New Roman" w:hAnsi="Times New Roman"/>
          <w:b/>
          <w:sz w:val="20"/>
        </w:rPr>
        <w:t>Funds From Operations</w:t>
      </w:r>
      <w:r>
        <w:rPr>
          <w:rFonts w:ascii="Times New Roman" w:hAnsi="Times New Roman"/>
          <w:sz w:val="20"/>
        </w:rPr>
        <w:t xml:space="preserve">”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Partner</w:t>
      </w:r>
      <w:r>
        <w:rPr>
          <w:rFonts w:ascii="Times New Roman" w:hAnsi="Times New Roman"/>
          <w:sz w:val="20"/>
        </w:rPr>
        <w:t xml:space="preserve">” means Federal Realty GP LLC, a limited liability company formed under the laws of the State of Delaware.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means all authorizations, consents, approvals, licenses and exemptions of, registrations and filings with, and reports to, all Governmental Authorities.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Ground Lease</w:t>
      </w:r>
      <w:r>
        <w:rPr>
          <w:rFonts w:ascii="Times New Roman" w:hAnsi="Times New Roman"/>
          <w:sz w:val="20"/>
        </w:rPr>
        <w:t xml:space="preserve">”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means any Person that guarantees all or a portion of the Obligations including, at all times after delivery of the Parent/General Partner Guaranty (if ever), the Parent and, at all times after delivery of the Parent/General Partner Guaranty (if ever), the General Partner.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w:t>
      </w:r>
      <w:r>
        <w:rPr>
          <w:rFonts w:ascii="Times New Roman" w:hAnsi="Times New Roman"/>
          <w:b/>
          <w:sz w:val="20"/>
        </w:rPr>
        <w:t>Guaranteed</w:t>
      </w:r>
      <w:r>
        <w:rPr>
          <w:rFonts w:ascii="Times New Roman" w:hAnsi="Times New Roman"/>
          <w:sz w:val="20"/>
        </w:rPr>
        <w:t>”, “</w:t>
      </w:r>
      <w:r>
        <w:rPr>
          <w:rFonts w:ascii="Times New Roman" w:hAnsi="Times New Roman"/>
          <w:b/>
          <w:sz w:val="20"/>
        </w:rPr>
        <w:t>Guarantying</w:t>
      </w:r>
      <w:r>
        <w:rPr>
          <w:rFonts w:ascii="Times New Roman" w:hAnsi="Times New Roman"/>
          <w:sz w:val="20"/>
        </w:rPr>
        <w:t>” or to “</w:t>
      </w:r>
      <w:r>
        <w:rPr>
          <w:rFonts w:ascii="Times New Roman" w:hAnsi="Times New Roman"/>
          <w:b/>
          <w:sz w:val="20"/>
        </w:rPr>
        <w:t>Guarantee</w:t>
      </w:r>
      <w:r>
        <w:rPr>
          <w:rFonts w:ascii="Times New Roman" w:hAnsi="Times New Roman"/>
          <w:sz w:val="20"/>
        </w:rPr>
        <w:t xml:space="preserv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amended and restated guaranty executed and delivered pursuant to Section 5.1. or 7.14. and substantially in the form of Exhibit D.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 </w:t>
      </w:r>
    </w:p>
    <w:p>
      <w:pPr>
        <w:pStyle w:val="TextBody"/>
        <w:bidi w:val="0"/>
        <w:spacing w:before="240" w:after="0"/>
        <w:jc w:val="left"/>
        <w:rPr/>
      </w:pPr>
      <w:r>
        <w:rPr/>
        <w:t>“</w:t>
      </w:r>
      <w:r>
        <w:rPr>
          <w:rFonts w:ascii="Times New Roman" w:hAnsi="Times New Roman"/>
          <w:b/>
          <w:sz w:val="20"/>
        </w:rPr>
        <w:t>Hotel Property</w:t>
      </w:r>
      <w:r>
        <w:rPr>
          <w:rFonts w:ascii="Times New Roman" w:hAnsi="Times New Roman"/>
          <w:sz w:val="20"/>
        </w:rPr>
        <w:t xml:space="preserve">” means any Property, the improvements on which are operated as a hotel, inn or the providing of lodging or leisure services, together with any incidental improvements on such Property operated in connection with such hotel, inn, lodging or leisure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Indebtedness</w:t>
      </w:r>
      <w:r>
        <w:rPr>
          <w:rFonts w:ascii="Times New Roman" w:hAnsi="Times New Roman"/>
          <w:sz w:val="20"/>
        </w:rPr>
        <w:t xml:space="preserve">”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and Letter of Credit Liabilities shall constitute Indebtedness of the Borrower.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given that term in Section 6.1.(s). </w:t>
      </w:r>
    </w:p>
    <w:p>
      <w:pPr>
        <w:pStyle w:val="TextBody"/>
        <w:bidi w:val="0"/>
        <w:spacing w:before="240" w:after="0"/>
        <w:jc w:val="left"/>
        <w:rPr/>
      </w:pPr>
      <w:r>
        <w:rPr/>
        <w:t>“</w:t>
      </w:r>
      <w:r>
        <w:rPr>
          <w:rFonts w:ascii="Times New Roman" w:hAnsi="Times New Roman"/>
          <w:b/>
          <w:sz w:val="20"/>
        </w:rPr>
        <w:t>Interest Expense</w:t>
      </w:r>
      <w:r>
        <w:rPr>
          <w:rFonts w:ascii="Times New Roman" w:hAnsi="Times New Roman"/>
          <w:sz w:val="20"/>
        </w:rPr>
        <w:t xml:space="preserve">”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Interest Period</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and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Bid Rate Loan, the period commencing on the date such Bid Rate Loan is made and ending on any Business Day not less than 7 nor more than 180 days thereafter, as the Borrower may select as provided in Section 2.2.(b).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if any Interest Period would otherwise end after the Revolving Termination Date, such Interest Period shall end on the Revolving Termination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Credit Rating of BBB-/Baa3 (or the equivalent) or higher from a Rating Agency. </w:t>
      </w:r>
    </w:p>
    <w:p>
      <w:pPr>
        <w:pStyle w:val="TextBody"/>
        <w:bidi w:val="0"/>
        <w:spacing w:before="240" w:after="0"/>
        <w:jc w:val="left"/>
        <w:rPr/>
      </w:pPr>
      <w:r>
        <w:rPr/>
        <w:t>“</w:t>
      </w:r>
      <w:r>
        <w:rPr>
          <w:rFonts w:ascii="Times New Roman" w:hAnsi="Times New Roman"/>
          <w:b/>
          <w:sz w:val="20"/>
        </w:rPr>
        <w:t>Issuing Bank</w:t>
      </w:r>
      <w:r>
        <w:rPr>
          <w:rFonts w:ascii="Times New Roman" w:hAnsi="Times New Roman"/>
          <w:sz w:val="20"/>
        </w:rPr>
        <w:t xml:space="preserve">” means each of Wells Fargo, PNC Bank, National Association and JPMorgan Chase Bank, N.A., in its capacity as an issuer of Letters of Credit pursuant to Section 2.3. Any reference to “the Issuing Bank” herein shall be deemed to refer to each Issuing Bank, any Issuing Bank, the applicable Issuing Bank or all Issuing Banks, as the context may require. </w:t>
      </w:r>
    </w:p>
    <w:p>
      <w:pPr>
        <w:pStyle w:val="TextBody"/>
        <w:bidi w:val="0"/>
        <w:spacing w:before="240" w:after="0"/>
        <w:jc w:val="left"/>
        <w:rPr/>
      </w:pPr>
      <w:r>
        <w:rPr/>
        <w:t>“</w:t>
      </w:r>
      <w:r>
        <w:rPr>
          <w:rFonts w:ascii="Times New Roman" w:hAnsi="Times New Roman"/>
          <w:b/>
          <w:sz w:val="20"/>
        </w:rPr>
        <w:t>KPIs</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KPI Metrics</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KPI Metrics Amendment</w:t>
      </w:r>
      <w:r>
        <w:rPr>
          <w:rFonts w:ascii="Times New Roman" w:hAnsi="Times New Roman"/>
          <w:sz w:val="20"/>
        </w:rPr>
        <w:t xml:space="preserve">” has the meaning given that term in Section 12.25.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KPI Metrics Applicable Rate Adjustments</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KPI Metrics Pricing Provisions</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L/C Disbursement</w:t>
      </w:r>
      <w:r>
        <w:rPr>
          <w:rFonts w:ascii="Times New Roman" w:hAnsi="Times New Roman"/>
          <w:sz w:val="20"/>
        </w:rPr>
        <w:t xml:space="preserve">” has the meaning given to that term in Section 3.9.(b).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means each financial institution from time to time party hereto as a “Lender” or a “Designated Lender,” together with its respective successors and permitted assigns, and, as the context requires, includes the Swingline Lender; provided, however, that the term “Lender” (i) 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12.6.(d), have only the rights (including the rights given to a Lender contained in Sections 12.2. and 12.10.) and obligations of a Lender associated with holding such Bid Rate Loan and (ii) except as otherwise expressly provided herein, shall exclude any Lender (or its Affiliates) in its capacity as a Specified Derivatives Provider. </w:t>
      </w:r>
    </w:p>
    <w:p>
      <w:pPr>
        <w:pStyle w:val="TextBody"/>
        <w:bidi w:val="0"/>
        <w:spacing w:before="240" w:after="0"/>
        <w:jc w:val="left"/>
        <w:rPr/>
      </w:pPr>
      <w:r>
        <w:rPr/>
        <w:t>“</w:t>
      </w:r>
      <w:r>
        <w:rPr>
          <w:rFonts w:ascii="Times New Roman" w:hAnsi="Times New Roman"/>
          <w:b/>
          <w:sz w:val="20"/>
        </w:rPr>
        <w:t>Lending Office</w:t>
      </w:r>
      <w:r>
        <w:rPr>
          <w:rFonts w:ascii="Times New Roman" w:hAnsi="Times New Roman"/>
          <w:sz w:val="20"/>
        </w:rPr>
        <w:t xml:space="preserve">”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has the meaning given that term in Section 2.3.(a). </w:t>
      </w:r>
    </w:p>
    <w:p>
      <w:pPr>
        <w:pStyle w:val="TextBody"/>
        <w:bidi w:val="0"/>
        <w:spacing w:before="240" w:after="0"/>
        <w:jc w:val="left"/>
        <w:rPr/>
      </w:pPr>
      <w:r>
        <w:rPr/>
        <w:t>“</w:t>
      </w:r>
      <w:r>
        <w:rPr>
          <w:rFonts w:ascii="Times New Roman" w:hAnsi="Times New Roman"/>
          <w:b/>
          <w:sz w:val="20"/>
        </w:rPr>
        <w:t>Letter of Credit Collateral Account</w:t>
      </w:r>
      <w:r>
        <w:rPr>
          <w:rFonts w:ascii="Times New Roman" w:hAnsi="Times New Roman"/>
          <w:sz w:val="20"/>
        </w:rPr>
        <w:t xml:space="preserve">” means a special deposit account maintained by the Administrative Agent, for the benefit of the Administrative Agent, the Issuing Bank and the Lenders, and under its sole dominion and control. </w:t>
      </w:r>
    </w:p>
    <w:p>
      <w:pPr>
        <w:pStyle w:val="TextBody"/>
        <w:bidi w:val="0"/>
        <w:spacing w:before="240" w:after="0"/>
        <w:jc w:val="left"/>
        <w:rPr/>
      </w:pPr>
      <w:r>
        <w:rPr/>
        <w:t>“</w:t>
      </w:r>
      <w:r>
        <w:rPr>
          <w:rFonts w:ascii="Times New Roman" w:hAnsi="Times New Roman"/>
          <w:b/>
          <w:sz w:val="20"/>
        </w:rPr>
        <w:t>Letter of Credit Documents</w:t>
      </w:r>
      <w:r>
        <w:rPr>
          <w:rFonts w:ascii="Times New Roman" w:hAnsi="Times New Roman"/>
          <w:sz w:val="20"/>
        </w:rPr>
        <w:t xml:space="preserve">”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 </w:t>
      </w:r>
    </w:p>
    <w:p>
      <w:pPr>
        <w:pStyle w:val="TextBody"/>
        <w:bidi w:val="0"/>
        <w:spacing w:before="240" w:after="0"/>
        <w:jc w:val="left"/>
        <w:rPr/>
      </w:pPr>
      <w:r>
        <w:rPr/>
        <w:t>“</w:t>
      </w:r>
      <w:r>
        <w:rPr>
          <w:rFonts w:ascii="Times New Roman" w:hAnsi="Times New Roman"/>
          <w:b/>
          <w:sz w:val="20"/>
        </w:rPr>
        <w:t>Letter of Credit Liabilities</w:t>
      </w:r>
      <w:r>
        <w:rPr>
          <w:rFonts w:ascii="Times New Roman" w:hAnsi="Times New Roman"/>
          <w:sz w:val="20"/>
        </w:rPr>
        <w:t xml:space="preserve">”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then acting as Issuing Bank) shall be deemed to hold a Letter of Credit Liability in an amount equal to its participation interest under Section 2.3. in the related Letter of Credit, and the Lender then acting as the Issuing Bank shall be deemed to hold a Letter of Credit Liability in an amount equal to its retained interest in the related Letter of Credit after giving effect to the acquisition by the Lenders (other than the Lender then acting as the Issuing Bank) of their participation interests under such Section. </w:t>
      </w:r>
    </w:p>
    <w:p>
      <w:pPr>
        <w:pStyle w:val="TextBody"/>
        <w:bidi w:val="0"/>
        <w:spacing w:before="240" w:after="0"/>
        <w:jc w:val="left"/>
        <w:rPr/>
      </w:pPr>
      <w:r>
        <w:rPr/>
        <w:t>“</w:t>
      </w:r>
      <w:r>
        <w:rPr>
          <w:rFonts w:ascii="Times New Roman" w:hAnsi="Times New Roman"/>
          <w:b/>
          <w:sz w:val="20"/>
        </w:rPr>
        <w:t>Level</w:t>
      </w:r>
      <w:r>
        <w:rPr>
          <w:rFonts w:ascii="Times New Roman" w:hAnsi="Times New Roman"/>
          <w:sz w:val="20"/>
        </w:rPr>
        <w:t xml:space="preserve">” has the meaning given that term in the definition of the term “Applicable Margin.”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w:t>
      </w:r>
    </w:p>
    <w:p>
      <w:pPr>
        <w:pStyle w:val="TextBody"/>
        <w:bidi w:val="0"/>
        <w:spacing w:before="240" w:after="0"/>
        <w:jc w:val="left"/>
        <w:rPr/>
      </w:pPr>
      <w:r>
        <w:rPr/>
        <w:t>“</w:t>
      </w:r>
      <w:r>
        <w:rPr>
          <w:rFonts w:ascii="Times New Roman" w:hAnsi="Times New Roman"/>
          <w:b/>
          <w:sz w:val="20"/>
        </w:rPr>
        <w:t>Loan</w:t>
      </w:r>
      <w:r>
        <w:rPr>
          <w:rFonts w:ascii="Times New Roman" w:hAnsi="Times New Roman"/>
          <w:sz w:val="20"/>
        </w:rPr>
        <w:t xml:space="preserve">” means a Revolving Loan, a Bid Rate Loan or a Swingline Loan. </w:t>
      </w:r>
    </w:p>
    <w:p>
      <w:pPr>
        <w:pStyle w:val="TextBody"/>
        <w:bidi w:val="0"/>
        <w:spacing w:before="240" w:after="0"/>
        <w:jc w:val="left"/>
        <w:rPr/>
      </w:pPr>
      <w:r>
        <w:rPr/>
        <w:t>“</w:t>
      </w:r>
      <w:r>
        <w:rPr>
          <w:rFonts w:ascii="Times New Roman" w:hAnsi="Times New Roman"/>
          <w:b/>
          <w:sz w:val="20"/>
        </w:rPr>
        <w:t>Loan Document</w:t>
      </w:r>
      <w:r>
        <w:rPr>
          <w:rFonts w:ascii="Times New Roman" w:hAnsi="Times New Roman"/>
          <w:sz w:val="20"/>
        </w:rPr>
        <w:t xml:space="preserve">” means this Agreement, each Note, the Guaranty, each Letter of Credit Document and each other document or instrument now or hereafter executed and delivered by a Loan Party in connection with, pursuant to or relating to this Agreement (other than the Fee Letter and any Specified Derivatives Contract). </w:t>
      </w:r>
    </w:p>
    <w:p>
      <w:pPr>
        <w:pStyle w:val="TextBody"/>
        <w:bidi w:val="0"/>
        <w:spacing w:before="240" w:after="0"/>
        <w:jc w:val="left"/>
        <w:rPr/>
      </w:pPr>
      <w:r>
        <w:rPr/>
        <w:t>“</w:t>
      </w:r>
      <w:r>
        <w:rPr>
          <w:rFonts w:ascii="Times New Roman" w:hAnsi="Times New Roman"/>
          <w:b/>
          <w:sz w:val="20"/>
        </w:rPr>
        <w:t>Loan Party</w:t>
      </w:r>
      <w:r>
        <w:rPr>
          <w:rFonts w:ascii="Times New Roman" w:hAnsi="Times New Roman"/>
          <w:sz w:val="20"/>
        </w:rPr>
        <w:t xml:space="preserve">” means each of the Borrower, each other Person who guarantees all or a portion of the Obligations. Schedule 1.1.(a) sets forth the Loan Parties in addition to the Borrower as of the Agreement Date. </w:t>
      </w:r>
    </w:p>
    <w:p>
      <w:pPr>
        <w:pStyle w:val="TextBody"/>
        <w:bidi w:val="0"/>
        <w:spacing w:before="240" w:after="0"/>
        <w:jc w:val="left"/>
        <w:rPr/>
      </w:pPr>
      <w:r>
        <w:rPr/>
        <w:t>“</w:t>
      </w:r>
      <w:r>
        <w:rPr>
          <w:rFonts w:ascii="Times New Roman" w:hAnsi="Times New Roman"/>
          <w:b/>
          <w:sz w:val="20"/>
        </w:rPr>
        <w:t>Major Default</w:t>
      </w:r>
      <w:r>
        <w:rPr>
          <w:rFonts w:ascii="Times New Roman" w:hAnsi="Times New Roman"/>
          <w:sz w:val="20"/>
        </w:rPr>
        <w:t xml:space="preserve">” means a Default resulting from the occurrence of any of the events described in Section 10.1.(a), Section 10.1.(e) or Section 10.1.(f). </w:t>
      </w:r>
    </w:p>
    <w:p>
      <w:pPr>
        <w:pStyle w:val="TextBody"/>
        <w:bidi w:val="0"/>
        <w:spacing w:before="240" w:after="0"/>
        <w:jc w:val="left"/>
        <w:rPr/>
      </w:pPr>
      <w:r>
        <w:rPr/>
        <w:t>“</w:t>
      </w:r>
      <w:r>
        <w:rPr>
          <w:rFonts w:ascii="Times New Roman" w:hAnsi="Times New Roman"/>
          <w:b/>
          <w:sz w:val="20"/>
        </w:rPr>
        <w:t>Mandatorily Redeemable Stock</w:t>
      </w:r>
      <w:r>
        <w:rPr>
          <w:rFonts w:ascii="Times New Roman" w:hAnsi="Times New Roman"/>
          <w:sz w:val="20"/>
        </w:rPr>
        <w:t xml:space="preserve">”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in exchange for common stock or other equivalent common Equity Interests without the payment of any cash or other consideration); in each case, on or prior to the Revolving Termination Date. For purposes of this definition, Equity Interests in any of the following Subsidiaries which the Borrower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 </w:t>
      </w:r>
    </w:p>
    <w:p>
      <w:pPr>
        <w:pStyle w:val="TextBody"/>
        <w:bidi w:val="0"/>
        <w:spacing w:before="240" w:after="0"/>
        <w:jc w:val="left"/>
        <w:rPr/>
      </w:pPr>
      <w:r>
        <w:rPr/>
        <w:t>“</w:t>
      </w:r>
      <w:r>
        <w:rPr>
          <w:rFonts w:ascii="Times New Roman" w:hAnsi="Times New Roman"/>
          <w:b/>
          <w:sz w:val="20"/>
        </w:rPr>
        <w:t>Material Acquisition</w:t>
      </w:r>
      <w:r>
        <w:rPr>
          <w:rFonts w:ascii="Times New Roman" w:hAnsi="Times New Roman"/>
          <w:sz w:val="20"/>
        </w:rPr>
        <w:t xml:space="preserve">”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 (d) 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Material Indebtedness</w:t>
      </w:r>
      <w:r>
        <w:rPr>
          <w:rFonts w:ascii="Times New Roman" w:hAnsi="Times New Roman"/>
          <w:sz w:val="20"/>
        </w:rPr>
        <w:t xml:space="preserve">” has the meaning given that term in Section 10.1.(d).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”means any Subsidiary to which more than 2% of Adjusted Total Asset Value is attributable on an individual basis. </w:t>
      </w:r>
    </w:p>
    <w:p>
      <w:pPr>
        <w:pStyle w:val="TextBody"/>
        <w:bidi w:val="0"/>
        <w:spacing w:before="240" w:after="0"/>
        <w:jc w:val="left"/>
        <w:rPr/>
      </w:pPr>
      <w:r>
        <w:rPr/>
        <w:t>“</w:t>
      </w:r>
      <w:r>
        <w:rPr>
          <w:rFonts w:ascii="Times New Roman" w:hAnsi="Times New Roman"/>
          <w:b/>
          <w:sz w:val="20"/>
        </w:rPr>
        <w:t>Mixed-Use Project</w:t>
      </w:r>
      <w:r>
        <w:rPr>
          <w:rFonts w:ascii="Times New Roman" w:hAnsi="Times New Roman"/>
          <w:sz w:val="20"/>
        </w:rPr>
        <w:t xml:space="preserve">” means any mixed-use project that includes or will include a Retail Property and will also include a Multifamily Property and/or an Office Property.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means a mortgage, deed of trust, deed to secure debt or similar security instrument made by a Person owning an interest in real estate granting a Lien on such interest in real estate as security for the payment of Indebtedness. </w:t>
      </w:r>
    </w:p>
    <w:p>
      <w:pPr>
        <w:pStyle w:val="TextBody"/>
        <w:bidi w:val="0"/>
        <w:spacing w:before="240" w:after="0"/>
        <w:jc w:val="left"/>
        <w:rPr/>
      </w:pPr>
      <w:r>
        <w:rPr/>
        <w:t>“</w:t>
      </w:r>
      <w:r>
        <w:rPr>
          <w:rFonts w:ascii="Times New Roman" w:hAnsi="Times New Roman"/>
          <w:b/>
          <w:sz w:val="20"/>
        </w:rPr>
        <w:t>Mortgage Receivable</w:t>
      </w:r>
      <w:r>
        <w:rPr>
          <w:rFonts w:ascii="Times New Roman" w:hAnsi="Times New Roman"/>
          <w:sz w:val="20"/>
        </w:rPr>
        <w:t xml:space="preserve">”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 </w:t>
      </w:r>
    </w:p>
    <w:p>
      <w:pPr>
        <w:pStyle w:val="TextBody"/>
        <w:bidi w:val="0"/>
        <w:spacing w:before="240" w:after="0"/>
        <w:jc w:val="left"/>
        <w:rPr/>
      </w:pPr>
      <w:r>
        <w:rPr/>
        <w:t>“</w:t>
      </w:r>
      <w:r>
        <w:rPr>
          <w:rFonts w:ascii="Times New Roman" w:hAnsi="Times New Roman"/>
          <w:b/>
          <w:sz w:val="20"/>
        </w:rPr>
        <w:t>Multifamily Property</w:t>
      </w:r>
      <w:r>
        <w:rPr>
          <w:rFonts w:ascii="Times New Roman" w:hAnsi="Times New Roman"/>
          <w:sz w:val="20"/>
        </w:rPr>
        <w:t xml:space="preserve">” means a Property improved with, and from which at least 80% of the rental income is derived from, residential apartments, which may include a Property that is a part of a Mixed-Use Project. </w:t>
      </w:r>
    </w:p>
    <w:p>
      <w:pPr>
        <w:pStyle w:val="TextBody"/>
        <w:bidi w:val="0"/>
        <w:spacing w:before="240" w:after="0"/>
        <w:jc w:val="left"/>
        <w:rPr/>
      </w:pPr>
      <w:r>
        <w:rPr/>
        <w:t>“</w:t>
      </w:r>
      <w:r>
        <w:rPr>
          <w:rFonts w:ascii="Times New Roman" w:hAnsi="Times New Roman"/>
          <w:b/>
          <w:sz w:val="20"/>
        </w:rPr>
        <w:t>Negative Pledge</w:t>
      </w:r>
      <w:r>
        <w:rPr>
          <w:rFonts w:ascii="Times New Roman" w:hAnsi="Times New Roman"/>
          <w:sz w:val="20"/>
        </w:rPr>
        <w:t xml:space="preserv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 </w:t>
      </w:r>
    </w:p>
    <w:p>
      <w:pPr>
        <w:pStyle w:val="TextBody"/>
        <w:bidi w:val="0"/>
        <w:spacing w:before="240" w:after="0"/>
        <w:jc w:val="left"/>
        <w:rPr/>
      </w:pPr>
      <w:r>
        <w:rPr/>
        <w:t>“</w:t>
      </w:r>
      <w:r>
        <w:rPr>
          <w:rFonts w:ascii="Times New Roman" w:hAnsi="Times New Roman"/>
          <w:b/>
          <w:sz w:val="20"/>
        </w:rPr>
        <w:t>Net Operating Income</w:t>
      </w:r>
      <w:r>
        <w:rPr>
          <w:rFonts w:ascii="Times New Roman" w:hAnsi="Times New Roman"/>
          <w:sz w:val="20"/>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hAnsi="Times New Roman"/>
          <w:sz w:val="20"/>
          <w:u w:val="single"/>
        </w:rPr>
        <w:t>minus</w:t>
      </w:r>
      <w:r>
        <w:rPr>
          <w:rFonts w:ascii="Times New Roman" w:hAnsi="Times New Roman"/>
          <w:sz w:val="20"/>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Times New Roman" w:hAnsi="Times New Roman"/>
          <w:sz w:val="20"/>
          <w:u w:val="single"/>
        </w:rPr>
        <w:t>minus</w:t>
      </w:r>
      <w:r>
        <w:rPr>
          <w:rFonts w:ascii="Times New Roman" w:hAnsi="Times New Roman"/>
          <w:sz w:val="20"/>
        </w:rPr>
        <w:t xml:space="preserve"> (c) the Capital Reserves for such Property as of the end of such period </w:t>
      </w:r>
      <w:r>
        <w:rPr>
          <w:rFonts w:ascii="Times New Roman" w:hAnsi="Times New Roman"/>
          <w:sz w:val="20"/>
          <w:u w:val="single"/>
        </w:rPr>
        <w:t>minus</w:t>
      </w:r>
      <w:r>
        <w:rPr>
          <w:rFonts w:ascii="Times New Roman" w:hAnsi="Times New Roman"/>
          <w:sz w:val="20"/>
        </w:rPr>
        <w:t xml:space="preserve"> (d) the greater of (i) the actual property management fee paid during such period with respect to such Property and (ii) an imputed management fee in the amount equal to 3.0% of the gross revenues for such Property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Net Proceeds</w:t>
      </w:r>
      <w:r>
        <w:rPr>
          <w:rFonts w:ascii="Times New Roman" w:hAnsi="Times New Roman"/>
          <w:sz w:val="20"/>
        </w:rPr>
        <w:t xml:space="preserve">”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w:t>
      </w:r>
    </w:p>
    <w:p>
      <w:pPr>
        <w:pStyle w:val="TextBody"/>
        <w:bidi w:val="0"/>
        <w:spacing w:before="240" w:after="0"/>
        <w:jc w:val="left"/>
        <w:rPr/>
      </w:pPr>
      <w:r>
        <w:rPr/>
        <w:t>“</w:t>
      </w:r>
      <w:r>
        <w:rPr>
          <w:rFonts w:ascii="Times New Roman" w:hAnsi="Times New Roman"/>
          <w:b/>
          <w:sz w:val="20"/>
        </w:rPr>
        <w:t>Non-Controlled Property</w:t>
      </w:r>
      <w:r>
        <w:rPr>
          <w:rFonts w:ascii="Times New Roman" w:hAnsi="Times New Roman"/>
          <w:sz w:val="20"/>
        </w:rPr>
        <w:t xml:space="preserve">” means an Eligible Property owned in fee simple (or leased under a Ground Lease) by (a) an Unconsolidated Affiliate or (b) a Subsidiary that is not a Wholly Owned Subsidiary but which Property does not otherwise qualify as a Controlled Property.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xml:space="preserve">” means a Revolving Note, a Bid Rate Note or a Swingline Note.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means a notice substantially in the form of Exhibit E (or such other form reasonably acceptable to the Administrative Agent and containing the information required in such Exhibit) to be delivered to the Administrative Agent pursuant to Section 2.1.(b) evidencing the Borrower’s request for a borrowing of Revolving Loans. </w:t>
      </w:r>
    </w:p>
    <w:p>
      <w:pPr>
        <w:pStyle w:val="TextBody"/>
        <w:bidi w:val="0"/>
        <w:spacing w:before="240" w:after="0"/>
        <w:jc w:val="left"/>
        <w:rPr/>
      </w:pPr>
      <w:r>
        <w:rPr/>
        <w:t>“</w:t>
      </w:r>
      <w:r>
        <w:rPr>
          <w:rFonts w:ascii="Times New Roman" w:hAnsi="Times New Roman"/>
          <w:b/>
          <w:sz w:val="20"/>
        </w:rPr>
        <w:t>Notice of Continuation</w:t>
      </w:r>
      <w:r>
        <w:rPr>
          <w:rFonts w:ascii="Times New Roman" w:hAnsi="Times New Roman"/>
          <w:sz w:val="20"/>
        </w:rPr>
        <w:t xml:space="preserve">” means a notice substantially in the form of Exhibit F (or such other form reasonably acceptable to the Administrative Agent and containing the information required in such Exhibit) to be delivered to the Administrative Agent pursuant to Section 2.9. evidencing the Borrower’s request for the Continuation of a SOFR Loan.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means a notice substantially in the form of Exhibit G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 </w:t>
      </w:r>
    </w:p>
    <w:p>
      <w:pPr>
        <w:pStyle w:val="TextBody"/>
        <w:bidi w:val="0"/>
        <w:spacing w:before="240" w:after="0"/>
        <w:jc w:val="left"/>
        <w:rPr/>
      </w:pPr>
      <w:r>
        <w:rPr/>
        <w:t>“</w:t>
      </w:r>
      <w:r>
        <w:rPr>
          <w:rFonts w:ascii="Times New Roman" w:hAnsi="Times New Roman"/>
          <w:b/>
          <w:sz w:val="20"/>
        </w:rPr>
        <w:t>Notice of Swingline Borrowing</w:t>
      </w:r>
      <w:r>
        <w:rPr>
          <w:rFonts w:ascii="Times New Roman" w:hAnsi="Times New Roman"/>
          <w:sz w:val="20"/>
        </w:rPr>
        <w:t xml:space="preserve">” means a notice substantially in the form of Exhibit H (or such other form reasonably acceptable to the Administrative Agent and containing the information required in such Exhibit) to be delivered to the Swingline Lender pursuant to Section 2.4.(b) evidencing the Borrower’s request for a Swingline Loan.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the Administrative Agent, the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Occupancy Rate</w:t>
      </w:r>
      <w:r>
        <w:rPr>
          <w:rFonts w:ascii="Times New Roman" w:hAnsi="Times New Roman"/>
          <w:sz w:val="20"/>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Times New Roman" w:hAnsi="Times New Roman"/>
          <w:i/>
          <w:sz w:val="20"/>
        </w:rPr>
        <w:t>provided</w:t>
      </w:r>
      <w:r>
        <w:rPr>
          <w:rFonts w:ascii="Times New Roman" w:hAnsi="Times New Roman"/>
          <w:sz w:val="20"/>
        </w:rPr>
        <w:t xml:space="preserve">,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pPr>
      <w:r>
        <w:rPr/>
        <w:t>“</w:t>
      </w:r>
      <w:r>
        <w:rPr>
          <w:rFonts w:ascii="Times New Roman" w:hAnsi="Times New Roman"/>
          <w:b/>
          <w:sz w:val="20"/>
        </w:rPr>
        <w:t>Office Property</w:t>
      </w:r>
      <w:r>
        <w:rPr>
          <w:rFonts w:ascii="Times New Roman" w:hAnsi="Times New Roman"/>
          <w:sz w:val="20"/>
        </w:rPr>
        <w:t xml:space="preserve">” means a Property improved with a building or buildings the substantial use of which is office space, which may include a Property that is part of a Mixed-Use Project. </w:t>
      </w:r>
    </w:p>
    <w:p>
      <w:pPr>
        <w:pStyle w:val="TextBody"/>
        <w:bidi w:val="0"/>
        <w:spacing w:before="240" w:after="0"/>
        <w:jc w:val="left"/>
        <w:rPr/>
      </w:pPr>
      <w:r>
        <w:rPr/>
        <w:t>“</w:t>
      </w:r>
      <w:r>
        <w:rPr>
          <w:rFonts w:ascii="Times New Roman" w:hAnsi="Times New Roman"/>
          <w:b/>
          <w:sz w:val="20"/>
        </w:rPr>
        <w:t>Off-Balance Sheet Obligations</w:t>
      </w:r>
      <w:r>
        <w:rPr>
          <w:rFonts w:ascii="Times New Roman" w:hAnsi="Times New Roman"/>
          <w:sz w:val="20"/>
        </w:rPr>
        <w:t xml:space="preserve">”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 </w:t>
      </w:r>
    </w:p>
    <w:p>
      <w:pPr>
        <w:pStyle w:val="TextBody"/>
        <w:bidi w:val="0"/>
        <w:spacing w:before="240" w:after="0"/>
        <w:jc w:val="left"/>
        <w:rPr/>
      </w:pPr>
      <w:r>
        <w:rPr/>
        <w:t>“</w:t>
      </w:r>
      <w:r>
        <w:rPr>
          <w:rFonts w:ascii="Times New Roman" w:hAnsi="Times New Roman"/>
          <w:b/>
          <w:sz w:val="20"/>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w:t>
      </w:r>
    </w:p>
    <w:p>
      <w:pPr>
        <w:pStyle w:val="TextBody"/>
        <w:bidi w:val="0"/>
        <w:spacing w:before="240" w:after="0"/>
        <w:jc w:val="left"/>
        <w:rPr/>
      </w:pPr>
      <w:r>
        <w:rPr/>
        <w:t>“</w:t>
      </w:r>
      <w:r>
        <w:rPr>
          <w:rFonts w:ascii="Times New Roman" w:hAnsi="Times New Roman"/>
          <w:b/>
          <w:sz w:val="20"/>
        </w:rPr>
        <w:t>Ownership Share</w:t>
      </w:r>
      <w:r>
        <w:rPr>
          <w:rFonts w:ascii="Times New Roman" w:hAnsi="Times New Roman"/>
          <w:sz w:val="20"/>
        </w:rPr>
        <w:t xml:space="preserv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means Federal Realty Investment Trust, a real estate investment trust formed under the laws of the State of Maryland. </w:t>
      </w:r>
    </w:p>
    <w:p>
      <w:pPr>
        <w:pStyle w:val="TextBody"/>
        <w:bidi w:val="0"/>
        <w:spacing w:before="240" w:after="0"/>
        <w:jc w:val="left"/>
        <w:rPr/>
      </w:pPr>
      <w:r>
        <w:rPr/>
        <w:t>“</w:t>
      </w:r>
      <w:r>
        <w:rPr>
          <w:rFonts w:ascii="Times New Roman" w:hAnsi="Times New Roman"/>
          <w:b/>
          <w:sz w:val="20"/>
        </w:rPr>
        <w:t>Parent/General Partner Guaranty</w:t>
      </w:r>
      <w:r>
        <w:rPr>
          <w:rFonts w:ascii="Times New Roman" w:hAnsi="Times New Roman"/>
          <w:sz w:val="20"/>
        </w:rPr>
        <w:t xml:space="preserve">” means the Parent/General Partner Guaranty delivered (if ever) pursuant to Section 7.14. and substantially in the form of Exhibit 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Participant</w:t>
      </w:r>
      <w:r>
        <w:rPr>
          <w:rFonts w:ascii="Times New Roman" w:hAnsi="Times New Roman"/>
          <w:sz w:val="20"/>
        </w:rPr>
        <w:t xml:space="preserve">” has the meaning given that term in Section 12.6.(d).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pPr>
      <w:r>
        <w:rPr/>
        <w:t>“</w:t>
      </w:r>
      <w:r>
        <w:rPr>
          <w:rFonts w:ascii="Times New Roman" w:hAnsi="Times New Roman"/>
          <w:b/>
          <w:sz w:val="20"/>
        </w:rPr>
        <w:t>Payment Recipient</w:t>
      </w:r>
      <w:r>
        <w:rPr>
          <w:rFonts w:ascii="Times New Roman" w:hAnsi="Times New Roman"/>
          <w:sz w:val="20"/>
        </w:rPr>
        <w:t xml:space="preserve">” has the meaning given that term in Section 11.10(a).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and any successor agency. </w:t>
      </w:r>
    </w:p>
    <w:p>
      <w:pPr>
        <w:pStyle w:val="TextBody"/>
        <w:bidi w:val="0"/>
        <w:spacing w:before="240" w:after="0"/>
        <w:jc w:val="left"/>
        <w:rPr/>
      </w:pPr>
      <w:r>
        <w:rPr/>
        <w:t>“</w:t>
      </w:r>
      <w:r>
        <w:rPr>
          <w:rFonts w:ascii="Times New Roman" w:hAnsi="Times New Roman"/>
          <w:b/>
          <w:sz w:val="20"/>
        </w:rPr>
        <w:t>Periodic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pPr>
      <w:r>
        <w:rPr/>
        <w:t>“</w:t>
      </w:r>
      <w:r>
        <w:rPr>
          <w:rFonts w:ascii="Times New Roman" w:hAnsi="Times New Roman"/>
          <w:b/>
          <w:sz w:val="20"/>
        </w:rPr>
        <w:t>Permitted Bond Hedge Transaction</w:t>
      </w:r>
      <w:r>
        <w:rPr>
          <w:rFonts w:ascii="Times New Roman" w:hAnsi="Times New Roman"/>
          <w:sz w:val="20"/>
        </w:rPr>
        <w:t xml:space="preserve">” 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from the issuance of the Convertible Notes in connection with such Permitted Bond Hedge Transactions.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the Issuing Bank,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 </w:t>
      </w:r>
    </w:p>
    <w:p>
      <w:pPr>
        <w:pStyle w:val="TextBody"/>
        <w:bidi w:val="0"/>
        <w:spacing w:before="240" w:after="0"/>
        <w:jc w:val="left"/>
        <w:rPr/>
      </w:pPr>
      <w:r>
        <w:rPr/>
        <w:t>“</w:t>
      </w:r>
      <w:r>
        <w:rPr>
          <w:rFonts w:ascii="Times New Roman" w:hAnsi="Times New Roman"/>
          <w:b/>
          <w:sz w:val="20"/>
        </w:rPr>
        <w:t>Permitted Warrant Transaction</w:t>
      </w:r>
      <w:r>
        <w:rPr>
          <w:rFonts w:ascii="Times New Roman" w:hAnsi="Times New Roman"/>
          <w:sz w:val="20"/>
        </w:rPr>
        <w:t xml:space="preserve">” 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or Parent of a related Permitted Bond Hedge Transaction and settled in common shares of Parent (or such other securities or property), cash or a combination thereof, and the performance by Parent of its obligations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 </w:t>
      </w:r>
    </w:p>
    <w:p>
      <w:pPr>
        <w:pStyle w:val="TextBody"/>
        <w:bidi w:val="0"/>
        <w:spacing w:before="240" w:after="0"/>
        <w:jc w:val="left"/>
        <w:rPr/>
      </w:pPr>
      <w:r>
        <w:rPr/>
        <w:t>“</w:t>
      </w:r>
      <w:r>
        <w:rPr>
          <w:rFonts w:ascii="Times New Roman" w:hAnsi="Times New Roman"/>
          <w:b/>
          <w:sz w:val="20"/>
        </w:rPr>
        <w:t>Post-Default Rate</w:t>
      </w:r>
      <w:r>
        <w:rPr>
          <w:rFonts w:ascii="Times New Roman" w:hAnsi="Times New Roman"/>
          <w:sz w:val="20"/>
        </w:rPr>
        <w:t xml:space="preserve">” means, in respect of any principal of any Loan or any Reimbursement Obligation, the rate otherwise applicable </w:t>
      </w:r>
      <w:r>
        <w:rPr>
          <w:rFonts w:ascii="Times New Roman" w:hAnsi="Times New Roman"/>
          <w:sz w:val="20"/>
          <w:u w:val="single"/>
        </w:rPr>
        <w:t>plus</w:t>
      </w:r>
      <w:r>
        <w:rPr>
          <w:rFonts w:ascii="Times New Roman" w:hAnsi="Times New Roman"/>
          <w:sz w:val="20"/>
        </w:rPr>
        <w:t xml:space="preserve"> an additional four percent (4.0%) per annum and with respect to any other Obligation, a rate per annum equal to the Base Rate as in effect from time to time </w:t>
      </w:r>
      <w:r>
        <w:rPr>
          <w:rFonts w:ascii="Times New Roman" w:hAnsi="Times New Roman"/>
          <w:sz w:val="20"/>
          <w:u w:val="single"/>
        </w:rPr>
        <w:t>plus</w:t>
      </w:r>
      <w:r>
        <w:rPr>
          <w:rFonts w:ascii="Times New Roman" w:hAnsi="Times New Roman"/>
          <w:sz w:val="20"/>
        </w:rPr>
        <w:t xml:space="preserve"> the Applicable Margin for Base Rate Loans </w:t>
      </w:r>
      <w:r>
        <w:rPr>
          <w:rFonts w:ascii="Times New Roman" w:hAnsi="Times New Roman"/>
          <w:sz w:val="20"/>
          <w:u w:val="single"/>
        </w:rPr>
        <w:t>plus</w:t>
      </w:r>
      <w:r>
        <w:rPr>
          <w:rFonts w:ascii="Times New Roman" w:hAnsi="Times New Roman"/>
          <w:sz w:val="20"/>
        </w:rPr>
        <w:t xml:space="preserve"> four percent (4.0%). </w:t>
      </w:r>
    </w:p>
    <w:p>
      <w:pPr>
        <w:pStyle w:val="TextBody"/>
        <w:bidi w:val="0"/>
        <w:spacing w:before="240" w:after="0"/>
        <w:jc w:val="left"/>
        <w:rPr/>
      </w:pPr>
      <w:r>
        <w:rPr/>
        <w:t>“</w:t>
      </w:r>
      <w:r>
        <w:rPr>
          <w:rFonts w:ascii="Times New Roman" w:hAnsi="Times New Roman"/>
          <w:b/>
          <w:sz w:val="20"/>
        </w:rPr>
        <w:t>Preferred Dividends</w:t>
      </w:r>
      <w:r>
        <w:rPr>
          <w:rFonts w:ascii="Times New Roman" w:hAnsi="Times New Roman"/>
          <w:sz w:val="20"/>
        </w:rPr>
        <w:t xml:space="preserve">”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 </w:t>
      </w:r>
    </w:p>
    <w:p>
      <w:pPr>
        <w:pStyle w:val="TextBody"/>
        <w:bidi w:val="0"/>
        <w:spacing w:before="240" w:after="0"/>
        <w:jc w:val="left"/>
        <w:rPr/>
      </w:pPr>
      <w:r>
        <w:rPr/>
        <w:t>“</w:t>
      </w:r>
      <w:r>
        <w:rPr>
          <w:rFonts w:ascii="Times New Roman" w:hAnsi="Times New Roman"/>
          <w:b/>
          <w:sz w:val="20"/>
        </w:rPr>
        <w:t>Preferred Equity</w:t>
      </w:r>
      <w:r>
        <w:rPr>
          <w:rFonts w:ascii="Times New Roman" w:hAnsi="Times New Roman"/>
          <w:sz w:val="20"/>
        </w:rPr>
        <w:t xml:space="preserve">” means, with respect to any Person, Equity Interests in such Person which are entitled to preference or priority over any other Equity Interest in such Person in respect of the payment of dividends or distribution of assets upon liquidation or both.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 </w:t>
      </w:r>
    </w:p>
    <w:p>
      <w:pPr>
        <w:pStyle w:val="TextBody"/>
        <w:bidi w:val="0"/>
        <w:spacing w:before="240" w:after="0"/>
        <w:jc w:val="left"/>
        <w:rPr/>
      </w:pPr>
      <w:r>
        <w:rPr/>
        <w:t>“</w:t>
      </w:r>
      <w:r>
        <w:rPr>
          <w:rFonts w:ascii="Times New Roman" w:hAnsi="Times New Roman"/>
          <w:b/>
          <w:sz w:val="20"/>
        </w:rPr>
        <w:t>Principal Office</w:t>
      </w:r>
      <w:r>
        <w:rPr>
          <w:rFonts w:ascii="Times New Roman" w:hAnsi="Times New Roman"/>
          <w:sz w:val="20"/>
        </w:rPr>
        <w:t xml:space="preserve">” means the office of the Administrative Agent located at 10 S Wacker Drive, Floor 20 Chicago, IL 60606, or any other subsequent office that the Administrative Agent shall have specified as the Principal Office by written notice to the Borrower and the Lenders.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any parcel of real property owned or leased (in whole or in part) or operated by the Borrower, any Subsidiary or any Unconsolidated Affiliate of the Borrower and which is located in a state of the United States of America or the District of Columbia. </w:t>
      </w:r>
    </w:p>
    <w:p>
      <w:pPr>
        <w:pStyle w:val="TextBody"/>
        <w:bidi w:val="0"/>
        <w:spacing w:before="240" w:after="0"/>
        <w:jc w:val="left"/>
        <w:rPr/>
      </w:pPr>
      <w:r>
        <w:rPr/>
        <w:t>“</w:t>
      </w:r>
      <w:r>
        <w:rPr>
          <w:rFonts w:ascii="Times New Roman" w:hAnsi="Times New Roman"/>
          <w:b/>
          <w:sz w:val="20"/>
        </w:rPr>
        <w:t>Property Management Agreement</w:t>
      </w:r>
      <w:r>
        <w:rPr>
          <w:rFonts w:ascii="Times New Roman" w:hAnsi="Times New Roman"/>
          <w:sz w:val="20"/>
        </w:rPr>
        <w:t xml:space="preserve">” means an agreement pursuant to which the Borrower or a Subsidiary engages a Person to advise it with respect to the management of an Unencumbered Property or to provide management services with respect to the same. </w:t>
      </w:r>
    </w:p>
    <w:p>
      <w:pPr>
        <w:pStyle w:val="TextBody"/>
        <w:bidi w:val="0"/>
        <w:spacing w:before="24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QFC Credit Support</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Qualified ECP Guarantor</w:t>
      </w:r>
      <w:r>
        <w:rPr>
          <w:rFonts w:ascii="Times New Roman" w:hAnsi="Times New Roman"/>
          <w:sz w:val="20"/>
        </w:rPr>
        <w:t xml:space="preserve">”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pPr>
      <w:r>
        <w:rPr/>
        <w:t>“</w:t>
      </w:r>
      <w:r>
        <w:rPr>
          <w:rFonts w:ascii="Times New Roman" w:hAnsi="Times New Roman"/>
          <w:b/>
          <w:sz w:val="20"/>
        </w:rPr>
        <w:t>Qualified Forward Equity Contract</w:t>
      </w:r>
      <w:r>
        <w:rPr>
          <w:rFonts w:ascii="Times New Roman" w:hAnsi="Times New Roman"/>
          <w:sz w:val="20"/>
        </w:rPr>
        <w:t xml:space="preserve">” means a forward equity contract with respect to common Equity Interests of the Parent, entered into by the Parent and a Person (other than the Borrower, its Subsidiaries or their respective Affiliates) that has an investment grade rating with a Rating Agency; provided that, Qualified Forward Equity Contract shall exclude each forward equity contract, if any, with respect to which any of the following apply (w) the Parent or the counterparty would not reasonably be expected, for any reason, to be able to fulfill its obligations thereunder prior to the Revolving Termination Date, (x) the Parent does not intend to contribute the net cash proceeds received in connection with any such forward equity contracts to the Borrower or its Subsidiaries, (y) the Borrower’s limited partnership agreement does not require the Parent to contribute such net cash proceeds to the Borrower or (z) the Parent no longer intends to issue common Equity Interests sufficient to realize such net cash proceeds. </w:t>
      </w:r>
    </w:p>
    <w:p>
      <w:pPr>
        <w:pStyle w:val="TextBody"/>
        <w:bidi w:val="0"/>
        <w:spacing w:before="240" w:after="0"/>
        <w:jc w:val="left"/>
        <w:rPr/>
      </w:pPr>
      <w:r>
        <w:rPr/>
        <w:t>“</w:t>
      </w:r>
      <w:r>
        <w:rPr>
          <w:rFonts w:ascii="Times New Roman" w:hAnsi="Times New Roman"/>
          <w:b/>
          <w:sz w:val="20"/>
        </w:rPr>
        <w:t>Qualified Plan</w:t>
      </w:r>
      <w:r>
        <w:rPr>
          <w:rFonts w:ascii="Times New Roman" w:hAnsi="Times New Roman"/>
          <w:sz w:val="20"/>
        </w:rPr>
        <w:t xml:space="preserve">” means a Benefit Arrangement that is intended to be tax-qualified under Section 401(a) of the Internal Revenue Code.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S&amp;P, Moody’s or Fitch.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(a) the Administrative Agent, (b) any Lender and (c) the Issuing Bank, as applicable. </w:t>
      </w:r>
    </w:p>
    <w:p>
      <w:pPr>
        <w:pStyle w:val="TextBody"/>
        <w:bidi w:val="0"/>
        <w:spacing w:before="240" w:after="0"/>
        <w:jc w:val="left"/>
        <w:rPr/>
      </w:pPr>
      <w:r>
        <w:rPr/>
        <w:t>“</w:t>
      </w:r>
      <w:r>
        <w:rPr>
          <w:rFonts w:ascii="Times New Roman" w:hAnsi="Times New Roman"/>
          <w:b/>
          <w:sz w:val="20"/>
        </w:rPr>
        <w:t>Recourse Indebtedness</w:t>
      </w:r>
      <w:r>
        <w:rPr>
          <w:rFonts w:ascii="Times New Roman" w:hAnsi="Times New Roman"/>
          <w:sz w:val="20"/>
        </w:rPr>
        <w:t xml:space="preserve">”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Regulatory Change</w:t>
      </w:r>
      <w:r>
        <w:rPr>
          <w:rFonts w:ascii="Times New Roman" w:hAnsi="Times New Roman"/>
          <w:sz w:val="20"/>
        </w:rPr>
        <w:t xml:space="preserve">” 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Reimbursement Obligation</w:t>
      </w:r>
      <w:r>
        <w:rPr>
          <w:rFonts w:ascii="Times New Roman" w:hAnsi="Times New Roman"/>
          <w:sz w:val="20"/>
        </w:rPr>
        <w:t xml:space="preserve">” means the absolute, unconditional and irrevocable obligation of the Borrower to reimburse the Issuing Bank for any drawing honored by the Issuing Bank under a Letter of Credit. </w:t>
      </w:r>
    </w:p>
    <w:p>
      <w:pPr>
        <w:pStyle w:val="TextBody"/>
        <w:bidi w:val="0"/>
        <w:spacing w:before="240" w:after="0"/>
        <w:jc w:val="left"/>
        <w:rPr/>
      </w:pPr>
      <w:r>
        <w:rPr/>
        <w:t>“</w:t>
      </w:r>
      <w:r>
        <w:rPr>
          <w:rFonts w:ascii="Times New Roman" w:hAnsi="Times New Roman"/>
          <w:b/>
          <w:sz w:val="20"/>
        </w:rPr>
        <w:t>REIT</w:t>
      </w:r>
      <w:r>
        <w:rPr>
          <w:rFonts w:ascii="Times New Roman" w:hAnsi="Times New Roman"/>
          <w:sz w:val="20"/>
        </w:rPr>
        <w:t xml:space="preserve">” means a Person qualifying for treatment as a “real estate investment trust” under the Internal Revenue Code. </w:t>
      </w:r>
    </w:p>
    <w:p>
      <w:pPr>
        <w:pStyle w:val="TextBody"/>
        <w:bidi w:val="0"/>
        <w:spacing w:before="240" w:after="0"/>
        <w:jc w:val="left"/>
        <w:rPr/>
      </w:pPr>
      <w:r>
        <w:rPr/>
        <w:t>“</w:t>
      </w:r>
      <w:r>
        <w:rPr>
          <w:rFonts w:ascii="Times New Roman" w:hAnsi="Times New Roman"/>
          <w:b/>
          <w:sz w:val="20"/>
        </w:rPr>
        <w:t>Related Parties</w:t>
      </w:r>
      <w:r>
        <w:rPr>
          <w:rFonts w:ascii="Times New Roman" w:hAnsi="Times New Roman"/>
          <w:sz w:val="20"/>
        </w:rPr>
        <w:t xml:space="preserve">” means, with respect to any Person, such Person’s Affiliates and the partners, directors, officers, employees, agents and advisors of such Person and of such Person’s Affiliates.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means the FRB or the Federal Reserve Bank of New York, or a committee officially endorsed or convened by the FRB or the Federal Reserve Bank of New York, or any successor thereto. </w:t>
      </w:r>
    </w:p>
    <w:p>
      <w:pPr>
        <w:pStyle w:val="TextBody"/>
        <w:bidi w:val="0"/>
        <w:spacing w:before="240" w:after="0"/>
        <w:jc w:val="left"/>
        <w:rPr/>
      </w:pPr>
      <w:r>
        <w:rPr/>
        <w:t>“</w:t>
      </w:r>
      <w:r>
        <w:rPr>
          <w:rFonts w:ascii="Times New Roman" w:hAnsi="Times New Roman"/>
          <w:b/>
          <w:sz w:val="20"/>
        </w:rPr>
        <w:t>Requisite Lenders</w:t>
      </w:r>
      <w:r>
        <w:rPr>
          <w:rFonts w:ascii="Times New Roman" w:hAnsi="Times New Roman"/>
          <w:sz w:val="20"/>
        </w:rPr>
        <w:t xml:space="preserve">” means, as of any date, (a) Lenders having more than 50.0% of the aggregate amount of the Revolving Commitments or (b) if the Revolving Commitments have been terminated or reduced to zero, Lenders holding more than 50.0% of the principal amount of the aggregate outstanding Loans and Letter of Credit Liabilities;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 For purposes of this definition, a Lender shall be deemed to hold a Swingline Loan or a Letter of Credit Liability to the extent such Lender has acquired a participation therein under the terms of this Agreement and has not failed to perform its obligations in respect of such participation.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with respect to the Borrower or any Subsidiary, the chief executive officer, the chief financial officer, the treasurer or the chief operating officer of the Borrower or such Subsidiary and, solely in the case of the Borrower, the chief accounting officer of the Borrower.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means (a) any dividend or other distribution, direct or indirect, on account of any Equity Interest of the Borrower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 </w:t>
      </w:r>
    </w:p>
    <w:p>
      <w:pPr>
        <w:pStyle w:val="TextBody"/>
        <w:bidi w:val="0"/>
        <w:spacing w:before="240" w:after="0"/>
        <w:jc w:val="left"/>
        <w:rPr/>
      </w:pPr>
      <w:r>
        <w:rPr/>
        <w:t>“</w:t>
      </w:r>
      <w:r>
        <w:rPr>
          <w:rFonts w:ascii="Times New Roman" w:hAnsi="Times New Roman"/>
          <w:b/>
          <w:sz w:val="20"/>
        </w:rPr>
        <w:t>Retail Property</w:t>
      </w:r>
      <w:r>
        <w:rPr>
          <w:rFonts w:ascii="Times New Roman" w:hAnsi="Times New Roman"/>
          <w:sz w:val="20"/>
        </w:rPr>
        <w:t xml:space="preserve">” means each Property listed on Part I of Schedule 6.1.(f) hereto as a Retail Property and any other Property, a substantial use of which is the retail sale of goods and services, which may include a Property that is part of a Mixed-Use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Revolving Commitment</w:t>
      </w:r>
      <w:r>
        <w:rPr>
          <w:rFonts w:ascii="Times New Roman" w:hAnsi="Times New Roman"/>
          <w:sz w:val="20"/>
        </w:rPr>
        <w:t xml:space="preserve">” means, as to each Lender (other than the Swingline Lender), such Lender’s obligation to make Revolving Loans pursuant to Section 2.1., to issue (in the case of the Issuing Bank) and to participate (in the case of the other Lenders) in Letters of Credit pursuant to Section 2.3.(i), and to participate in Swingline Loans pursuant to Section 2.4.(e), in an amount up to, but not exceeding the amount set forth for such Lender on Schedule I as such Lender’s “Revolving Commitment Amount” or as set forth in any applicable Assignment and Assumption, or agreement executed by a Lender becoming a party hereto in accordance with Section 2.16., as the same may be reduced from time to time pursuant to Section 2.12. or increased or reduced as appropriate to reflect any assignments to or by such Lender effected in accordance with Section 12.6. or increased as appropriate to reflect any increase effected in accordance with Section 2.16. </w:t>
      </w:r>
    </w:p>
    <w:p>
      <w:pPr>
        <w:pStyle w:val="TextBody"/>
        <w:bidi w:val="0"/>
        <w:spacing w:before="240" w:after="0"/>
        <w:jc w:val="left"/>
        <w:rPr/>
      </w:pPr>
      <w:r>
        <w:rPr/>
        <w:t>“</w:t>
      </w:r>
      <w:r>
        <w:rPr>
          <w:rFonts w:ascii="Times New Roman" w:hAnsi="Times New Roman"/>
          <w:b/>
          <w:sz w:val="20"/>
        </w:rPr>
        <w:t>Revolving Commitment Percentage</w:t>
      </w:r>
      <w:r>
        <w:rPr>
          <w:rFonts w:ascii="Times New Roman" w:hAnsi="Times New Roman"/>
          <w:sz w:val="20"/>
        </w:rPr>
        <w:t xml:space="preserve">” means, as to each Lender with a Revolving Commitment, the ratio, expressed as a percentage, of (a) the amount of such Lender’s Revolving Commitment to (b) the aggregate amount of the Revolving Commitments of all Lenders; provided, however, that if at the time of determination the Revolving Commitments have been terminated or been reduced to zero, the “Revolving Commitment Percentage” of each Lender with a Revolving Commitment shall be the “Revolving Commitment Percentage” of such Lender in effect immediately prior to such termination or reduction. </w:t>
      </w:r>
    </w:p>
    <w:p>
      <w:pPr>
        <w:pStyle w:val="TextBody"/>
        <w:bidi w:val="0"/>
        <w:spacing w:before="240" w:after="0"/>
        <w:jc w:val="left"/>
        <w:rPr/>
      </w:pPr>
      <w:r>
        <w:rPr/>
        <w:t>“</w:t>
      </w:r>
      <w:r>
        <w:rPr>
          <w:rFonts w:ascii="Times New Roman" w:hAnsi="Times New Roman"/>
          <w:b/>
          <w:sz w:val="20"/>
        </w:rPr>
        <w:t>Revolving Credit Exposure</w:t>
      </w:r>
      <w:r>
        <w:rPr>
          <w:rFonts w:ascii="Times New Roman" w:hAnsi="Times New Roman"/>
          <w:sz w:val="20"/>
        </w:rPr>
        <w:t xml:space="preserve">” means, as to any Lender at any time, the aggregate principal amount at such time of its outstanding Revolving Loans and such Lender’s participation in Letter of Credit Liabilities and Swingline Loans at such time. </w:t>
      </w:r>
    </w:p>
    <w:p>
      <w:pPr>
        <w:pStyle w:val="TextBody"/>
        <w:bidi w:val="0"/>
        <w:spacing w:before="240" w:after="0"/>
        <w:jc w:val="left"/>
        <w:rPr/>
      </w:pPr>
      <w:r>
        <w:rPr/>
        <w:t>“</w:t>
      </w:r>
      <w:r>
        <w:rPr>
          <w:rFonts w:ascii="Times New Roman" w:hAnsi="Times New Roman"/>
          <w:b/>
          <w:sz w:val="20"/>
        </w:rPr>
        <w:t>Revolving Loan</w:t>
      </w:r>
      <w:r>
        <w:rPr>
          <w:rFonts w:ascii="Times New Roman" w:hAnsi="Times New Roman"/>
          <w:sz w:val="20"/>
        </w:rPr>
        <w:t xml:space="preserve">” means a loan made by a Lender to the Borrower pursuant to Section 2.1.(a). </w:t>
      </w:r>
    </w:p>
    <w:p>
      <w:pPr>
        <w:pStyle w:val="TextBody"/>
        <w:bidi w:val="0"/>
        <w:spacing w:before="240" w:after="0"/>
        <w:jc w:val="left"/>
        <w:rPr/>
      </w:pPr>
      <w:r>
        <w:rPr/>
        <w:t>“</w:t>
      </w:r>
      <w:r>
        <w:rPr>
          <w:rFonts w:ascii="Times New Roman" w:hAnsi="Times New Roman"/>
          <w:b/>
          <w:sz w:val="20"/>
        </w:rPr>
        <w:t>Revolving Note</w:t>
      </w:r>
      <w:r>
        <w:rPr>
          <w:rFonts w:ascii="Times New Roman" w:hAnsi="Times New Roman"/>
          <w:sz w:val="20"/>
        </w:rPr>
        <w:t xml:space="preserve">” means a promissory note of the Borrower substantially in the form of Exhibit I, payable to the order of a Lender in a principal amount equal to the amount of such Lender’s Revolving Commitment. </w:t>
      </w:r>
    </w:p>
    <w:p>
      <w:pPr>
        <w:pStyle w:val="TextBody"/>
        <w:bidi w:val="0"/>
        <w:spacing w:before="240" w:after="0"/>
        <w:jc w:val="left"/>
        <w:rPr/>
      </w:pPr>
      <w:r>
        <w:rPr/>
        <w:t>“</w:t>
      </w:r>
      <w:r>
        <w:rPr>
          <w:rFonts w:ascii="Times New Roman" w:hAnsi="Times New Roman"/>
          <w:b/>
          <w:sz w:val="20"/>
        </w:rPr>
        <w:t>Revolving Termination Date</w:t>
      </w:r>
      <w:r>
        <w:rPr>
          <w:rFonts w:ascii="Times New Roman" w:hAnsi="Times New Roman"/>
          <w:sz w:val="20"/>
        </w:rPr>
        <w:t xml:space="preserve">” means April 12, 2030, or such later date to which the Revolving Termination Date may be extended pursuant to Section 2.13.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business unit of Standard &amp; Poor’s Financial Services LLC, and any successor thereto. </w:t>
      </w:r>
    </w:p>
    <w:p>
      <w:pPr>
        <w:pStyle w:val="TextBody"/>
        <w:bidi w:val="0"/>
        <w:spacing w:before="240" w:after="0"/>
        <w:jc w:val="left"/>
        <w:rPr/>
      </w:pPr>
      <w:r>
        <w:rPr/>
        <w:t>“</w:t>
      </w:r>
      <w:r>
        <w:rPr>
          <w:rFonts w:ascii="Times New Roman" w:hAnsi="Times New Roman"/>
          <w:b/>
          <w:sz w:val="20"/>
        </w:rPr>
        <w:t>Same-Day Borrowing</w:t>
      </w:r>
      <w:r>
        <w:rPr>
          <w:rFonts w:ascii="Times New Roman" w:hAnsi="Times New Roman"/>
          <w:sz w:val="20"/>
        </w:rPr>
        <w:t xml:space="preserve">” means a borrowing of a Revolving Loan for which the date of the Notice of Revolving Borrowing and the date of the funding of such borrowing occur on the same day; provided that Same-Day Borrowings must be either Base Rate Loans or Daily Simple SOFR Loans.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at any time, a country, region or territory which is itself the subject or target of any Sanctions (including, without limitation, at the time of this agreement, the Crimea, Zaporizhzhia and Kherson Regions of Ukraine, the so-called Donetsk People’s Republic or Luhansk People’s Republic regions of Ukraine, Cuba, Iran and North Korea).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Global Affairs Canada,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Sanctions</w:t>
      </w:r>
      <w:r>
        <w:rPr>
          <w:rFonts w:ascii="Times New Roman" w:hAnsi="Times New Roman"/>
          <w:sz w:val="20"/>
        </w:rPr>
        <w:t xml:space="preserve">”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Canada,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 </w:t>
      </w:r>
    </w:p>
    <w:p>
      <w:pPr>
        <w:pStyle w:val="TextBody"/>
        <w:bidi w:val="0"/>
        <w:spacing w:before="240" w:after="0"/>
        <w:jc w:val="left"/>
        <w:rPr/>
      </w:pPr>
      <w:r>
        <w:rPr/>
        <w:t>“</w:t>
      </w:r>
      <w:r>
        <w:rPr>
          <w:rFonts w:ascii="Times New Roman" w:hAnsi="Times New Roman"/>
          <w:b/>
          <w:sz w:val="20"/>
        </w:rPr>
        <w:t>Secured Indebtedness</w:t>
      </w:r>
      <w:r>
        <w:rPr>
          <w:rFonts w:ascii="Times New Roman" w:hAnsi="Times New Roman"/>
          <w:sz w:val="20"/>
        </w:rPr>
        <w:t xml:space="preserve">” means, with respect to any Person, (a) all Indebtedness of such Person that is secured in any manner by any Lien on any property </w:t>
      </w:r>
      <w:r>
        <w:rPr>
          <w:rFonts w:ascii="Times New Roman" w:hAnsi="Times New Roman"/>
          <w:sz w:val="20"/>
          <w:u w:val="single"/>
        </w:rPr>
        <w:t>plus</w:t>
      </w:r>
      <w:r>
        <w:rPr>
          <w:rFonts w:ascii="Times New Roman" w:hAnsi="Times New Roman"/>
          <w:sz w:val="20"/>
        </w:rPr>
        <w:t xml:space="preserve"> (b) such Person’s Ownership Share of the Secured Indebtedness of any of such Person’s Unconsolidated Affiliates.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Securities Exchange Act</w:t>
      </w:r>
      <w:r>
        <w:rPr>
          <w:rFonts w:ascii="Times New Roman" w:hAnsi="Times New Roman"/>
          <w:sz w:val="20"/>
        </w:rPr>
        <w:t xml:space="preserve">” means the Securities Exchange Act of 1934,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any Subsidiary to which more than $200,000,000 of Total Asset Value is attributable on an individual basis. </w:t>
      </w:r>
    </w:p>
    <w:p>
      <w:pPr>
        <w:pStyle w:val="TextBody"/>
        <w:bidi w:val="0"/>
        <w:spacing w:before="240" w:after="0"/>
        <w:jc w:val="left"/>
        <w:rPr/>
      </w:pPr>
      <w:r>
        <w:rPr/>
        <w:t>“</w:t>
      </w:r>
      <w:r>
        <w:rPr>
          <w:rFonts w:ascii="Times New Roman" w:hAnsi="Times New Roman"/>
          <w:b/>
          <w:sz w:val="20"/>
        </w:rPr>
        <w:t>Simple SOFR Determination Day</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b/>
          <w:sz w:val="20"/>
        </w:rPr>
        <w:t>Simple SOFR Rate Day</w:t>
      </w:r>
      <w:r>
        <w:rPr>
          <w:rFonts w:ascii="Times New Roman" w:hAnsi="Times New Roman"/>
          <w:sz w:val="20"/>
        </w:rPr>
        <w:t xml:space="preserve">” has the meaning given that term in the definition of the term “Daily Simple SOFR.”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sz w:val="20"/>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b/>
          <w:sz w:val="20"/>
        </w:rPr>
        <w:t>SOFR Auction</w:t>
      </w:r>
      <w:r>
        <w:rPr>
          <w:rFonts w:ascii="Times New Roman" w:hAnsi="Times New Roman"/>
          <w:sz w:val="20"/>
        </w:rPr>
        <w:t xml:space="preserve">” means a solicitation of Bid Rate Quotes setting forth SOFR Margin Loans based on Term SOFR pursuant to Section 2.2. </w:t>
      </w:r>
    </w:p>
    <w:p>
      <w:pPr>
        <w:pStyle w:val="TextBody"/>
        <w:bidi w:val="0"/>
        <w:spacing w:before="240" w:after="0"/>
        <w:jc w:val="left"/>
        <w:rPr/>
      </w:pPr>
      <w:r>
        <w:rPr/>
        <w:t>“</w:t>
      </w:r>
      <w:r>
        <w:rPr>
          <w:rFonts w:ascii="Times New Roman" w:hAnsi="Times New Roman"/>
          <w:b/>
          <w:sz w:val="20"/>
        </w:rPr>
        <w:t>SOFR Loan</w:t>
      </w:r>
      <w:r>
        <w:rPr>
          <w:rFonts w:ascii="Times New Roman" w:hAnsi="Times New Roman"/>
          <w:sz w:val="20"/>
        </w:rPr>
        <w:t xml:space="preserve">” means any Daily Simple SOFR Loan or Term SOFR Loan. </w:t>
      </w:r>
    </w:p>
    <w:p>
      <w:pPr>
        <w:pStyle w:val="TextBody"/>
        <w:bidi w:val="0"/>
        <w:spacing w:before="240" w:after="0"/>
        <w:jc w:val="left"/>
        <w:rPr/>
      </w:pPr>
      <w:r>
        <w:rPr/>
        <w:t>“</w:t>
      </w:r>
      <w:r>
        <w:rPr>
          <w:rFonts w:ascii="Times New Roman" w:hAnsi="Times New Roman"/>
          <w:b/>
          <w:sz w:val="20"/>
        </w:rPr>
        <w:t>SOFR Margin</w:t>
      </w:r>
      <w:r>
        <w:rPr>
          <w:rFonts w:ascii="Times New Roman" w:hAnsi="Times New Roman"/>
          <w:sz w:val="20"/>
        </w:rPr>
        <w:t xml:space="preserve">” has the meaning given that term in Section 2.2.(c)(ii)(D). </w:t>
      </w:r>
    </w:p>
    <w:p>
      <w:pPr>
        <w:pStyle w:val="TextBody"/>
        <w:bidi w:val="0"/>
        <w:spacing w:before="240" w:after="0"/>
        <w:jc w:val="left"/>
        <w:rPr/>
      </w:pPr>
      <w:r>
        <w:rPr/>
        <w:t>“</w:t>
      </w:r>
      <w:r>
        <w:rPr>
          <w:rFonts w:ascii="Times New Roman" w:hAnsi="Times New Roman"/>
          <w:b/>
          <w:sz w:val="20"/>
        </w:rPr>
        <w:t>SOFR Margin Loan</w:t>
      </w:r>
      <w:r>
        <w:rPr>
          <w:rFonts w:ascii="Times New Roman" w:hAnsi="Times New Roman"/>
          <w:sz w:val="20"/>
        </w:rPr>
        <w:t xml:space="preserve">” means a Bid Rate Loan the interest rate on which is determined on the basis of Term SOFR pursuant to a SOFR Auction.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 </w:t>
      </w:r>
    </w:p>
    <w:p>
      <w:pPr>
        <w:pStyle w:val="TextBody"/>
        <w:bidi w:val="0"/>
        <w:spacing w:before="240" w:after="0"/>
        <w:jc w:val="left"/>
        <w:rPr/>
      </w:pPr>
      <w:r>
        <w:rPr/>
        <w:t>“</w:t>
      </w:r>
      <w:r>
        <w:rPr>
          <w:rFonts w:ascii="Times New Roman" w:hAnsi="Times New Roman"/>
          <w:b/>
          <w:sz w:val="20"/>
        </w:rPr>
        <w:t>Specified Derivatives Contract</w:t>
      </w:r>
      <w:r>
        <w:rPr>
          <w:rFonts w:ascii="Times New Roman" w:hAnsi="Times New Roman"/>
          <w:sz w:val="20"/>
        </w:rPr>
        <w:t xml:space="preserve">”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 </w:t>
      </w:r>
    </w:p>
    <w:p>
      <w:pPr>
        <w:pStyle w:val="TextBody"/>
        <w:bidi w:val="0"/>
        <w:spacing w:before="240" w:after="0"/>
        <w:jc w:val="left"/>
        <w:rPr/>
      </w:pPr>
      <w:r>
        <w:rPr/>
        <w:t>“</w:t>
      </w:r>
      <w:r>
        <w:rPr>
          <w:rFonts w:ascii="Times New Roman" w:hAnsi="Times New Roman"/>
          <w:b/>
          <w:sz w:val="20"/>
        </w:rPr>
        <w:t>Specified Derivatives Obligations</w:t>
      </w:r>
      <w:r>
        <w:rPr>
          <w:rFonts w:ascii="Times New Roman" w:hAnsi="Times New Roman"/>
          <w:sz w:val="20"/>
        </w:rPr>
        <w:t xml:space="preserve">”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 </w:t>
      </w:r>
    </w:p>
    <w:p>
      <w:pPr>
        <w:pStyle w:val="TextBody"/>
        <w:bidi w:val="0"/>
        <w:spacing w:before="240" w:after="0"/>
        <w:jc w:val="left"/>
        <w:rPr/>
      </w:pPr>
      <w:r>
        <w:rPr/>
        <w:t>“</w:t>
      </w:r>
      <w:r>
        <w:rPr>
          <w:rFonts w:ascii="Times New Roman" w:hAnsi="Times New Roman"/>
          <w:b/>
          <w:sz w:val="20"/>
        </w:rPr>
        <w:t>Specified Derivatives Provider</w:t>
      </w:r>
      <w:r>
        <w:rPr>
          <w:rFonts w:ascii="Times New Roman" w:hAnsi="Times New Roman"/>
          <w:sz w:val="20"/>
        </w:rPr>
        <w:t xml:space="preserve">” means any Lender, or any Affiliate of a Lender that is a party to a Derivatives Contract at the time the Derivatives Contract is entered into. </w:t>
      </w:r>
    </w:p>
    <w:p>
      <w:pPr>
        <w:pStyle w:val="TextBody"/>
        <w:bidi w:val="0"/>
        <w:spacing w:before="240" w:after="0"/>
        <w:jc w:val="left"/>
        <w:rPr/>
      </w:pPr>
      <w:r>
        <w:rPr/>
        <w:t>“</w:t>
      </w:r>
      <w:r>
        <w:rPr>
          <w:rFonts w:ascii="Times New Roman" w:hAnsi="Times New Roman"/>
          <w:b/>
          <w:sz w:val="20"/>
        </w:rPr>
        <w:t>SPT</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Stated Amount</w:t>
      </w:r>
      <w:r>
        <w:rPr>
          <w:rFonts w:ascii="Times New Roman" w:hAnsi="Times New Roman"/>
          <w:sz w:val="20"/>
        </w:rPr>
        <w:t xml:space="preserve">” means the amount available to be drawn by a beneficiary under a Letter of Credit from time to time, as such amount may be increased or reduced from time to time in accordance with the terms of such Letter of Credit. </w:t>
      </w:r>
    </w:p>
    <w:p>
      <w:pPr>
        <w:pStyle w:val="TextBody"/>
        <w:bidi w:val="0"/>
        <w:spacing w:before="240" w:after="0"/>
        <w:jc w:val="left"/>
        <w:rPr/>
      </w:pPr>
      <w:r>
        <w:rPr/>
        <w:t>“</w:t>
      </w:r>
      <w:r>
        <w:rPr>
          <w:rFonts w:ascii="Times New Roman" w:hAnsi="Times New Roman"/>
          <w:b/>
          <w:sz w:val="20"/>
        </w:rPr>
        <w:t>Stabilized Property</w:t>
      </w:r>
      <w:r>
        <w:rPr>
          <w:rFonts w:ascii="Times New Roman" w:hAnsi="Times New Roman"/>
          <w:sz w:val="20"/>
        </w:rPr>
        <w:t xml:space="preserve">” means a property that is not a Development Property.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w:t>
      </w:r>
    </w:p>
    <w:p>
      <w:pPr>
        <w:pStyle w:val="TextBody"/>
        <w:bidi w:val="0"/>
        <w:spacing w:before="240" w:after="0"/>
        <w:jc w:val="left"/>
        <w:rPr/>
      </w:pPr>
      <w:r>
        <w:rPr/>
        <w:t>“</w:t>
      </w:r>
      <w:r>
        <w:rPr>
          <w:rFonts w:ascii="Times New Roman" w:hAnsi="Times New Roman"/>
          <w:b/>
          <w:sz w:val="20"/>
        </w:rPr>
        <w:t>Supported QFC</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Sustainability Adjustment Limitations</w:t>
      </w:r>
      <w:r>
        <w:rPr>
          <w:rFonts w:ascii="Times New Roman" w:hAnsi="Times New Roman"/>
          <w:sz w:val="20"/>
        </w:rPr>
        <w:t xml:space="preserve">” has the meaning given that term in Section 12.25. </w:t>
      </w:r>
    </w:p>
    <w:p>
      <w:pPr>
        <w:pStyle w:val="TextBody"/>
        <w:bidi w:val="0"/>
        <w:spacing w:before="240" w:after="0"/>
        <w:jc w:val="left"/>
        <w:rPr/>
      </w:pPr>
      <w:r>
        <w:rPr/>
        <w:t>“</w:t>
      </w:r>
      <w:r>
        <w:rPr>
          <w:rFonts w:ascii="Times New Roman" w:hAnsi="Times New Roman"/>
          <w:b/>
          <w:sz w:val="20"/>
        </w:rPr>
        <w:t>Sustainability Linked Loan Principles</w:t>
      </w:r>
      <w:r>
        <w:rPr>
          <w:rFonts w:ascii="Times New Roman" w:hAnsi="Times New Roman"/>
          <w:sz w:val="20"/>
        </w:rPr>
        <w:t xml:space="preserve">” means the Sustainability Linked Loan Principles (as published in March, 2025 by the Loan Market Association, Asia Pacific Loan Market Association and Loan Syndications &amp; Trading Association). </w:t>
      </w:r>
    </w:p>
    <w:p>
      <w:pPr>
        <w:pStyle w:val="TextBody"/>
        <w:bidi w:val="0"/>
        <w:spacing w:before="240" w:after="0"/>
        <w:jc w:val="left"/>
        <w:rPr/>
      </w:pPr>
      <w:r>
        <w:rPr/>
        <w:t>“</w:t>
      </w:r>
      <w:r>
        <w:rPr>
          <w:rFonts w:ascii="Times New Roman" w:hAnsi="Times New Roman"/>
          <w:b/>
          <w:sz w:val="20"/>
        </w:rPr>
        <w:t>Sustainability Structuring Agent</w:t>
      </w:r>
      <w:r>
        <w:rPr>
          <w:rFonts w:ascii="Times New Roman" w:hAnsi="Times New Roman"/>
          <w:sz w:val="20"/>
        </w:rPr>
        <w:t xml:space="preserve">” has the meaning set forth in the introductory paragraph hereof and shall include such Person’s successors and permitted assigns. </w:t>
      </w:r>
    </w:p>
    <w:p>
      <w:pPr>
        <w:pStyle w:val="TextBody"/>
        <w:bidi w:val="0"/>
        <w:spacing w:before="240" w:after="0"/>
        <w:jc w:val="left"/>
        <w:rPr/>
      </w:pPr>
      <w:r>
        <w:rPr/>
        <w:t>“</w:t>
      </w:r>
      <w:r>
        <w:rPr>
          <w:rFonts w:ascii="Times New Roman" w:hAnsi="Times New Roman"/>
          <w:b/>
          <w:sz w:val="20"/>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Swingline Commitment</w:t>
      </w:r>
      <w:r>
        <w:rPr>
          <w:rFonts w:ascii="Times New Roman" w:hAnsi="Times New Roman"/>
          <w:sz w:val="20"/>
        </w:rPr>
        <w:t xml:space="preserve">” means the Swingline Lender’s obligation to make Swingline Loans pursuant to Section 2.4. in an amount up to, but not exceeding the amount set forth in the first sentence of Section 2.4.(a), as such amount may be reduced from time to time in accordance with the terms hereof. </w:t>
      </w:r>
    </w:p>
    <w:p>
      <w:pPr>
        <w:pStyle w:val="TextBody"/>
        <w:bidi w:val="0"/>
        <w:spacing w:before="240" w:after="0"/>
        <w:jc w:val="left"/>
        <w:rPr/>
      </w:pPr>
      <w:r>
        <w:rPr/>
        <w:t>“</w:t>
      </w:r>
      <w:r>
        <w:rPr>
          <w:rFonts w:ascii="Times New Roman" w:hAnsi="Times New Roman"/>
          <w:b/>
          <w:sz w:val="20"/>
        </w:rPr>
        <w:t>Swingline Lender</w:t>
      </w:r>
      <w:r>
        <w:rPr>
          <w:rFonts w:ascii="Times New Roman" w:hAnsi="Times New Roman"/>
          <w:sz w:val="20"/>
        </w:rPr>
        <w:t xml:space="preserve">” means Wells Fargo. </w:t>
      </w:r>
    </w:p>
    <w:p>
      <w:pPr>
        <w:pStyle w:val="TextBody"/>
        <w:bidi w:val="0"/>
        <w:spacing w:before="240" w:after="0"/>
        <w:jc w:val="left"/>
        <w:rPr/>
      </w:pPr>
      <w:r>
        <w:rPr/>
        <w:t>“</w:t>
      </w:r>
      <w:r>
        <w:rPr>
          <w:rFonts w:ascii="Times New Roman" w:hAnsi="Times New Roman"/>
          <w:b/>
          <w:sz w:val="20"/>
        </w:rPr>
        <w:t>Swingline Loan</w:t>
      </w:r>
      <w:r>
        <w:rPr>
          <w:rFonts w:ascii="Times New Roman" w:hAnsi="Times New Roman"/>
          <w:sz w:val="20"/>
        </w:rPr>
        <w:t xml:space="preserve">” means a loan made by the Swingline Lender to the Borrower pursuant to Section 2.4. </w:t>
      </w:r>
    </w:p>
    <w:p>
      <w:pPr>
        <w:pStyle w:val="TextBody"/>
        <w:bidi w:val="0"/>
        <w:spacing w:before="240" w:after="0"/>
        <w:jc w:val="left"/>
        <w:rPr/>
      </w:pPr>
      <w:r>
        <w:rPr/>
        <w:t>“</w:t>
      </w:r>
      <w:r>
        <w:rPr>
          <w:rFonts w:ascii="Times New Roman" w:hAnsi="Times New Roman"/>
          <w:sz w:val="20"/>
        </w:rPr>
        <w:t xml:space="preserve">Swingline Maturity Date” means the date which is seven (7) Business Days prior to the Revolving Termination Date. </w:t>
      </w:r>
    </w:p>
    <w:p>
      <w:pPr>
        <w:pStyle w:val="TextBody"/>
        <w:bidi w:val="0"/>
        <w:spacing w:before="240" w:after="0"/>
        <w:jc w:val="left"/>
        <w:rPr/>
      </w:pPr>
      <w:r>
        <w:rPr/>
        <w:t>“</w:t>
      </w:r>
      <w:r>
        <w:rPr>
          <w:rFonts w:ascii="Times New Roman" w:hAnsi="Times New Roman"/>
          <w:b/>
          <w:sz w:val="20"/>
        </w:rPr>
        <w:t>Swingline Note</w:t>
      </w:r>
      <w:r>
        <w:rPr>
          <w:rFonts w:ascii="Times New Roman" w:hAnsi="Times New Roman"/>
          <w:sz w:val="20"/>
        </w:rPr>
        <w:t xml:space="preserve">” means the promissory note of the Borrower substantially in the form of Exhibit J, payable to the order of the Swingline Lender in a principal amount equal to the amount of the Swingline Commitment as originally in effect and otherwise duly completed.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 Base Rate Loan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w:t>
      </w:r>
    </w:p>
    <w:p>
      <w:pPr>
        <w:pStyle w:val="TextBody"/>
        <w:bidi w:val="0"/>
        <w:spacing w:before="240" w:after="0"/>
        <w:jc w:val="left"/>
        <w:rPr>
          <w:rFonts w:ascii="Times New Roman" w:hAnsi="Times New Roman"/>
          <w:sz w:val="20"/>
        </w:rPr>
      </w:pPr>
      <w:r>
        <w:rPr>
          <w:rFonts w:ascii="Times New Roman" w:hAnsi="Times New Roman"/>
          <w:sz w:val="20"/>
        </w:rPr>
        <w:t xml:space="preserve">provided that if Term SOFR as so determined shall ever be less than the Floor, then Term SOFR shall be deemed to be the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b/>
          <w:sz w:val="20"/>
        </w:rPr>
        <w:t>Term SOFR Loan</w:t>
      </w:r>
      <w:r>
        <w:rPr>
          <w:rFonts w:ascii="Times New Roman" w:hAnsi="Times New Roman"/>
          <w:sz w:val="20"/>
        </w:rPr>
        <w:t xml:space="preserve">” means any Loan bearing interest at a rate based on Term SOFR (other than the Term SOFR component of the definition of “Base Rate”). </w:t>
      </w:r>
    </w:p>
    <w:p>
      <w:pPr>
        <w:pStyle w:val="TextBody"/>
        <w:bidi w:val="0"/>
        <w:spacing w:before="240" w:after="0"/>
        <w:jc w:val="left"/>
        <w:rPr/>
      </w:pPr>
      <w:r>
        <w:rPr/>
        <w:t>“</w:t>
      </w:r>
      <w:r>
        <w:rPr>
          <w:rFonts w:ascii="Times New Roman" w:hAnsi="Times New Roman"/>
          <w:b/>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sz w:val="20"/>
        </w:rPr>
        <w:t>Titled Agents</w:t>
      </w:r>
      <w:r>
        <w:rPr>
          <w:rFonts w:ascii="Times New Roman" w:hAnsi="Times New Roman"/>
          <w:sz w:val="20"/>
        </w:rPr>
        <w:t xml:space="preserve">” has the meaning given that term in Section 11.9. </w:t>
      </w:r>
    </w:p>
    <w:p>
      <w:pPr>
        <w:pStyle w:val="TextBody"/>
        <w:bidi w:val="0"/>
        <w:spacing w:before="240" w:after="0"/>
        <w:jc w:val="left"/>
        <w:rPr/>
      </w:pPr>
      <w:r>
        <w:rPr/>
        <w:t>“</w:t>
      </w:r>
      <w:r>
        <w:rPr>
          <w:rFonts w:ascii="Times New Roman" w:hAnsi="Times New Roman"/>
          <w:b/>
          <w:sz w:val="20"/>
        </w:rPr>
        <w:t>Total Asset Value</w:t>
      </w:r>
      <w:r>
        <w:rPr>
          <w:rFonts w:ascii="Times New Roman" w:hAnsi="Times New Roman"/>
          <w:sz w:val="20"/>
        </w:rPr>
        <w:t xml:space="preserve">”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plus (g)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provided that if the Borrower has a Credit Rating of A-/A3 from (x) either S&amp;P or Moody’s, the percentage of Total Asset Value attributable to Investments in Unconsolidated Affiliates and other Persons that are not Subsidiaries and Investments in Subsidiaries that own Non-Controlled Properties that may be included pursuant to this clause (A) shall be increased to 30% and (y) two or more Rating Agencies, this clause (A) shall not apply, and (B) the amount of Total Asset Value attributable to Mortgage Receivables, Construction-In-Process, Unimproved Land (calculated on the basis of acquisition cost), Investments in Persons (other than Investments in Subsidiaries and Unconsolidated Affiliates) and Hotel Properties would exceed 25.0% of Total Asset Value in the aggregate, such excess shall be excluded from Total Asset Value; provided that, if the Borrower has a Credit Rating of A-/A3 from (x) either S&amp;P or Moody’s, instead of the 25% limitation on certain assets provided in the preceding clause, the percentage of Total Asset Value attributable to Mortgage Receivables, Construction-In-Process, Unimproved Land (calculated on the basis of acquisition cost), Investments in Persons (other than Investments in Subsidiaries and Unconsolidated Affiliates), Hotel Properties and Investments described in clause (A) above that collectively may be included in Total Asset Value shall be increased to 40% and (y) two or more Rating Agencies, this clause (B) shall not apply.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 </w:t>
      </w:r>
    </w:p>
    <w:p>
      <w:pPr>
        <w:pStyle w:val="TextBody"/>
        <w:bidi w:val="0"/>
        <w:spacing w:before="240" w:after="0"/>
        <w:jc w:val="left"/>
        <w:rPr/>
      </w:pPr>
      <w:r>
        <w:rPr/>
        <w:t>“</w:t>
      </w:r>
      <w:r>
        <w:rPr>
          <w:rFonts w:ascii="Times New Roman" w:hAnsi="Times New Roman"/>
          <w:b/>
          <w:sz w:val="20"/>
        </w:rPr>
        <w:t>Total Indebtedness</w:t>
      </w:r>
      <w:r>
        <w:rPr>
          <w:rFonts w:ascii="Times New Roman" w:hAnsi="Times New Roman"/>
          <w:sz w:val="20"/>
        </w:rPr>
        <w:t>” means (a) all Indebtedness of the Borrower and its Subsidiaries determined on a consolidated basis</w:t>
      </w:r>
      <w:r>
        <w:rPr>
          <w:rFonts w:ascii="Times New Roman" w:hAnsi="Times New Roman"/>
          <w:sz w:val="20"/>
          <w:u w:val="single"/>
        </w:rPr>
        <w:t xml:space="preserve"> plus</w:t>
      </w:r>
      <w:r>
        <w:rPr>
          <w:rFonts w:ascii="Times New Roman" w:hAnsi="Times New Roman"/>
          <w:sz w:val="20"/>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with respect to any Revolving Loan, refers to whether such Loan or portion thereof is a Daily Simple SOFR Loan, Term SOFR Loan or a Base Rate Loan, or, in the case of a Bid Rate Loan only, an Absolute Rate Loan or a SOFR Margin Loan.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b/>
          <w:sz w:val="20"/>
        </w:rPr>
        <w:t>Unconsolidated Affiliate</w:t>
      </w:r>
      <w:r>
        <w:rPr>
          <w:rFonts w:ascii="Times New Roman" w:hAnsi="Times New Roman"/>
          <w:sz w:val="20"/>
        </w:rPr>
        <w:t xml:space="preserve">”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p>
    <w:p>
      <w:pPr>
        <w:pStyle w:val="TextBody"/>
        <w:bidi w:val="0"/>
        <w:spacing w:before="240" w:after="0"/>
        <w:jc w:val="left"/>
        <w:rPr/>
      </w:pPr>
      <w:r>
        <w:rPr/>
        <w:t>“</w:t>
      </w:r>
      <w:r>
        <w:rPr>
          <w:rFonts w:ascii="Times New Roman" w:hAnsi="Times New Roman"/>
          <w:b/>
          <w:sz w:val="20"/>
        </w:rPr>
        <w:t>Unencumbered Adjusted NOI</w:t>
      </w:r>
      <w:r>
        <w:rPr>
          <w:rFonts w:ascii="Times New Roman" w:hAnsi="Times New Roman"/>
          <w:sz w:val="20"/>
        </w:rPr>
        <w:t xml:space="preserve">”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 </w:t>
      </w:r>
    </w:p>
    <w:p>
      <w:pPr>
        <w:pStyle w:val="TextBody"/>
        <w:bidi w:val="0"/>
        <w:spacing w:before="240" w:after="0"/>
        <w:jc w:val="left"/>
        <w:rPr/>
      </w:pPr>
      <w:r>
        <w:rPr/>
        <w:t>“</w:t>
      </w:r>
      <w:r>
        <w:rPr>
          <w:rFonts w:ascii="Times New Roman" w:hAnsi="Times New Roman"/>
          <w:b/>
          <w:sz w:val="20"/>
        </w:rPr>
        <w:t>Unencumbered Asset Value</w:t>
      </w:r>
      <w:r>
        <w:rPr>
          <w:rFonts w:ascii="Times New Roman" w:hAnsi="Times New Roman"/>
          <w:sz w:val="20"/>
        </w:rPr>
        <w:t xml:space="preserve">” means (a) Unencumbered Adjusted NOI for the most recently ended four consecutive fiscal quarter period divided by the Capitalization Rate, plus (b) the GAAP book value of all assets (other than assets otherwise included in clauses (c), (d) and (e)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cash and cash equivalents in excess of $25,000,000 which are not subject to any Liens (other than Permitted Liens of the type described in clause (a)(i) of the definition thereof) or subject to any Negative Pledge, plus (e)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 For purposes of this definition, (A) to the extent that more than 25.0% of Unencumbered Asset Value would be attributable to Controlled Properties, Non-Controlled Properties and Development Properties such excess shall be excluded, (B) to the extent that more than 2.5% of Unencumbered Asset Value would be attributable to Hotel Properties, such excess shall be excluded and (C) to the extent that more than 7.5% of Unencumbered Asset Value would be attributable to Qualified Forward Equity Contracts,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 </w:t>
      </w:r>
    </w:p>
    <w:p>
      <w:pPr>
        <w:pStyle w:val="TextBody"/>
        <w:bidi w:val="0"/>
        <w:spacing w:before="240" w:after="0"/>
        <w:jc w:val="left"/>
        <w:rPr/>
      </w:pPr>
      <w:r>
        <w:rPr/>
        <w:t>“</w:t>
      </w:r>
      <w:r>
        <w:rPr>
          <w:rFonts w:ascii="Times New Roman" w:hAnsi="Times New Roman"/>
          <w:b/>
          <w:sz w:val="20"/>
        </w:rPr>
        <w:t>Unimproved Land</w:t>
      </w:r>
      <w:r>
        <w:rPr>
          <w:rFonts w:ascii="Times New Roman" w:hAnsi="Times New Roman"/>
          <w:sz w:val="20"/>
        </w:rPr>
        <w:t xml:space="preserve">” means land on which no development (other than paving or other improvements that are not material and are temporary in nature) has occurred and for which no development is planned in the following 12 months. </w:t>
      </w:r>
    </w:p>
    <w:p>
      <w:pPr>
        <w:pStyle w:val="TextBody"/>
        <w:bidi w:val="0"/>
        <w:spacing w:before="240" w:after="0"/>
        <w:jc w:val="left"/>
        <w:rPr/>
      </w:pPr>
      <w:r>
        <w:rPr/>
        <w:t>“</w:t>
      </w:r>
      <w:r>
        <w:rPr>
          <w:rFonts w:ascii="Times New Roman" w:hAnsi="Times New Roman"/>
          <w:b/>
          <w:sz w:val="20"/>
        </w:rPr>
        <w:t>Unsecured Indebtedness</w:t>
      </w:r>
      <w:r>
        <w:rPr>
          <w:rFonts w:ascii="Times New Roman" w:hAnsi="Times New Roman"/>
          <w:sz w:val="20"/>
        </w:rPr>
        <w:t xml:space="preserve">” means Total Indebtedness which is not Secured Indebtedness. Indebtedness that is secured solely by Equity Interests and is recourse to the Borrower or its Subsidiaries shall be considered to be Unsecured Indebtedness.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sz w:val="20"/>
          <w:u w:val="single"/>
        </w:rPr>
        <w:t>provided</w:t>
      </w:r>
      <w:r>
        <w:rPr>
          <w:rFonts w:ascii="Times New Roman" w:hAnsi="Times New Roman"/>
          <w:sz w:val="20"/>
        </w:rPr>
        <w:t xml:space="preserve">, that for purposes of notice requirements in Sections 2.1.(a)., 2.2., 2.8.(a)., 2.9. and 2.10., in each case, such day is also a Business Day. </w:t>
      </w:r>
    </w:p>
    <w:p>
      <w:pPr>
        <w:pStyle w:val="TextBody"/>
        <w:bidi w:val="0"/>
        <w:spacing w:before="240" w:after="0"/>
        <w:jc w:val="left"/>
        <w:rPr/>
      </w:pPr>
      <w:r>
        <w:rPr/>
        <w:t>“</w:t>
      </w:r>
      <w:r>
        <w:rPr>
          <w:rFonts w:ascii="Times New Roman" w:hAnsi="Times New Roman"/>
          <w:b/>
          <w:sz w:val="20"/>
        </w:rPr>
        <w:t>U.S. Person</w:t>
      </w:r>
      <w:r>
        <w:rPr>
          <w:rFonts w:ascii="Times New Roman" w:hAnsi="Times New Roman"/>
          <w:sz w:val="20"/>
        </w:rPr>
        <w:t xml:space="preserve">” means any Person that is a “United States Person” as defined in Section 7701(a)(30) of the Internal Revenue Code. </w:t>
      </w:r>
    </w:p>
    <w:p>
      <w:pPr>
        <w:pStyle w:val="TextBody"/>
        <w:bidi w:val="0"/>
        <w:spacing w:before="240" w:after="0"/>
        <w:jc w:val="left"/>
        <w:rPr/>
      </w:pPr>
      <w:r>
        <w:rPr/>
        <w:t>“</w:t>
      </w:r>
      <w:r>
        <w:rPr>
          <w:rFonts w:ascii="Times New Roman" w:hAnsi="Times New Roman"/>
          <w:b/>
          <w:sz w:val="20"/>
        </w:rPr>
        <w:t>U.S. Special Resolution Regimes</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assigned to such term in Section 3.10.(g)(ii)(B)(III). </w:t>
      </w:r>
    </w:p>
    <w:p>
      <w:pPr>
        <w:pStyle w:val="TextBody"/>
        <w:bidi w:val="0"/>
        <w:spacing w:before="240" w:after="0"/>
        <w:jc w:val="left"/>
        <w:rPr/>
      </w:pPr>
      <w:r>
        <w:rPr/>
        <w:t>“</w:t>
      </w:r>
      <w:r>
        <w:rPr>
          <w:rFonts w:ascii="Times New Roman" w:hAnsi="Times New Roman"/>
          <w:b/>
          <w:sz w:val="20"/>
        </w:rPr>
        <w:t>Wells Fargo</w:t>
      </w:r>
      <w:r>
        <w:rPr>
          <w:rFonts w:ascii="Times New Roman" w:hAnsi="Times New Roman"/>
          <w:sz w:val="20"/>
        </w:rPr>
        <w:t xml:space="preserve">” means Wells Fargo Bank, National Association, and its successors and permitted assigns. </w:t>
      </w:r>
    </w:p>
    <w:p>
      <w:pPr>
        <w:pStyle w:val="TextBody"/>
        <w:bidi w:val="0"/>
        <w:spacing w:before="240" w:after="0"/>
        <w:jc w:val="left"/>
        <w:rPr/>
      </w:pPr>
      <w:r>
        <w:rPr/>
        <w:t>“</w:t>
      </w:r>
      <w:r>
        <w:rPr>
          <w:rFonts w:ascii="Times New Roman" w:hAnsi="Times New Roman"/>
          <w:b/>
          <w:sz w:val="20"/>
        </w:rPr>
        <w:t>Wholly Owned Property</w:t>
      </w:r>
      <w:r>
        <w:rPr>
          <w:rFonts w:ascii="Times New Roman" w:hAnsi="Times New Roman"/>
          <w:sz w:val="20"/>
        </w:rPr>
        <w:t xml:space="preserve">” means an Eligible Property which is wholly owned in fee simple (or leased under a Ground Lease) by only the Borrower or a Wholly 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Wholly Owned Subsidiary</w:t>
      </w:r>
      <w:r>
        <w:rPr>
          <w:rFonts w:ascii="Times New Roman" w:hAnsi="Times New Roman"/>
          <w:sz w:val="20"/>
        </w:rPr>
        <w:t xml:space="preserve">”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means any liability as a result of a complete or partial withdrawal from a Multiemployer Plan as such terms are defined in Part I of Subtitle E of Title IV of ERISA. </w:t>
      </w:r>
    </w:p>
    <w:p>
      <w:pPr>
        <w:pStyle w:val="TextBody"/>
        <w:bidi w:val="0"/>
        <w:spacing w:before="240" w:after="0"/>
        <w:jc w:val="left"/>
        <w:rPr/>
      </w:pPr>
      <w:r>
        <w:rPr/>
        <w:t>“</w:t>
      </w:r>
      <w:r>
        <w:rPr>
          <w:rFonts w:ascii="Times New Roman" w:hAnsi="Times New Roman"/>
          <w:b/>
          <w:sz w:val="20"/>
        </w:rPr>
        <w:t>Withholding Agent</w:t>
      </w:r>
      <w:r>
        <w:rPr>
          <w:rFonts w:ascii="Times New Roman" w:hAnsi="Times New Roman"/>
          <w:sz w:val="20"/>
        </w:rPr>
        <w:t xml:space="preserve">” means (a) the Borrower, (b) any other Loan Party and (c) the Administrative Agent, as applicable. </w:t>
      </w:r>
    </w:p>
    <w:p>
      <w:pPr>
        <w:pStyle w:val="TextBody"/>
        <w:bidi w:val="0"/>
        <w:spacing w:before="24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General; References to Pacific Time.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Pacific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Financial Attributes of Non-Wholly Owned Subsidiaries and Calculation of Financial Covenants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shall be deemed to be references to the Parent such that the financial covenants shall be calculated at the level of the Parent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1.4. Rates.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does not warrant or accept any responsibility for, and shall not have any liability with respect to, (a) the continuation of, administration of, submission of, calculation of or any other matter related to Daily Simple SOFR, SOFR,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sz w:val="20"/>
          <w:u w:val="single"/>
        </w:rPr>
        <w:t>Section 4.2.(b)</w:t>
      </w:r>
      <w:r>
        <w:rPr>
          <w:rFonts w:ascii="Times New Roman" w:hAnsi="Times New Roman"/>
          <w:sz w:val="20"/>
        </w:rPr>
        <w:t xml:space="preserve">, will be similar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produce the same value or economic equivalence of, or have the same volume or liquidity as, Daily Simple SOFR,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Daily Simple SOFR, SOFR, Term SOFR Reference Rate,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Daily Simple SOFR, SOFR,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Divisions.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CREDIT FACILITY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2.1. Revolving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Making of Revolving Loans</w:t>
      </w:r>
      <w:r>
        <w:rPr>
          <w:rFonts w:ascii="Times New Roman" w:hAnsi="Times New Roman"/>
          <w:sz w:val="20"/>
        </w:rPr>
        <w:t xml:space="preserve">. Subject to the terms and conditions set forth in this Agreement, including without limitation, Section 2.15., each Lender severally and not jointly agrees to make Revolving Loans in Dollars to the Borrower during the period from and including the Effective Date to but excluding the Revolving Termination Date, in an aggregate principal amount at any one time outstanding up to, but not exceeding, such Lender’s Revolving Commitment. Each borrowing of Base Rate Loans shall be in an aggregate minimum amount of $1,000,000 and integral multiples of $500,000 in excess thereof. Each borrowing and Continuation under Section 2.9. of, and each Conversion under Section 2.10. of Base Rate Loans into, SOFR Loans shall be in an aggregate minimum amount of $1,000,000 and integral multiples of $1,000,000 in excess of that amount. Notwithstanding the immediately preceding two sentences but subject to Section 2.15., a borrowing of Revolving Loans may be in the aggregate amount of the unused Revolving Commitments. Within the foregoing limits and subject to the terms and conditions of this Agreement, the Borrower may borrow, repay and reborrow Revolving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Requests for Revolving Loans</w:t>
      </w:r>
      <w:r>
        <w:rPr>
          <w:rFonts w:ascii="Times New Roman" w:hAnsi="Times New Roman"/>
          <w:sz w:val="20"/>
        </w:rPr>
        <w:t xml:space="preserve">. Not later than (w) 11:00 a.m. Pacific time at least one (1) Business Day prior to a borrowing of Revolving Loans that are to be Base Rate Loans (other than any Same-Day Borrowing), (x) 11:00 a.m. Pacific time at least one (1) U.S. Government Securities Business Day prior to a borrowing of Revolving Loans that are to be Daily Simple SOFR Loans, (y) 11:00 a.m. Pacific time at least three (3) U.S. Government Securities Business Days prior to a borrowing of Revolving Loans that are to be Term SOFR Loans and (z) 7:00 a.m. Pacific time on the date of a borrowing of Revolving Loans that are to be Same-Day Borrowings, the Borrower shall deliver to the Administrative Agent a Notice of Borrowing or telephone notice thereof. Each Notice of Borrowing shall specify the aggregate principal amount of the Revolving Loans to be borrowed, the date such Revolving Loans are to be borrowed (which must be a U.S. Government Securities Business Day), the use of the proceeds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Loans, the Type of the requested Revolving Loans, whether such Revolving Loans are to be Same-Day Borrowings, and if such Revolving Loans are to be Term SOFR Loans, the initial Interest Period for such Revolving Loans. Any telephone notice shall include all information to be specified in a written Notice of Borrowing and shall be promptly confirmed in writing by the Borrower pursuant to a Notice of Borrowing sent to the Administrative Agent by electronic mail on the same day of the giving of such telephonic notice. Each Notice of Borrowing or any telephone notice of a borrowing shall be irrevocable once given and binding on the Borrower. Prior to delivering a Notice of Borrowing, the Borrower may (without specifying whether a Revolving Loan will be a Base Rate Loan, a Daily Simple SOFR Loan or a Term SOFR Loan) request that the Administrative Agent provide the Borrower with the most recent Base Rate, Daily Simple SOFR or Term SOFR available to the Administrative Agent. The Administrative Agent shall provide such non-binding quoted rate to the Borrower on the date of such request or as soon as possible thereafter; provided that such quoted rate shall be as of the time of the quote provided and any rate applicable to Loans made hereunder shall be the rate calculated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Funding of Revolving Loans</w:t>
      </w:r>
      <w:r>
        <w:rPr>
          <w:rFonts w:ascii="Times New Roman" w:hAnsi="Times New Roman"/>
          <w:sz w:val="20"/>
        </w:rPr>
        <w:t xml:space="preserve">. Promptly after receipt of a Notice of Borrowing under the immediately preceding subsection (b), the Administrative Agent shall notify each Lender of the proposed borrowing. Each Lender shall deposit an amount equal to the Revolving Loan to be made by such Lender to the Borrower with the Administrative Agent at the Principal Office, in immediately available funds not later than (i) in the case of a Same-Day Borrowing, 9:00 a.m. Pacific time on the date of such proposed Revolving Loans and (ii) in the case of a non-Same-Day Borrowing, 8:00 a.m. Pacific time on the date of such proposed Revolving Loans. Subject to fulfillment of the conditions set forth in Section 5.2., the Administrative Agent shall make available to the Borrower in the account specified in the Disbursement Instruction Agreement, not later than (i) in the case of a Same-Day Borrowing, 9:30 a.m. Pacific time on the date of the requested borrowing of Revolving Loans and (ii) in the case of a non-Same-Day Borrowing, 9:00 a.m. Pacific time on the date of the requested borrowing of Revolving Loans, the proceeds of such amounts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Assumptions Regarding Funding by Lenders</w:t>
      </w:r>
      <w:r>
        <w:rPr>
          <w:rFonts w:ascii="Times New Roman" w:hAnsi="Times New Roman"/>
          <w:sz w:val="20"/>
        </w:rPr>
        <w:t xml:space="preserve">. With respect to Revolving Loans to be made after the Effective Date, unless the Administrative Agent shall have been notified by any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 assumption, make available to the Borrower the amount of such Revolving Loan to be provided by such Lender. If the Administrative Agent makes the amount of such Revolving Loan available to the Borrower prior to its receipt of any proceeds of Revolving Loans by any Lender, then if such Lender has not funded its Revolving Loans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Revolving Loan, then such Lender and the Borrower severally agree to pay to the Administrative Agent on demand the amount of such Revolving Loan with interest thereon, for each day from and including the date such Revolving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a Revolving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Revolving Loan, the amount so paid shall constitute such Lender’s Revolving Loan included in the borrowing. Any payment by the Borrower shall be without prejudice to any claim the Borrower may have against a Lender that shall have failed to make available the proceeds of a Revolving Loan to be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Reallocations</w:t>
      </w:r>
      <w:r>
        <w:rPr>
          <w:rFonts w:ascii="Times New Roman" w:hAnsi="Times New Roman"/>
          <w:sz w:val="20"/>
        </w:rPr>
        <w:t>. Simultaneously with the Effective Date, the outstanding amounts of all “Revolving Loans” (as defined in the Existing Credit Agreement) of the “Lenders” (as defined in the Existing Credit Agreement) having a “Revolving Commitment” (as defined in the Existing Credit Agreement) (the “</w:t>
      </w:r>
      <w:r>
        <w:rPr>
          <w:rFonts w:ascii="Times New Roman" w:hAnsi="Times New Roman"/>
          <w:b/>
          <w:sz w:val="20"/>
        </w:rPr>
        <w:t>Existing Lenders</w:t>
      </w:r>
      <w:r>
        <w:rPr>
          <w:rFonts w:ascii="Times New Roman" w:hAnsi="Times New Roman"/>
          <w:sz w:val="20"/>
        </w:rPr>
        <w:t xml:space="preserve">”) previously made to the Borrower under the Existing Credit Agreement and participations in Existing Letters of Credit of the Existing Lenders shall be reallocated among the Lenders in accordance with their respective Revolving Commitment Percentages (determined in accordance with the amount of each Lender’s Revolving Commitment set forth on Schedule I), and in order to effect such reallocations, the requisite assignments shall be deemed to be made in amounts from each Existing Lender to each Lender, with the same force and effect as if such assignments were evidenced by the applicable Assignment and Assumptions (as defined in the Existing Credit Agreement) under the Existing Credit Agreement and without the payment of any related assignment fee, and no other documents or instruments shall be, or shall be required to be, executed in connection with such assignments (all of which are hereby waived) and (ii) each assignee Lender shall make full cash settlement with each corresponding assignor Existing Lender, through the Administrative Agent, as the Administrative Agent may direct (after giving effect to any netting effected by the Administrative Agent) with respect to such reallocations and assignments.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2.2. Bid Rate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Bid Rate Loans</w:t>
      </w:r>
      <w:r>
        <w:rPr>
          <w:rFonts w:ascii="Times New Roman" w:hAnsi="Times New Roman"/>
          <w:sz w:val="20"/>
        </w:rPr>
        <w:t xml:space="preserve">. At any time during the period from the Effective Date to but excluding the Revolving Termination Date, and so long as the Borrower continues to maintain an Investment Grade Rating,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Requests for Bid Rate Loans</w:t>
      </w:r>
      <w:r>
        <w:rPr>
          <w:rFonts w:ascii="Times New Roman" w:hAnsi="Times New Roman"/>
          <w:sz w:val="20"/>
        </w:rPr>
        <w:t>. When the Borrower wishes to request from the Lenders offers to make Bid Rate Loans, it shall give the Administrative Agent notice (a “</w:t>
      </w:r>
      <w:r>
        <w:rPr>
          <w:rFonts w:ascii="Times New Roman" w:hAnsi="Times New Roman"/>
          <w:b/>
          <w:sz w:val="20"/>
        </w:rPr>
        <w:t>Bid Rate Quote Request</w:t>
      </w:r>
      <w:r>
        <w:rPr>
          <w:rFonts w:ascii="Times New Roman" w:hAnsi="Times New Roman"/>
          <w:sz w:val="20"/>
        </w:rPr>
        <w:t>”) so as to be received no later than 11:00 a.m. Pacific time on (x) the Business Day immediately preceding the date of borrowing proposed therein, in the case of an Absolute Rate Auction and (y) the date four (4) U.S. Government Securities Business Days prior to the proposed date of borrowing, in the case of a SOFR Auction. The Administrative Agent shall deliver to each Lender a copy of each Bid Rate Quote Request promptly upon receipt thereof by the Administrative Agent. The Borrower may request offers to make Bid Rate Loans for up to four (4) different Interest Periods in any one Bid Rate Quote Request; provided that if granted each separate Interest Period shall be deemed to be a separate borrowing (a “</w:t>
      </w:r>
      <w:r>
        <w:rPr>
          <w:rFonts w:ascii="Times New Roman" w:hAnsi="Times New Roman"/>
          <w:b/>
          <w:sz w:val="20"/>
        </w:rPr>
        <w:t>Bid Rate Borrowing</w:t>
      </w:r>
      <w:r>
        <w:rPr>
          <w:rFonts w:ascii="Times New Roman" w:hAnsi="Times New Roman"/>
          <w:sz w:val="20"/>
        </w:rPr>
        <w:t xml:space="preserve">”). Each Bid Rate Quote Request shall be substantially in the form of Exhibit L and shall specify as to each Bid Rate Borrowing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proposed date of such Bid Rate Borrowing, which shall be a U.S. Government Securities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amount of such Bid Rate Borrowing which shall be in a minimum amount of $5,000,000 and integral multiples of $1,000,000 in excess thereof which shall not cause any of the limits specified in Section 2.15. to be violated;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Bid Rate Quote Request is for SOFR Margin Loans or Absolute Rate Loans; and </w:t>
      </w:r>
    </w:p>
    <w:p>
      <w:pPr>
        <w:pStyle w:val="TextBody"/>
        <w:bidi w:val="0"/>
        <w:spacing w:before="120" w:after="0"/>
        <w:jc w:val="left"/>
        <w:rPr>
          <w:rFonts w:ascii="Times New Roman" w:hAnsi="Times New Roman"/>
          <w:sz w:val="20"/>
        </w:rPr>
      </w:pPr>
      <w:r>
        <w:rPr>
          <w:rFonts w:ascii="Times New Roman" w:hAnsi="Times New Roman"/>
          <w:sz w:val="20"/>
        </w:rPr>
        <w:t xml:space="preserve">(iv) the duration of the Interest Period applicable thereto, which shall not extend beyond the Revolving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not deliver any Bid Rate Quote Request within five U.S. Government Securities Business Days (or such other number of days as the Borrower and the Administrative Agent may agree) of the giving of any other Bid Rate Quote Request and the Borrower shall not deliver more than four Bid Rate Quote Requests in any calendar month.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Bid Rate Quotes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only one Bid Rate Quote for each such Interest Period. Each Bid Rate Quote must be submitted to the Administrative Agent not later than 8:30 a.m. Pacific time (x) on the proposed date of borrowing, in the case of an Absolute Rate Auction and (y) on the date three (3) U.S. Government Securities Business Days prior to the proposed date of borrowing, in the case of a SOFR Auction, and in either case the Administrative Agent shall disregard any Bid Rate Quote received after such time; provided that the Lender then acting as the Administrative Agent may submit a Bid Rate Quote only if it notifies the Borrower of the terms of the offer contained therein not later than 30 minutes prior to the latest time by which the Lenders must submit applicable Bid Rate Quotes. Any Bid Rate Quote so made shall be irrevocable except with the consent of the Administrative Agent given at the request of the Borrower. Such Bid Rate Loans may be funded by a Lender’s Designated Lender (if any) as provided in Section 12.6.(d); however, such Lender shall not be required to specify in its Bid Rate Quote whether such Bid Rate Loan will be funded by such Designated Lender. </w:t>
      </w:r>
    </w:p>
    <w:p>
      <w:pPr>
        <w:pStyle w:val="TextBody"/>
        <w:bidi w:val="0"/>
        <w:spacing w:before="120" w:after="0"/>
        <w:jc w:val="left"/>
        <w:rPr>
          <w:rFonts w:ascii="Times New Roman" w:hAnsi="Times New Roman"/>
          <w:sz w:val="20"/>
        </w:rPr>
      </w:pPr>
      <w:r>
        <w:rPr>
          <w:rFonts w:ascii="Times New Roman" w:hAnsi="Times New Roman"/>
          <w:sz w:val="20"/>
        </w:rPr>
        <w:t xml:space="preserve">(ii) Each Bid Rate Quote shall be substantially in the form of Exhibit M and shall specify: </w:t>
      </w:r>
    </w:p>
    <w:p>
      <w:pPr>
        <w:pStyle w:val="TextBody"/>
        <w:bidi w:val="0"/>
        <w:spacing w:before="120" w:after="0"/>
        <w:jc w:val="left"/>
        <w:rPr>
          <w:rFonts w:ascii="Times New Roman" w:hAnsi="Times New Roman"/>
          <w:sz w:val="20"/>
        </w:rPr>
      </w:pPr>
      <w:r>
        <w:rPr>
          <w:rFonts w:ascii="Times New Roman" w:hAnsi="Times New Roman"/>
          <w:sz w:val="20"/>
        </w:rPr>
        <w:t xml:space="preserve">(A) the proposed date of borrowing and the Interest Period therefor;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 of the Bid Rate Loan for which each such offer is being made; provided that the aggregate principal amount of all Bid Rate Loans for which a Lender submits Bid Rate Quotes (x) may be greater or less than the Revolving Commitment of such Lender but (y) shall not exceed the principal amount of the Bid Rate Borrowing for a particular Interest Period for which offers were requested; provided further that any Bid Rate Quote shall be in a minimum amount of $1,000,000 and integral multiples of $500,000 in excess thereof; </w:t>
      </w:r>
    </w:p>
    <w:p>
      <w:pPr>
        <w:pStyle w:val="TextBody"/>
        <w:bidi w:val="0"/>
        <w:spacing w:before="120" w:after="0"/>
        <w:jc w:val="left"/>
        <w:rPr>
          <w:rFonts w:ascii="Times New Roman" w:hAnsi="Times New Roman"/>
          <w:sz w:val="20"/>
        </w:rPr>
      </w:pPr>
      <w:r>
        <w:rPr>
          <w:rFonts w:ascii="Times New Roman" w:hAnsi="Times New Roman"/>
          <w:sz w:val="20"/>
        </w:rPr>
        <w:t>(C) in the case of an Absolute Rate Auction, the rate of interest per annum (rounded upwards, if necessary, to the nearest 1/1,000th of 1%) offered for each such Absolute Rate Loan (the “</w:t>
      </w:r>
      <w:r>
        <w:rPr>
          <w:rFonts w:ascii="Times New Roman" w:hAnsi="Times New Roman"/>
          <w:b/>
          <w:sz w:val="20"/>
        </w:rPr>
        <w:t>Absolute Rate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the case of a SOFR Auction, the margin above or below applicable Term SOFR (the “</w:t>
      </w:r>
      <w:r>
        <w:rPr>
          <w:rFonts w:ascii="Times New Roman" w:hAnsi="Times New Roman"/>
          <w:b/>
          <w:sz w:val="20"/>
        </w:rPr>
        <w:t>SOFR Margin</w:t>
      </w:r>
      <w:r>
        <w:rPr>
          <w:rFonts w:ascii="Times New Roman" w:hAnsi="Times New Roman"/>
          <w:sz w:val="20"/>
        </w:rPr>
        <w:t xml:space="preserve">”) offered for each such SOFR Margin Loan, expressed as a percentage (rounded upwards, if necessary, to the nearest 1/1,000th of 1%) to be added to (or subtracted from) the applicable Term SOFR; and </w:t>
      </w:r>
    </w:p>
    <w:p>
      <w:pPr>
        <w:pStyle w:val="TextBody"/>
        <w:bidi w:val="0"/>
        <w:spacing w:before="120" w:after="0"/>
        <w:jc w:val="left"/>
        <w:rPr>
          <w:rFonts w:ascii="Times New Roman" w:hAnsi="Times New Roman"/>
          <w:sz w:val="20"/>
        </w:rPr>
      </w:pPr>
      <w:r>
        <w:rPr>
          <w:rFonts w:ascii="Times New Roman" w:hAnsi="Times New Roman"/>
          <w:sz w:val="20"/>
        </w:rPr>
        <w:t xml:space="preserve">(E) the identity of the quoting Lender.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agreed by the Administrative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Notification by Administrative Agent</w:t>
      </w:r>
      <w:r>
        <w:rPr>
          <w:rFonts w:ascii="Times New Roman" w:hAnsi="Times New Roman"/>
          <w:sz w:val="20"/>
        </w:rPr>
        <w:t xml:space="preserve">. The Administrative Agent shall, as promptly as practicable after the Bid Rate Quotes are submitted (but in any event not later than 9:30 a.m. Pacific time (x) on the proposed date of borrowing, in the case of an Absolute Rate Auction or (y) on the date three (3) U.S. Government Securities Business Days prior to the proposed date of borrowing, in the case of a SOFR Auction), notify the Borrower of the terms (i) of any Bid Rate Quote submitted by a Lender that is in accordance with Section 2.2.(c) and (ii) of any Bid Rate Quote that amends, modifies or is otherwise inconsistent with a previous Bid Rate Quote submitted by such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shall specify (A) the aggregate principal amount of the Bid Rate Borrowing for which offers have been received and (B) the principal amounts and Absolute Rates or SOFR Margins, as applicable, so offered by each Lender (identifying the Lender that made such Bid Rate Quote).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 by Borrower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 later than 10:30 a.m. Pacific time (x) on the proposed date of borrowing, in the case of an Absolute Rate Auction and (y) on the date three (3) U.S. Government Securities Business Days prior to the proposed date of borrowing, in the case of a SOFR Auction, the Borrower shall notify the Administrative Agent of its acceptance or nonacceptance of the Bid Rate Quotes so notified to it pursuant to Section 2.2.(d). which notice shall be in the form of Exhibit N. In the case of acceptance, such notice shall specify the aggregate principal amount of Bid Rate Quotes for each Interest Period that are accepted. The failure of the Borrower to give such notice by such time shall constitute nonacceptance. The Borrower may accept any Bid Rate Quote in whole or in part;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each Bid Rate Borrowing may not exceed the applicable amount set forth in the related Bid Rate Quote Request; </w:t>
      </w:r>
    </w:p>
    <w:p>
      <w:pPr>
        <w:pStyle w:val="TextBody"/>
        <w:bidi w:val="0"/>
        <w:spacing w:before="120" w:after="0"/>
        <w:jc w:val="left"/>
        <w:rPr>
          <w:rFonts w:ascii="Times New Roman" w:hAnsi="Times New Roman"/>
          <w:sz w:val="20"/>
        </w:rPr>
      </w:pPr>
      <w:r>
        <w:rPr>
          <w:rFonts w:ascii="Times New Roman" w:hAnsi="Times New Roman"/>
          <w:sz w:val="20"/>
        </w:rPr>
        <w:t xml:space="preserve">(B) the aggregate principal amount of each Bid Rate Borrowing shall comply with the provisions of Section 2.2.(b)(ii) and together with all other Bid Rate Loans then outstanding shall not cause the limits specified in Section 2.15. to be violated; </w:t>
      </w:r>
    </w:p>
    <w:p>
      <w:pPr>
        <w:pStyle w:val="TextBody"/>
        <w:bidi w:val="0"/>
        <w:spacing w:before="120" w:after="0"/>
        <w:jc w:val="left"/>
        <w:rPr>
          <w:rFonts w:ascii="Times New Roman" w:hAnsi="Times New Roman"/>
          <w:sz w:val="20"/>
        </w:rPr>
      </w:pPr>
      <w:r>
        <w:rPr>
          <w:rFonts w:ascii="Times New Roman" w:hAnsi="Times New Roman"/>
          <w:sz w:val="20"/>
        </w:rPr>
        <w:t xml:space="preserve">(C) acceptance of Bid Rate Quotes may be made only in ascending order of Absolute Rates or SOFR Margins, as applicable, in each case beginning with the lowest rate so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acceptance in part by the Borrower shall be in a minimum amount of $1,000,000 and integral multiples of $500,000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may not accept any Bid Rate Quote that fails to comply with Section 2.2.(c) or otherwise fails to comply with the requirements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If Bid Rate Quotes are made by two or more Lenders with the same Absolute Rates or SOFR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Lenders in proportion to the aggregate principal amount of such Bid Rate Quotes. Determinations by the Administrative Agent of the amounts of Bid Rate Loans shall be conclusive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Obligation to Make Bid Rate Loans</w:t>
      </w:r>
      <w:r>
        <w:rPr>
          <w:rFonts w:ascii="Times New Roman" w:hAnsi="Times New Roman"/>
          <w:sz w:val="20"/>
        </w:rPr>
        <w:t xml:space="preserve">. The Administrative Agent shall promptly (and in any event not later than (x) 11:30 a.m. Pacific time on the proposed date of borrowing of Absolute Rate Loans and (y) on the date three (3) U.S. Government Securities Business Days prior to the proposed date of borrowing of SOFR Margin Loans) notify each Lender as to whose Bid Rate Quote has been accepted and the amount and rate thereof. A Lender who is notified that it has been selected to make a Bid Rate Loan may designate its Designated Lender (if any) to fund such Bid Rate Loan on its behalf, as described in Section 12.6.(d). Any Designated Lender which funds a Bid Rate Loan shall on and after the time of such funding become the obligee in respect of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12:30 p.m. Pacific time on the date specified for the making of such Loan, make the amount of such Loan available to the Administrative Agent at its Principal Office in immediately available funds, for the account of the Borrower. The amount so received by the Administrative Agent shall, subject to the terms and conditions of this Agreement, be made available to the Borrower not later than 1:30 p.m. Pacific time on such date by depositing the same, in immediately available funds, in an account of the Borrower designated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Effect on Revolving Commitment</w:t>
      </w:r>
      <w:r>
        <w:rPr>
          <w:rFonts w:ascii="Times New Roman" w:hAnsi="Times New Roman"/>
          <w:sz w:val="20"/>
        </w:rPr>
        <w:t xml:space="preserve">. Except for the purpose and to the extent expressly stated in Section 2.12. and 2.15., the amount of any Bid Rate Loan made by any Lender shall not constitute a utilization of such Lender’s Revolving Commitment.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2.3.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Letters of Credit</w:t>
      </w:r>
      <w:r>
        <w:rPr>
          <w:rFonts w:ascii="Times New Roman" w:hAnsi="Times New Roman"/>
          <w:sz w:val="20"/>
        </w:rPr>
        <w:t>. Subject to the terms and conditions of this Agreement, including without limitation, Section 2.15., each Issuing Bank, on behalf of the Lenders, agrees to issue for the account of the Borrower during the period from and including the Effective Date to, but excluding, the date thirty (30) days prior to the Revolving Termination Date, one or more standby letters of credit in Dollars (each a “</w:t>
      </w:r>
      <w:r>
        <w:rPr>
          <w:rFonts w:ascii="Times New Roman" w:hAnsi="Times New Roman"/>
          <w:b/>
          <w:sz w:val="20"/>
        </w:rPr>
        <w:t>Letter of Credit</w:t>
      </w:r>
      <w:r>
        <w:rPr>
          <w:rFonts w:ascii="Times New Roman" w:hAnsi="Times New Roman"/>
          <w:sz w:val="20"/>
        </w:rPr>
        <w:t xml:space="preserve">”) up to a maximum aggregate Stated Amount at any one time outstanding not to exceed $50,000,000 as such amount may be reduced from time to time in accordance with the terms hereof (the “L/C Commitment Amount”); provided, that an Issuing Bank shall not be obligated to issue any Letter of Credit if, after giving effect to such issuance, the aggregate Stated Amount of the outstanding Letters of Credit issued by such Issuing Bank would exceed the lesser of (i) one-third of the L/C Commitment Amount and (ii) the Revolving Commitment of such Issuing Bank in its capacity as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 of Letters of Credit</w:t>
      </w:r>
      <w:r>
        <w:rPr>
          <w:rFonts w:ascii="Times New Roman" w:hAnsi="Times New Roman"/>
          <w:sz w:val="20"/>
        </w:rPr>
        <w:t>. At the time of issuance, the amount, form, terms and conditions of each Letter of Credit, and of any drafts or acceptances thereunder, shall be subject to approval by the applicable Issuing Bank and the Borrower (which approval, in the case of the Borrower shall not be unreasonably withheld).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(any such Letter of Credit being referred to as an “</w:t>
      </w:r>
      <w:r>
        <w:rPr>
          <w:rFonts w:ascii="Times New Roman" w:hAnsi="Times New Roman"/>
          <w:b/>
          <w:sz w:val="20"/>
        </w:rPr>
        <w:t>Extended Letter of Credit</w:t>
      </w:r>
      <w:r>
        <w:rPr>
          <w:rFonts w:ascii="Times New Roman" w:hAnsi="Times New Roman"/>
          <w:sz w:val="20"/>
        </w:rPr>
        <w:t xml:space="preserve">”), so long as the Borrower delivers to the Administrative Agent for its benefit and the benefit of the applicable Issuing Bank and the Lenders no later than 30 days prior to the Revolving Termination Date, Cash Collateral for such Letter of Credit for deposit into the Letter of Credit Collateral Account in an amount equal to the Stated Amount of such Letter of Credit; provided, that the obligations of the Borrower under this Section in respect of such Extended Letters of Credit shall survive the termination of this Agreement and shall remain in effect until no such Extended Letters of Credit remain outstanding. If the Borrower fails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by the Revolving Lenders in accordance with the immediately following subsections (i) and (j), with the proceeds being utilized to provide Cash Collateral for such Letter of Credit. The initial Stated Amount of each Letter of Credit shall be at least $50,000 (or such lesser amount as may be acceptable to the applicable Issuing Bank,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Requests for Issuance of Letters of Credit</w:t>
      </w:r>
      <w:r>
        <w:rPr>
          <w:rFonts w:ascii="Times New Roman" w:hAnsi="Times New Roman"/>
          <w:sz w:val="20"/>
        </w:rPr>
        <w:t xml:space="preserve">. The Borrower shall give the applicable Issuing Bank and the Administrative Agent written notice (or telephonic notice which shall specify the information to be included in a written notice and shall be promptly confirmed in writing by the Borrower pursuant to a written notice sent to the Administrative Agent on the same day of the giving of such telephonic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 (ii) beneficiary, and (iii) expiration date. The Borrower shall also execute and deliver such customary applications and agreements for standby letters of credit, and other forms as requested from time to time by the applicable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Article 5.2., the applicable Issuing Bank shall issue the requested Letter of Credit on the requested date of issuance for the benefit of the stipulated beneficiary but in no event prior to the date five (5) Business Days following the date after which such Issuing Bank has received all of the items required to be delivered to it under this subsection. An Issuing Bank shall not at any time be obligated to issue any Letter of Credit if (A) such issuance would conflict with, or cause the Administrative Agent or any Lender to exceed any limits imposed by, any Applicable Law or (B) the beneficiary of such Letter of Credit is a Sanctioned Person. References herein to “issue” and derivations thereof with respect to Letters of Credit shall also include extensions or modifications of any outstanding Letters of Credit, unless the context otherwise requires. Upon the written request of the Borrower, the applicable Issuing Bank shall deliver to the Borrower a copy of each Letter of Credit issued by it within a reasonable time after the date of issuance thereof. To the extent any term of a Letter of Credit Document is inconsistent with a term of any Loan Document, the term of such Loan Document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Reimbursement Obligations</w:t>
      </w:r>
      <w:r>
        <w:rPr>
          <w:rFonts w:ascii="Times New Roman" w:hAnsi="Times New Roman"/>
          <w:sz w:val="20"/>
        </w:rPr>
        <w:t xml:space="preserve">. Upon receipt by an Issuing Bank from the beneficiary of a Letter of Credit issued by such Issuing Bank of any demand for payment under such Letter of Credit and such Issuing Bank’s determination that such demand for payment complies with the requirements of such Letter of Credit, such Issuing Bank shall promptly notify the Borrower and the Administrative Agent of the amount to be paid by such Issuing Bank as a result of such demand and the date on which payment is to be made by such Issuing Bank to such beneficiary in respect of such demand; provided, however, that an Issuing Bank’s failure to give, or delay in giving, such notice shall not discharge the Borrower in any respect from the applicable Reimbursement Obligation. The Borrower hereby absolutely, unconditionally and irrevocably agrees to pay and reimburse each Issuing Bank for the amount of each demand for payment under each Letter of Credit issued by such Issuing Bank at or prior to the date on which payment is to be made by such Issuing Bank to the beneficiary thereunder, without presentment, demand, protest or other formalities of any kind (other than notice of such payment as expressly provided in this subsection). Upon receipt by an Issuing Bank of any payment in respect of any Reimbursement Obligation, such Issuing Bank shall promptly pay to the Administrative Agent for the account of each Lender that has acquired a participation therein under the second sentence of the immediately following subsection (i) such Lender’s Revolving Commitment Percentage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Manner of Reimbursement</w:t>
      </w:r>
      <w:r>
        <w:rPr>
          <w:rFonts w:ascii="Times New Roman" w:hAnsi="Times New Roman"/>
          <w:sz w:val="20"/>
        </w:rPr>
        <w:t xml:space="preserve">. Upon its receipt of a notice referred to in the immediately preceding subsection (d), the Borrower shall advise the Administrative Agent and the applicable Issuing Bank whether or not the Borrower intends to borrow hereunder to finance its obligation to reimburse such Issuing Bank for the amount of the related demand for payment and, if it does, the Borrower shall submit a timely request for such borrowing as provided in the applicable provisions of this Agreement. If the Borrower fails to so advise the Administrative Agent and the applicable Issuing Bank, or if the Borrower fails to reimburse the applicable Issuing Bank for a demand for payment under a Letter of Credit by the date of such payment, the failure of which the applicable Issuing Bank shall promptly notify the Administrative Agent,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to be made available to the Administrative Agent not later than 10:00 a.m. Pacific time and (ii) if such conditions would not permit the making of Revolving Loans, the provisions of subsection (j) of this Section shall apply. The limitations set forth in the second sentence of Section 2.1.(a) shall not apply to any borrowing of Base Rate Loans under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Effect of Letters of Credit on Revolving Commitments</w:t>
      </w:r>
      <w:r>
        <w:rPr>
          <w:rFonts w:ascii="Times New Roman" w:hAnsi="Times New Roman"/>
          <w:sz w:val="20"/>
        </w:rPr>
        <w:t xml:space="preserve">. Upon the issuance by an Issuing Bank of a Letter of Credit and until such Letter of Credit shall have expired or been cancelled, the Revolving Commitment of each Lender shall be deemed to be utilized for all purposes of this Agreement in an amount equal to the product of (i) such Lender’s Revolving Commitment Percentage and (ii) the sum of (A) the Stated Amount of such Letter of Credit plus (B) any related Reimbursement Obligations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Issuing Banks’ Duties Regarding Letters of Credit; Unconditional Nature of Reimbursement Obligations</w:t>
      </w:r>
      <w:r>
        <w:rPr>
          <w:rFonts w:ascii="Times New Roman" w:hAnsi="Times New Roman"/>
          <w:sz w:val="20"/>
        </w:rPr>
        <w:t xml:space="preserve">. In examining documents presented in connection with drawings under Letters of Credit and making payments under Letters of Credit issued by an Issuing Bank against such documents, such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Banks, the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Banks, the Administrative Agent or the Lenders. None of the above shall affect, impair or prevent the vesting of any Issuing Bank’s or Administrative Agent’s rights or powers hereunder. Any action taken or omitted to be taken by an Issuing Bank under or in connection with any Letter of Credit issued by such Issuing Bank,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an Issuing Bank for any drawing made under any Letter of Credit issued by such Issuing Bank,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such Issuing Bank, any other Issuing Bank,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such Issuing Bank, any other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such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12.10., but not in limitation of the Borrower’s unconditional obligation to reimburse an Issuing Bank for any drawing made under a Letter of Credit as provided in this Section and to repay any Revolving Loan made pursuant to the second sentence of the immediately preceding subsection (e), the Borrower shall have no obligation to indemnify the Administrative Agent, an Issuing Bank or any Lender in respect of any liability incurred by the Administrative Agent, an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an Issuing Bank or any Lender with respect to any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Amendments, Etc</w:t>
      </w:r>
      <w:r>
        <w:rPr>
          <w:rFonts w:ascii="Times New Roman" w:hAnsi="Times New Roman"/>
          <w:sz w:val="20"/>
        </w:rPr>
        <w:t xml:space="preserve">. The issuance by an Issuing Bank of any amendment, supplement or other modification to any Letter of Credit issued by such Issuing Bank shall be subject to the same conditions applicable under this Agreement to the issuance of new Letters of Credit (including, without limitation, that the request therefor be made through the applicable Issuing Bank and the Administrative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Lenders (or all of the Lenders if required by Section 12.7.) shall have consented thereto. In connection with any such amendment, supplement or other modification, the Borrower shall pay the fees, if any, payable under the last sentence of Section 3.5.(c).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Lenders’ Participation in Letters of Credit</w:t>
      </w:r>
      <w:r>
        <w:rPr>
          <w:rFonts w:ascii="Times New Roman" w:hAnsi="Times New Roman"/>
          <w:sz w:val="20"/>
        </w:rPr>
        <w:t xml:space="preserve">. Immediately upon (i) the Effective Date with respect to all Existing Letters of Credit and (ii) the date of issuance by an Issuing Bank of any Letter of Credit, each Lender shall be deemed to have absolutely, irrevocably and unconditionally purchased and received from the applicable Issuing Bank, without recourse or warranty, an undivided interest and participation to the extent of such Lender’s Revolving Commitment Percentage of the liability of such Issuing Bank with respect to such Letter of Credit and each Lender thereby shall absolutely, unconditionally and irrevocably assume, as primary obligor and not as surety, and shall be unconditionally obligated to such Issuing Bank to pay and discharge when due, such Lender’s Revolving Commitment Percentage of such Issuing Bank’s liability under such Letter of Credit. In addition, upon the making of each payment by a Lender to the Administrative Agent for the account of an Issuing Bank in respect of any Letter of Credit issued by it pursuant to the immediately following subsection (j), such Lender shall, automatically and without any further action on the part of such Issuing Bank, Administrative Agent or such Lender, acquire (i) a participation in an amount equal to such payment in the Reimbursement Obligation owing to such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such Issuing Bank pursuant to the second and the last sentences of Section 3.5.(c)).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Payment Obligation of Lenders</w:t>
      </w:r>
      <w:r>
        <w:rPr>
          <w:rFonts w:ascii="Times New Roman" w:hAnsi="Times New Roman"/>
          <w:sz w:val="20"/>
        </w:rPr>
        <w:t xml:space="preserve">. Each Lender severally agrees to pay to the Administrative Agent, for the account of each Issuing Bank, on demand in immediately available funds in Dollars the amount of such Lender’s Revolving Commitment Percentage of each drawing paid by such Issuing Bank under each Letter of Credit issued by it to the extent such amount is not reimbursed by the Borrower pursuant to the immediately preceding subsection (d); provided, however, that with respect to any drawing under any Letter of Credit, the maximum amount that any Lender shall be required to fund, whether as a Revolving Loan or as a participation, shall not exceed such Lender’s Revolving Commitment Percentage of such drawing except as otherwise provided in Section 3.9.(d). If the notice referenced in the second sentence of Section 2.3.(e) is received by a Lender not later than 9:00 a.m. Pacific time, then such Lender shall make such payment available to the Administrative Agent not later than 12:00 p.m. Pacific time on the date of demand therefor; otherwise, such payment shall be made available to the Administrative Agent not later than 11:00 a.m. Pacific time on the next succeeding Business Day. Each Lender’s obligation to make such payments to the Administrative Agent under this subsection, and the Administrative Agent’s right to receive the same for the account of the applicable Issuing Bank,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10.1.(e) or (f), (iv) the termination of the Revolving Commitments or (v) the delivery of Cash Collateral in respect of any Extended Letter of Credit. Each such payment to the Administrative Agent for the account of an Issuing Bank shall be made without any offset, abatement, withholding or deduction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Information to Lenders</w:t>
      </w:r>
      <w:r>
        <w:rPr>
          <w:rFonts w:ascii="Times New Roman" w:hAnsi="Times New Roman"/>
          <w:sz w:val="20"/>
        </w:rPr>
        <w:t xml:space="preserve">. Promptly following any change in Letters of Credit outstanding, the applicable Issuing Bank shall deliver to the Administrative Agent, who shall promptly deliver the same to each Lender and the Borrower, a notice describing the aggregate amount of all Letters of Credit issued by such Issuing Bank outstanding at such time. Upon the request of any Lender from time to time, an Issuing Bank shall deliver any other information reasonably requested by such Lender with respect to such Letter of Credit then outstanding. Other than as set forth in this subsection, the Issuing Banks and the Administrative Agent shall have no duty to notify the Lenders regarding the issuance or other matters regarding Letters of Credit issued hereunder. The failure of any Issuing Bank or the Administrative Agent to perform its requirements under this subsection shall not relieve any Lender from its obligations under the immediately preceding subsection (j).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Existing Letters of Credit</w:t>
      </w:r>
      <w:r>
        <w:rPr>
          <w:rFonts w:ascii="Times New Roman" w:hAnsi="Times New Roman"/>
          <w:sz w:val="20"/>
        </w:rPr>
        <w:t xml:space="preserve">. The parties agree that each </w:t>
      </w:r>
      <w:r>
        <w:rPr>
          <w:rFonts w:ascii="Times New Roman" w:hAnsi="Times New Roman"/>
          <w:sz w:val="20"/>
          <w:u w:val="single"/>
        </w:rPr>
        <w:t>Existing Letter of Credit shall, from and after the Effective Date, be deemed to be a Letter of Credit issued under this Agreement and shall be subject to and governed by the terms and conditions of this Agreement and the other Loan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Extended Letters of Credit</w:t>
      </w:r>
      <w:r>
        <w:rPr>
          <w:rFonts w:ascii="Times New Roman" w:hAnsi="Times New Roman"/>
          <w:sz w:val="20"/>
        </w:rPr>
        <w:t xml:space="preserve">. Each Lender confirms that its obligations under the immediately preceding subsections (i) and (j) shall be reinstated in full and apply if the delivery of any Cash Collateral in respect of an Extended Letter of Credit is subsequently invalidated, declared to be fraudulent or preferential, set aside or required to be repaid to a trustee, receiver or any other party, in connection with any proceeding under any Debtor Relief Law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2.4.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Swingline Loans</w:t>
      </w:r>
      <w:r>
        <w:rPr>
          <w:rFonts w:ascii="Times New Roman" w:hAnsi="Times New Roman"/>
          <w:sz w:val="20"/>
        </w:rPr>
        <w:t xml:space="preserve">. Subject to the terms and conditions hereof, including without limitation Section 2.15., the Swingline Lender agrees to make Swingline Loans to the Borrower, during the period from the Effective Date to but excluding the Swingline Maturity Date, in an aggregate principal amount at any one time outstanding up to, but not exceeding, the lesser (such lesser amount being referred to as the “Swingline Availability”) of (i) $100,000,000, as such amount may be reduced from time to time in accordance with the terms hereof and (ii) the Revolving Commitment of the Swingline Lender in its capacity as a Lender minus the aggregate outstanding principal amount of the Revolving Loans owing to the Swingline Lender in its capacity as a Lender. If at any time the aggregate principal amount of the Swingline Loans outstanding at such time exceeds the Swingline Availability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Lender’s Revolving Commitment for purposes of calculation of the fee payable under Section 3.5.(b).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 for Borrowing Swingline Loans</w:t>
      </w:r>
      <w:r>
        <w:rPr>
          <w:rFonts w:ascii="Times New Roman" w:hAnsi="Times New Roman"/>
          <w:sz w:val="20"/>
        </w:rPr>
        <w:t xml:space="preserve">. The Borrower shall give the Administrative Agent and the Swingline Lender notice pursuant to a Notice of Swingline Borrowing or telephonic notice of each borrowing of a Swingline Loan. Each Notice of Swingline Borrowing shall be delivered to the Swingline Lender no later than 11:00 a.m. Pacific time on the proposed date of such borrowing (which shall be a U.S. Government Securities Business Day). Any telephonic notice shall include all information to be specified in a written Notice of Swingline Borrowing and shall be promptly confirmed in writing by the Borrower pursuant to a Notice of Swingline Borrowing sent to the Swingline Lender by electronic mail on the same day of the giving of such telephonic notice. Not later than 1:00 p.m. Pacific time on the date of the requested Swingline Loan and subject to satisfaction of the applicable conditions set forth in Article 5.2. for such borrowing, the Swingline Lender will make the proceeds of such Swingline Loan available to the Borrower in Dollars, in immediately available funds, at the account specified by the Borrower in the Notice of Swingline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w:t>
      </w:r>
      <w:r>
        <w:rPr>
          <w:rFonts w:ascii="Times New Roman" w:hAnsi="Times New Roman"/>
          <w:sz w:val="20"/>
        </w:rPr>
        <w:t xml:space="preserve">. Swingline Loans shall bear interest at a per annum rate equal to Daily Simple SOFR as in effect from time to time plus the Applicable Margin for SOFR Loans that are Revolving Loans; provided that, if Daily Simple SOFR shall become unavailable for any reason (as determined by the Swingline Lender (which determination shall be conclusive)) then, Swingline Loans shall bear interest at a per annum rate equal to the Base Rate as in effect from time to time plus the Applicable Margin for Base Rate Loans or at such other rate or rates as the Borrower and the Swingline Lender may agree from time to time in writing. Interest on Swingline Loans is solely for the account of the Swingline Lender (except to the extent a Lender acquires a participating interest in a Swingline Loan pursuant to the immediately following subsection (e)). All accrued and unpaid interest on Swingline Loans shall be payable on the dates and in the manner provided in Section 2.5. with respect to interest on Swingline Loans (except as the Swingline Lender and the Borrower may otherwise agree in writing in connection with any particular Swingline Loan).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Swingline Loan Amounts, Etc</w:t>
      </w:r>
      <w:r>
        <w:rPr>
          <w:rFonts w:ascii="Times New Roman" w:hAnsi="Times New Roman"/>
          <w:sz w:val="20"/>
        </w:rPr>
        <w:t xml:space="preserve">. Each Swingline Loan shall be in the minimum amount of $50,000 and integral multiples of $50,000 in excess thereof,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and the Administrative Agent prior written notice thereof no later than 10:00 a.m. Pacific time on the day prior to the date of such prepayment. The Swingline Loans shall, in addition to this Agreement, be evidenced by the Swingline Note.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Repayment and Participations of Swingline Loans</w:t>
      </w:r>
      <w:r>
        <w:rPr>
          <w:rFonts w:ascii="Times New Roman" w:hAnsi="Times New Roman"/>
          <w:sz w:val="20"/>
        </w:rPr>
        <w:t xml:space="preserve">. The Borrower agrees to repay each Swingline Loan within one Business Day of demand therefor by the Swingline Lender and, in any event, within five (5) Business Days after the date such Swingline Loan was made; provided, that the proceeds of a Swingline Loan may not be used to pay a Swingline Loan. Notwithstanding the foregoing, the Borrower shall repay the entire outstanding principal amount of, and all accrued but unpaid interest on, the Swingline Loans on the Swingline Maturity Date (or such earlier date as the Swingline Lender and the Borrower may agree in writing). In lieu of demanding repayment of any outstanding Swingline Loan from the Borrower, the Swingline Lender may, on behalf of the Borrower (which hereby irrevocably directs the Swingline Lender to act on its behalf), request a borrowing of Revolving Loans that are Base Rate Loans from the Lenders in an amount equal to the principal balance of such Swingline Loan. The amount limitations contained in the second sentence of Section 2.1.(a) shall not apply to any borrowing of such Revolving Loans made pursuant to this subsection. The Swingline Lender shall give notice to the Administrative Agent of any such borrowing of Revolving Loans not later than 9:00 a.m. Pacific time at least one Business Day prior to the proposed date of such borrowing. Promptly after receipt of such notice of borrowing of Revolving Loans from the Swingline Lender under the immediately preceding sentence, the Administrative Agent shall notify each Lender of the proposed borrowing. Not later than 9:00 a.m. Pacific time on the proposed date of such borrowing, each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Lenders are prohibited from making Revolving Loans required to be made under this subsection for any reason whatsoever, including without limitation, the occurrence of any of the Defaults or Events of Default described in Sections 10.1.(e) or (f)), each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 (ii) the occurrence or continuation of a Default or Event of Default (including without limitation, any of the Defaults or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Default described in Sections 10.1. (e) or (f)), or the termination of any Lender’s Revolving Commitment, (iii) the existence (or alleged existence) of an event or condition which has had or could have a Material Adverse Effect, (iv) any breach of any Loan Document by the Administrative Agent, any Lender, the Borrower or any other Loan Party, or (v) 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2.5. Rates and Payment of Interest on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Rates</w:t>
      </w:r>
      <w:r>
        <w:rPr>
          <w:rFonts w:ascii="Times New Roman" w:hAnsi="Times New Roman"/>
          <w:sz w:val="20"/>
        </w:rPr>
        <w:t xml:space="preserve">.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 </w:t>
      </w:r>
    </w:p>
    <w:p>
      <w:pPr>
        <w:pStyle w:val="TextBody"/>
        <w:bidi w:val="0"/>
        <w:spacing w:before="120" w:after="0"/>
        <w:jc w:val="left"/>
        <w:rPr>
          <w:rFonts w:ascii="Times New Roman" w:hAnsi="Times New Roman"/>
          <w:sz w:val="20"/>
        </w:rPr>
      </w:pPr>
      <w:r>
        <w:rPr>
          <w:rFonts w:ascii="Times New Roman" w:hAnsi="Times New Roman"/>
          <w:sz w:val="20"/>
        </w:rPr>
        <w:t xml:space="preserve">(i) during such periods as such Loan is a Base Rate Loan, at the Base Rate (as in effect from time to time), plus the Applicable Margin for Base Rate Loans; </w:t>
      </w:r>
    </w:p>
    <w:p>
      <w:pPr>
        <w:pStyle w:val="TextBody"/>
        <w:bidi w:val="0"/>
        <w:spacing w:before="120" w:after="0"/>
        <w:jc w:val="left"/>
        <w:rPr>
          <w:rFonts w:ascii="Times New Roman" w:hAnsi="Times New Roman"/>
          <w:sz w:val="20"/>
        </w:rPr>
      </w:pPr>
      <w:r>
        <w:rPr>
          <w:rFonts w:ascii="Times New Roman" w:hAnsi="Times New Roman"/>
          <w:sz w:val="20"/>
        </w:rPr>
        <w:t xml:space="preserve">(ii) during such periods as such Loan is a Daily Simple SOFR Loan, at Daily Simple SOFR (as in effect form time to time), plus the Applicable Margin for SOFR Loans; </w:t>
      </w:r>
    </w:p>
    <w:p>
      <w:pPr>
        <w:pStyle w:val="TextBody"/>
        <w:bidi w:val="0"/>
        <w:spacing w:before="120" w:after="0"/>
        <w:jc w:val="left"/>
        <w:rPr>
          <w:rFonts w:ascii="Times New Roman" w:hAnsi="Times New Roman"/>
          <w:sz w:val="20"/>
        </w:rPr>
      </w:pPr>
      <w:r>
        <w:rPr>
          <w:rFonts w:ascii="Times New Roman" w:hAnsi="Times New Roman"/>
          <w:sz w:val="20"/>
        </w:rPr>
        <w:t xml:space="preserve">(iii) during such periods as such Loan is a Term SOFR Loan, at Term SOFR for such Loan for the Interest Period therefor, plus the Applicable Margin for SOFR Loans; </w:t>
      </w:r>
    </w:p>
    <w:p>
      <w:pPr>
        <w:pStyle w:val="TextBody"/>
        <w:bidi w:val="0"/>
        <w:spacing w:before="120" w:after="0"/>
        <w:jc w:val="left"/>
        <w:rPr>
          <w:rFonts w:ascii="Times New Roman" w:hAnsi="Times New Roman"/>
          <w:sz w:val="20"/>
        </w:rPr>
      </w:pPr>
      <w:r>
        <w:rPr>
          <w:rFonts w:ascii="Times New Roman" w:hAnsi="Times New Roman"/>
          <w:sz w:val="20"/>
        </w:rPr>
        <w:t xml:space="preserve">(iv) if such Loan is an Absolute Rate Loan, at the Absolute Rate for such Loan for the Interest Period therefor quoted by the Lender making such Loan in accordance with Section 2.2.; and </w:t>
      </w:r>
    </w:p>
    <w:p>
      <w:pPr>
        <w:pStyle w:val="TextBody"/>
        <w:bidi w:val="0"/>
        <w:spacing w:before="120" w:after="0"/>
        <w:jc w:val="left"/>
        <w:rPr>
          <w:rFonts w:ascii="Times New Roman" w:hAnsi="Times New Roman"/>
          <w:sz w:val="20"/>
        </w:rPr>
      </w:pPr>
      <w:r>
        <w:rPr>
          <w:rFonts w:ascii="Times New Roman" w:hAnsi="Times New Roman"/>
          <w:sz w:val="20"/>
        </w:rPr>
        <w:t xml:space="preserve">(v) if such Loan is a SOFR Margin Loan, at Term SOFR for such Loan for the Interest Period therefor plus the SOFR Margin quoted by the Lender making such Loan in accordance with Section 2.2.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while an Event of Default exists, the Borrower shall pay to the Administrative Agent for the account of each Lender and the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(including without limitation, accrued but unpaid interest to the extent permitted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Interest</w:t>
      </w:r>
      <w:r>
        <w:rPr>
          <w:rFonts w:ascii="Times New Roman" w:hAnsi="Times New Roman"/>
          <w:sz w:val="20"/>
        </w:rPr>
        <w:t xml:space="preserve">.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Borrower Information Used to Determine Applicable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hAnsi="Times New Roman"/>
          <w:b/>
          <w:sz w:val="20"/>
        </w:rPr>
        <w:t>Borrower Information</w:t>
      </w:r>
      <w:r>
        <w:rPr>
          <w:rFonts w:ascii="Times New Roman" w:hAnsi="Times New Roman"/>
          <w:sz w:val="20"/>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Borrower’s Credit Rating from one or more Rating Agency is downgraded and such downgrade results in an increase in the Applicable Margin or Applicable Facility Fee, but such higher Credit Rating is subsequently restored and the increased Applicable Margin or Applicable Facility Fee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and/or Applicable Facility Fee. Additionally, in the event the Borrower’s Credit Rating from one or more Rating Agency is upgraded and such upgrade results in a decrease in the Applicable Margin or Applicable Facility Fee, but such lower Credit Rating is subsequently restored and the decreased Applicable Margin or Applicable Facility Fee would no longer be applicable within 90 days from the first day such upgrade was effective, the Borrower will pay the incremental borrowing costs and fees which would have otherwise been payable during such 90 day period had the upgrade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the Issuing Bank’s, or any Lender’s other rights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2.6. Number of Interest Periods. </w:t>
      </w:r>
    </w:p>
    <w:p>
      <w:pPr>
        <w:pStyle w:val="TextBody"/>
        <w:bidi w:val="0"/>
        <w:spacing w:before="120" w:after="0"/>
        <w:jc w:val="left"/>
        <w:rPr>
          <w:rFonts w:ascii="Times New Roman" w:hAnsi="Times New Roman"/>
          <w:sz w:val="20"/>
        </w:rPr>
      </w:pPr>
      <w:r>
        <w:rPr>
          <w:rFonts w:ascii="Times New Roman" w:hAnsi="Times New Roman"/>
          <w:sz w:val="20"/>
        </w:rPr>
        <w:t xml:space="preserve">(a) There may be no more than ten (10) different Interest Periods for Revolving Loans outstanding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(b) There may be no more than six (6) different Interest Periods for Bid Rate Loans outstanding at the same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2.7. Repayment of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Loans</w:t>
      </w:r>
      <w:r>
        <w:rPr>
          <w:rFonts w:ascii="Times New Roman" w:hAnsi="Times New Roman"/>
          <w:sz w:val="20"/>
        </w:rPr>
        <w:t xml:space="preserve">. The Borrower shall repay the entire outstanding principal amount of, and all accrued but unpaid interest on, the Revolving Loans on the Revolving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Bid Rate Loans</w:t>
      </w:r>
      <w:r>
        <w:rPr>
          <w:rFonts w:ascii="Times New Roman" w:hAnsi="Times New Roman"/>
          <w:sz w:val="20"/>
        </w:rPr>
        <w:t xml:space="preserve">. The Borrower shall repay the entire outstanding principal amount of, and all accrued interest on, each Bid Rate Loan on the last day of the Interest Period of such Bid Rate Loan.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2.8. Prepayments.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Subject to Section 4.4., the Borrower may prepay any Loan (other than a Bid Rate Loan) in whole or part at any time without premium or penalty. A Bid Rate Loan may only be prepaid with the prior written consent of the Lender holding such Bid Rate Loan; provided, however, subject to Section 4.4., the Borrower may prepay all outstanding Bid Rate Loans in connection with the Borrower’s termination of all Commitments pursuant to Section 2.12. and the repayment of all Obligations in full.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Revolving Loans outstanding).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Revolving Commitment Overadvance</w:t>
      </w:r>
      <w:r>
        <w:rPr>
          <w:rFonts w:ascii="Times New Roman" w:hAnsi="Times New Roman"/>
          <w:sz w:val="20"/>
        </w:rPr>
        <w:t xml:space="preserve">. If at any time the aggregate principal amount of all outstanding Revolving Loans, Swingline Loans and Bid Rate Loans, together with the aggregate amount of all Letter of Credit Liabilities, exceeds the aggregate amount of the Revolving Commitments, the Borrower shall immediately upon demand pay to the Administrative Agent for the account of the Lenders then holding Revolving Commitments (or if the Revolving Commitments have been terminated, then holding outstanding Revolving Loans, Swingline Loans, Bid Rate Loans and/or Letter of Credit Liabilities), the amount of such excess.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Bid Rate Facility Overadvance</w:t>
      </w:r>
      <w:r>
        <w:rPr>
          <w:rFonts w:ascii="Times New Roman" w:hAnsi="Times New Roman"/>
          <w:sz w:val="20"/>
        </w:rPr>
        <w:t xml:space="preserve">. If at any time the aggregate principal amount of all outstanding Bid Rate Loans exceeds one-half of the aggregate amount of all Revolving Commitments at such time, then the Borrower shall immediately pay to the Administrative Agent for the accounts of the applicable Lenders the amount of such excess.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Application of Mandatory Prepayments</w:t>
      </w:r>
      <w:r>
        <w:rPr>
          <w:rFonts w:ascii="Times New Roman" w:hAnsi="Times New Roman"/>
          <w:sz w:val="20"/>
        </w:rPr>
        <w:t xml:space="preserve">. Amounts paid under the preceding subsection (b)(i) shall be applied to pay all amounts of principal outstanding on the Loans and any Reimbursement Obligations pro rata in accordance with Section 3.2. and if any Letters of Credit are outstanding at such time, the remainder, if any, shall be deposited into the Letter of Credit Collateral Account for application to any Reimbursement Obligations. Amounts paid under the preceding subsection (b)(ii) shall be applied in accordance with Section 3.2.(e). If the Borrower is required to pay any outstanding Term SOFR Loans or SOFR Margin Loans by reason of this Section prior to the end of the applicable Interest Period therefor, the Borrower shall pay all amounts due under Section 4.4.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2.9. Continuation.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exists, the Borrower may on any Business Day, continue any (x) Daily Simple SOFR Loans as Daily Simple SOFR Loans or (y) Term SOFR Loans as Term SOFR Loans. Each Continuation of an applicable SOFR Loan shall be in an aggregate minimum amount of $1,000,000 and integral multiples of $1,000,000 in excess of that amount, and, with respect to Term SOFR Loans,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9:00 a.m. Pacific time three (3) U.S. Government Securities Business Days before the day on which a 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into Term SOFR Loans or Daily Simple SOFR Loans, as applicable, shall be in an aggregate minimum amount of $1,000,000 and integral multiples of $1,000,000 in excess of that amount. Each such Notice of Conversion shall be given not later than 9:00 a.m. Pacific time (x) with respect to Loans that are to be Converted to Base Rate Loans, one (1) Business Day, (y) with respect to Loans that are to be converted to Daily Simple SOFR Loans, one (1) U.S. Government Securities Business Day and (z) with respect to Loans 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Notwithstanding anything to the contrary herein, a Swingline Loan may not be converted to a SOFR Loan.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Notes</w:t>
      </w:r>
      <w:r>
        <w:rPr>
          <w:rFonts w:ascii="Times New Roman" w:hAnsi="Times New Roman"/>
          <w:sz w:val="20"/>
        </w:rPr>
        <w:t xml:space="preserve">. Except in the case of a Lender that has notified the Administrative Agent in writing that it elects not to receive a Revolving Note, the Revolving Loans made by each Lender shall, in addition to this Agreement, also be evidenced by a Revolving Note, payable to the order of such Lender in a principal amount equal to the amount of its Revolving Commitment as originally in effect and otherwise duly completed. Except in the case of a Lender that has notified the Administrative Agent in writing that it elects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to receive a Bid Rate Note, the Bid Rate Loans made by a Lender to the Borrower shall, in addition to this Agreement, also be evidenced by a Bid Rate Note payable to the order of such Lender. The Swingline Loans made by the Swingline Lender to the Borrower shall, in addition to this Agreement, also be evidenced by a Swingline Note payable to the order of the Swingline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Records</w:t>
      </w:r>
      <w:r>
        <w:rPr>
          <w:rFonts w:ascii="Times New Roman" w:hAnsi="Times New Roman"/>
          <w:sz w:val="20"/>
        </w:rPr>
        <w:t xml:space="preserve">.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Lost, Stolen, Destroyed or Mutilated Notes</w:t>
      </w:r>
      <w:r>
        <w:rPr>
          <w:rFonts w:ascii="Times New Roman" w:hAnsi="Times New Roman"/>
          <w:sz w:val="20"/>
        </w:rPr>
        <w:t xml:space="preserve">.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2.12. Voluntary Reductions of the Revolving Commitment.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and Swingline Loans) at any time and from time to time without penalty or premium upon not less than five (5) Business Days prior written notice to the Administrative Agent of each such termination or reduction, which notice shall specify the effective date thereof and the amount of any such reduction (which in the case of any partial reduction of the Revolving Commitments shall not be less than $5,000,000 and integral multiples of $1,000,000 in excess of that amount in the aggregate) and shall be irrevocable once given and effective only upon receipt by the Administrative Agent (“</w:t>
      </w:r>
      <w:r>
        <w:rPr>
          <w:rFonts w:ascii="Times New Roman" w:hAnsi="Times New Roman"/>
          <w:b/>
          <w:sz w:val="20"/>
        </w:rPr>
        <w:t>Commitment Reduction Notice</w:t>
      </w:r>
      <w:r>
        <w:rPr>
          <w:rFonts w:ascii="Times New Roman" w:hAnsi="Times New Roman"/>
          <w:sz w:val="20"/>
        </w:rPr>
        <w:t xml:space="preserve">”); provided, however, the Borrower may not reduce the aggregate amount of the Revolving Commitments below $200,000,000 unless the Borrower is terminating the Revolving Commitments in full. Promptly after receipt of a Commitment Reduction Notice the Administrative Agent shall notify each Lender of the proposed termination or Revolving Commitment reduction. The Revolving Commitments, once reduced or terminated pursuant to this Section, may not be increased or reinstated. The Borrower shall pay all interest and fees on the Revolving Loans accrued to the date of such reduction or termination of the Revolving Commitments (on the principal amount so reduced or terminated) to the Administrative Agent for the account of the Lenders, including but not limited to any applicable compensation due to each Lender in accordance with Section 4.4.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Extension of Revolving Termination Date.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exercisable two times, to extend the Revolving Termination Date by six-months in the case of each such extension. The Borrower may exercise such right only by executing and delivering to the Administrative Agent at least 90 days but not more than 180 days prior to the current Revolving Termination Date, a written request for such extension (an “</w:t>
      </w:r>
      <w:r>
        <w:rPr>
          <w:rFonts w:ascii="Times New Roman" w:hAnsi="Times New Roman"/>
          <w:b/>
          <w:sz w:val="20"/>
        </w:rPr>
        <w:t>Extension Request</w:t>
      </w:r>
      <w:r>
        <w:rPr>
          <w:rFonts w:ascii="Times New Roman" w:hAnsi="Times New Roman"/>
          <w:sz w:val="20"/>
        </w:rPr>
        <w:t xml:space="preserve">”). The Administrative Agent shall notify the Lenders if it receives an Extension Request promptly upon receipt thereof. Subject to satisfaction of the following conditions, the Revolving Termination Date shall be extended for six-months effective upon receipt by the Administrative Agent of the Extension Request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3.5.(e).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Expiration Date of Letters of Credit Past Revolving Commitment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on the date the Revolving Commitments are terminated or reduced to zero (whether voluntarily, by reason of the occurrence of an Event of Default or otherwise), there are any Letters of Credit outstanding hereunder, the Borrower shall, on such date (if not sooner pursuant to Section 2.3.(b)), pay to the Administrative Agent, for its benefit and the benefit of the Lenders and the Issuing Bank, an amount of money sufficient to cause the balance of available funds on deposit in the Letter of Credit Collateral Account to equal the aggregate Stated Amount of such Letters of Credit for deposit into the Letter of Credit Collateral Account.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Amount Limitations.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term of this Agreement or any other Loan Document, no Lender shall be required to make a Loan, no Lender shall make any Bid Rate Loan, the Issuing Bank shall not be required to issue a Letter of Credit and no reduction of the Revolving Commitments pursuant to Section 2.12. shall take effect, if immediately after the making of such Loan, the issuance of such Letter of Credit or such reduction in the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all outstanding Revolving Loans, Bid Rate Loans and Swingline Loans, together with the aggregate amount of all Letter of Credit Liabilities, would exceed the aggregate amount of the Revolving Commitments at such time; or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principal amount of all outstanding Bid Rate Loans would exceed 50.0% of the aggregate amount of the Revolving Commitments at such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Increase in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such increases the aggregate amount of the Revolving Commitments shall not exceed $2,000,000,000 minus the amount of any reduction of the Revolving Commitments effected pursuant to Section 2.12. hereof. Each such increase in the Revolving Commitments must be an aggregate minimum amount of $10,000,000 and integral multiples of $5,000,000 in excess thereof. If the request is approved by the Administrative Agent, the Administrative Agent, in consultation with the Borrower, shall manage all aspects of the syndication of such increase in the Revolving Commitments, including decisions as to the selection of the existing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provided that any such other banks, financial institutions and other institutional lenders and the amounts of the respective increases and the allocations of such increases in Commitments or new Commitments, as the case may be, shall be reasonably acceptable to the Borrower. No Lender shall be obligated in any way whatsoever to increase its Revolving Commitment or provide a new Revolving Commitment, and any new Lender becoming a party to this Agreement in connection with any such requested increase must be an Eligible Assignee. If a new Lender becomes a party to this Agreement, or if any existing Lender is increasing its Revolving Commitment, such Lender shall on the date it becomes a Lender hereunder (or in the case of an existing Lender, increases its Revolving Commitment) (and as a condition thereto) purchase from the other Lenders its Revolving Commitment Percentage (determined with respect to the Lenders’ respective Revolving Commitments and after giving effect to the increase of Revolving Commitments) of any outstanding Revolving Loans, by making available to the Administrative Agent for the account of such other Lenders, in same day funds, an amount equal to the sum of (A) the portion of the outstanding principal amount of such Revolving Loans to be purchased by such Lender, </w:t>
      </w:r>
      <w:r>
        <w:rPr>
          <w:rFonts w:ascii="Times New Roman" w:hAnsi="Times New Roman"/>
          <w:sz w:val="20"/>
          <w:u w:val="single"/>
        </w:rPr>
        <w:t>plus</w:t>
      </w:r>
      <w:r>
        <w:rPr>
          <w:rFonts w:ascii="Times New Roman" w:hAnsi="Times New Roman"/>
          <w:sz w:val="20"/>
        </w:rPr>
        <w:t xml:space="preserve"> (B) the aggregate amount of payments previously made by the other Lenders under Section 2.3.(j) that have not been repaid, </w:t>
      </w:r>
      <w:r>
        <w:rPr>
          <w:rFonts w:ascii="Times New Roman" w:hAnsi="Times New Roman"/>
          <w:sz w:val="20"/>
          <w:u w:val="single"/>
        </w:rPr>
        <w:t>plus</w:t>
      </w:r>
      <w:r>
        <w:rPr>
          <w:rFonts w:ascii="Times New Roman" w:hAnsi="Times New Roman"/>
          <w:sz w:val="20"/>
        </w:rPr>
        <w:t xml:space="preserve">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Revolving Commitments under this Section, (I) the Borrower shall certify to any Person to become a Lender or any Lender increasing the amount of its Commitment whether (x) a Default or Event of Default shall be in existence on the effective date of such increase, (y) the representations and warranties made or deemed made by the Borrower or any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(II) if a Default Event of Default exists or any such representation or warranty is not true and correct on the effective date of such increase, any Person to become a Lender or any Lender to increase the amount of its commitment may, in its sole discretion, elect not to do so, and (III) the Administrative Agent shall have received each of the following, in form and substance reasonably satisfactory to the Administrative Agent: (i) if not previously delivered to the Administrative Agent, copies certified by the Secretary or Assistant Secretary of (A) all corporate, partnership, member or other necessary action taken by the Borrower to authorize such increase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 (iii) new Revolving Notes executed by the Borrower, payable to any new Lenders and replacement Revolving Notes executed by the Borrower, payable to any existing Lenders increasing their Revolving Commitments, in the amount of such Lender’s Revolving Commitment at the time of the effectiveness of the applicable increase in the aggregate amount of the Revolving Commitments. In connection with any increase in the aggregate amount of the Revolving Commitments pursuant to this Section 2.16. any Lender becoming a party hereto shall execute such documents and agreements as the Administrative Agent may reasonably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Funds Transfer Disbursements.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PAYMENTS, FEES AND OTHER GENERAL PROVISIONS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3.1. Payments.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Borrower</w:t>
      </w:r>
      <w:r>
        <w:rPr>
          <w:rFonts w:ascii="Times New Roman" w:hAnsi="Times New Roman"/>
          <w:sz w:val="20"/>
        </w:rPr>
        <w:t xml:space="preserve">.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11:00 a.m. Pacific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the Issuing Bank under this Agreement shall be paid to the Issuing Bank by wire transfer of immediately available funds in accordance with the wiring instructions provided by the Issuing Bank to the Administrative Agent from time to time, for the account of the Issuing Bank. In the event the Administrative Agent fails to pay such amounts to such Lender or the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Presumptions Regarding Payments by Borrower</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(but shall not be obligated to),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on demand that amount so distributed to such Lender or the Issuing Bank, with interest thereon, for each day from and including the date such amount is distributed to it to but excluding the date of payment to the Administrative Agent, at the Federal Funds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3.2. Pro Rata Treatment.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otherwise provided herein: (a) each borrowing from the Lenders under Sections 2.1.(a), 2.3.(e) and 2.4.(e) shall be made from the Lenders, each payment of the fees under Sections 3.5.(a), 3.5.(b), the first sentence of 3.5.(c), and 3.5.(e) shall be made for the account of the Lenders, and each termination or reduction of the amount of the Revolving Commitments under Section 2.12. shall be applied to the respective Revolving Commitments of the Lenders, pro rata according to the amounts of their respective Revolving Commitments; (b) each payment or prepayment of principal of Revolving Loans shall be made for the account of the Lenders pro rata in accordance with the respective unpaid principal amounts of the Revolving Loans held by them, provided that, subject to Section 3.9., if immediately prior to giving effect to any such payment in respect of any Revolving Loans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amount of the Revolving Loans shall not be held by the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Lenders pro rata in accordance with their respective Revolving Commitments; (c) each payment of interest on Revolving Loans shall be made for the account of the Lenders pro rata in accordance with the amounts of interest on such Revolving Loans then due and payable to the respective Lenders; (d) the making, Conversion and Continuation of Revolving Loans of a particular Type (other than Conversions provided for by Sections 4.1.(c) and 4.5.) shall be made pro rata among the Lenders according to the amounts of their respective Revolving Loans and the then current Interest Period for each Lender’s portion of each such Loan of such Type shall be coterminous; (e) each prepayment of principal of Bid Rate Loans by the Borrower pursuant to Section 2.8.(b)(ii) shall, unless otherwise directed by the Borrower, be made for account of the Lenders then owed Bid Rate Loans pro rata in accordance with the respective unpaid principal amounts of the Bid Rate Loans then owing to each such Lender; (f) the Lenders’ participation in, and payment obligations in respect of, Swingline Loans under Section 2.4., shall be in accordance with their respective Revolving Commitment Percentages; and (g) the Lenders’ participation in, and payment obligations in respect of, Letters of Credit under Section 2.3., shall be in accordance with their respective Revolving Commitment Percentages. All payments of principal, interest, fees and other amounts in respect of the Swingline Loans shall be for the account of the Swingline Lender only (except to the extent any Lender shall have acquired a participating interest in any such Swingline Loan pursuant to Section 2.4.(e), in which case such payments shall be pro rata in accordance with such participating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3.3. Sharing of Payments, Etc. </w:t>
      </w:r>
    </w:p>
    <w:p>
      <w:pPr>
        <w:pStyle w:val="TextBody"/>
        <w:bidi w:val="0"/>
        <w:spacing w:before="120" w:after="0"/>
        <w:jc w:val="left"/>
        <w:rPr>
          <w:rFonts w:ascii="Times New Roman" w:hAnsi="Times New Roman"/>
          <w:sz w:val="20"/>
        </w:rPr>
      </w:pPr>
      <w:r>
        <w:rPr>
          <w:rFonts w:ascii="Times New Roman" w:hAnsi="Times New Roman"/>
          <w:sz w:val="20"/>
        </w:rPr>
        <w:t xml:space="preserve">If a Lender shall obtain payment of any principal of, or interest on, any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3.4. Several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3.5. Fees.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Fee</w:t>
      </w:r>
      <w:r>
        <w:rPr>
          <w:rFonts w:ascii="Times New Roman" w:hAnsi="Times New Roman"/>
          <w:sz w:val="20"/>
        </w:rPr>
        <w:t xml:space="preserve">. On the Effective Date, the Borrower agrees to pay to the Administrative Agent and each Lender all loan fees as have been agreed to in writing by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Facility Fees</w:t>
      </w:r>
      <w:r>
        <w:rPr>
          <w:rFonts w:ascii="Times New Roman" w:hAnsi="Times New Roman"/>
          <w:sz w:val="20"/>
        </w:rPr>
        <w:t xml:space="preserve">. During the period from the Effective Date to but excluding the Revolving Termination Date, the Borrower agrees to pay to the Administrative Agent for the account of the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 the Revolving Commitments or reduction of the Revolving Commitments to zero. The Borrower acknowledges that the fee payable hereunder is a bona fide commitment fee and is intended as reasonable compensation to the Lenders for committing to make funds available to the Borrower as described herein and for no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Letter of Credit Fees</w:t>
      </w:r>
      <w:r>
        <w:rPr>
          <w:rFonts w:ascii="Times New Roman" w:hAnsi="Times New Roman"/>
          <w:sz w:val="20"/>
        </w:rPr>
        <w:t xml:space="preserve">. The Borrower agrees to pay to the Administrative Agent for the account of each Lender a letter of credit fee at a rate per annum equal to the Applicable Margin for SOFR Loans times the daily Stated Amount of each Letter of Credit for the period from and including the date of issuance of such Letter of Credit (x) to and including the date such Letter of Credit expires or is cancelled or (y) to but excluding the date such Letter of Credit is drawn in full. In addition to such fees, the Borrower shall pay to the Issuing Bank solely for its own account, a fronting fee in respect of each Letter of Credit equal to one-eighth of one percent (0.125%) of the Stated Amount of such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shall the aggregate amount of such fee in respect of any Letter of Credit be less than $1,000. The fees provided for in this subsection shall be nonrefundable and payable, in the case of the fee provided for in the first sentence, in arrears (i) quarterly on the first day of January, April, July and October, (ii) on the Revolving Termination Date, (iii) on the date the Revolving Commitments are terminated or reduced to zero and (iv) thereafter from time to time on demand of the Administrative Agent and in the case of the fee provided for in the second sentence of this subsection, at the time of issuance of such Letter of Credit. The Borrower shall pay directly to the Issuing Bank from time to time on demand all commissions, charges, costs and expenses in the amounts customarily charged or incurred by the Issuing Bank from time to time in like circumstances with respect to the issuance, amendment, renewal or extension of any Letter of Credit or any other transaction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Bid Rate Loan Fees</w:t>
      </w:r>
      <w:r>
        <w:rPr>
          <w:rFonts w:ascii="Times New Roman" w:hAnsi="Times New Roman"/>
          <w:sz w:val="20"/>
        </w:rPr>
        <w:t xml:space="preserve">. The Borrower agrees to pay to the Administrative Agent a fee equal to $2,000 at the time of each Bid Rate Quote Request made hereunder for services rendered by the Administrative Agent in connection with the Bid Rate Loans.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Revolving Credit Extension Fee</w:t>
      </w:r>
      <w:r>
        <w:rPr>
          <w:rFonts w:ascii="Times New Roman" w:hAnsi="Times New Roman"/>
          <w:sz w:val="20"/>
        </w:rPr>
        <w:t xml:space="preserve">. If the Borrower exercises its right to extend the Revolving Termination Date in accordance with Section 2.13., the Borrower shall pay to the Administrative Agent for the account of each Lender a fee equal to 0.0625% of the amount of such Lender’s Revolving Commitment (whether or not utilized) payable in connection with each such extension. Such fee shall be due and payable in full on the effective date of the extension pursuant to Section 2.13.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Administrative and Other Fees</w:t>
      </w:r>
      <w:r>
        <w:rPr>
          <w:rFonts w:ascii="Times New Roman" w:hAnsi="Times New Roman"/>
          <w:sz w:val="20"/>
        </w:rPr>
        <w:t xml:space="preserve">. The Borrower agrees to pay (i) the administrative and other fees of the Administrative Agent as provided in the Fee Letter and as may be otherwise agreed to in writing from time to time by the Borrower, the Arrangers and the Administrative Agent and (ii) the Sustainability Structuring Agent such fees (if any) as may be otherwise agreed to in writing by the Borrower and the Sustainability Structuring Agent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3.6. Computations.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expressly set forth herein, any accrued interest on any Loan, any Fees or any other Obligations due hereunder shall be computed on the basis of a year of 360 days and the actual number of days elapsed.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3.7. Usury.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through (iv) and, with respect to Swingline Loans, in Section 2.4.(c).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3.8. Statements of Account.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3.9. 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Requisite Lenders. The rights and remedies of the Borrower, the Administrative Agent, the Issuing Bank, the Swingline Lender and the other Lenders against a Defaulting Lender under this Section are in addition to any other rights and remedies such parties may have against such Defaulting Lender under this Agreement, any of the Loan Documents, Applicable Law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to the payment on a pro rata basis of any amounts owing by such Defaulting Lender to the Issuing Bank or the Swingline Lender hereunder; </w:t>
      </w:r>
      <w:r>
        <w:rPr>
          <w:rFonts w:ascii="Times New Roman" w:hAnsi="Times New Roman"/>
          <w:sz w:val="20"/>
          <w:u w:val="single"/>
        </w:rPr>
        <w:t>third</w:t>
      </w:r>
      <w:r>
        <w:rPr>
          <w:rFonts w:ascii="Times New Roman" w:hAnsi="Times New Roman"/>
          <w:sz w:val="20"/>
        </w:rPr>
        <w:t xml:space="preserve">, to Cash Collateralize the Issuing Bank’s Fronting Exposure with respect to such Defaulting Lender in accordance with subsection (e) below; </w:t>
      </w:r>
      <w:r>
        <w:rPr>
          <w:rFonts w:ascii="Times New Roman" w:hAnsi="Times New Roman"/>
          <w:sz w:val="20"/>
          <w:u w:val="single"/>
        </w:rPr>
        <w:t>fourth</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subsection (e) below; </w:t>
      </w:r>
      <w:r>
        <w:rPr>
          <w:rFonts w:ascii="Times New Roman" w:hAnsi="Times New Roman"/>
          <w:sz w:val="20"/>
          <w:u w:val="single"/>
        </w:rPr>
        <w:t>sixth</w:t>
      </w:r>
      <w:r>
        <w:rPr>
          <w:rFonts w:ascii="Times New Roman" w:hAnsi="Times New Roman"/>
          <w:sz w:val="20"/>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Times New Roman" w:hAnsi="Times New Roman"/>
          <w:sz w:val="20"/>
          <w:u w:val="single"/>
        </w:rPr>
        <w:t>seventh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amounts owing by such Defaulting Lender under Section 2.3.(j) in respect of Letters of Credit (such amounts “</w:t>
      </w:r>
      <w:r>
        <w:rPr>
          <w:rFonts w:ascii="Times New Roman" w:hAnsi="Times New Roman"/>
          <w:b/>
          <w:sz w:val="20"/>
        </w:rPr>
        <w:t>L/C Disbursements</w:t>
      </w:r>
      <w:r>
        <w:rPr>
          <w:rFonts w:ascii="Times New Roman" w:hAnsi="Times New Roman"/>
          <w:sz w:val="20"/>
        </w:rPr>
        <w:t xml:space="preserve">”),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and Swingline Loans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Defaulting Lender shall be entitled to receive any Fee payable under Section 3.5.(b) for any period during which that Lender is a Defaulting Lender (and the Borrower shall not be required to pay any such fee that otherwise would have been required to have been paid to that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(ii) Each Defaulting Lender shall be entitled to receive letter of credit fees payable under Section 3.5.(c) for any period during which that Lender is a Defaulting Lender only to the extent allocable to its Revolving Commitment Percentage of the stated amount of Letters of Credit for which it has provided Cash Collateral pursuant to the immediately following subsection (e).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With respect to any Fee that would have been required to be paid to any Defaulting Lender but for the immediately preceding clauses (i) or (ii), the Borrower shall (x) pay to each Non-Defaulting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 (y) pay to each Issuing Bank and Swingline Lender, as applicable, the amount of any such Fee otherwise payable to such Defaulting Lender to the extent allocable to such Issuing Bank’s or Swingline Lender’s Fronting Exposure to such Defaulting Lender, and (z) not be required to pay the remaining amount of any such Fee.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Reallocation of Participations to Reduce Fronting Exposure</w:t>
      </w:r>
      <w:r>
        <w:rPr>
          <w:rFonts w:ascii="Times New Roman" w:hAnsi="Times New Roman"/>
          <w:sz w:val="20"/>
        </w:rPr>
        <w:t xml:space="preserve">.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Commitment) but only to the extent that such reallocation does not cause the aggregate Revolving Credit Exposure of any Non-Defaulting Lender to exceed such Non-Defaulting Lender’s Commitment. Subject to Section 12.22.,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Cash Collateral, Repayment of 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the reallocation described in the immediately preceding subsection (d)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Bank’s Fronting Exposure in accordance with the procedures set forth in this subsection; such prepayment and/or cash collateralization may be provided by a borrowing of Revolving Loans if the conditions precedent thereto are met. </w:t>
      </w:r>
    </w:p>
    <w:p>
      <w:pPr>
        <w:pStyle w:val="TextBody"/>
        <w:bidi w:val="0"/>
        <w:spacing w:before="120" w:after="0"/>
        <w:jc w:val="left"/>
        <w:rPr>
          <w:rFonts w:ascii="Times New Roman" w:hAnsi="Times New Roman"/>
          <w:sz w:val="20"/>
        </w:rPr>
      </w:pPr>
      <w:r>
        <w:rPr>
          <w:rFonts w:ascii="Times New Roman" w:hAnsi="Times New Roman"/>
          <w:sz w:val="20"/>
        </w:rPr>
        <w:t xml:space="preserve">(ii) At any time that there shall exist a Defaulting Lender, within three (3) Business Days following the written request of the Administrative Agent or the Issuing Bank (with a copy to the Administrative Agent), the Borrower shall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 with respect to Letters of Credit issued and outstanding at such time; such cash collateralization may be provided by a borrowing of Revolving Loans if the conditions precedent thereto are met.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to the extent provided by any Defaulting Lender, such Defaulting Lender, hereby grant to the Administrative Agent, for the benefit of the Issuing Bank,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in good faith that Cash Collateral is subject to any right or claim of any Person other than the Administrative Agent and the Issuing Bank as herein provided, or that the total amount of such Cash Collateral is less than the aggregate Fronting Exposure of the Issuing Bank with respect to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 </w:t>
      </w:r>
    </w:p>
    <w:p>
      <w:pPr>
        <w:pStyle w:val="TextBody"/>
        <w:bidi w:val="0"/>
        <w:spacing w:before="120" w:after="0"/>
        <w:jc w:val="left"/>
        <w:rPr>
          <w:rFonts w:ascii="Times New Roman" w:hAnsi="Times New Roman"/>
          <w:sz w:val="20"/>
        </w:rPr>
      </w:pPr>
      <w:r>
        <w:rPr>
          <w:rFonts w:ascii="Times New Roman" w:hAnsi="Times New Roman"/>
          <w:sz w:val="20"/>
        </w:rPr>
        <w:t xml:space="preserve">(v) 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 that there exists excess Cash Collateral; </w:t>
      </w:r>
      <w:r>
        <w:rPr>
          <w:rFonts w:ascii="Times New Roman" w:hAnsi="Times New Roman"/>
          <w:sz w:val="20"/>
          <w:u w:val="single"/>
        </w:rPr>
        <w:t>provided</w:t>
      </w:r>
      <w:r>
        <w:rPr>
          <w:rFonts w:ascii="Times New Roman" w:hAnsi="Times New Roman"/>
          <w:sz w:val="20"/>
        </w:rPr>
        <w:t xml:space="preserve"> that, subject to the immediately preceding subsection (b), the Person providing Cash Collateral and the Issuing Bank may (but shall not be obligated to) agree that Cash Collateral shall be held to support future anticipated Fronting Exposure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Defaulting Lender Cure</w:t>
      </w:r>
      <w:r>
        <w:rPr>
          <w:rFonts w:ascii="Times New Roman" w:hAnsi="Times New Roman"/>
          <w:sz w:val="20"/>
        </w:rPr>
        <w:t xml:space="preserve">. If the Borrower, the Administrative Agent, the Swingline Lender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Revolving Commitment Percentages (determined without giving effect to the immediately preceding subsection (d)),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New Swingline Loans/Letters of Credit</w:t>
      </w:r>
      <w:r>
        <w:rPr>
          <w:rFonts w:ascii="Times New Roman" w:hAnsi="Times New Roman"/>
          <w:sz w:val="20"/>
        </w:rPr>
        <w:t xml:space="preserve">. So long as any Lender is a Defaulting Lender, (i) the Swingline Lender shall not be required to fund any portion of a requested Swingline Loan unless it is satisfied that it will have no Fronting Exposure after giving effect to such funded portion of such Swingline Loan and (ii) the Issuing Bank shall not be required to issue, extend, renew or increase any Letter of Credit in an amount which would expose the Issuing Bank to Fronting Exposure after giving effect thereto; provided, however, that to the extent Defaulting Lender’s participation in Letter of Credit Liabilities and Swingline Loans is reallocated in accordance with Section 3.9.(d), the Swingline Lender and the Issuing Bank shall not be deemed to have Fronting Exposure to the extent of such reallocation to Non-Defaulting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3.10. Taxes; Foreign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Issuing Bank</w:t>
      </w:r>
      <w:r>
        <w:rPr>
          <w:rFonts w:ascii="Times New Roman" w:hAnsi="Times New Roman"/>
          <w:sz w:val="20"/>
        </w:rPr>
        <w:t xml:space="preserve">. For purposes of this Section, the term “Lender” includes the Issuing Banks and the term “Applicable Law” includes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w:t>
      </w:r>
      <w:r>
        <w:rPr>
          <w:rFonts w:ascii="Times New Roman" w:hAnsi="Times New Roman"/>
          <w:sz w:val="20"/>
        </w:rPr>
        <w:t xml:space="preserve">. The Borrower and the other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w:t>
      </w:r>
      <w:r>
        <w:rPr>
          <w:rFonts w:ascii="Times New Roman" w:hAnsi="Times New Roman"/>
          <w:sz w:val="20"/>
        </w:rPr>
        <w:t xml:space="preserve">.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Status of Lenders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an electronic copy (or an original if requested by the Borrower or the Administrative Agent) of an executed IRS Form W-8ECI;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in the case of a Foreign Lender claiming the benefits of the exemption for portfolio interest under Section 881(c) of the Internal Revenue Code, (x) a certificate substantially in the form of Exhibit Q-1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hAnsi="Times New Roman"/>
          <w:b/>
          <w:sz w:val="20"/>
        </w:rPr>
        <w:t>U.S. Tax Compliance Certificate</w:t>
      </w:r>
      <w:r>
        <w:rPr>
          <w:rFonts w:ascii="Times New Roman" w:hAnsi="Times New Roman"/>
          <w:sz w:val="20"/>
        </w:rPr>
        <w:t xml:space="preserve">”) and (y) an electronic copy (or an original if requested by the Borrower or the Administrative Agent) of IRS Form W-8BEN or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Q-2 or Exhibit Q-3,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Q-4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YIELD PROTECTION, ETC.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4.1. Additional Costs; Capital Adequacy.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Adequacy</w:t>
      </w:r>
      <w:r>
        <w:rPr>
          <w:rFonts w:ascii="Times New Roman" w:hAnsi="Times New Roman"/>
          <w:sz w:val="20"/>
        </w:rPr>
        <w:t xml:space="preserve">.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Converting to, Continuing of, or maintaining Loans or participating in Letters of Credit or Swingline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Costs.</w:t>
      </w:r>
      <w:r>
        <w:rPr>
          <w:rFonts w:ascii="Times New Roman" w:hAnsi="Times New Roman"/>
          <w:sz w:val="20"/>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Continuing of, or maintaining of any SOFR Loans or SOFR Margin Loans or its obligation to make any SOFR Loans hereunder, any reduction in any amount receivable by such Lender under this Agreement or any of the other Loan Documents in respect of any of such SOFR Loans or SOFR Margin Loans or such obligation or the maintenance by such Lender of capital in respect of its SOFR Loans or SOFR Margin Loans or its Commitments (such increases in costs and reductions in amounts receivable being herein called “</w:t>
      </w:r>
      <w:r>
        <w:rPr>
          <w:rFonts w:ascii="Times New Roman" w:hAnsi="Times New Roman"/>
          <w:b/>
          <w:sz w:val="20"/>
        </w:rPr>
        <w:t>Additional Costs</w:t>
      </w:r>
      <w:r>
        <w:rPr>
          <w:rFonts w:ascii="Times New Roman" w:hAnsi="Times New Roman"/>
          <w:sz w:val="20"/>
        </w:rPr>
        <w:t xml:space="preserve">”), to the extent resulting from any Regulatory Change that: (i) changes the basis of taxation of any amounts payable to such Lender under this Agreement or any of the other Loan Documents in respect of any of such SOFR Loans or SOFR Margin Loans or its Commitments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or SOFR Margin Loans is determined to the extent utilized to determine Daily Simple SOFR or Term SOFR, as applicable, for such Loans)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imposes on any Lender or the London interbank market any other condition, cost or expense (other than Taxes) affecting this Agreement or the Loans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Lender’s Suspension of SOFR Loans and SOFR Margin Loans.</w:t>
      </w:r>
      <w:r>
        <w:rPr>
          <w:rFonts w:ascii="Times New Roman" w:hAnsi="Times New Roman"/>
          <w:sz w:val="20"/>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Loans or SOFR Margin Loans is determined as provided in this Agreement or a category of extensions of credit or other assets of such Lender that includes SOFR Loans or SOFR Margin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and/or the obligation of a Lender that has outstanding a Bid Rate Quote to make SOFR Margin Loans hereunder shall be suspended until such Regulatory Change ceases to be in effect (in which case the provisions of Section 4.5. shall apply).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Costs in Respect of Letters of Credit</w:t>
      </w:r>
      <w:r>
        <w:rPr>
          <w:rFonts w:ascii="Times New Roman" w:hAnsi="Times New Roman"/>
          <w:sz w:val="20"/>
        </w:rPr>
        <w:t xml:space="preserve">. Without limiting the obligations of the Borrower under the preceding subsections of this Section (but without duplication), if as a result of any Regulatory Change or any risk-based capital guideline or other requirement hereafter issued by any Governmental Authority there shall be imposed, modified or deemed applicable any Tax (other than Indemnified Taxes, Taxes described in clauses (b) through (d) of the definition of Excluded Taxes and Connection Income Taxes), reserve, special deposit, capital adequacy or similar requirement against or with respect to or measured by reference to Letters of Credit and the result shall be to increase the cost to the Issuing Bank of issuing (or any Lender of purchasing participations in) or maintaining its obligation hereunder to issue (or purchase participations in) any Letter of Credit or reduce any amount receivable by the Issuing Bank or any Lender hereunder in respect of any Letter of Credit, then, upon demand by the Issuing Bank or such Lender, the Borrower shall pay promptly to the Issuing Bank or, in the case of such Lender, to the Administrative Agent for the account of such Lender, from time to time as specified by the Issuing Bank or such Lender, such additional amounts as shall be sufficient to compensate the Issuing Bank or such Lender for such increased costs or reductions in amount.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and Determination of Additional Costs</w:t>
      </w:r>
      <w:r>
        <w:rPr>
          <w:rFonts w:ascii="Times New Roman" w:hAnsi="Times New Roman"/>
          <w:sz w:val="20"/>
        </w:rPr>
        <w:t xml:space="preserve">. Each of the Administrative Agent, Issuing Bank, each Lender, and each Participant, as the case may be, agrees to notify the Borrower of any event occurring after the Agreement Date entitling the Administrative Agent, the Issuing Bank, such Lender or such Participant to compensation under any of the preceding subsections of this Section as promptly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practicable; provided, however, that the failure of the Administrative Agent, the Issuing Bank, any Lender or any Participant to give such notice shall not release the Borrower from any of its obligations hereunder (and in the case of a Lender, to the Administrative Agent). The Administrative Agent, the Issuing Bank, each Lender and each Participant, as the case may be, agrees to furnish to the Borrower (and in the case of the Issuing Bank, a Lender or a Participant to the Administrative Agent as well) a certificate setting forth the basis and amount of each request for compensation under this Section. Determinations by the Administrative Agent, the Issuing Bank,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4.2. Inability to Determine Interest Rates; Alternative Rate of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Circumstances Affecting Benchmark Availability</w:t>
      </w:r>
      <w:r>
        <w:rPr>
          <w:rFonts w:ascii="Times New Roman" w:hAnsi="Times New Roman"/>
          <w:sz w:val="20"/>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Daily Simple SOFR pursuant to the definition thereof or Term SOFR with respect to a proposed Term SOFR Loan on or prior to the first day of the applicable Interest Period or (ii) the Requisite Lenders shall determine (which determination shall be conclusive and binding absent manifest error) that Daily Simple SOFR or Term SOFR, as applicable, does not adequately and fairly reflect the cost to such Lenders of making or maintaining any such Loan during, with respect to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Benchmark Replacement</w:t>
      </w:r>
      <w:r>
        <w:rPr>
          <w:rFonts w:ascii="Times New Roman" w:hAnsi="Times New Roman"/>
          <w:sz w:val="20"/>
        </w:rPr>
        <w:t xml:space="preserve">.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Pacific time on the fifth (5th) Business Day after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 w:hAnsi="Times New Roman"/>
          <w:sz w:val="20"/>
          <w:u w:val="single"/>
        </w:rPr>
        <w:t>Section 4.2.(b)(i).</w:t>
      </w:r>
      <w:r>
        <w:rPr>
          <w:rFonts w:ascii="Times New Roman" w:hAnsi="Times New Roman"/>
          <w:sz w:val="20"/>
        </w:rPr>
        <w:t xml:space="preserve"> will occur prior to the applicable Benchmark Transition Start Date. No Derivatives Contract shall be deemed to be a “Loan Document” for purposes of this </w:t>
      </w:r>
      <w:r>
        <w:rPr>
          <w:rFonts w:ascii="Times New Roman" w:hAnsi="Times New Roman"/>
          <w:sz w:val="20"/>
          <w:u w:val="single"/>
        </w:rPr>
        <w:t>Section 4.2.(b)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and the Lenders of the removal or reinstatement of any tenor of a Benchmark pursuant to </w:t>
      </w:r>
      <w:r>
        <w:rPr>
          <w:rFonts w:ascii="Times New Roman" w:hAnsi="Times New Roman"/>
          <w:sz w:val="20"/>
          <w:u w:val="single"/>
        </w:rPr>
        <w:t>Section 4.2.(b)(iv)</w:t>
      </w:r>
      <w:r>
        <w:rPr>
          <w:rFonts w:ascii="Times New Roman" w:hAnsi="Times New Roman"/>
          <w:sz w:val="20"/>
        </w:rPr>
        <w:t xml:space="preserve">. Any determination, decision or election that may be made by the Administrative Agent or, if applicable, any Lender (or group of Lenders) pursuant to this </w:t>
      </w:r>
      <w:r>
        <w:rPr>
          <w:rFonts w:ascii="Times New Roman" w:hAnsi="Times New Roman"/>
          <w:sz w:val="20"/>
          <w:u w:val="single"/>
        </w:rPr>
        <w:t>Section 4.2.</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 w:hAnsi="Times New Roman"/>
          <w:sz w:val="20"/>
          <w:u w:val="single"/>
        </w:rPr>
        <w:t>Section 4.2</w:t>
      </w:r>
      <w:r>
        <w:rPr>
          <w:rFonts w:ascii="Times New Roman" w:hAnsi="Times New Roman"/>
          <w:sz w:val="20"/>
        </w:rPr>
        <w:t xml:space="preserve"> (including in the definitions of defined terms used in such clauses).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with respect to a given Benchmark, (A) the Borrower may revoke any pending request for a borrowing of Revolving Loans, Conversion to, or a Continuation of any affected SOFR Loans to be made, converted or continued during any Benchmark Unavailability Period and, failing that, the Borrower will be deemed to have converted any such request into a request for a borrowing of Revolving Loans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4.3. Illegality.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(a) if any Lender shall reasonably determine (which determination shall be conclusive and binding) that it is unlawful for such Lender to honor its obligation to make, Convert to, Continue or maintain SOFR Loans hereunder and/or (b) if any Lender that has an outstanding Bid Rate Quote shall reasonably determine (which determination shall be conclusive and binding) that it is unlawful for such Lender to honor its obligation to make or maintain SOFR Margin Loans hereunder, then such Lender shall promptly notify the Borrower thereof (with a copy of such notice to the Administrative Agent) and such Lender’s obligation to make or Continue, or to Convert Loans of any other Type into, SOFR Loans shall be suspended and/or such Lender’s obligation to make SOFR Margin Loans shall be suspended, in each case, until such time as such Lender may again make and maintain SOFR Loans or SOFR Margin Loans (in which case the provisions of Section 4.5. shall be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4.4.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 </w:t>
      </w:r>
    </w:p>
    <w:p>
      <w:pPr>
        <w:pStyle w:val="TextBody"/>
        <w:bidi w:val="0"/>
        <w:spacing w:before="120" w:after="0"/>
        <w:jc w:val="left"/>
        <w:rPr>
          <w:rFonts w:ascii="Times New Roman" w:hAnsi="Times New Roman"/>
          <w:sz w:val="20"/>
        </w:rPr>
      </w:pPr>
      <w:r>
        <w:rPr>
          <w:rFonts w:ascii="Times New Roman" w:hAnsi="Times New Roman"/>
          <w:sz w:val="20"/>
        </w:rPr>
        <w:t xml:space="preserve">(a) any payment or prepayment (whether mandatory or optional) of a SOFR Loan or a Bid Rate Loan, or Conversion of a SOFR Loan, made by such Lender for any reason (including, without limitation, acceleration) on a date other than, with respect to any Term SOFR Loan, the last day of the Interest Period therefor; or </w:t>
      </w:r>
    </w:p>
    <w:p>
      <w:pPr>
        <w:pStyle w:val="TextBody"/>
        <w:bidi w:val="0"/>
        <w:spacing w:before="120" w:after="0"/>
        <w:jc w:val="left"/>
        <w:rPr>
          <w:rFonts w:ascii="Times New Roman" w:hAnsi="Times New Roman"/>
          <w:sz w:val="20"/>
        </w:rPr>
      </w:pPr>
      <w:r>
        <w:rPr>
          <w:rFonts w:ascii="Times New Roman" w:hAnsi="Times New Roman"/>
          <w:sz w:val="20"/>
        </w:rPr>
        <w:t xml:space="preserve">(b) any failure by the Borrower for any reason (including, without limitation, the failure of any of the applicable conditions precedent specified in Article 5.2. to be satisfied) to borrow a SOFR Loan or a Bid Rate Loan from such Lender on the date for such borrowing, or to Convert a Base Rate Loan into a SOFR Loan, or Continue a SOFR Loan on the requested date of such Conversion or Continuation. </w:t>
      </w:r>
    </w:p>
    <w:p>
      <w:pPr>
        <w:pStyle w:val="TextBody"/>
        <w:bidi w:val="0"/>
        <w:spacing w:before="240" w:after="0"/>
        <w:jc w:val="left"/>
        <w:rPr>
          <w:rFonts w:ascii="Times New Roman" w:hAnsi="Times New Roman"/>
          <w:sz w:val="20"/>
        </w:rPr>
      </w:pPr>
      <w:r>
        <w:rPr>
          <w:rFonts w:ascii="Times New Roman" w:hAnsi="Times New Roman"/>
          <w:sz w:val="20"/>
        </w:rPr>
        <w:t xml:space="preserve">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4.5. Treatment of Affected Loans. </w:t>
      </w:r>
    </w:p>
    <w:p>
      <w:pPr>
        <w:pStyle w:val="TextBody"/>
        <w:bidi w:val="0"/>
        <w:spacing w:before="120" w:after="0"/>
        <w:jc w:val="left"/>
        <w:rPr>
          <w:rFonts w:ascii="Times New Roman" w:hAnsi="Times New Roman"/>
          <w:sz w:val="20"/>
        </w:rPr>
      </w:pPr>
      <w:r>
        <w:rPr>
          <w:rFonts w:ascii="Times New Roman" w:hAnsi="Times New Roman"/>
          <w:sz w:val="20"/>
        </w:rPr>
        <w:t xml:space="preserve">(a) 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such Lender’s SOFR Loans have been so Converted, all payments and prepayments of principal that would otherwise be applied to such Lender’s SOFR Loans shall be applied instead to its Base Rate Loans; and </w:t>
      </w:r>
    </w:p>
    <w:p>
      <w:pPr>
        <w:pStyle w:val="TextBody"/>
        <w:bidi w:val="0"/>
        <w:spacing w:before="120" w:after="0"/>
        <w:jc w:val="left"/>
        <w:rPr>
          <w:rFonts w:ascii="Times New Roman" w:hAnsi="Times New Roman"/>
          <w:sz w:val="20"/>
        </w:rPr>
      </w:pPr>
      <w:r>
        <w:rPr>
          <w:rFonts w:ascii="Times New Roman" w:hAnsi="Times New Roman"/>
          <w:sz w:val="20"/>
        </w:rPr>
        <w:t xml:space="preserve">(ii) all Loans that would otherwise be made or Continued by such Lender as SOFR Loans shall be made or Continued instead as Base Rate Loans, and all Base Rate Loans of such Lender that would otherwise be Converted into SOFR Loans shall remain as Base Rate Loans. </w:t>
      </w:r>
    </w:p>
    <w:p>
      <w:pPr>
        <w:pStyle w:val="TextBody"/>
        <w:bidi w:val="0"/>
        <w:spacing w:before="240" w:after="0"/>
        <w:jc w:val="left"/>
        <w:rPr>
          <w:rFonts w:ascii="Times New Roman" w:hAnsi="Times New Roman"/>
          <w:sz w:val="20"/>
        </w:rPr>
      </w:pPr>
      <w:r>
        <w:rPr>
          <w:rFonts w:ascii="Times New Roman" w:hAnsi="Times New Roman"/>
          <w:sz w:val="20"/>
        </w:rPr>
        <w:t xml:space="preserve">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circumstances ceasing to exist) at a time when SOFR Loans made by other Lenders are outstanding, then 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Types, and Interest Periods) in accordance with their respective Commitments. </w:t>
      </w:r>
    </w:p>
    <w:p>
      <w:pPr>
        <w:pStyle w:val="TextBody"/>
        <w:bidi w:val="0"/>
        <w:spacing w:before="240" w:after="0"/>
        <w:jc w:val="left"/>
        <w:rPr>
          <w:rFonts w:ascii="Times New Roman" w:hAnsi="Times New Roman"/>
          <w:sz w:val="20"/>
        </w:rPr>
      </w:pPr>
      <w:r>
        <w:rPr>
          <w:rFonts w:ascii="Times New Roman" w:hAnsi="Times New Roman"/>
          <w:sz w:val="20"/>
        </w:rPr>
        <w:t xml:space="preserve">(b) If the obligation of a Lender to make SOFR Margin Loans shall be suspended pursuant to Section 4.1.(c) or 4.2., then, to the extent payable on such date with a borrowing of Revolving Loans hereunder, the SOFR Margin Loans of such Lender shall be automatically due and payable on such date as such Lender may specify to the Borrower by written notice with a copy to the Administrative Agent; provided that to the extent a borrowing of Revolving Loans in such amount is not available hereunder, then, unless otherwise provided to the contrary in an agreement between the Borrower and the provider of such SOFR Margin Loans, the rate applicable to such Loans shall automatically be converted on such date in to Loans bearing interest at the Base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4.6. Affected Lenders. </w:t>
      </w:r>
    </w:p>
    <w:p>
      <w:pPr>
        <w:pStyle w:val="TextBody"/>
        <w:bidi w:val="0"/>
        <w:spacing w:before="120" w:after="0"/>
        <w:jc w:val="left"/>
        <w:rPr>
          <w:rFonts w:ascii="Times New Roman" w:hAnsi="Times New Roman"/>
          <w:sz w:val="20"/>
        </w:rPr>
      </w:pPr>
      <w:r>
        <w:rPr>
          <w:rFonts w:ascii="Times New Roman" w:hAnsi="Times New Roman"/>
          <w:sz w:val="20"/>
        </w:rPr>
        <w:t xml:space="preserve">If (a) a Lender requests compensation pursuant to Section 3.10. or 4.1., and the Requisite Lenders are not also doing the same, or (b) the obligation of any Lender to make SOFR Loans or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voted in favor of such amendment, modification or waiver or (d) a Lender becomes a Defaulting Lender, then, so long as there does not then exist any Event of Default, the Borrower may demand that such Lender (the “</w:t>
      </w:r>
      <w:r>
        <w:rPr>
          <w:rFonts w:ascii="Times New Roman" w:hAnsi="Times New Roman"/>
          <w:b/>
          <w:sz w:val="20"/>
        </w:rPr>
        <w:t>Affected Lender</w:t>
      </w:r>
      <w:r>
        <w:rPr>
          <w:rFonts w:ascii="Times New Roman" w:hAnsi="Times New Roman"/>
          <w:sz w:val="20"/>
        </w:rPr>
        <w:t xml:space="preserve">”), and upon such demand the Affected Lender shall promptly, assign its Commitment to an Eligible Assignee subject to and in accordance with the provisions of Section 12.6.(b) for a purchase price equal to (x) the aggregate principal balance of all Loans then owing to the Affected Lender, plus (y) the aggregate amount of payments previously made by the Affected Lender under Section 2.3.(j)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4.7. Change of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4.8. Assumptions Concerning Funding of SOFR Loans. </w:t>
      </w:r>
    </w:p>
    <w:p>
      <w:pPr>
        <w:pStyle w:val="TextBody"/>
        <w:bidi w:val="0"/>
        <w:spacing w:before="120" w:after="0"/>
        <w:jc w:val="left"/>
        <w:rPr>
          <w:rFonts w:ascii="Times New Roman" w:hAnsi="Times New Roman"/>
          <w:sz w:val="20"/>
        </w:rPr>
      </w:pPr>
      <w:r>
        <w:rPr>
          <w:rFonts w:ascii="Times New Roman" w:hAnsi="Times New Roman"/>
          <w:sz w:val="20"/>
        </w:rPr>
        <w:t xml:space="preserve">Calculation of all amounts payable to a Lender under this Article shall be made as though such Lender had actually funded Daily Simple SOFR Loans and/or Term SOFR Loans, as applicable, through the purchase of deposits in the relevant market bearing interest at the rate applicable to such Daily Simple SOFR Loans and/or Term SOFR Loans, as applicable, in an amount equal to the amount of such Daily Simple SOFR Loans and/or Term SOFR Loans, as applicable, and having a maturity comparable to the relevant interest payment date or Interest Period, as applicable; provided, however, that each Lender may fund each of its Daily Simple SOFR Loans and/or Term SOFR Loans, as applicable, in any manner it sees fit and the foregoing assumption shall be used only for calculation of amounts payable under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CONDITIONS PRECEDENT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 Initial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Lenders to effect or permit the occurrence of the first Credit Event hereunder, whether as the making of a Loan or the issuance of a Letter of Credit, is subject to the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Agreement executed by each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Revolving Notes and Bid Rate Notes executed by the Borrower, payable to each applicable Lender (including any Designated Lender, if applicable) and complying with the terms of Section 2.11.(a) and the Swingline Note executed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(iii) the Guaranty executed by each of the Guarantors, if applicable, initially to be a party thereto; </w:t>
      </w:r>
    </w:p>
    <w:p>
      <w:pPr>
        <w:pStyle w:val="TextBody"/>
        <w:bidi w:val="0"/>
        <w:spacing w:before="120" w:after="0"/>
        <w:jc w:val="left"/>
        <w:rPr>
          <w:rFonts w:ascii="Times New Roman" w:hAnsi="Times New Roman"/>
          <w:sz w:val="20"/>
        </w:rPr>
      </w:pPr>
      <w:r>
        <w:rPr>
          <w:rFonts w:ascii="Times New Roman" w:hAnsi="Times New Roman"/>
          <w:sz w:val="20"/>
        </w:rPr>
        <w:t xml:space="preserve">(iv) an opinion of Pillsbury Winthrop Shaw Pittman LLP, counsel to the Borrower and the other Loan Parties, addressed to the Administrative Agent and the Lenders and covering the matters set forth in Exhibit O; </w:t>
      </w:r>
    </w:p>
    <w:p>
      <w:pPr>
        <w:pStyle w:val="TextBody"/>
        <w:bidi w:val="0"/>
        <w:spacing w:before="120" w:after="0"/>
        <w:jc w:val="left"/>
        <w:rPr>
          <w:rFonts w:ascii="Times New Roman" w:hAnsi="Times New Roman"/>
          <w:sz w:val="20"/>
        </w:rPr>
      </w:pPr>
      <w:r>
        <w:rPr>
          <w:rFonts w:ascii="Times New Roman" w:hAnsi="Times New Roman"/>
          <w:sz w:val="20"/>
        </w:rPr>
        <w:t xml:space="preserve">(v)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Notices of Swingline Borrowing, requests for Letters of Credit, Notices of Conversion and Notices of Continuation; </w:t>
      </w:r>
    </w:p>
    <w:p>
      <w:pPr>
        <w:pStyle w:val="TextBody"/>
        <w:bidi w:val="0"/>
        <w:spacing w:before="120" w:after="0"/>
        <w:jc w:val="left"/>
        <w:rPr>
          <w:rFonts w:ascii="Times New Roman" w:hAnsi="Times New Roman"/>
          <w:sz w:val="20"/>
        </w:rPr>
      </w:pPr>
      <w:r>
        <w:rPr>
          <w:rFonts w:ascii="Times New Roman" w:hAnsi="Times New Roman"/>
          <w:sz w:val="20"/>
        </w:rPr>
        <w:t xml:space="preserve">(viii) 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(ix) a Compliance Certificate calculated on a pro forma basis for the Borrower’s fiscal quarter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(x) a Disbursement Instruction Agreement effective as of the Agreement Date, solely to the extent reasonably requested by the Administrative Agent prior to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(xi)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(xii) 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such other documents, agreements and instruments as the Administrative Agent, or any Lender through the Administrative Agent,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(b) In the good faith judgment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(v) 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not have occurred or exist any other material disruption of financial or capital markets that could reasonably be expected to materially and adversely affect the transactions contemplated by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Conditions Precedent to All Loans and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(i) Lenders to make any Loans and (ii) the Issuing Bank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2.15. would occur after giving effect thereto; (b) the representations and warranties (other than, solely in the case of the obligation of the Lenders to make any Loans, the representations and warranties set forth in Sections 6.1.(i)(i) and 6.1.(l)(i))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 the case of the borrowing of Revolving Loans, the Administrative Agent shall have received a timely Notice of Borrowing, or in the case of a Swingline Loan, the Swingline Lender shall have received a timely Notice of Swingline Borrowing.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 have been satisfied. Unless set forth in writing to the contrary, the making of its initial Loan by a Lender shall constitute a certification by such Lender to the Administrative Agent and the other Lenders that the conditions precedent for initial Loans set forth in Section 5.1. that have not previously been waived by the Lenders in accordance with the terms of this Agreement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REPRESENTATIONS AND WARRANTIES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the Administrative Agent and each Lender to enter into this Agreement and to make Loans and, in the case of the Issuing Bank, to issue Letters of Credit, the Borrower represents and warrants to the Administrative Agent, the Issuing Bank and each Lender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Power; Qualification</w:t>
      </w:r>
      <w:r>
        <w:rPr>
          <w:rFonts w:ascii="Times New Roman" w:hAnsi="Times New Roman"/>
          <w:sz w:val="20"/>
        </w:rPr>
        <w:t xml:space="preserve">.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Ownership Structure</w:t>
      </w:r>
      <w:r>
        <w:rPr>
          <w:rFonts w:ascii="Times New Roman" w:hAnsi="Times New Roman"/>
          <w:sz w:val="20"/>
        </w:rPr>
        <w:t xml:space="preserve">. Part I of Schedule 6.1.(b) is, as of the Agreement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of the Borrower, whether such Subsidiary is a Material Subsidiary and/or an Excluded Subsidiary and whether such Subsidiary owns a Non-Controlled Property (and, if so, which one(s)). As of the Agreement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of Loan Documents with Laws</w:t>
      </w:r>
      <w:r>
        <w:rPr>
          <w:rFonts w:ascii="Times New Roman" w:hAnsi="Times New Roman"/>
          <w:sz w:val="20"/>
        </w:rPr>
        <w:t xml:space="preserve">.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and the Issuing Bank.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Law; Governmental Approvals</w:t>
      </w:r>
      <w:r>
        <w:rPr>
          <w:rFonts w:ascii="Times New Roman" w:hAnsi="Times New Roman"/>
          <w:sz w:val="20"/>
        </w:rPr>
        <w:t xml:space="preserve">.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Title to Properties; Liens</w:t>
      </w:r>
      <w:r>
        <w:rPr>
          <w:rFonts w:ascii="Times New Roman" w:hAnsi="Times New Roman"/>
          <w:sz w:val="20"/>
        </w:rPr>
        <w:t xml:space="preserve">.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Existing Indebtedness</w:t>
      </w:r>
      <w:r>
        <w:rPr>
          <w:rFonts w:ascii="Times New Roman" w:hAnsi="Times New Roman"/>
          <w:sz w:val="20"/>
        </w:rPr>
        <w:t xml:space="preserve">. Schedule 6.1.(g) is, as of December 31, 2025,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December 31, 2025 through the Agreement Date, neither the Borrower nor any of its Subsidiaries has incurred any Indebtedness having an outstanding principal balance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Affected Financial Institution</w:t>
      </w:r>
      <w:r>
        <w:rPr>
          <w:rFonts w:ascii="Times New Roman" w:hAnsi="Times New Roman"/>
          <w:sz w:val="20"/>
        </w:rPr>
        <w:t xml:space="preserve">. None of the Parent, the General Partner or any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Litigation</w:t>
      </w:r>
      <w:r>
        <w:rPr>
          <w:rFonts w:ascii="Times New Roman" w:hAnsi="Times New Roman"/>
          <w:sz w:val="20"/>
        </w:rPr>
        <w:t xml:space="preserve">.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Taxes</w:t>
      </w:r>
      <w:r>
        <w:rPr>
          <w:rFonts w:ascii="Times New Roman" w:hAnsi="Times New Roman"/>
          <w:sz w:val="20"/>
        </w:rPr>
        <w:t xml:space="preserve">.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Financial Statements</w:t>
      </w:r>
      <w:r>
        <w:rPr>
          <w:rFonts w:ascii="Times New Roman" w:hAnsi="Times New Roman"/>
          <w:sz w:val="20"/>
        </w:rPr>
        <w:t xml:space="preserve">. The Borrower has furnished to each Lender copies of the audited consolidated balance sheets of the Borrower and its consolidated Subsidiaries as of December 31, 2024 and December 31, 2025, and the related audited consolidated statements of comprehensive income, capital and cash flows for the years ended on such dates, with the opinion thereon of Grant Thornton LLP. Such financial statements (including in each case related schedules and notes) present fairly, in all material respects and in accordance with GAAP consistently applied throughout the periods involved, the consolidated financial position of the Borrower and its consolidated Subsidiaries as at their respective dates and the results of operations and the cash flows for such periods. Neither the Borrower nor any of its Subsidiaries has on the Agreement Date any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 or that would not be, individually or in the aggregate,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Since December 31, 2025, there has been no event, change, circumstance or occurrence that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Borrower, the other Loan Parties and the other Subsidiaries is Solvent.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does not exceed the “fair market value of plan assets” for such Plans by more than $10,000,000 all as determined by and with such terms defined in accordance with FASB ASC 715. </w:t>
      </w:r>
    </w:p>
    <w:p>
      <w:pPr>
        <w:pStyle w:val="TextBody"/>
        <w:bidi w:val="0"/>
        <w:spacing w:before="120" w:after="0"/>
        <w:jc w:val="left"/>
        <w:rPr>
          <w:rFonts w:ascii="Times New Roman" w:hAnsi="Times New Roman"/>
          <w:sz w:val="20"/>
        </w:rPr>
      </w:pPr>
      <w:r>
        <w:rPr>
          <w:rFonts w:ascii="Times New Roman" w:hAnsi="Times New Roman"/>
          <w:sz w:val="20"/>
        </w:rPr>
        <w:t xml:space="preserve">(iii) 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Absence of Default</w:t>
      </w:r>
      <w:r>
        <w:rPr>
          <w:rFonts w:ascii="Times New Roman" w:hAnsi="Times New Roman"/>
          <w:sz w:val="20"/>
        </w:rPr>
        <w:t xml:space="preserve">.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Environmental Laws</w:t>
      </w:r>
      <w:r>
        <w:rPr>
          <w:rFonts w:ascii="Times New Roman" w:hAnsi="Times New Roman"/>
          <w:sz w:val="20"/>
        </w:rPr>
        <w:t xml:space="preserve">.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Investment Company</w:t>
      </w:r>
      <w:r>
        <w:rPr>
          <w:rFonts w:ascii="Times New Roman" w:hAnsi="Times New Roman"/>
          <w:sz w:val="20"/>
        </w:rPr>
        <w:t xml:space="preserve">.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Margin Stock</w:t>
      </w:r>
      <w:r>
        <w:rPr>
          <w:rFonts w:ascii="Times New Roman" w:hAnsi="Times New Roman"/>
          <w:sz w:val="20"/>
        </w:rPr>
        <w:t xml:space="preserve">.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Affiliate Transactions</w:t>
      </w:r>
      <w:r>
        <w:rPr>
          <w:rFonts w:ascii="Times New Roman" w:hAnsi="Times New Roman"/>
          <w:sz w:val="20"/>
        </w:rPr>
        <w:t xml:space="preserve">. Except as permitted by Section 9.9., none of the Borrower, any other Loan Party or any other Subsidiary is a party to or bound by any agreement or arrangement with any Affiliate.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w:t>
      </w:r>
      <w:r>
        <w:rPr>
          <w:rFonts w:ascii="Times New Roman" w:hAnsi="Times New Roman"/>
          <w:sz w:val="20"/>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hAnsi="Times New Roman"/>
          <w:b/>
          <w:sz w:val="20"/>
        </w:rPr>
        <w:t>Intellectual Property</w:t>
      </w:r>
      <w:r>
        <w:rPr>
          <w:rFonts w:ascii="Times New Roman" w:hAnsi="Times New Roman"/>
          <w:sz w:val="20"/>
        </w:rPr>
        <w:t xml:space="preserve">”)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Business</w:t>
      </w:r>
      <w:r>
        <w:rPr>
          <w:rFonts w:ascii="Times New Roman" w:hAnsi="Times New Roman"/>
          <w:sz w:val="20"/>
        </w:rPr>
        <w:t xml:space="preserv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Broker’s Fees</w:t>
      </w:r>
      <w:r>
        <w:rPr>
          <w:rFonts w:ascii="Times New Roman" w:hAnsi="Times New Roman"/>
          <w:sz w:val="20"/>
        </w:rPr>
        <w:t xml:space="preserve">.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Accuracy and Completeness of Information</w:t>
      </w:r>
      <w:r>
        <w:rPr>
          <w:rFonts w:ascii="Times New Roman" w:hAnsi="Times New Roman"/>
          <w:sz w:val="20"/>
        </w:rPr>
        <w:t xml:space="preserve">.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 Plan Assets; No Prohibited Transactions</w:t>
      </w:r>
      <w:r>
        <w:rPr>
          <w:rFonts w:ascii="Times New Roman" w:hAnsi="Times New Roman"/>
          <w:sz w:val="20"/>
        </w:rPr>
        <w:t xml:space="preserve">.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Anti-Corruption Laws; Anti-Money Laundering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(iii) 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(iv) No proceeds of any Loan or Letter of Credit have been used, directly or indirectly, by the Borrower, any of its Subsidiaries or any of its or their respective directors, officers, employees and agents in violation of Section 9.13.(c).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REIT Status</w:t>
      </w:r>
      <w:r>
        <w:rPr>
          <w:rFonts w:ascii="Times New Roman" w:hAnsi="Times New Roman"/>
          <w:sz w:val="20"/>
        </w:rPr>
        <w:t xml:space="preserve">. The Parent qualifies as, and has elected to be treated as, a REIT and is in compliance with all requirements and conditions imposed under the Internal Revenue Code to allow the Parent to maintain its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Unencumbered Assets</w:t>
      </w:r>
      <w:r>
        <w:rPr>
          <w:rFonts w:ascii="Times New Roman" w:hAnsi="Times New Roman"/>
          <w:sz w:val="20"/>
        </w:rPr>
        <w:t xml:space="preserve">.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Outbound Investment Rules</w:t>
      </w:r>
      <w:r>
        <w:rPr>
          <w:rFonts w:ascii="Times New Roman" w:hAnsi="Times New Roman"/>
          <w:sz w:val="20"/>
        </w:rPr>
        <w:t xml:space="preserve">. No Loan Party is a ‘covered foreign person’ as that term is used in the Outbound Investment Rules. No Loan Party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the Lenders to be in violation of the Outbound Investment Rules or cause the Lenders to be legally prohibited by the Outbound Investment Rules from performing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6.2. Survival of Representations and Warranties, Etc. </w:t>
      </w:r>
    </w:p>
    <w:p>
      <w:pPr>
        <w:pStyle w:val="TextBody"/>
        <w:bidi w:val="0"/>
        <w:spacing w:before="120" w:after="0"/>
        <w:jc w:val="left"/>
        <w:rPr>
          <w:rFonts w:ascii="Times New Roman" w:hAnsi="Times New Roman"/>
          <w:sz w:val="20"/>
        </w:rPr>
      </w:pPr>
      <w:r>
        <w:rPr>
          <w:rFonts w:ascii="Times New Roman" w:hAnsi="Times New Roman"/>
          <w:sz w:val="20"/>
        </w:rPr>
        <w:t xml:space="preserve">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Revolving Termination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and the issuance of the Letters of Credit.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provided for in Section 12.7., the Borrower shall comply with the following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 Preservation of Existence and Similar Matters.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7.2.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all Applicable Laws, including the obtaining of all Governmental Approvals, the failure with which to comply could reasonably be expected to have a Material Adverse Effect. The Parent shall comply with all Applicable Laws, including the obtaining of all Governmental Approvals, the failure with which to comply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7.3. Maintenance of Property.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7.4. Conduct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carry on its respective businesses as described in Section 6.1.(t).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7.5.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7.6. Payment of Taxes and Claims.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7.7. Books and Records; Inspections.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7.8.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Loans only to (i) satisfy and pay in full all indebtedness, liabilities and obligations owing under the Existing Credit Agreement, (ii) provide for the general working capital needs of the Borrower and its Subsidiaries and (iii) for other general corporate purposes of the Borrower and its Subsidiaries. The Borrower shall only use Letters of Credit for the same purposes for which it may use the proceeds of Loans.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7.9.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Further Assurances. </w:t>
      </w:r>
    </w:p>
    <w:p>
      <w:pPr>
        <w:pStyle w:val="TextBody"/>
        <w:bidi w:val="0"/>
        <w:spacing w:before="120" w:after="0"/>
        <w:jc w:val="left"/>
        <w:rPr>
          <w:rFonts w:ascii="Times New Roman" w:hAnsi="Times New Roman"/>
          <w:sz w:val="20"/>
        </w:rPr>
      </w:pPr>
      <w:r>
        <w:rPr>
          <w:rFonts w:ascii="Times New Roman" w:hAnsi="Times New Roman"/>
          <w:sz w:val="20"/>
        </w:rPr>
        <w:t xml:space="preserve">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Compliance with Anti-Corruption Laws; Beneficial Ownership Regulation, Anti-Money Laundering Laws and Sanctions. </w:t>
      </w:r>
    </w:p>
    <w:p>
      <w:pPr>
        <w:pStyle w:val="TextBody"/>
        <w:bidi w:val="0"/>
        <w:spacing w:before="120" w:after="0"/>
        <w:jc w:val="left"/>
        <w:rPr>
          <w:rFonts w:ascii="Times New Roman" w:hAnsi="Times New Roman"/>
          <w:sz w:val="20"/>
        </w:rPr>
      </w:pPr>
      <w:r>
        <w:rPr>
          <w:rFonts w:ascii="Times New Roman" w:hAnsi="Times New Roman"/>
          <w:sz w:val="20"/>
        </w:rPr>
        <w:t xml:space="preserve">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7.12. REIT Status.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at all times maintain its status as, and election to be treated as, a REIT under the Internal Revenue Code.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7.14. Guarantors; Assets Included in Unencumbered Asset Value. </w:t>
      </w:r>
    </w:p>
    <w:p>
      <w:pPr>
        <w:pStyle w:val="TextBody"/>
        <w:bidi w:val="0"/>
        <w:spacing w:before="120" w:after="0"/>
        <w:jc w:val="left"/>
        <w:rPr>
          <w:rFonts w:ascii="Times New Roman" w:hAnsi="Times New Roman"/>
          <w:sz w:val="20"/>
        </w:rPr>
      </w:pPr>
      <w:r>
        <w:rPr>
          <w:rFonts w:ascii="Times New Roman" w:hAnsi="Times New Roman"/>
          <w:sz w:val="20"/>
        </w:rPr>
        <w:t xml:space="preserve">(a) Within 10 Business Days of the first date on which any Subsidiary (other than a Subsidiary owning a Non-Controlled Property) that is not already a Guarantor (A) owns any asset the value of which is included in the determination of Unencumbered Asset Value and (B) has incurred, acquired or suffered to exist any Recourse Indebtedness,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(b) 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 the Parent or General Partner, as the case may be, Guarantees, or otherwise becomes obligated in respect of, any Indebtedness of the Borrower or any Subsidiary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(y) the Parent or General Partner, as the case may be, fails to satisfy the requirements of Section 9.14 hereto.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In order to avoid a Subsidiary being required to provide an Accession Agreement or Guaranty and related deliverables because it satisfies the requirements of subclauses (A) and (B) of clause (a) above or so that any Subsidiary qualifies as an Excluded Subsidiary, as of any date the Borrower may elect to remove assets of any Subsidiary from Unencumbered Asset Value which were previously included therein by requesting in writing to the Administrative Agent that such assets not be included in Unencumbered Asset Value and delivering to the Administrative Agent an updated pro forma Compliance Certificate giving effect to the removal of such asset(s) and demonstrating that no Default or Event of Default is then in existence or would occur as a result of such removal, including, without limitation, a Default or Event of Default resulting from a violation of any of the covenants contained in Section 9.1.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8.1. Quarterly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ending March 31, 2026), the unaudited consolidated balance sheet of the Borrower and its Subsidiaries as at the end of such period and the related unaudited consolidated statements of comprehensive income, capital and cash flows of the Borrower and its consolidated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all material respects and in accordance with GAAP, the consolidated financial position of the Borrower and its consolidated Subsidiaries as at the date thereof and the results of operations for such period (subject to normal year-end audit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8.2. Year-End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consolidated Subsidiaries as at the end of such fiscal year and the related audited consolidated statements of comprehensive income, capital and cash flows of the Borrower and its consolidated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all material respects and in accordance with GAAP, the consolidated financial position of the Borrower and its consolidated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8.3. Compliance Certificate. </w:t>
      </w:r>
    </w:p>
    <w:p>
      <w:pPr>
        <w:pStyle w:val="TextBody"/>
        <w:bidi w:val="0"/>
        <w:spacing w:before="120" w:after="0"/>
        <w:jc w:val="left"/>
        <w:rPr>
          <w:rFonts w:ascii="Times New Roman" w:hAnsi="Times New Roman"/>
          <w:sz w:val="20"/>
        </w:rPr>
      </w:pPr>
      <w:r>
        <w:rPr>
          <w:rFonts w:ascii="Times New Roman" w:hAnsi="Times New Roman"/>
          <w:sz w:val="20"/>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P (a “</w:t>
      </w:r>
      <w:r>
        <w:rPr>
          <w:rFonts w:ascii="Times New Roman" w:hAnsi="Times New Roman"/>
          <w:b/>
          <w:sz w:val="20"/>
        </w:rPr>
        <w:t>Compliance Certificate</w:t>
      </w:r>
      <w:r>
        <w:rPr>
          <w:rFonts w:ascii="Times New Roman" w:hAnsi="Times New Roman"/>
          <w:sz w:val="20"/>
        </w:rPr>
        <w:t xml:space="preserve">”)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8.4.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 Promptly upon receipt thereof, copies of all management reports, if any, submitted to the Borrower or its partners by its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(c) 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 </w:t>
      </w:r>
    </w:p>
    <w:p>
      <w:pPr>
        <w:pStyle w:val="TextBody"/>
        <w:bidi w:val="0"/>
        <w:spacing w:before="240" w:after="0"/>
        <w:jc w:val="left"/>
        <w:rPr>
          <w:rFonts w:ascii="Times New Roman" w:hAnsi="Times New Roman"/>
          <w:sz w:val="20"/>
        </w:rPr>
      </w:pPr>
      <w:r>
        <w:rPr>
          <w:rFonts w:ascii="Times New Roman" w:hAnsi="Times New Roman"/>
          <w:sz w:val="20"/>
        </w:rPr>
        <w:t xml:space="preserve">(g) [Reserved]; </w:t>
      </w:r>
    </w:p>
    <w:p>
      <w:pPr>
        <w:pStyle w:val="TextBody"/>
        <w:bidi w:val="0"/>
        <w:spacing w:before="240" w:after="0"/>
        <w:jc w:val="left"/>
        <w:rPr>
          <w:rFonts w:ascii="Times New Roman" w:hAnsi="Times New Roman"/>
          <w:sz w:val="20"/>
        </w:rPr>
      </w:pPr>
      <w:r>
        <w:rPr>
          <w:rFonts w:ascii="Times New Roman" w:hAnsi="Times New Roman"/>
          <w:sz w:val="20"/>
        </w:rPr>
        <w:t xml:space="preserve">(h) Prompt notice of any change in the business, assets, liabilities, financial condition or results of operations of the Borrower, any Subsidiary or any other Loan Party which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Promptly upon a Responsible Officer of the Borrower obtaining knowledge thereof, prompt notice of the occurrence of any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(j) Prompt notice of any order, judgment or decree not covered by insurance in excess of $25,000,000 having been entered against any Loan Party or any other Subsidiary or any of their respective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(k) Prompt notice if the Borrower, any Subsidiary or any other Loan Party shall receive any notification from any Governmental Authority alleging a violation of any Applicable Law or any inquiry which, in either case,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 </w:t>
      </w:r>
    </w:p>
    <w:p>
      <w:pPr>
        <w:pStyle w:val="TextBody"/>
        <w:bidi w:val="0"/>
        <w:spacing w:before="240" w:after="0"/>
        <w:jc w:val="left"/>
        <w:rPr>
          <w:rFonts w:ascii="Times New Roman" w:hAnsi="Times New Roman"/>
          <w:sz w:val="20"/>
        </w:rPr>
      </w:pPr>
      <w:r>
        <w:rPr>
          <w:rFonts w:ascii="Times New Roman" w:hAnsi="Times New Roman"/>
          <w:sz w:val="20"/>
        </w:rPr>
        <w:t xml:space="preserve">(m) Promptly upon the request of the Administrative Agent, evidence of the Borrower’s calculation of the Ownership Share with respect to a Subsidiary or an Unconsolidated Affiliate, such evidence to be in form and detail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Promptly, upon any change in the Borrower’s Credit Rating, a certificate stating that the Borrower’s Credit Rating has changed and the new Credit Rating that is in effect; </w:t>
      </w:r>
    </w:p>
    <w:p>
      <w:pPr>
        <w:pStyle w:val="TextBody"/>
        <w:bidi w:val="0"/>
        <w:spacing w:before="240" w:after="0"/>
        <w:jc w:val="left"/>
        <w:rPr>
          <w:rFonts w:ascii="Times New Roman" w:hAnsi="Times New Roman"/>
          <w:sz w:val="20"/>
        </w:rPr>
      </w:pPr>
      <w:r>
        <w:rPr>
          <w:rFonts w:ascii="Times New Roman" w:hAnsi="Times New Roman"/>
          <w:sz w:val="20"/>
        </w:rPr>
        <w:t xml:space="preserve">(o) Promptly upon the request therefor, such other information and documentation required under applicable “know your customer” rules and regulations, the PATRIOT Act or any applicable Anti- Money Laundering Laws, in each case as from time to time reasonably requested by the Administrative Agent or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[Reserved]; </w:t>
      </w:r>
    </w:p>
    <w:p>
      <w:pPr>
        <w:pStyle w:val="TextBody"/>
        <w:bidi w:val="0"/>
        <w:spacing w:before="240" w:after="0"/>
        <w:jc w:val="left"/>
        <w:rPr>
          <w:rFonts w:ascii="Times New Roman" w:hAnsi="Times New Roman"/>
          <w:sz w:val="20"/>
        </w:rPr>
      </w:pPr>
      <w:r>
        <w:rPr>
          <w:rFonts w:ascii="Times New Roman" w:hAnsi="Times New Roman"/>
          <w:sz w:val="20"/>
        </w:rPr>
        <w:t xml:space="preserve">(q) 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Promptly upon the request of the Administrative Agent, the Derivatives Termination Value in respect of any Specified Derivatives Contract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 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(t) 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8.5. Electronic Delivery of Certain Information. </w:t>
      </w:r>
    </w:p>
    <w:p>
      <w:pPr>
        <w:pStyle w:val="TextBody"/>
        <w:bidi w:val="0"/>
        <w:spacing w:before="120" w:after="0"/>
        <w:jc w:val="left"/>
        <w:rPr>
          <w:rFonts w:ascii="Times New Roman" w:hAnsi="Times New Roman"/>
          <w:sz w:val="20"/>
        </w:rPr>
      </w:pPr>
      <w:r>
        <w:rPr>
          <w:rFonts w:ascii="Times New Roman" w:hAnsi="Times New Roman"/>
          <w:sz w:val="20"/>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the Issuing Bank)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Pacific time on the opening of business on the next business day for the recipient. Notwithstanding anything contained herein, in every instance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TextBody"/>
        <w:bidi w:val="0"/>
        <w:spacing w:before="240" w:after="0"/>
        <w:jc w:val="left"/>
        <w:rPr>
          <w:rFonts w:ascii="Times New Roman" w:hAnsi="Times New Roman"/>
          <w:sz w:val="20"/>
        </w:rPr>
      </w:pPr>
      <w:r>
        <w:rPr>
          <w:rFonts w:ascii="Times New Roman" w:hAnsi="Times New Roman"/>
          <w:sz w:val="20"/>
        </w:rPr>
        <w:t xml:space="preserve">(b) Documents required to be delivered pursuant to Article II. may be delivered electronically to a website provided for such purpose by the Administrative Agent pursuant to the procedures provided to the Borrower by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8.6. Public/Private Information. </w:t>
      </w:r>
    </w:p>
    <w:p>
      <w:pPr>
        <w:pStyle w:val="TextBody"/>
        <w:bidi w:val="0"/>
        <w:spacing w:before="120" w:after="0"/>
        <w:jc w:val="left"/>
        <w:rPr>
          <w:rFonts w:ascii="Times New Roman" w:hAnsi="Times New Roman"/>
          <w:sz w:val="20"/>
        </w:rPr>
      </w:pPr>
      <w:r>
        <w:rPr>
          <w:rFonts w:ascii="Times New Roman" w:hAnsi="Times New Roman"/>
          <w:sz w:val="20"/>
        </w:rPr>
        <w:t>The Borrower will cooperate with the Administrative Agent in connection with the publication of certain materials and/or information provided by or on behalf of the Borrower to the Administrative Agent and the Lenders (collectively, “</w:t>
      </w:r>
      <w:r>
        <w:rPr>
          <w:rFonts w:ascii="Times New Roman" w:hAnsi="Times New Roman"/>
          <w:b/>
          <w:sz w:val="20"/>
        </w:rPr>
        <w:t>Information Materials</w:t>
      </w:r>
      <w:r>
        <w:rPr>
          <w:rFonts w:ascii="Times New Roman" w:hAnsi="Times New Roman"/>
          <w:sz w:val="20"/>
        </w:rPr>
        <w:t xml:space="preserve">”)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8.7. USA Patriot Act Notice;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comply with the following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Maximum Leverage Ratio</w:t>
      </w:r>
      <w:r>
        <w:rPr>
          <w:rFonts w:ascii="Times New Roman" w:hAnsi="Times New Roman"/>
          <w:sz w:val="20"/>
        </w:rPr>
        <w:t xml:space="preserve">. The Borrower shall not permit the ratio of (i) Total Indebtedness to (ii) Total Asset Value to exceed 0.60 to 1.00 at any time; </w:t>
      </w:r>
      <w:r>
        <w:rPr>
          <w:rFonts w:ascii="Times New Roman" w:hAnsi="Times New Roman"/>
          <w:sz w:val="20"/>
          <w:u w:val="single"/>
        </w:rPr>
        <w:t>provided, however</w:t>
      </w:r>
      <w:r>
        <w:rPr>
          <w:rFonts w:ascii="Times New Roman" w:hAnsi="Times New Roman"/>
          <w:sz w:val="20"/>
        </w:rPr>
        <w:t xml:space="preserve">,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 For purposes of calculating this ratio, (A) Total Indebtedness shall be adjusted by deducting therefrom an amount equal to the lesser of (x) unrestricted cash and Cash Equivalents of the Borrower and its Subsidiaries as of the date of determination in excess of $35,000,000 and (y) the amount of Total Indebtedness that matures on or before the date that is 24 months from the date of the calculation and (B) Total Asset Value shall be adjusted by deducting therefrom the amount by which Total Indebtedness is adjusted under the immediately preceding clause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Fixed Charge Coverage Ratio</w:t>
      </w:r>
      <w:r>
        <w:rPr>
          <w:rFonts w:ascii="Times New Roman" w:hAnsi="Times New Roman"/>
          <w:sz w:val="20"/>
        </w:rPr>
        <w:t xml:space="preserve">. The Borrower shall not permit the ratio of (i) Adjusted EBITDA for the period of four consecutive fiscal quarters most recently ended to (ii) Fixed Charges for such period, to be less than 1.50 to 1.00 as of the last day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Secured Indebtedness Ratio</w:t>
      </w:r>
      <w:r>
        <w:rPr>
          <w:rFonts w:ascii="Times New Roman" w:hAnsi="Times New Roman"/>
          <w:sz w:val="20"/>
        </w:rPr>
        <w:t xml:space="preserve">. The Borrower shall not permit the ratio of (i) Secured Indebtedness of the Borrower and its Subsidiaries determined on a consolidated basis to (ii) Total Asset Value to exceed 0.35 to 1.00 at any time. For purposes of calculating this ratio, (A) Secured Indebtedness shall be adjusted by deducting therefrom an amount equal to the lesser of (x) unrestricted cash and Cash Equivalents of the Borrower and its Subsidiaries as of the date of determination in excess of $35,000,000 excluding any portion thereof that is deducted from Unsecured Indebtedness in determining the Maximum Unencumbered Leverage Ratio pursuant to Section 9.1(e) as of such date and (y) the amount of Secured Indebtedness that matures on or before the date that is 24 months from the date of the calculation and (B) Total Asset Value shall be adjusted by deducting therefrom the amount by which Total Asset Value is adjusted under clause (B) of Section 9.1.(b).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Maximum Unencumbered Leverage Ratio</w:t>
      </w:r>
      <w:r>
        <w:rPr>
          <w:rFonts w:ascii="Times New Roman" w:hAnsi="Times New Roman"/>
          <w:sz w:val="20"/>
        </w:rPr>
        <w:t xml:space="preserve">. The Borrower shall not permit the ratio of (i) Unsecured Indebtedness of the Borrower and its Subsidiaries determined on a consolidated basis to (ii) Unencumbered Asset Value, to exceed 0.60 to 1.00 at any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 For purposes of calculating this ratio, (A) Unsecured Indebtedness shall be adjusted by deducting therefrom an amount equal to the lesser of (x) unrestricted cash and Cash Equivalents of the Borrower and its Subsidiaries as of the date of determination in excess of $35,000,000 excluding any portion thereof that is deducted from Secured Indebtedness in determining the Maximum Secured Indebtedness Ratio pursuant to Section 9.1.(d) as of such date and (y) the amount of Unsecured Indebtedness that matures on or before the date that is 24 months from the date of the calculation and (B) Unencumbered Asset Value shall be adjusted by deducting therefrom the amount by which Total Asset Value is adjusted under clause (B) of Section 9.1.(b). </w:t>
      </w:r>
    </w:p>
    <w:p>
      <w:pPr>
        <w:pStyle w:val="TextBody"/>
        <w:bidi w:val="0"/>
        <w:spacing w:before="240" w:after="0"/>
        <w:jc w:val="left"/>
        <w:rPr>
          <w:rFonts w:ascii="Times New Roman" w:hAnsi="Times New Roman"/>
          <w:sz w:val="20"/>
        </w:rPr>
      </w:pPr>
      <w:r>
        <w:rPr>
          <w:rFonts w:ascii="Times New Roman" w:hAnsi="Times New Roman"/>
          <w:sz w:val="20"/>
        </w:rPr>
        <w:t xml:space="preserve">(f)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(g)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 and Other Restricted Payments</w:t>
      </w:r>
      <w:r>
        <w:rPr>
          <w:rFonts w:ascii="Times New Roman" w:hAnsi="Times New Roman"/>
          <w:sz w:val="20"/>
        </w:rPr>
        <w:t xml:space="preserve">. The Borrower shall not, and shall not permit any of its Subsidiaries to, declare or make any Restricted Payment if an Event of Default specified in Section 10.1.(a), Section 10.1.(e) or Section 10.1.(f) shall have occurred and is continuing, or if as a result of the occurrence of any other Event of Default any of the Obligations have been accelerated pursuant to Section 10.2.(a); except that (i) the Borrower may declare and make cash distributions to its partners during any fiscal year in an aggregate amount not to exceed the minimum amount necessary for the Parent to maintain its status as a REIT and (ii) any Subsidiary may make Restricted Payments to the Borrower or any other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9.3. Liens; Negative Pledges.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9.4. Restrictions on Intercompany Transfers.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9.5. Merger, Consolidation, Sales of Assets and Other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 </w:t>
      </w:r>
    </w:p>
    <w:p>
      <w:pPr>
        <w:pStyle w:val="TextBody"/>
        <w:bidi w:val="0"/>
        <w:spacing w:before="120" w:after="0"/>
        <w:jc w:val="left"/>
        <w:rPr>
          <w:rFonts w:ascii="Times New Roman" w:hAnsi="Times New Roman"/>
          <w:sz w:val="20"/>
        </w:rPr>
      </w:pPr>
      <w:r>
        <w:rPr>
          <w:rFonts w:ascii="Times New Roman" w:hAnsi="Times New Roman"/>
          <w:sz w:val="20"/>
        </w:rPr>
        <w:t xml:space="preserve">(i) 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the other Loan Parties and the other Subsidiaries may lease and sublease their respective assets, as lessor or sublessor (as the case may be), in the ordinary course of their business; </w:t>
      </w:r>
    </w:p>
    <w:p>
      <w:pPr>
        <w:pStyle w:val="TextBody"/>
        <w:bidi w:val="0"/>
        <w:spacing w:before="120" w:after="0"/>
        <w:jc w:val="left"/>
        <w:rPr>
          <w:rFonts w:ascii="Times New Roman" w:hAnsi="Times New Roman"/>
          <w:sz w:val="20"/>
        </w:rPr>
      </w:pPr>
      <w:r>
        <w:rPr>
          <w:rFonts w:ascii="Times New Roman" w:hAnsi="Times New Roman"/>
          <w:sz w:val="20"/>
        </w:rPr>
        <w:t xml:space="preserve">(iii) a Person may merge with and into the Borrower so long as (A) the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Subsidiary may sell, transfer or dispose of assets (including by merger or liquidation of Subsidiaries) among themselves; and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and each Subsidiary may transfer property as security for Indebtedness to the extent permitted under Section 9.3.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9.6. Plans.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9.7.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other Subsidiary to, change its fiscal year from that in effect as of the Agreement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9.8. Modifications of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9.9. Transactions with Affiliates.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9.10.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9.11. Non-Controlled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any Subsidiary that owns a Non-Controlled Property to own any assets other than another Non-Controlled Property and other nonmaterial assets incidental to the ownership of a Non-Controlled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9.12. Derivatives Contracts. </w:t>
      </w:r>
    </w:p>
    <w:p>
      <w:pPr>
        <w:pStyle w:val="TextBody"/>
        <w:bidi w:val="0"/>
        <w:spacing w:before="120" w:after="0"/>
        <w:jc w:val="left"/>
        <w:rPr>
          <w:rFonts w:ascii="Times New Roman" w:hAnsi="Times New Roman"/>
          <w:sz w:val="20"/>
        </w:rPr>
      </w:pPr>
      <w:r>
        <w:rPr>
          <w:rFonts w:ascii="Times New Roman" w:hAnsi="Times New Roman"/>
          <w:sz w:val="20"/>
        </w:rPr>
        <w:t>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w:t>
      </w:r>
      <w:r>
        <w:rPr>
          <w:rFonts w:ascii="Times New Roman" w:hAnsi="Times New Roman"/>
          <w:sz w:val="20"/>
          <w:u w:val="single"/>
        </w:rPr>
        <w:t>Convertible Notes</w:t>
      </w:r>
      <w:r>
        <w:rPr>
          <w:rFonts w:ascii="Times New Roman" w:hAnsi="Times New Roman"/>
          <w:sz w:val="20"/>
        </w:rPr>
        <w:t xml:space="preserve">”)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9.13.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other Loan Party or any other Subsidiary to, use any part of the proceeds of the Loans to (i) purchase or carry, or to reduce or retire or refinance any credit incurred to purchase or carry, any margin stock (within the meaning of Regulation U or Regulation X of the FRB) or (ii) to extend credit to others for the purpose of purchasing or carrying any such margin stock.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not request any Loans or Letters of Credit, and the Borrower shall not use, and shall ensure that its Subsidiaries and its or their respective directors, officers, employees and agents shall not use, the proceeds of any Loans or Letters of Credit,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9.14. Parent and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settlement thereof, provided that such common shares are retired or transferred to Borrower within 30 days after Parent’s receipt thereof;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9.15. Outbound Investment Status. </w:t>
      </w:r>
    </w:p>
    <w:p>
      <w:pPr>
        <w:pStyle w:val="TextBody"/>
        <w:bidi w:val="0"/>
        <w:spacing w:before="120" w:after="0"/>
        <w:jc w:val="left"/>
        <w:rPr>
          <w:rFonts w:ascii="Times New Roman" w:hAnsi="Times New Roman"/>
          <w:sz w:val="20"/>
        </w:rPr>
      </w:pPr>
      <w:r>
        <w:rPr>
          <w:rFonts w:ascii="Times New Roman" w:hAnsi="Times New Roman"/>
          <w:sz w:val="20"/>
        </w:rPr>
        <w:t xml:space="preserve">No Loan Party shall: </w:t>
      </w:r>
    </w:p>
    <w:p>
      <w:pPr>
        <w:pStyle w:val="TextBody"/>
        <w:bidi w:val="0"/>
        <w:spacing w:before="120" w:after="0"/>
        <w:jc w:val="left"/>
        <w:rPr>
          <w:rFonts w:ascii="Times New Roman" w:hAnsi="Times New Roman"/>
          <w:sz w:val="20"/>
        </w:rPr>
      </w:pPr>
      <w:r>
        <w:rPr>
          <w:rFonts w:ascii="Times New Roman" w:hAnsi="Times New Roman"/>
          <w:sz w:val="20"/>
        </w:rPr>
        <w:t xml:space="preserve">(a) be or become a “covered foreign person”, as that term is defined in the Outbound Investment Rules, or </w:t>
      </w:r>
    </w:p>
    <w:p>
      <w:pPr>
        <w:pStyle w:val="TextBody"/>
        <w:bidi w:val="0"/>
        <w:spacing w:before="240" w:after="0"/>
        <w:jc w:val="left"/>
        <w:rPr>
          <w:rFonts w:ascii="Times New Roman" w:hAnsi="Times New Roman"/>
          <w:sz w:val="20"/>
        </w:rPr>
      </w:pPr>
      <w:r>
        <w:rPr>
          <w:rFonts w:ascii="Times New Roman" w:hAnsi="Times New Roman"/>
          <w:sz w:val="20"/>
        </w:rPr>
        <w:t xml:space="preserve">(b)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Lenders to be in violation of the Outbound Investment Rules or cause Lenders to be legally prohibited by the Outbound Investment Rules from performing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DEFAULT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shall constitute an Event of Default, whatever the reason for such event and whether it shall be voluntary or involuntary or be effected by operation of Applicable Law or pursuant to any judgment or order of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 in Payment</w:t>
      </w:r>
      <w:r>
        <w:rPr>
          <w:rFonts w:ascii="Times New Roman" w:hAnsi="Times New Roman"/>
          <w:sz w:val="20"/>
        </w:rPr>
        <w:t xml:space="preserve">. The Borrower or any other Loan Party shall fail to pay (i) when due under this Agreement or any other Loan Document (whether upon demand, at maturity, by reason of acceleration or otherwise) the principal of any of the Loans or any Reimbursement Obligation, or (ii) when due under this Agreement, any other Loan Document or the Fee Letter any interest on, any of the Loans or any Reimbursement Obligation, any of the other payment Obligations owing by the Borrower under this Agreement, any other Loan Document or the Fee Letter and, solely with respect to this clause (ii) such failure shall continue for a period of five (5)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 </w:t>
      </w:r>
    </w:p>
    <w:p>
      <w:pPr>
        <w:pStyle w:val="TextBody"/>
        <w:bidi w:val="0"/>
        <w:spacing w:before="120" w:after="0"/>
        <w:jc w:val="left"/>
        <w:rPr>
          <w:rFonts w:ascii="Times New Roman" w:hAnsi="Times New Roman"/>
          <w:sz w:val="20"/>
        </w:rPr>
      </w:pPr>
      <w:r>
        <w:rPr>
          <w:rFonts w:ascii="Times New Roman" w:hAnsi="Times New Roman"/>
          <w:sz w:val="20"/>
        </w:rPr>
        <w:t xml:space="preserve">(ii)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Misrepresentations</w:t>
      </w:r>
      <w:r>
        <w:rPr>
          <w:rFonts w:ascii="Times New Roman" w:hAnsi="Times New Roman"/>
          <w:sz w:val="20"/>
        </w:rPr>
        <w:t xml:space="preserve">.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the Issuing Bank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Indebtedness Cross-Default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Borrower, any other Loan Party or any other Subsidiary shall fail to make any payment when due and payable of the principal of, or interest on (after giving effect to the expiration of any grace period for such payment), any Indebtedness (other than the Loans and Reimbursement Obligations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hAnsi="Times New Roman"/>
          <w:b/>
          <w:sz w:val="20"/>
        </w:rPr>
        <w:t>Material Indebtedness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(iii) 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Loan Party shall fail to pay when due and payable amounts in excess of $125,000,000 in the aggregate owing in respect of any Derivatives Contracts; or </w:t>
      </w:r>
    </w:p>
    <w:p>
      <w:pPr>
        <w:pStyle w:val="TextBody"/>
        <w:bidi w:val="0"/>
        <w:spacing w:before="120" w:after="0"/>
        <w:jc w:val="left"/>
        <w:rPr>
          <w:rFonts w:ascii="Times New Roman" w:hAnsi="Times New Roman"/>
          <w:sz w:val="20"/>
        </w:rPr>
      </w:pPr>
      <w:r>
        <w:rPr>
          <w:rFonts w:ascii="Times New Roman" w:hAnsi="Times New Roman"/>
          <w:sz w:val="20"/>
        </w:rPr>
        <w:t xml:space="preserve">(v) An “Event of Default” under and as defined in that certain Term Loan Agreement, dated as of May 6, 2020 (as amended, supplemented, restated or otherwise modified from time to time), by and among the Borrower, PNC Bank, National Association, as administrative agent thereunder, and the other parties from time to time party thereto,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Voluntary Bankruptcy Proceeding</w:t>
      </w:r>
      <w:r>
        <w:rPr>
          <w:rFonts w:ascii="Times New Roman" w:hAnsi="Times New Roman"/>
          <w:sz w:val="20"/>
        </w:rPr>
        <w:t xml:space="preserve">. The Borrower, any other Loan Party, the Parent, the General Partner,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Involuntary Bankruptcy Proceeding</w:t>
      </w:r>
      <w:r>
        <w:rPr>
          <w:rFonts w:ascii="Times New Roman" w:hAnsi="Times New Roman"/>
          <w:sz w:val="20"/>
        </w:rPr>
        <w:t xml:space="preserve">.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Revocation of Loan Documents</w:t>
      </w:r>
      <w:r>
        <w:rPr>
          <w:rFonts w:ascii="Times New Roman" w:hAnsi="Times New Roman"/>
          <w:sz w:val="20"/>
        </w:rPr>
        <w:t xml:space="preserve">.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w:t>
      </w:r>
      <w:r>
        <w:rPr>
          <w:rFonts w:ascii="Times New Roman" w:hAnsi="Times New Roman"/>
          <w:sz w:val="20"/>
        </w:rPr>
        <w:t xml:space="preserve">.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Attachment</w:t>
      </w:r>
      <w:r>
        <w:rPr>
          <w:rFonts w:ascii="Times New Roman" w:hAnsi="Times New Roman"/>
          <w:sz w:val="20"/>
        </w:rPr>
        <w:t xml:space="preserve">.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ERISA Event shall have occurred that results or could reasonably be expected to result in liability to any member of the ERISA Group aggregating in excess of $125,000,000; or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exceeds the “fair market value of plan assets” for such Plans by more than $125,000,000, all as determined, and with such terms defined, in accordance with FASB ASC 715.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Loan Documents</w:t>
      </w:r>
      <w:r>
        <w:rPr>
          <w:rFonts w:ascii="Times New Roman" w:hAnsi="Times New Roman"/>
          <w:sz w:val="20"/>
        </w:rPr>
        <w:t xml:space="preserve">. An Event of Default (as defined therein) shall occur under any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Control/Change in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Person other than the General Partner, the Parent or any Wholly Owned Subsidiary of the Parent shall become the general partner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(iv) The Parent shall cease to be the sole member of the General Partner.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10.2. Remedies Upon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following provisions shall apply: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Acceleration; Termination of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w:t>
      </w:r>
      <w:r>
        <w:rPr>
          <w:rFonts w:ascii="Times New Roman" w:hAnsi="Times New Roman"/>
          <w:sz w:val="20"/>
        </w:rPr>
        <w:t xml:space="preserve">. Upon the occurrence of an Event of Default specified in Sections 10.1.(e) or 10.1.(f),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and the Swingline Commitment and the obligation of the Issuing Bank to issue Letters of Credit hereunder, shall all immediately and automatically terminate.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Optional</w:t>
      </w:r>
      <w:r>
        <w:rPr>
          <w:rFonts w:ascii="Times New Roman" w:hAnsi="Times New Roman"/>
          <w:sz w:val="20"/>
        </w:rPr>
        <w:t xml:space="preserve">. If any other Event of Default shall exist, the Administrative Agent may, and at the direction of the Requisite Lenders shall: (1) 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and the Swingline Commitment and the obligation of the Issuing Bank to issue Letters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Loan Documents</w:t>
      </w:r>
      <w:r>
        <w:rPr>
          <w:rFonts w:ascii="Times New Roman" w:hAnsi="Times New Roman"/>
          <w:sz w:val="20"/>
        </w:rPr>
        <w:t xml:space="preserve">. The Requisite Lenders may direct the Administrative Agent to, and the Administrative Agent if so directed shall, exercise any and all of its rights under any and all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w:t>
      </w:r>
      <w:r>
        <w:rPr>
          <w:rFonts w:ascii="Times New Roman" w:hAnsi="Times New Roman"/>
          <w:sz w:val="20"/>
        </w:rPr>
        <w:t xml:space="preserve">. The Requisite Lenders may direct the Administrative Agent to, and the Administrative Agent if so directed shall, exercise all other rights and remedies it may have under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Appointment of Receiver</w:t>
      </w:r>
      <w:r>
        <w:rPr>
          <w:rFonts w:ascii="Times New Roman" w:hAnsi="Times New Roman"/>
          <w:sz w:val="20"/>
        </w:rPr>
        <w:t xml:space="preserve">.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Specified Derivatives Contract Remedies</w:t>
      </w:r>
      <w:r>
        <w:rPr>
          <w:rFonts w:ascii="Times New Roman" w:hAnsi="Times New Roman"/>
          <w:sz w:val="20"/>
        </w:rPr>
        <w:t xml:space="preserve">.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10.3. Remedies Upon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Default specified in Section 10.1.(f), the Commitments shall immediately and automatically terminate.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Marshaling; Payments Set Aside.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the Issuing Bank,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the Issuing Bank, any Lender or any Specified Derivatives Provider, or the Administrative Agent, the Issuing Bank,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10.5. Allocation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 </w:t>
      </w:r>
    </w:p>
    <w:p>
      <w:pPr>
        <w:pStyle w:val="TextBody"/>
        <w:bidi w:val="0"/>
        <w:spacing w:before="120" w:after="0"/>
        <w:jc w:val="left"/>
        <w:rPr>
          <w:rFonts w:ascii="Times New Roman" w:hAnsi="Times New Roman"/>
          <w:sz w:val="20"/>
        </w:rPr>
      </w:pPr>
      <w:r>
        <w:rPr>
          <w:rFonts w:ascii="Times New Roman" w:hAnsi="Times New Roman"/>
          <w:sz w:val="20"/>
        </w:rPr>
        <w:t xml:space="preserve">(a) amounts due to the Administrative Agent, the Issuing Bank and the Lenders in respect of expenses due under Section 12.2. until paid in full, and then Fees; </w:t>
      </w:r>
    </w:p>
    <w:p>
      <w:pPr>
        <w:pStyle w:val="TextBody"/>
        <w:bidi w:val="0"/>
        <w:spacing w:before="120" w:after="0"/>
        <w:jc w:val="left"/>
        <w:rPr>
          <w:rFonts w:ascii="Times New Roman" w:hAnsi="Times New Roman"/>
          <w:sz w:val="20"/>
        </w:rPr>
      </w:pPr>
      <w:r>
        <w:rPr>
          <w:rFonts w:ascii="Times New Roman" w:hAnsi="Times New Roman"/>
          <w:sz w:val="20"/>
        </w:rPr>
        <w:t xml:space="preserve">(b) payments of interest on Swingline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payments of interest on all other Loans and Reimbursement Obligations to be applied for the ratable benefit of the Lenders and the Issuing Bank; </w:t>
      </w:r>
    </w:p>
    <w:p>
      <w:pPr>
        <w:pStyle w:val="TextBody"/>
        <w:bidi w:val="0"/>
        <w:spacing w:before="120" w:after="0"/>
        <w:jc w:val="left"/>
        <w:rPr>
          <w:rFonts w:ascii="Times New Roman" w:hAnsi="Times New Roman"/>
          <w:sz w:val="20"/>
        </w:rPr>
      </w:pPr>
      <w:r>
        <w:rPr>
          <w:rFonts w:ascii="Times New Roman" w:hAnsi="Times New Roman"/>
          <w:sz w:val="20"/>
        </w:rPr>
        <w:t xml:space="preserve">(d) payments of principal of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(e) payments of principal of all other Loans, Reimbursement Obligations and other Letter of Credit Liabilities, to be applied for the ratable benefit of the Lenders and the Issuing Bank; provided, however, to the extent that any amounts available for distribution pursuant to this subsection are attributable to the issued but undrawn amount of an outstanding Letter of Credit, such amounts shall be paid to the Administrative Agent for deposit into the Letter of Credit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(f) amounts due to the Administrative Agent and the Lenders pursuant to Sections 11.6. and 12.10.; </w:t>
      </w:r>
    </w:p>
    <w:p>
      <w:pPr>
        <w:pStyle w:val="TextBody"/>
        <w:bidi w:val="0"/>
        <w:spacing w:before="120" w:after="0"/>
        <w:jc w:val="left"/>
        <w:rPr>
          <w:rFonts w:ascii="Times New Roman" w:hAnsi="Times New Roman"/>
          <w:sz w:val="20"/>
        </w:rPr>
      </w:pPr>
      <w:r>
        <w:rPr>
          <w:rFonts w:ascii="Times New Roman" w:hAnsi="Times New Roman"/>
          <w:sz w:val="20"/>
        </w:rPr>
        <w:t xml:space="preserve">(g) payments of all other Obligations and other amounts due under any of the Loan Documents to be applied for the ratable benefit of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(h) any amount remaining after application as provided above, shall be paid to the Borrower or whomever else may be legally entitled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10.6. Letter of Credit Collateral Account. </w:t>
      </w:r>
    </w:p>
    <w:p>
      <w:pPr>
        <w:pStyle w:val="TextBody"/>
        <w:bidi w:val="0"/>
        <w:spacing w:before="120" w:after="0"/>
        <w:jc w:val="left"/>
        <w:rPr>
          <w:rFonts w:ascii="Times New Roman" w:hAnsi="Times New Roman"/>
          <w:sz w:val="20"/>
        </w:rPr>
      </w:pPr>
      <w:r>
        <w:rPr>
          <w:rFonts w:ascii="Times New Roman" w:hAnsi="Times New Roman"/>
          <w:sz w:val="20"/>
        </w:rPr>
        <w:t xml:space="preserve">(a) As collateral security for the prompt payment in full when due of all Letter of Credit Liabilities and the other Obligations, the Borrower hereby pledges and grants to the Administrative Agent, for the ratable benefit of the Administrative Agent, the Issuing Bank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 as provided herein. Anything in this Agreement to the contrary notwithstanding, funds held in the Letter of Credit Collateral Account shall be subject to withdrawal only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 and the Lenders; </w:t>
      </w:r>
      <w:r>
        <w:rPr>
          <w:rFonts w:ascii="Times New Roman" w:hAnsi="Times New Roman"/>
          <w:sz w:val="20"/>
          <w:u w:val="single"/>
        </w:rPr>
        <w:t>provided</w:t>
      </w:r>
      <w:r>
        <w:rPr>
          <w:rFonts w:ascii="Times New Roman" w:hAnsi="Times New Roman"/>
          <w:sz w:val="20"/>
        </w:rPr>
        <w:t xml:space="preserve">,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(c) If a drawing pursuant to any Letter of Credit occurs on or prior to the expiration date of such Letter of Credit, the Borrower and the Lenders authorize the Administrative Agent to use the monies deposited in the Letter of Credit Collateral Account to reimburse the Issuing Bank for the payment made by the Issuing Bank to the beneficiary with respect to such drawing or the payee with respect to such presentment.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 liquidation or release would result in the amount available in the Letter of Credit Collateral Account to be less than the Stated Amount of all Extended Letters of Credit that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(e) So long as no Major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Lenders reimbursed (or funded participations in) a drawing deemed to have occurred under the fourth sentence of Section 2.3.(b) for deposit into the Letter of Credit Collateral Account but in respect of which the Lenders have not otherwise received payment for the amount so reimbursed or funded, the Administrative Agent shall promptly remit to the Lenders the amount so reimbursed or funded for such Extended Letter of Credit that remains in the Letter of Credit Collateral Account, pro rata in accordance with the respective unpaid reimbursements or funded participations of the Lenders in respect of such Extended Letter of Credit, against receipt but without any recourse, warranty or representation whatsoever. When all of the Obligations shall have been paid in full in cash and no Letters of Credit remain outstanding, the Administrative Agent shall deliver to the Borrower, against receipt but without any recourse, warranty or representation whatsoever, the balances remaining in the Letter of Credit Collateral Account. </w:t>
      </w:r>
    </w:p>
    <w:p>
      <w:pPr>
        <w:pStyle w:val="TextBody"/>
        <w:bidi w:val="0"/>
        <w:spacing w:before="240" w:after="0"/>
        <w:jc w:val="left"/>
        <w:rPr>
          <w:rFonts w:ascii="Times New Roman" w:hAnsi="Times New Roman"/>
          <w:sz w:val="20"/>
        </w:rPr>
      </w:pPr>
      <w:r>
        <w:rPr>
          <w:rFonts w:ascii="Times New Roman" w:hAnsi="Times New Roman"/>
          <w:sz w:val="20"/>
        </w:rPr>
        <w:t xml:space="preserve">(f) 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10.7. Rescission of Acceleration by Requisite Lenders.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10.8. Performance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10.9. Rights Cumulative.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The rights and remedies of the Administrative Agent, the Issuing Bank,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Issuing Bank, the Lenders and the Specified Derivatives Providers may be selective and no failure or delay by the Administrative Agent, the Issuing Bank, any of the Lenders or any of the Specified Derivatives Providers in exercising any right shall operate as a waiver of it, nor shall any single or partial exercise of any power or right preclude its other or further exercise or the exercise of any other power or right.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Enforcement by Administrative Agent</w:t>
      </w:r>
      <w:r>
        <w:rPr>
          <w:rFonts w:ascii="Times New Roman" w:hAnsi="Times New Roman"/>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Banks or the Swingline Lender from exercising the rights and remedies that inure to their benefit (solely in their capacity as an Issuing Bank or Swingline Lender, as the case may be) hereunder or under the other Loan Documents, (iii) any Specified Derivatives Provider from exercising the rights and remedies that inure to its benefit under any Specified Derivatives Contract, (iv) any Lender from exercising setoff rights in accordance with Section 12.4. (subject to the terms of Section 3.3.), or (v)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 (iv) and (v) of the preceding proviso and subject to Section 3.3., any Lender may, with the consent of the Requisite Lenders, enforce any rights and remedies available to it and as authorized by the Requisite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Appointment and Authorization. </w:t>
      </w:r>
    </w:p>
    <w:p>
      <w:pPr>
        <w:pStyle w:val="TextBody"/>
        <w:bidi w:val="0"/>
        <w:spacing w:before="120" w:after="0"/>
        <w:jc w:val="left"/>
        <w:rPr>
          <w:rFonts w:ascii="Times New Roman" w:hAnsi="Times New Roman"/>
          <w:sz w:val="20"/>
        </w:rPr>
      </w:pPr>
      <w:r>
        <w:rPr>
          <w:rFonts w:ascii="Times New Roman" w:hAnsi="Times New Roman"/>
          <w:sz w:val="20"/>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11.2. Wells Fargo as Lender. </w:t>
      </w:r>
    </w:p>
    <w:p>
      <w:pPr>
        <w:pStyle w:val="TextBody"/>
        <w:bidi w:val="0"/>
        <w:spacing w:before="120" w:after="0"/>
        <w:jc w:val="left"/>
        <w:rPr>
          <w:rFonts w:ascii="Times New Roman" w:hAnsi="Times New Roman"/>
          <w:sz w:val="20"/>
        </w:rPr>
      </w:pPr>
      <w:r>
        <w:rPr>
          <w:rFonts w:ascii="Times New Roman" w:hAnsi="Times New Roman"/>
          <w:sz w:val="20"/>
        </w:rPr>
        <w:t xml:space="preserve">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Issuing Bank, the other Lenders or any other Specified Derivatives Providers. The Issuing Bank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Approvals of Lenders. </w:t>
      </w:r>
    </w:p>
    <w:p>
      <w:pPr>
        <w:pStyle w:val="TextBody"/>
        <w:bidi w:val="0"/>
        <w:spacing w:before="120" w:after="0"/>
        <w:jc w:val="left"/>
        <w:rPr>
          <w:rFonts w:ascii="Times New Roman" w:hAnsi="Times New Roman"/>
          <w:sz w:val="20"/>
        </w:rPr>
      </w:pPr>
      <w:r>
        <w:rPr>
          <w:rFonts w:ascii="Times New Roman" w:hAnsi="Times New Roman"/>
          <w:sz w:val="20"/>
        </w:rPr>
        <w:t xml:space="preserve">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11.4. Notice of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11.5. Administrative Agent’s and Sustainability Structuring Agent’s Reliance.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this Agreement or any other Loan Documents, none of the Administrative Agent, the Sustainability Structuring Agent or any of their respective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and the Sustainability Structuring Agent may consult with legal counsel (including its own counsel or counsel for the Borrower or any other Loan Party), independent public accountants and other experts selected by it and shall not be liable for any action taken or omitted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taken in good faith by it in accordance with the advice of such counsel, accountants or experts. None of the Administrative Agent, the Sustainability Structuring Agent or any of their respective directors, officers, agents, employees or counsel: (a) makes any warranty or representation to any Lender, the Issuing Bank or any other Person, or shall be responsible to any Lender, the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or the Issuing Bank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11.6. Indemnification of Administrative Agent and Sustainability Structuring Agent.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to indemnify the Administrative Agent and the Sustainability Structuring Agent (to the extent not reimbursed by the Borrower and without limiting the obligation of the Borrower to do so) pro rata in accordance with such Lender’s respective Revolving Commitment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or the Sustainability Structuring Agent (in its capacity as Administrative Agent or Sustainability Structuring Agent, as the case may be, but not as a Lender) in any way relating to or arising out of the Loan Documents, any transaction contemplated hereby or thereby or any action taken or omitted by the Administrative Agent or the Sustainability Structuring Agent under the Loan Documents (collectively, “Indemnifiable Amounts”); provided, however, that no Lender shall be liable for any portion of such Indemnifiable Amounts to the extent resulting from the Administrative Agent’s or Sustainability Structuring Agent’s gross negligence or willful misconduct as determined by a court of competent jurisdiction in a final, non-appealable judgment;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and the Sustainability Structuring Agent (to the extent not reimbursed by the Borrower and without limiting the obligation of the Borrower to do so) promptly upon demand for its ratable share of any out-of-pocket expenses (including the reasonable fees and expenses of the counsel to the Administrative Agent and the Sustainability Structuring Agent) incurred by the Administrative Agent or the Sustainability Structuring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or the Sustainability Structuring Agent to enforce the terms of the Loan Documents and/or collect any Obligations, any “lender liability” suit or claim brought against the Administrative Agent,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Sustainability Structuring Agent and/or the Lenders, and any claim or suit brought against the Administrative Agent, the Sustainability Structuring Agent and/or the Lenders arising under any Environmental Laws. Such out-of-pocket expenses (including counsel fees) shall be advanced by the Lenders on the request of the Administrative Agent or the Sustainability Structuring Agent notwithstanding any claim or assertion that the Administrative Agent or the Sustainability Structuring Agent is not entitled to indemnification hereunder upon receipt of an undertaking by the Administrative Agent or the Sustainability Structuring Agent that the Administrative Agent or the Sustainability Structuring Agent will reimburse the Lenders if it is actually and finally determined by a court of competent jurisdiction that the Administrative Agent or Sustainability Structuring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and the Sustainability Structuring Agent for any Indemnifiable Amount following payment by any Lender to the Administrative Agent or the Sustainability Structuring Agent in respect of such Indemnifiable Amount pursuant to this Section, the Administrative Agent or the Sustainability Structuring Agent, as the case may be, shall share such reimbursement on a ratable basis with each Lender making any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11.7. Lender Credit Decision, Etc. </w:t>
      </w:r>
    </w:p>
    <w:p>
      <w:pPr>
        <w:pStyle w:val="TextBody"/>
        <w:bidi w:val="0"/>
        <w:spacing w:before="120" w:after="0"/>
        <w:jc w:val="left"/>
        <w:rPr>
          <w:rFonts w:ascii="Times New Roman" w:hAnsi="Times New Roman"/>
          <w:sz w:val="20"/>
        </w:rPr>
      </w:pPr>
      <w:r>
        <w:rPr>
          <w:rFonts w:ascii="Times New Roman" w:hAnsi="Times New Roman"/>
          <w:sz w:val="20"/>
        </w:rPr>
        <w:t xml:space="preserve">Each of the Lenders and the Issuing Bank expressly acknowledges and agrees that none of the Administrative Agent, the Sustainability Structuring Agent nor any of their respective officers, directors, employees, agents, counsel, attorneys-in-fact or other Affiliates has made any representations or warranties to the Issuing Bank or such Lender and that no act by the Administrative Agent or the Sustainability Structuring Agent hereafter taken, including any review of the affairs of the Borrower, any other Loan Party or any other Subsidiary or Affiliate, shall be deemed to constitute any such representation or warranty by the Administrative Agent or the Sustainability Structuring Agent, as the case may be, to the Issuing Bank or any Lender. Each of the Lenders and the Issuing Bank acknowledges that it has made its own credit and legal analysis and decision to enter into this Agreement and the transactions contemplated hereby, independently and without reliance upon the Administrative Agent, the Sustainability Structuring Agent, any other Lender or counsel to the Administrative Agent, the Sustainability Structuring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the Issuing Bank also acknowledges that it will, independently and without reliance upon the Administrative Agent, the Sustainability Structuring Agent any other Lender or counsel to the Administrative Agent, the Sustainability Structuring Agent or any of their respective officers, directors, employees and agents, and based on such review, advice, documents and information as it shall deem appropriate at the time, continue to make its own decisions in taking or not taking action under the Loan Documents. Neither the Administrative Agent nor the Sustainability Structuring Agent shall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the Issuing Bank by the Administrative Agent or the Sustainability Structuring Agent under this Agreement or any of the other Loan Documents, neither the Administrative Agent nor the Sustainability Structuring Agent shall have a duty or responsibility to provide any Lender or the Issuing Bank with any credit or other information concerning the business, operations, property, financial and other condition or creditworthiness of the Borrower, any other Loan Party or any other Affiliate thereof which may come into possession of the Administrative Agent, the Sustainability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Structuring Agent or any of their respective officers, directors, employees, agents, attorneys-in-fact or other Affiliates. Each of the Lenders and the Issuing Bank acknowledges that the Administrative Agent’s and Sustainability Structuring Agent’s legal counsel in connection with the transactions contemplated by this Agreement is only acting as counsel to the Administrative Agent or the Sustainability Structuring Agent, as the case may be, and is not acting as counsel to any Lender or the Issuing Bank.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11.8. Successor Administrative Agent and Sustainability Structuring Agent.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and the Issuing Banks,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the Issuing Banks directly until such time as a successor Administrative Agent has been appointed as provided for above in this Section; provided, further that such Lenders and the Issuing Banks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Any resignation by an Administrative Agent shall also constitute the resignation as an Issuing Bank and as the Swingline Lender by the Lender then acting as Administrative Agent (the “Resigning Lender”). Upon the acceptance of a successor’s appointment as Administrative Agent hereunder (i) the Resigning Lender shall be discharged from all duties and obligations of an Issuing Bank and the Swingline Lender hereunder and under the other Loan Documents and (ii) the successor Issuing Bank shall issue letters of credit in substitution for all Letters of Credit issued by the Resigning Lender as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removal or resignation hereunder as Administrative Agent, the provisions of this Article XI. shall continue to inure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(b) The Sustainability Structuring Agent may resign, and its engagement as such may be terminated, by giving at least 30 days prior written notice thereof to the Borrower and the Lenders. The Sustainability Structuring Agent’s engagement hereunder may also be terminated by the Borrower at any time upon not less than 30 days’ prior written notice by the Borrower to the Sustainability Structuring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11.9. Titled Agents. </w:t>
      </w:r>
    </w:p>
    <w:p>
      <w:pPr>
        <w:pStyle w:val="TextBody"/>
        <w:bidi w:val="0"/>
        <w:spacing w:before="120" w:after="0"/>
        <w:jc w:val="left"/>
        <w:rPr>
          <w:rFonts w:ascii="Times New Roman" w:hAnsi="Times New Roman"/>
          <w:sz w:val="20"/>
        </w:rPr>
      </w:pPr>
      <w:r>
        <w:rPr>
          <w:rFonts w:ascii="Times New Roman" w:hAnsi="Times New Roman"/>
          <w:sz w:val="20"/>
        </w:rPr>
        <w:t>The Arrangers, Book Managers, Syndication Agent, Documentation Agents and the Sustainability Structuring Agent (collectively, the “</w:t>
      </w:r>
      <w:r>
        <w:rPr>
          <w:rFonts w:ascii="Times New Roman" w:hAnsi="Times New Roman"/>
          <w:b/>
          <w:sz w:val="20"/>
        </w:rPr>
        <w:t>Titled Agents</w:t>
      </w:r>
      <w:r>
        <w:rPr>
          <w:rFonts w:ascii="Times New Roman" w:hAnsi="Times New Roman"/>
          <w:sz w:val="20"/>
        </w:rPr>
        <w:t xml:space="preserve">”)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Issuing Bank, the Borrower or any other Loan Party and the use of such titles does not impose on the Titled Agents any duties or obligations greater than those of any other Lender or entitle the Titled Agents to any rights other than those to which any other Lender is entitled. </w:t>
      </w:r>
    </w:p>
    <w:p>
      <w:pPr>
        <w:pStyle w:val="TextBody"/>
        <w:bidi w:val="0"/>
        <w:spacing w:before="360" w:after="0"/>
        <w:jc w:val="left"/>
        <w:rPr>
          <w:rFonts w:ascii="Times New Roman" w:hAnsi="Times New Roman"/>
          <w:sz w:val="20"/>
        </w:rPr>
      </w:pPr>
      <w:r>
        <w:rPr>
          <w:rFonts w:ascii="Times New Roman" w:hAnsi="Times New Roman"/>
          <w:b/>
          <w:sz w:val="20"/>
        </w:rPr>
        <w:t>Section 11.10. Erroneous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Lender, each Issuing Lender, each other Specified Derivatives Provider and any other party hereto hereby severally agrees that if (i) the Administrative Agent notifies (which such notice shall be conclusive absent manifest error) such Lender or Issuing Lender or any other Specified Derivatives Provider or any other Person that has received funds from the Administrative Agent or any of its Affiliates, either for its own account or on behalf of a Lender, Issuing Lender or other Specified Derivatives Provider (each such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sz w:val="20"/>
          <w:u w:val="single"/>
        </w:rPr>
        <w:t>Section 11.10(a),</w:t>
      </w:r>
      <w:r>
        <w:rPr>
          <w:rFonts w:ascii="Times New Roman" w:hAnsi="Times New Roman"/>
          <w:sz w:val="20"/>
        </w:rPr>
        <w:t xml:space="preserve">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then, in each case, such Payment Recipient is deemed to have knowledge of such error at the time of its receipt of such Erroneous Payment; </w:t>
      </w:r>
      <w:r>
        <w:rPr>
          <w:rFonts w:ascii="Times New Roman" w:hAnsi="Times New Roman"/>
          <w:sz w:val="20"/>
          <w:u w:val="single"/>
        </w:rPr>
        <w:t>provided</w:t>
      </w:r>
      <w:r>
        <w:rPr>
          <w:rFonts w:ascii="Times New Roman" w:hAnsi="Times New Roman"/>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immediately preceding clause (a), each Payment Recipient agrees that, in the case of clause (a)(ii) above, it shall promptly notify the Administrative Agent in writing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hAnsi="Times New Roman"/>
          <w:sz w:val="20"/>
          <w:u w:val="single"/>
        </w:rPr>
        <w:t>Erroneous Payment Return Deficiency</w:t>
      </w:r>
      <w:r>
        <w:rPr>
          <w:rFonts w:ascii="Times New Roman" w:hAnsi="Times New Roman"/>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Type with respect to which such Erroneous Payment was made (the “</w:t>
      </w:r>
      <w:r>
        <w:rPr>
          <w:rFonts w:ascii="Times New Roman" w:hAnsi="Times New Roman"/>
          <w:sz w:val="20"/>
          <w:u w:val="single"/>
        </w:rPr>
        <w:t>Erroneous Payment Impacted Class</w:t>
      </w:r>
      <w:r>
        <w:rPr>
          <w:rFonts w:ascii="Times New Roman" w:hAnsi="Times New Roman"/>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sz w:val="20"/>
          <w:u w:val="single"/>
        </w:rPr>
        <w:t>Section 12.6</w:t>
      </w:r>
      <w:r>
        <w:rPr>
          <w:rFonts w:ascii="Times New Roman" w:hAnsi="Times New Roman"/>
          <w:sz w:val="20"/>
        </w:rPr>
        <w:t xml:space="preserve"> and (3) the Administrative Agent may reflect such assignments in the Register without further consent or action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hAnsi="Times New Roman"/>
          <w:sz w:val="20"/>
          <w:u w:val="single"/>
        </w:rPr>
        <w:t>Section 11.10</w:t>
      </w:r>
      <w:r>
        <w:rPr>
          <w:rFonts w:ascii="Times New Roman" w:hAnsi="Times New Roman"/>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party’s obligations under this </w:t>
      </w:r>
      <w:r>
        <w:rPr>
          <w:rFonts w:ascii="Times New Roman" w:hAnsi="Times New Roman"/>
          <w:sz w:val="20"/>
          <w:u w:val="single"/>
        </w:rPr>
        <w:t>Section 11.10</w:t>
      </w:r>
      <w:r>
        <w:rPr>
          <w:rFonts w:ascii="Times New Roman" w:hAnsi="Times New Roman"/>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11.10</w:t>
      </w:r>
      <w:r>
        <w:rPr>
          <w:rFonts w:ascii="Times New Roman" w:hAnsi="Times New Roman"/>
          <w:sz w:val="20"/>
        </w:rPr>
        <w:t xml:space="preserve"> will constitute a waiver or release of any claim of the Administrative Agent hereunder arising from any Payment Recipient’s receipt of an Erroneous Payment. </w:t>
      </w:r>
    </w:p>
    <w:p>
      <w:pPr>
        <w:pStyle w:val="TextBody"/>
        <w:bidi w:val="0"/>
        <w:spacing w:before="360" w:after="0"/>
        <w:jc w:val="left"/>
        <w:rPr>
          <w:rFonts w:ascii="Times New Roman" w:hAnsi="Times New Roman"/>
          <w:sz w:val="20"/>
        </w:rPr>
      </w:pPr>
      <w:r>
        <w:rPr>
          <w:rFonts w:ascii="Times New Roman" w:hAnsi="Times New Roman"/>
          <w:b/>
          <w:sz w:val="20"/>
        </w:rPr>
        <w:t>Section 11.11. Sustainability Structuring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Sustainability Structuring Agent will (i) assist the Borrower in determining the KPI Metrics Pricing Provisions in connection with the KPI Metrics Amendment and (ii) assist the Borrower in preparing informational materials focused on environmental targets to be used in connection with the KPI Metrics Amendment, in each case, based upon the information provided by the Borrower with respect to the applicable KPIs or environmental rating targets selected in accordance with Section 12.25; provided that the Sustainability Structuring Agent (x) shall have no duty to ascertain, inquire into or otherwise independently verify any such information and (y) shall have no responsibility for (and shall not be liable for) the completeness or accuracy of any such information.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12.1. Notices.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herein (including without limitation as provided in Section 8.5.), communications provided for hereunder shall be in writing and shall be mailed, sent via electronic mail, or delivered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Borrower: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Chief Accounting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Telephone:(301) 998-8143 </w:t>
      </w:r>
    </w:p>
    <w:p>
      <w:pPr>
        <w:pStyle w:val="TextBody"/>
        <w:bidi w:val="0"/>
        <w:spacing w:before="0" w:after="0"/>
        <w:jc w:val="left"/>
        <w:rPr>
          <w:rFonts w:ascii="Times New Roman" w:hAnsi="Times New Roman"/>
          <w:sz w:val="20"/>
        </w:rPr>
      </w:pPr>
      <w:r>
        <w:rPr>
          <w:rFonts w:ascii="Times New Roman" w:hAnsi="Times New Roman"/>
          <w:sz w:val="20"/>
        </w:rPr>
        <w:t xml:space="preserve">Email:    msolis@federalrealty.com </w:t>
      </w:r>
    </w:p>
    <w:p>
      <w:pPr>
        <w:pStyle w:val="TextBody"/>
        <w:bidi w:val="0"/>
        <w:spacing w:before="120" w:after="0"/>
        <w:jc w:val="left"/>
        <w:rPr>
          <w:rFonts w:ascii="Times New Roman" w:hAnsi="Times New Roman"/>
          <w:sz w:val="20"/>
        </w:rPr>
      </w:pPr>
      <w:r>
        <w:rPr>
          <w:rFonts w:ascii="Times New Roman" w:hAnsi="Times New Roman"/>
          <w:sz w:val="20"/>
        </w:rPr>
        <w:t xml:space="preserve">and for all notices (other than notices solely under Article II), with copies to: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(301) 998-8100 </w:t>
      </w:r>
    </w:p>
    <w:p>
      <w:pPr>
        <w:pStyle w:val="TextBody"/>
        <w:bidi w:val="0"/>
        <w:spacing w:before="0" w:after="0"/>
        <w:jc w:val="left"/>
        <w:rPr>
          <w:rFonts w:ascii="Times New Roman" w:hAnsi="Times New Roman"/>
          <w:sz w:val="20"/>
        </w:rPr>
      </w:pPr>
      <w:r>
        <w:rPr>
          <w:rFonts w:ascii="Times New Roman" w:hAnsi="Times New Roman"/>
          <w:sz w:val="20"/>
        </w:rPr>
        <w:t xml:space="preserve">Email:    dbecker@federalrealty.com and legal@federalrealty.com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Pillsbury Winthrop Shaw Pittman LLP </w:t>
      </w:r>
    </w:p>
    <w:p>
      <w:pPr>
        <w:pStyle w:val="TextBody"/>
        <w:bidi w:val="0"/>
        <w:spacing w:before="0" w:after="0"/>
        <w:jc w:val="left"/>
        <w:rPr>
          <w:rFonts w:ascii="Times New Roman" w:hAnsi="Times New Roman"/>
          <w:sz w:val="20"/>
        </w:rPr>
      </w:pPr>
      <w:r>
        <w:rPr>
          <w:rFonts w:ascii="Times New Roman" w:hAnsi="Times New Roman"/>
          <w:sz w:val="20"/>
        </w:rPr>
        <w:t xml:space="preserve">1200 Seventeenth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Attn: Justin J. Bintrim, Esq. </w:t>
      </w:r>
    </w:p>
    <w:p>
      <w:pPr>
        <w:pStyle w:val="TextBody"/>
        <w:bidi w:val="0"/>
        <w:spacing w:before="0" w:after="0"/>
        <w:jc w:val="left"/>
        <w:rPr>
          <w:rFonts w:ascii="Times New Roman" w:hAnsi="Times New Roman"/>
          <w:sz w:val="20"/>
        </w:rPr>
      </w:pPr>
      <w:r>
        <w:rPr>
          <w:rFonts w:ascii="Times New Roman" w:hAnsi="Times New Roman"/>
          <w:sz w:val="20"/>
        </w:rPr>
        <w:t xml:space="preserve">Telephone: (202) 663-8364 </w:t>
      </w:r>
    </w:p>
    <w:p>
      <w:pPr>
        <w:pStyle w:val="TextBody"/>
        <w:bidi w:val="0"/>
        <w:spacing w:before="0" w:after="0"/>
        <w:jc w:val="left"/>
        <w:rPr>
          <w:rFonts w:ascii="Times New Roman" w:hAnsi="Times New Roman"/>
          <w:sz w:val="20"/>
        </w:rPr>
      </w:pPr>
      <w:r>
        <w:rPr>
          <w:rFonts w:ascii="Times New Roman" w:hAnsi="Times New Roman"/>
          <w:sz w:val="20"/>
        </w:rPr>
        <w:t xml:space="preserve">Email:    justin.bintrim@pillsburylaw.com </w:t>
      </w:r>
    </w:p>
    <w:p>
      <w:pPr>
        <w:pStyle w:val="TextBody"/>
        <w:bidi w:val="0"/>
        <w:spacing w:before="120" w:after="0"/>
        <w:jc w:val="left"/>
        <w:rPr>
          <w:rFonts w:ascii="Times New Roman" w:hAnsi="Times New Roman"/>
          <w:sz w:val="20"/>
        </w:rPr>
      </w:pPr>
      <w:r>
        <w:rPr>
          <w:rFonts w:ascii="Times New Roman" w:hAnsi="Times New Roman"/>
          <w:sz w:val="20"/>
        </w:rPr>
        <w:t xml:space="preserve">If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550 S Tryon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0" w:after="0"/>
        <w:jc w:val="left"/>
        <w:rPr>
          <w:rFonts w:ascii="Times New Roman" w:hAnsi="Times New Roman"/>
          <w:sz w:val="20"/>
        </w:rPr>
      </w:pPr>
      <w:r>
        <w:rPr>
          <w:rFonts w:ascii="Times New Roman" w:hAnsi="Times New Roman"/>
          <w:sz w:val="20"/>
        </w:rPr>
        <w:t xml:space="preserve">Attn: Kate Brown </w:t>
      </w:r>
    </w:p>
    <w:p>
      <w:pPr>
        <w:pStyle w:val="TextBody"/>
        <w:bidi w:val="0"/>
        <w:spacing w:before="0" w:after="0"/>
        <w:jc w:val="left"/>
        <w:rPr>
          <w:rFonts w:ascii="Times New Roman" w:hAnsi="Times New Roman"/>
          <w:sz w:val="20"/>
        </w:rPr>
      </w:pPr>
      <w:r>
        <w:rPr>
          <w:rFonts w:ascii="Times New Roman" w:hAnsi="Times New Roman"/>
          <w:sz w:val="20"/>
        </w:rPr>
        <w:t xml:space="preserve">Telephone: (704) 410-5151 </w:t>
      </w:r>
    </w:p>
    <w:p>
      <w:pPr>
        <w:pStyle w:val="TextBody"/>
        <w:bidi w:val="0"/>
        <w:spacing w:before="0" w:after="0"/>
        <w:jc w:val="left"/>
        <w:rPr>
          <w:rFonts w:ascii="Times New Roman" w:hAnsi="Times New Roman"/>
          <w:sz w:val="20"/>
        </w:rPr>
      </w:pPr>
      <w:r>
        <w:rPr>
          <w:rFonts w:ascii="Times New Roman" w:hAnsi="Times New Roman"/>
          <w:sz w:val="20"/>
        </w:rPr>
        <w:t xml:space="preserve">Email:    kate.e.brown@wellsfargo.com </w:t>
      </w:r>
    </w:p>
    <w:p>
      <w:pPr>
        <w:pStyle w:val="TextBody"/>
        <w:bidi w:val="0"/>
        <w:spacing w:before="120" w:after="0"/>
        <w:jc w:val="left"/>
        <w:rPr>
          <w:rFonts w:ascii="Times New Roman" w:hAnsi="Times New Roman"/>
          <w:sz w:val="20"/>
        </w:rPr>
      </w:pPr>
      <w:r>
        <w:rPr>
          <w:rFonts w:ascii="Times New Roman" w:hAnsi="Times New Roman"/>
          <w:sz w:val="20"/>
        </w:rPr>
        <w:t xml:space="preserve">If to the Administrative Agent under Article II.: </w:t>
      </w:r>
    </w:p>
    <w:p>
      <w:pPr>
        <w:pStyle w:val="TextBody"/>
        <w:bidi w:val="0"/>
        <w:spacing w:before="12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Loan Center-Agency Services </w:t>
      </w:r>
    </w:p>
    <w:p>
      <w:pPr>
        <w:pStyle w:val="TextBody"/>
        <w:bidi w:val="0"/>
        <w:spacing w:before="0" w:after="0"/>
        <w:jc w:val="left"/>
        <w:rPr>
          <w:rFonts w:ascii="Times New Roman" w:hAnsi="Times New Roman"/>
          <w:sz w:val="20"/>
        </w:rPr>
      </w:pPr>
      <w:r>
        <w:rPr>
          <w:rFonts w:ascii="Times New Roman" w:hAnsi="Times New Roman"/>
          <w:sz w:val="20"/>
        </w:rPr>
        <w:t xml:space="preserve">600 South 4th Street, Floor 10 </w:t>
      </w:r>
    </w:p>
    <w:p>
      <w:pPr>
        <w:pStyle w:val="TextBody"/>
        <w:bidi w:val="0"/>
        <w:spacing w:before="0" w:after="0"/>
        <w:jc w:val="left"/>
        <w:rPr>
          <w:rFonts w:ascii="Times New Roman" w:hAnsi="Times New Roman"/>
          <w:sz w:val="20"/>
        </w:rPr>
      </w:pPr>
      <w:r>
        <w:rPr>
          <w:rFonts w:ascii="Times New Roman" w:hAnsi="Times New Roman"/>
          <w:sz w:val="20"/>
        </w:rPr>
        <w:t xml:space="preserve">Minneapolis, Minnesota 55415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creloanservicingoperations@wellsfargo.com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the Issuing Banks: </w:t>
      </w:r>
    </w:p>
    <w:p>
      <w:pPr>
        <w:pStyle w:val="TextBody"/>
        <w:bidi w:val="0"/>
        <w:spacing w:before="12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550 S Tryon Street </w:t>
      </w:r>
    </w:p>
    <w:p>
      <w:pPr>
        <w:pStyle w:val="TextBody"/>
        <w:bidi w:val="0"/>
        <w:spacing w:before="0" w:after="0"/>
        <w:jc w:val="left"/>
        <w:rPr>
          <w:rFonts w:ascii="Times New Roman" w:hAnsi="Times New Roman"/>
          <w:sz w:val="20"/>
        </w:rPr>
      </w:pPr>
      <w:r>
        <w:rPr>
          <w:rFonts w:ascii="Times New Roman" w:hAnsi="Times New Roman"/>
          <w:sz w:val="20"/>
        </w:rPr>
        <w:t xml:space="preserve">Charlotte, NC 28202 </w:t>
      </w:r>
    </w:p>
    <w:p>
      <w:pPr>
        <w:pStyle w:val="TextBody"/>
        <w:bidi w:val="0"/>
        <w:spacing w:before="0" w:after="0"/>
        <w:jc w:val="left"/>
        <w:rPr>
          <w:rFonts w:ascii="Times New Roman" w:hAnsi="Times New Roman"/>
          <w:sz w:val="20"/>
        </w:rPr>
      </w:pPr>
      <w:r>
        <w:rPr>
          <w:rFonts w:ascii="Times New Roman" w:hAnsi="Times New Roman"/>
          <w:sz w:val="20"/>
        </w:rPr>
        <w:t xml:space="preserve">Attn: Kate Brown </w:t>
      </w:r>
    </w:p>
    <w:p>
      <w:pPr>
        <w:pStyle w:val="TextBody"/>
        <w:bidi w:val="0"/>
        <w:spacing w:before="0" w:after="0"/>
        <w:jc w:val="left"/>
        <w:rPr>
          <w:rFonts w:ascii="Times New Roman" w:hAnsi="Times New Roman"/>
          <w:sz w:val="20"/>
        </w:rPr>
      </w:pPr>
      <w:r>
        <w:rPr>
          <w:rFonts w:ascii="Times New Roman" w:hAnsi="Times New Roman"/>
          <w:sz w:val="20"/>
        </w:rPr>
        <w:t xml:space="preserve">Telephone: (704) 410-5151 </w:t>
      </w:r>
    </w:p>
    <w:p>
      <w:pPr>
        <w:pStyle w:val="TextBody"/>
        <w:bidi w:val="0"/>
        <w:spacing w:before="0" w:after="0"/>
        <w:jc w:val="left"/>
        <w:rPr>
          <w:rFonts w:ascii="Times New Roman" w:hAnsi="Times New Roman"/>
          <w:sz w:val="20"/>
        </w:rPr>
      </w:pPr>
      <w:r>
        <w:rPr>
          <w:rFonts w:ascii="Times New Roman" w:hAnsi="Times New Roman"/>
          <w:sz w:val="20"/>
        </w:rPr>
        <w:t>Email:    </w:t>
      </w:r>
      <w:r>
        <w:rPr>
          <w:rFonts w:ascii="Times New Roman" w:hAnsi="Times New Roman"/>
          <w:sz w:val="20"/>
          <w:u w:val="single"/>
        </w:rPr>
        <w:t>kate.e.brown@wellsfargo.com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c/o ECN Capital Corporation </w:t>
      </w:r>
    </w:p>
    <w:p>
      <w:pPr>
        <w:pStyle w:val="TextBody"/>
        <w:bidi w:val="0"/>
        <w:spacing w:before="0" w:after="0"/>
        <w:jc w:val="left"/>
        <w:rPr>
          <w:rFonts w:ascii="Times New Roman" w:hAnsi="Times New Roman"/>
          <w:sz w:val="20"/>
        </w:rPr>
      </w:pPr>
      <w:r>
        <w:rPr>
          <w:rFonts w:ascii="Times New Roman" w:hAnsi="Times New Roman"/>
          <w:sz w:val="20"/>
        </w:rPr>
        <w:t xml:space="preserve">655 Business Center Drive, Suite 250 </w:t>
      </w:r>
    </w:p>
    <w:p>
      <w:pPr>
        <w:pStyle w:val="TextBody"/>
        <w:bidi w:val="0"/>
        <w:spacing w:before="0" w:after="0"/>
        <w:jc w:val="left"/>
        <w:rPr>
          <w:rFonts w:ascii="Times New Roman" w:hAnsi="Times New Roman"/>
          <w:sz w:val="20"/>
        </w:rPr>
      </w:pPr>
      <w:r>
        <w:rPr>
          <w:rFonts w:ascii="Times New Roman" w:hAnsi="Times New Roman"/>
          <w:sz w:val="20"/>
        </w:rPr>
        <w:t xml:space="preserve">Horsham, PA 19044-3448 </w:t>
      </w:r>
    </w:p>
    <w:p>
      <w:pPr>
        <w:pStyle w:val="TextBody"/>
        <w:bidi w:val="0"/>
        <w:spacing w:before="0" w:after="0"/>
        <w:jc w:val="left"/>
        <w:rPr>
          <w:rFonts w:ascii="Times New Roman" w:hAnsi="Times New Roman"/>
          <w:sz w:val="20"/>
        </w:rPr>
      </w:pPr>
      <w:r>
        <w:rPr>
          <w:rFonts w:ascii="Times New Roman" w:hAnsi="Times New Roman"/>
          <w:sz w:val="20"/>
        </w:rPr>
        <w:t xml:space="preserve">Telephone: (215) 585-5352 </w:t>
      </w:r>
    </w:p>
    <w:p>
      <w:pPr>
        <w:pStyle w:val="TextBody"/>
        <w:bidi w:val="0"/>
        <w:spacing w:before="0" w:after="0"/>
        <w:jc w:val="left"/>
        <w:rPr>
          <w:rFonts w:ascii="Times New Roman" w:hAnsi="Times New Roman"/>
          <w:sz w:val="20"/>
        </w:rPr>
      </w:pPr>
      <w:r>
        <w:rPr>
          <w:rFonts w:ascii="Times New Roman" w:hAnsi="Times New Roman"/>
          <w:sz w:val="20"/>
        </w:rPr>
        <w:t xml:space="preserve">Email:    shari.reams@pnc.com </w:t>
      </w:r>
      <w:r>
        <w:rPr>
          <w:rFonts w:ascii="Times New Roman" w:hAnsi="Times New Roman"/>
          <w:sz w:val="20"/>
          <w:u w:val="single"/>
        </w:rPr>
        <w:t>and</w:t>
      </w:r>
      <w:r>
        <w:rPr>
          <w:rFonts w:ascii="Times New Roman" w:hAnsi="Times New Roman"/>
          <w:sz w:val="20"/>
        </w:rPr>
        <w:t xml:space="preserve"> REITfinancials@pnc.com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Trade &amp; Working Capital Operations - Mail Code: FL3-2300 </w:t>
      </w:r>
    </w:p>
    <w:p>
      <w:pPr>
        <w:pStyle w:val="TextBody"/>
        <w:bidi w:val="0"/>
        <w:spacing w:before="0" w:after="0"/>
        <w:jc w:val="left"/>
        <w:rPr>
          <w:rFonts w:ascii="Times New Roman" w:hAnsi="Times New Roman"/>
          <w:sz w:val="20"/>
        </w:rPr>
      </w:pPr>
      <w:r>
        <w:rPr>
          <w:rFonts w:ascii="Times New Roman" w:hAnsi="Times New Roman"/>
          <w:sz w:val="20"/>
        </w:rPr>
        <w:t xml:space="preserve">10420 Highland Manor Drive, Floor 03 </w:t>
      </w:r>
    </w:p>
    <w:p>
      <w:pPr>
        <w:pStyle w:val="TextBody"/>
        <w:bidi w:val="0"/>
        <w:spacing w:before="0" w:after="0"/>
        <w:jc w:val="left"/>
        <w:rPr>
          <w:rFonts w:ascii="Times New Roman" w:hAnsi="Times New Roman"/>
          <w:sz w:val="20"/>
        </w:rPr>
      </w:pPr>
      <w:r>
        <w:rPr>
          <w:rFonts w:ascii="Times New Roman" w:hAnsi="Times New Roman"/>
          <w:sz w:val="20"/>
        </w:rPr>
        <w:t xml:space="preserve">Tampa, FL 33610-9128 </w:t>
      </w:r>
    </w:p>
    <w:p>
      <w:pPr>
        <w:pStyle w:val="TextBody"/>
        <w:bidi w:val="0"/>
        <w:spacing w:before="0" w:after="0"/>
        <w:jc w:val="left"/>
        <w:rPr>
          <w:rFonts w:ascii="Times New Roman" w:hAnsi="Times New Roman"/>
          <w:sz w:val="20"/>
        </w:rPr>
      </w:pPr>
      <w:r>
        <w:rPr>
          <w:rFonts w:ascii="Times New Roman" w:hAnsi="Times New Roman"/>
          <w:sz w:val="20"/>
        </w:rPr>
        <w:t xml:space="preserve">Fax #: 856-294-5267 </w:t>
      </w:r>
    </w:p>
    <w:p>
      <w:pPr>
        <w:pStyle w:val="TextBody"/>
        <w:bidi w:val="0"/>
        <w:spacing w:before="0" w:after="0"/>
        <w:jc w:val="left"/>
        <w:rPr>
          <w:rFonts w:ascii="Times New Roman" w:hAnsi="Times New Roman"/>
          <w:sz w:val="20"/>
        </w:rPr>
      </w:pPr>
      <w:r>
        <w:rPr>
          <w:rFonts w:ascii="Times New Roman" w:hAnsi="Times New Roman"/>
          <w:sz w:val="20"/>
        </w:rPr>
        <w:t xml:space="preserve">Email: GTS.Client.Services@jpmchase.com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To such Lender’s address or electronic mail address as set forth in the applicable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or, as to each party at such other address as shall be designated by such party in a written notice to the other parties delivered in compliance with this Section; provided, a Lender or the Issuing Bank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the Issuing Bank or any Lender under Article II. shall be effective only when actually received. None of the Administrative Agent, the Issuing Bank or any Lender shall incur any liability to any Loan Party (nor shall the Administrative Agent incur any liability to the Issuing Bank or the Lenders) for acting upon any notice via electronic mail referred to in this Agreement which the Administrative Agent, the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 Expenses.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agrees (a) to pay or reimburse each of the Arrangers and the Administrative Agent and the Sustainability Structuring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the Sustainability Structuring Agent and all costs and expenses of the Administrative Agent the Sustainability Structuring Agent in connection with the use of IntraLinks, SyndTrak or other similar information transmission systems in connection with the Loan Documents, (b) to pay or reimburse the Administrative Agent, the Sustainability Structuring Agent, the Issuing Bank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or the Sustainability Structuring Agent pursuant to the Loan Documents; provided, however, that the Borrower shall not be required to pay the expenses of more than one counsel to the Administrative Agent, the Sustainability Structuring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the Sustainability Structuring Agent, the Issuing Bank and the Lenders from, any and all recording and filing fees and any and all liabilities with respect to, or resulting from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the Sustainability Structuring Agent, the Issuing Bank and any Lender incurred in connection with the representation of the Administrative Agent, the Sustainability Structuring Agent, the Issuing Bank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to the Sustainability Structuring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the Sustainability Structuring Agent and/or the Lenders may pay such amounts on behalf of the Borrower and such amounts shall be deemed to be Obligations owing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12.3. Stamp, Intangible and Recording Taxes.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12.4. Setoff.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3.3. and in addition to any rights now or hereafter granted under Applicable Law and not by way of limitation of any such rights, the Borrower hereby authorizes the Administrative Agent, the Issuing Bank, each Lender and each Affiliate of the Administrative Agent, the Issuing Bank or any Lender, at any time or from time to time during the continuance of an Event of Default, without prior notice to the Borrower or to any other Person, any such notice being hereby expressly waived, but in the case of the Issuing Bank, a Lender or an Affiliate of the Issuing Bank or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the Issuing Bank, such Lender or any Affiliate of the Administrative Agent, the Issuing Bank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for further application in accordance with the provisions of Section 3.9.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Obligations owing to such Defaulting Lender as to which it exercised such right of setoff.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12.5. Litigation; Jurisdiction; Other Matters; Waivers.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ACKNOWLEDGES THAT ANY DISPUTE OR CONTROVERSY BETWEEN OR AMONG THE BORROWER, THE ADMINISTRATIVE AGENT, THE SUSTAINABILITY STRUCTURING AGENT, THE ISSUING BANK OR ANY OF THE LENDERS WOULD BE BASED ON DIFFICULT AND COMPLEX ISSUES OF LAW AND FACT AND WOULD RESULT IN DELAY AND EXPENSE TO THE PARTIES. ACCORDINGLY, TO THE EXTENT PERMITTED BY APPLICABLE LAW, EACH OF THE LENDERS, THE ADMINISTRATIVE AGENT, THE SUSTAINABILTY STRUCTURING AGENT, THE ISSUING BANK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THE SUSTAINABILITY STRUCTURING AGENT, THE ISSUING BANK OR ANY OF THE LENDERS OF ANY KIND OR NATURE RELATING TO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IRREVOCABLY AND UNCONDITIONALLY AGREES THAT IT WILL NOT COMMENCE ANY ACTION, LITIGATION OR PROCEEDING OF ANY KIND OR DESCRIPTION, WHETHER IN LAW OR EQUITY, WHETHER IN CONTRACT OR IN TORT OR OTHERWISE, AGAINST THE ADMINISTRATIVE AGENT, THE SUSTAINABILTY STRUCTURING AGENT, ANY LENDER, THE ISSUING BANK,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THE SUSTAINABILITY STRUCTURING AGENT, ANY LENDER OR THE ISSUING BANK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12.6.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an assigning Lender’s Revolving Commitment and the Loans at the time owing to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Commitment held by such assigning Lender or the outstanding principal balance of the Loans of such assigning Lender, as applicable, would be less than $5,000,000 in the case of a Commitment or Revolving Loans, then such assigning Lender shall assign the entire amount of its Commitment and the Loans at the time owing to it unless the Administrative Agent and Borrower agree otherwise.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Revolving Commitment assigned, except that this clause (ii) shall not apply to rights in respect of a Bid Rate Loan.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clause (i)(B) of this subsection (b)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if such assignment is to a Person that is not already a Lender with a Commitment, an Affiliate of such a Lender or an Approved Fund with respect to such a Lender; and </w:t>
      </w:r>
    </w:p>
    <w:p>
      <w:pPr>
        <w:pStyle w:val="TextBody"/>
        <w:bidi w:val="0"/>
        <w:spacing w:before="120" w:after="0"/>
        <w:jc w:val="left"/>
        <w:rPr>
          <w:rFonts w:ascii="Times New Roman" w:hAnsi="Times New Roman"/>
          <w:sz w:val="20"/>
        </w:rPr>
      </w:pPr>
      <w:r>
        <w:rPr>
          <w:rFonts w:ascii="Times New Roman" w:hAnsi="Times New Roman"/>
          <w:sz w:val="20"/>
        </w:rPr>
        <w:t xml:space="preserve">(C) the consent of the Swingline Lender and the Issuing Bank (such consent not to be unreasonably withheld or delayed) shall be required for any assignment in respect of a Revolving Commitment.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 Notes</w:t>
      </w:r>
      <w:r>
        <w:rPr>
          <w:rFonts w:ascii="Times New Roman" w:hAnsi="Times New Roman"/>
          <w:sz w:val="20"/>
        </w:rPr>
        <w:t xml:space="preserve">.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Borrower</w:t>
      </w:r>
      <w:r>
        <w:rPr>
          <w:rFonts w:ascii="Times New Roman" w:hAnsi="Times New Roman"/>
          <w:sz w:val="20"/>
        </w:rPr>
        <w:t xml:space="preserve">. No such assignment shall be made to a Defaulting Lender, the Borrower or any of the Borrower’s Affiliates or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holding company, investment vehicle or trust for, or owned and operated for the primary benefit of a natural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Assignments by Specified Derivatives Provider</w:t>
      </w:r>
      <w:r>
        <w:rPr>
          <w:rFonts w:ascii="Times New Roman" w:hAnsi="Times New Roman"/>
          <w:sz w:val="20"/>
        </w:rPr>
        <w:t xml:space="preserve">. If the assigning Lender (or its Affiliate) is a Specified Derivatives Provider and if after giving effect to such assignment such Lender will hold no further Loans or Revolving Commitments under this Agreement, such Lender shall undertake such assignment only contemporaneously with an assignment by such Lender (or its Affiliate, as the case may be) of all of its Specified Derivatives Contracts to the Assignee or another Lender (or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 w:hAnsi="Times New Roman"/>
          <w:b/>
          <w:sz w:val="20"/>
        </w:rPr>
        <w:t>Register</w:t>
      </w:r>
      <w:r>
        <w:rPr>
          <w:rFonts w:ascii="Times New Roman" w:hAnsi="Times New Roman"/>
          <w:sz w:val="20"/>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b/>
          <w:sz w:val="20"/>
        </w:rPr>
        <w:t>Participant Register</w:t>
      </w:r>
      <w:r>
        <w:rPr>
          <w:rFonts w:ascii="Times New Roman" w:hAnsi="Times New Roman"/>
          <w:sz w:val="20"/>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a Defaulting Lender or the Borrower or any of the Borrower’s Affiliates or Subsidiaries) (each,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Registration</w:t>
      </w:r>
      <w:r>
        <w:rPr>
          <w:rFonts w:ascii="Times New Roman" w:hAnsi="Times New Roman"/>
          <w:sz w:val="20"/>
        </w:rPr>
        <w:t xml:space="preserve">.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Designated Lenders</w:t>
      </w:r>
      <w:r>
        <w:rPr>
          <w:rFonts w:ascii="Times New Roman" w:hAnsi="Times New Roman"/>
          <w:sz w:val="20"/>
        </w:rPr>
        <w:t>. Any Lender (each, a “</w:t>
      </w:r>
      <w:r>
        <w:rPr>
          <w:rFonts w:ascii="Times New Roman" w:hAnsi="Times New Roman"/>
          <w:b/>
          <w:sz w:val="20"/>
        </w:rPr>
        <w:t>Designating Lender</w:t>
      </w:r>
      <w:r>
        <w:rPr>
          <w:rFonts w:ascii="Times New Roman" w:hAnsi="Times New Roman"/>
          <w:sz w:val="20"/>
        </w:rPr>
        <w:t xml:space="preserve">”) may at any time while the Borrower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whereupon (i) the Borrower shall execute and deliver to the Designating Lender a Bid Rate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the Lenders for each and every of the obligations of the Designating Lender and its related Designated Lender with respect to this Agreement, including, without limitation, any indemnification obligations under Section 11.6. and any sums otherwise payable to the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agent for the Designated Lender and shall not be signed by the Designated Lender on its own behalf and shall be binding on the Designated Lender to the same extent as if signed by the Designated Lender on its own behalf. The Borrower,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 In connection with any such designation, the Designating Lender shall pay to the Administrative Agent an administrative fee for processing such designation in the amount of $2,000.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12.7.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Consent of Lenders Directly Affected</w:t>
      </w:r>
      <w:r>
        <w:rPr>
          <w:rFonts w:ascii="Times New Roman" w:hAnsi="Times New Roman"/>
          <w:sz w:val="20"/>
        </w:rPr>
        <w:t xml:space="preserve">. In addition to the foregoing requirements, no amendment, waiver or consent shall, unless in writing, and signed by each of the Lenders directly and adversely affected thereby (or the Administrative Agent at the written direction of such Lenders),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increase the Commitments of such Lenders or subject such Lenders to any additional obligations;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principal of, or interest that has accrued or the rates of interest that will be charged on the outstanding principal amount of, any Loans or other Obligations owing to such Lenders;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amount of any Fees payable to such Lenders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modify the definition of “Revolving Termination Date” or otherwise extend the Commitments of such Lenders (except, in each case, in accordance with Section 2.13.), otherwise postpone any date fixed for any payment of principal of, or interest on, any Loans or for the payment of Fees or any other Obligations, or extend the expiration date of any Letter of Credit beyond the Revolving Termination Date (except in accordance with Section 2.3.); </w:t>
      </w:r>
    </w:p>
    <w:p>
      <w:pPr>
        <w:pStyle w:val="TextBody"/>
        <w:bidi w:val="0"/>
        <w:spacing w:before="120" w:after="0"/>
        <w:jc w:val="left"/>
        <w:rPr>
          <w:rFonts w:ascii="Times New Roman" w:hAnsi="Times New Roman"/>
          <w:sz w:val="20"/>
        </w:rPr>
      </w:pPr>
      <w:r>
        <w:rPr>
          <w:rFonts w:ascii="Times New Roman" w:hAnsi="Times New Roman"/>
          <w:sz w:val="20"/>
        </w:rPr>
        <w:t xml:space="preserve">(v) modify the definitions of “Revolving Commitment Percentage” or amend or otherwise modify the provisions of Section 3.2., Section 3.3. or Section 10.5.; </w:t>
      </w:r>
    </w:p>
    <w:p>
      <w:pPr>
        <w:pStyle w:val="TextBody"/>
        <w:bidi w:val="0"/>
        <w:spacing w:before="120" w:after="0"/>
        <w:jc w:val="left"/>
        <w:rPr>
          <w:rFonts w:ascii="Times New Roman" w:hAnsi="Times New Roman"/>
          <w:sz w:val="20"/>
        </w:rPr>
      </w:pPr>
      <w:r>
        <w:rPr>
          <w:rFonts w:ascii="Times New Roman" w:hAnsi="Times New Roman"/>
          <w:sz w:val="20"/>
        </w:rPr>
        <w:t xml:space="preserve">(vi) amend this Section or amend the definitions of the terms used in this Agreement or the other Loan Documents insofar as such definitions affect the substance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(vii) modify the definition of the term “Requisite Lenders” or modify in any other manner the number or percentage of the Lenders required to make any determinations or waive any rights hereunder or to modify any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(viii) release any Guarantor from its obligations under the Guaranty except as contemplated by Section 7.14.(c); </w:t>
      </w:r>
    </w:p>
    <w:p>
      <w:pPr>
        <w:pStyle w:val="TextBody"/>
        <w:bidi w:val="0"/>
        <w:spacing w:before="120" w:after="0"/>
        <w:jc w:val="left"/>
        <w:rPr>
          <w:rFonts w:ascii="Times New Roman" w:hAnsi="Times New Roman"/>
          <w:sz w:val="20"/>
        </w:rPr>
      </w:pPr>
      <w:r>
        <w:rPr>
          <w:rFonts w:ascii="Times New Roman" w:hAnsi="Times New Roman"/>
          <w:sz w:val="20"/>
        </w:rPr>
        <w:t xml:space="preserve">(ix) waive a Default or Event of Default under Section 10.1.(a), except as provided in Section 10.7.; </w:t>
      </w:r>
    </w:p>
    <w:p>
      <w:pPr>
        <w:pStyle w:val="TextBody"/>
        <w:bidi w:val="0"/>
        <w:spacing w:before="120" w:after="0"/>
        <w:jc w:val="left"/>
        <w:rPr>
          <w:rFonts w:ascii="Times New Roman" w:hAnsi="Times New Roman"/>
          <w:sz w:val="20"/>
        </w:rPr>
      </w:pPr>
      <w:r>
        <w:rPr>
          <w:rFonts w:ascii="Times New Roman" w:hAnsi="Times New Roman"/>
          <w:sz w:val="20"/>
        </w:rPr>
        <w:t xml:space="preserve">(x) amend, or waive the Borrower’s compliance with, Section 2.15.; or </w:t>
      </w:r>
    </w:p>
    <w:p>
      <w:pPr>
        <w:pStyle w:val="TextBody"/>
        <w:bidi w:val="0"/>
        <w:spacing w:before="120" w:after="0"/>
        <w:jc w:val="left"/>
        <w:rPr>
          <w:rFonts w:ascii="Times New Roman" w:hAnsi="Times New Roman"/>
          <w:sz w:val="20"/>
        </w:rPr>
      </w:pPr>
      <w:r>
        <w:rPr>
          <w:rFonts w:ascii="Times New Roman" w:hAnsi="Times New Roman"/>
          <w:sz w:val="20"/>
        </w:rPr>
        <w:t xml:space="preserve">(xi) subordinate, or have the effect of subordinating, the Obligations hereunder to any other Indebtedness or other obligation, respectively, in any manner that materially and adversely affects such Lenders.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Administrative Agent’s Duties, Etc</w:t>
      </w:r>
      <w:r>
        <w:rPr>
          <w:rFonts w:ascii="Times New Roman" w:hAnsi="Times New Roman"/>
          <w:sz w:val="20"/>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2.4. or the obligations of the Swingline Lender under this Agreement or any other Loan Document shall, in addition to the Lenders required hereinabove to take such action, require the written consent of the Swingline Lender. Any amendment, waiver or consent relating to Section 2.3. or the obligations of the Issuing Bank under this Agreement or any other Loan Document shall, in addition to the Lenders required hereinabove to take such action, require the written consent of the Issuing Bank.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12.8. Nonliability of Administrative Agent, Sustainability Structuring Agent and Lenders. </w:t>
      </w:r>
    </w:p>
    <w:p>
      <w:pPr>
        <w:pStyle w:val="TextBody"/>
        <w:bidi w:val="0"/>
        <w:spacing w:before="120" w:after="0"/>
        <w:jc w:val="left"/>
        <w:rPr>
          <w:rFonts w:ascii="Times New Roman" w:hAnsi="Times New Roman"/>
          <w:sz w:val="20"/>
        </w:rPr>
      </w:pPr>
      <w:r>
        <w:rPr>
          <w:rFonts w:ascii="Times New Roman" w:hAnsi="Times New Roman"/>
          <w:sz w:val="20"/>
        </w:rPr>
        <w:t xml:space="preserve">The relationship between the Borrower, on the one hand, and the Lenders, the Issuing Bank, the Sustainability Structuring Agent and the Administrative Agent, on the other hand, shall be solely that of borrower and lender. None of the Administrative Agent, the Sustainability Structuring Agent, the Issuing Bank 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the Sustainability Structuring Agent, the Issuing Bank or any Lender to any Lender, the Borrower, any Subsidiary or any other Loan Party. None of the Administrative Agent, the Sustainability Structuring Agent, the Issuing Bank or any Lender undertakes any responsibility to the Borrower to review or inform the Borrower of any matter in connection with any phase of the Borrower’s business or operations. </w:t>
      </w:r>
    </w:p>
    <w:p>
      <w:pPr>
        <w:pStyle w:val="TextBody"/>
        <w:bidi w:val="0"/>
        <w:spacing w:before="240" w:after="0"/>
        <w:jc w:val="left"/>
        <w:rPr>
          <w:rFonts w:ascii="Times New Roman" w:hAnsi="Times New Roman"/>
          <w:sz w:val="20"/>
        </w:rPr>
      </w:pPr>
      <w:r>
        <w:rPr>
          <w:rFonts w:ascii="Times New Roman" w:hAnsi="Times New Roman"/>
          <w:sz w:val="20"/>
        </w:rPr>
        <w:t xml:space="preserve">Not in limitation of the foregoing,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Titled Agent, the Administrative Agent or any Lender is intended to be or has been created in respect of the transactions contemplated hereby or by the other Loan Documents, irrespective of whether any Titled Agent, the Administrative Agent or any Lender has advised or is advising the Borrower or any Subsidiary on other matters, (ii) the arranging and other services regarding this Agreement provided by the Titled Agents, the Administrative Agent and the Lenders are arm’s-length commercial transactions between the Borrower and its Affiliates, on the one hand, and the Titled Agents, the Administrative Agent and the Lenders, on the other hand, (iii) the Borrower has consulted its own legal, accounting, regulatory and tax advisors to the extent that it has deemed appropriate and (iv) the Borrower is capable of evaluating, understanding and accepting, the terms, risks and conditions of the transactions contemplated hereby and by the other Loan Documents; and (b) (i) the Titled Agents,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Titled Agents, the Administrative Agent and the Lenders has any obligation to the Borrower or any of its Affiliates with respect to the transactions contemplated hereby except those obligations expressly set forth herein and in the other Loan Documents; and (iii) the Titled Agents, the Administrative Agent and the Lenders and their respective Affiliates may be engaged, for their own accounts or the accounts of customers, in a broad range of transactions that involve interests that differ from those of the Borrower and its Affiliates, and none of the Titled Agents, the Administrative Agent and the Lenders has any obligation to disclose any of such interests to the Borrower or its Affiliates. To the fullest extent permitted by Law, the Borrower hereby waives and releases any claims that it may have against any of the Titled Agents, the Administrative Agent and the Lenders with respect to any breach or alleged breach of agency or fiduciary duty in connection with any aspect of any transaction contemplated 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12.9.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 For the avoidance of doubt, nothing herein prohibits any individual from communicating or disclosing information regarding suspected violation of laws, rules or regulations to a governmental, regulatory or self-regulatory authority without any notification to any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Indemnification. </w:t>
      </w:r>
    </w:p>
    <w:p>
      <w:pPr>
        <w:pStyle w:val="TextBody"/>
        <w:bidi w:val="0"/>
        <w:spacing w:before="120" w:after="0"/>
        <w:jc w:val="left"/>
        <w:rPr>
          <w:rFonts w:ascii="Times New Roman" w:hAnsi="Times New Roman"/>
          <w:sz w:val="20"/>
        </w:rPr>
      </w:pPr>
      <w:r>
        <w:rPr>
          <w:rFonts w:ascii="Times New Roman" w:hAnsi="Times New Roman"/>
          <w:sz w:val="20"/>
        </w:rPr>
        <w:t>(a) The Borrower shall and hereby agrees to indemnify, defend and hold harmless the Administrative Agent, the Sustainability Structuring Agent, the Issuing Bank, the Lenders, all of the Affiliates of each of the Administrative Agent, the Sustainability Structuring Agent, the Issuing Bank or any of the Lenders, and their respective directors, officers, shareholders, agents, employees and counsel (each referred to herein as an “</w:t>
      </w:r>
      <w:r>
        <w:rPr>
          <w:rFonts w:ascii="Times New Roman" w:hAnsi="Times New Roman"/>
          <w:b/>
          <w:sz w:val="20"/>
        </w:rPr>
        <w:t>Indemnified Party</w:t>
      </w:r>
      <w:r>
        <w:rPr>
          <w:rFonts w:ascii="Times New Roman" w:hAnsi="Times New Roman"/>
          <w:sz w:val="20"/>
        </w:rPr>
        <w:t>”) from and against any and all of the following (collectively, the “</w:t>
      </w:r>
      <w:r>
        <w:rPr>
          <w:rFonts w:ascii="Times New Roman" w:hAnsi="Times New Roman"/>
          <w:b/>
          <w:sz w:val="20"/>
        </w:rPr>
        <w:t>Indemnified Costs</w:t>
      </w:r>
      <w:r>
        <w:rPr>
          <w:rFonts w:ascii="Times New Roman" w:hAnsi="Times New Roman"/>
          <w:sz w:val="20"/>
        </w:rPr>
        <w:t xml:space="preserve">”):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connection with, arising out of, or by reason of, any suit, cause of action, claim, arbitration, investigation or settlement, consent decree or other proceeding (the foregoing referred to herein as an “</w:t>
      </w:r>
      <w:r>
        <w:rPr>
          <w:rFonts w:ascii="Times New Roman" w:hAnsi="Times New Roman"/>
          <w:b/>
          <w:sz w:val="20"/>
        </w:rPr>
        <w:t>Indemnity Proceeding</w:t>
      </w:r>
      <w:r>
        <w:rPr>
          <w:rFonts w:ascii="Times New Roman" w:hAnsi="Times New Roman"/>
          <w:sz w:val="20"/>
        </w:rPr>
        <w:t xml:space="preserve">”)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the Issuing Bank’s or any Lender’s entering into this Agreement; (v) the fact that the Administrative Agent, the Issuing Bank and the Lenders have established the credit facility evidenced hereby in favor of the Borrower; (vi) the fact that the Administrative Agent, the Issuing Bank and the Lenders are creditors of the Borrower and have or are alleged to have information regarding the financial condition, strategic plans or business operations of the Borrower and the Subsidiaries; (vii) the fact that the Administrative Agent, the Issuing Bank and the Lenders are material creditors of the Borrower and are alleged to influence directly or indirectly the business decisions or affairs of the Borrower and the Subsidiaries or their financial condition; (viii) the exercise of any right or remedy the Administrative Agent, the Issuing Bank or the Lenders may have under this Agreement or the other Loan Documents; (viii) any civil penalty or fine assessed by the OFAC against, and all reasonable costs and expenses (including counsel fees and disbursements) incurred in connection with defense thereof by, the Administrative Agent, the Issuing Bank or any Lender as a result of conduct of the Borrower, any other Loan Party or any other Subsidiary that violates a sanction administered or enforced by the OFAC; or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and/or the Issuing Bank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the Issuing Bank or the Swingline Lender, acting in their capacities as such).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indemnification shall apply to any Indemnity Proceeding arising during the pendency of any bankruptcy proceeding filed by or against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 If and to the extent that the obligations of the Borrower under this Section are unenforceable for any reason, the Borrower hereby agrees to make the maximum contribution to the payment and satisfaction of such obligations which is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12.10. to “Lender” or “Lenders” shall be deemed to include such Persons (and their Affiliates) in their capacity as Specified Derivatives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Termination; Survival.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terminate at such time as (a) all of the Commitments have been terminated, (b) all Letters of Credit have terminated or expired or been canceled (other than Extended Letters of Credit in respect of which the Borrower has satisfied the requirements to provide Cash Collateral as required in Section 2.3.(b)), (c) none of the Lenders is obligated any longer under this Agreement to make any Loans and the Issuing Bank is no longer obligated under this Agreement to issue Letters of Credit and (d) all Obligations (other than obligations which survive as provided in the following sentence) have been paid and satisfied in full. The indemnities to which the Administrative Agent, the Issuing Bank and the Lenders are entitled under the provisions of Sections 3.10., 4.1., 4.4., 11.6., 12.2. and 12.10. and any other provision of this Agreement and the other Loan Documents, and the provisions of Section 12.5., shall continue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force and effect and shall protect the Administrative Agent, the Issuing Bank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Severability of Provisions.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APPLICABLE TO CONTRACTS EXECUTED, AND TO BE FULLY PERFORMED, IN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Counterparts; Integration; Effectiveness; Electronic Execution.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Counterparts; Integration; Effectiveness</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any Issuing Lender, the Swingline Lender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5.1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Execution</w:t>
      </w:r>
      <w:r>
        <w:rPr>
          <w:rFonts w:ascii="Times New Roman" w:hAnsi="Times New Roman"/>
          <w:sz w:val="20"/>
        </w:rPr>
        <w:t xml:space="preserve">. The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obligation to accept an Electronic Signature in any form or in any format unless expressly agreed to by the Administrative Agent pursuant to procedures approved by it; </w:t>
      </w:r>
      <w:r>
        <w:rPr>
          <w:rFonts w:ascii="Times New Roman" w:hAnsi="Times New Roman"/>
          <w:sz w:val="20"/>
          <w:u w:val="single"/>
        </w:rPr>
        <w:t>provided</w:t>
      </w:r>
      <w:r>
        <w:rPr>
          <w:rFonts w:ascii="Times New Roman" w:hAnsi="Times New Roman"/>
          <w:sz w:val="20"/>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Obligations with Respect to Loan Parties.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Independence of Covenants. </w:t>
      </w:r>
    </w:p>
    <w:p>
      <w:pPr>
        <w:pStyle w:val="TextBody"/>
        <w:bidi w:val="0"/>
        <w:spacing w:before="120" w:after="0"/>
        <w:jc w:val="left"/>
        <w:rPr>
          <w:rFonts w:ascii="Times New Roman" w:hAnsi="Times New Roman"/>
          <w:sz w:val="20"/>
        </w:rPr>
      </w:pPr>
      <w:r>
        <w:rPr>
          <w:rFonts w:ascii="Times New Roman" w:hAnsi="Times New Roman"/>
          <w:sz w:val="20"/>
        </w:rPr>
        <w:t xml:space="preserve">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12.17.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the Sustainability Structuring Agent, the Issuing Bank or any Lender, or any Affiliate, officer, director, employee, attorney, or agent of the Administrative Agent, the Sustainability Structuring Agent, the Issuing Bank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the Sustainability Structuring Agent, the Issuing Bank or any Lender (as distinct from special, indirect, incidental or consequential damages of a third party awarded against the Administrative Agent, the Sustainability Structuring Agent the Issuing Bank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the Sustainability Structuring Agent, the Issuing Bank or any Lender for which the Borrower may be responsible to the extent covered by Section 12.10.).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12.18. Entire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12.19. Construction.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the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Issuing Bank, the Borrower and each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12.20. Headings. </w:t>
      </w:r>
    </w:p>
    <w:p>
      <w:pPr>
        <w:pStyle w:val="TextBody"/>
        <w:bidi w:val="0"/>
        <w:spacing w:before="120" w:after="0"/>
        <w:jc w:val="left"/>
        <w:rPr>
          <w:rFonts w:ascii="Times New Roman" w:hAnsi="Times New Roman"/>
          <w:sz w:val="20"/>
        </w:rPr>
      </w:pPr>
      <w:r>
        <w:rPr>
          <w:rFonts w:ascii="Times New Roman" w:hAnsi="Times New Roman"/>
          <w:sz w:val="20"/>
        </w:rPr>
        <w:t xml:space="preserve">The paragraph and section headings in this Agreement are provided for convenience of reference only and shall not affect its construction or interpretation.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12.21. Limitation of Liability of Trustees, Etc.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12.22. Acknowledgement and Consent to Bail-In of EEA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12.23. Effect of Amendment and Restatement.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Existing Credit Agreement</w:t>
      </w:r>
      <w:r>
        <w:rPr>
          <w:rFonts w:ascii="Times New Roman" w:hAnsi="Times New Roman"/>
          <w:sz w:val="20"/>
        </w:rPr>
        <w:t xml:space="preserve">. Upon satisfaction of the conditions precedent set forth in Sections 6.1. and 6.2. of this Agreement, this Agreement and the other Loan Documents shall exclusively control and govern the mutual rights and obligations of the parties hereto with respect to the Existing Credit Agreement, and the Existing Credit Agreement shall be superseded in all respects, in each case, on a prospective basis.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NOVATION</w:t>
      </w:r>
      <w:r>
        <w:rPr>
          <w:rFonts w:ascii="Times New Roman" w:hAnsi="Times New Roman"/>
          <w:sz w:val="20"/>
        </w:rPr>
        <w:t xml:space="preserve">. THE PARTIES HERETO HAVE ENTERED INTO THIS AGREEMENT SOLELY TO AMEND AND RESTATE THE TERMS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12.24. Acknowledgement Regarding Any Supported QFCs. </w:t>
      </w:r>
    </w:p>
    <w:p>
      <w:pPr>
        <w:pStyle w:val="TextBody"/>
        <w:bidi w:val="0"/>
        <w:spacing w:before="120" w:after="0"/>
        <w:jc w:val="left"/>
        <w:rPr>
          <w:rFonts w:ascii="Times New Roman" w:hAnsi="Times New Roman"/>
          <w:sz w:val="20"/>
        </w:rPr>
      </w:pPr>
      <w:r>
        <w:rPr>
          <w:rFonts w:ascii="Times New Roman" w:hAnsi="Times New Roman"/>
          <w:sz w:val="20"/>
        </w:rPr>
        <w:t>To the extent that the Loan Documents provide support, through a guarantee or otherwise, for a Derivatives Contract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12.25 KPI Metrics.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twelve-month anniversary of the Effective Date, the Borrower, in consultation with the Sustainability Structuring Agent, may in its sole discretion seek to establish specified key performance indicators with respect to certain environmental goals of the Borrower and its Subsidiaries (such indicators, “KPI Metrics”) and thresholds or targets with respect thereto (in either case, such thresholds or targets, “SPTs”). The Administrative Agent and the Borrower (each acting reasonably and in consultation with the Sustainability Structuring Agent) may propose an amendment to this Agreement (such amendment, a “KPI Metrics Amendment”) solely for the purpose of incorporating the KPI Metrics, the SPTs and other related provisions (the “KPI Metrics Pricing Provisions”) into this Agreement. Any such KPI Metrics Amendment shall become effective upon (i) receipt by the Lenders of a lender presentation or memorandum in regard to the KPI Metrics and SPTs from the Borrower no later than ten (10) Business Days before the proposed effective date of such proposed KPI Metrics Amendment, (ii) the posting of such proposed KPI Metrics Amendment to all Lenders and the Borrower, (iii) the identification, and engagement at the Borrower’s cost and expense, of a sustainability assurance provider, which shall be a qualified external reviewer of nationally recognized standing, independent of the Borrower and its Affiliates and (iv) the receipt by the Administrative Agent of executed signature pages and consents to such KPI Metrics Amendment from the Borrower, the Administrative Agent and Lenders comprising at least the Requisite Lenders. Upon the effectiveness of any such KPI Metrics Amendment, based on the Borrower’s performance against the KPI Metrics and SPTs, certain adjustments (increase, decrease or no adjustment) (such adjustments, the “KPI Metrics Applicable Rate Adjustments”) to the otherwise applicable Applicable Margin for Loans and the Applicable Facility Fee may be made; provided that (x) the amount of any such adjustments made pursuant to a KPI Metrics Amendment shall not result in a decrease or an increase of more than (i) 0.030% in the Applicable Margin during any fiscal year or (ii) 0.010% in the Applicable Facility Fee, in each case, which pricing adjustments shall be shall be applied in accordance with the terms as further described in the KPI Metrics Pricing Provisions and (y) in no event shall any Applicable Margin or Applicable Facility Fee be less than zero (the provisions of this proviso, the “Sustainability Adjustment Limitations”). For the avoidance of doubt, the KPI Metrics Applicable Rate Adjustments shall not be cumulative year-over-year and shall only apply until the date on which the next adjustment is due to take place. The KPI Metrics, the Borrower’s performance against the KPI Metrics, and any related KPI Metrics Applicable Rate Adjustments resulting therefrom, will be determined based on certain Borrower certificates, reports and other documents, in each case, setting forth the KPI Metrics in a manner that is aligned with the Sustainability Linked Loan Principles, including with respect to the selection, setting, calculation, certification and measurement thereof. Following the effectiveness of a KPI Metrics Amendment, any modification to the KPI Metrics Pricing Provisions shall be subject only to the consent of the Borrower, the Administrative Agent and the Requisite Lenders so long as such modification does not have the effect of (1) increasing or decreasing the Sustainability Adjustment Limitations set forth in the KPI Metrics Amendment or (2) reducing any Applicable Margin or Applicable Facility Fee to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the Sustainability Structuring Agent, the Administrative Agent and the Lenders agree that the Loans are not, nor shall they be, a deemed sustainability-linked loan unless and until the effectiveness of any KPI Metrics Amendment. Prior to the effectiveness of a KPI Metrics Amendment, the Borrower will not publish any materials or statements (including on any website of the Borrower, in the financial statements or annual reports of the Borrower or in any press release or public announcement issued by the Borrower) which refer to this Agreement being a sustainability-linked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Other than (A) increasing or decreasing the Sustainability Adjustment Limitations or (B) reducing any Applicable Margin or Applicable Facility Fee to less than zero (which, for the avoidance of doubt, shall be subject to the written consent of each Lender directly and adversely affected thereby, in accordance with Section 12.7(c)), this Section 12.25 shall supersede any other clause or provision in Section 12.7 relating to the Loans and Commitments to the contrary, including any provision of Section 12.7(c) requiring the consent of each Lender directly and adversely affected thereby, for reductions in interest rates or fees payable thereunder. </w:t>
      </w:r>
    </w:p>
    <w:p>
      <w:pPr>
        <w:pStyle w:val="TextBody"/>
        <w:bidi w:val="0"/>
        <w:spacing w:before="240" w:after="0"/>
        <w:jc w:val="left"/>
        <w:rPr>
          <w:rFonts w:ascii="Times New Roman" w:hAnsi="Times New Roman"/>
          <w:sz w:val="20"/>
        </w:rPr>
      </w:pPr>
      <w:r>
        <w:rPr>
          <w:rFonts w:ascii="Times New Roman" w:hAnsi="Times New Roman"/>
          <w:sz w:val="20"/>
        </w:rPr>
        <w:t xml:space="preserve">(d) No amendment, waiver or consent, unless in writing and signed by the Sustainability Structuring Agent, in addition to the Lenders required hereinabove to take such action, shall affect the rights or duties of the Sustainability Structuring Agent under this Agreement or any of the other Loan Documents.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Third Amended and Restated Credit Agreement to be executed by their authorized officers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4"/>
        <w:gridCol w:w="60"/>
        <w:gridCol w:w="3708"/>
      </w:tblGrid>
      <w:tr>
        <w:trPr/>
        <w:tc>
          <w:tcPr>
            <w:tcW w:w="3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FEDERAL REALTY OP LP</w:t>
            </w:r>
          </w:p>
        </w:tc>
      </w:tr>
      <w:tr>
        <w:trPr>
          <w:trHeight w:val="240" w:hRule="atLeast"/>
        </w:trPr>
        <w:tc>
          <w:tcPr>
            <w:tcW w:w="314" w:type="dxa"/>
            <w:tcBorders/>
            <w:vAlign w:val="center"/>
          </w:tcPr>
          <w:p>
            <w:pPr>
              <w:pStyle w:val="TableContents"/>
              <w:bidi w:val="0"/>
              <w:spacing w:before="0" w:after="283"/>
              <w:jc w:val="left"/>
              <w:rPr>
                <w:sz w:val="4"/>
                <w:szCs w:val="4"/>
              </w:rPr>
            </w:pPr>
            <w:r>
              <w:rPr>
                <w:sz w:val="4"/>
                <w:szCs w:val="4"/>
              </w:rPr>
            </w:r>
          </w:p>
        </w:tc>
        <w:tc>
          <w:tcPr>
            <w:tcW w:w="3768" w:type="dxa"/>
            <w:gridSpan w:val="2"/>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08" w:type="dxa"/>
            <w:tcBorders>
              <w:bottom w:val="single" w:sz="2" w:space="0" w:color="000000"/>
            </w:tcBorders>
            <w:tcMar>
              <w:bottom w:w="28" w:type="dxa"/>
            </w:tcMar>
          </w:tcPr>
          <w:p>
            <w:pPr>
              <w:pStyle w:val="TableContents"/>
              <w:bidi w:val="0"/>
              <w:spacing w:before="0" w:after="283"/>
              <w:jc w:val="left"/>
              <w:rPr/>
            </w:pPr>
            <w:r>
              <w:rPr/>
              <w:t>/s/ Dawn M. Becker</w:t>
            </w:r>
          </w:p>
        </w:tc>
      </w:tr>
      <w:tr>
        <w:trPr/>
        <w:tc>
          <w:tcPr>
            <w:tcW w:w="3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Dawn M. Becker</w:t>
            </w:r>
          </w:p>
        </w:tc>
      </w:tr>
      <w:tr>
        <w:trPr/>
        <w:tc>
          <w:tcPr>
            <w:tcW w:w="31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 Executive Vice President-Corporate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 as Administrative Agent, Issuing Bank and as a Lender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Kate Brown</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Kate Brown</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4"/>
        <w:gridCol w:w="60"/>
        <w:gridCol w:w="3688"/>
      </w:tblGrid>
      <w:tr>
        <w:trPr/>
        <w:tc>
          <w:tcPr>
            <w:tcW w:w="3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 as Issuing Bank and as a Lender</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8" w:type="dxa"/>
            <w:tcBorders>
              <w:bottom w:val="single" w:sz="2" w:space="0" w:color="000000"/>
            </w:tcBorders>
            <w:tcMar>
              <w:bottom w:w="28" w:type="dxa"/>
            </w:tcMar>
          </w:tcPr>
          <w:p>
            <w:pPr>
              <w:pStyle w:val="TableContents"/>
              <w:bidi w:val="0"/>
              <w:spacing w:before="0" w:after="283"/>
              <w:jc w:val="left"/>
              <w:rPr/>
            </w:pPr>
            <w:r>
              <w:rPr/>
              <w:t>/s/ Shari L. Reams-Henofer</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Name: Shari L. Reams-Henofer</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 as Issuing Bank and as a Lender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Antonios Vavdinos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Antonios Vavdinos</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Cheryl Sneor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Cheryl Sneor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 Lender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T. Barrett Vawter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T. Barrett Vawter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283"/>
              <w:jc w:val="left"/>
              <w:rPr/>
            </w:pPr>
            <w:r>
              <w:rPr/>
              <w:t>/s/ William M. Brandt, Jr.</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William M. Brandt, Jr.</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a Lender</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Trudy Wilson</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Trudy Wilson</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a Lender</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283"/>
              <w:jc w:val="left"/>
              <w:rPr/>
            </w:pPr>
            <w:r>
              <w:rPr/>
              <w:t>/s/ Germaine R. Korhone</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Germaine R. Korhone</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a Lender</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/s/ Chelsea McCune</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Chelsea McCune</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9"/>
        <w:gridCol w:w="60"/>
        <w:gridCol w:w="3673"/>
      </w:tblGrid>
      <w:tr>
        <w:trPr/>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a Lender</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2"/>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3" w:type="dxa"/>
            <w:tcBorders>
              <w:bottom w:val="single" w:sz="2" w:space="0" w:color="000000"/>
            </w:tcBorders>
            <w:tcMar>
              <w:bottom w:w="28" w:type="dxa"/>
            </w:tcMar>
          </w:tcPr>
          <w:p>
            <w:pPr>
              <w:pStyle w:val="TableContents"/>
              <w:bidi w:val="0"/>
              <w:spacing w:before="0" w:after="283"/>
              <w:jc w:val="left"/>
              <w:rPr/>
            </w:pPr>
            <w:r>
              <w:rPr/>
              <w:t>/s/ James Goodall</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Name: James Goodall</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Title:  Managing Director</w:t>
            </w:r>
          </w:p>
        </w:tc>
      </w:tr>
      <w:tr>
        <w:trPr>
          <w:trHeight w:val="240" w:hRule="atLeast"/>
        </w:trPr>
        <w:tc>
          <w:tcPr>
            <w:tcW w:w="349" w:type="dxa"/>
            <w:tcBorders/>
            <w:vAlign w:val="center"/>
          </w:tcPr>
          <w:p>
            <w:pPr>
              <w:pStyle w:val="TableContents"/>
              <w:bidi w:val="0"/>
              <w:spacing w:before="0" w:after="283"/>
              <w:jc w:val="left"/>
              <w:rPr>
                <w:sz w:val="4"/>
                <w:szCs w:val="4"/>
              </w:rPr>
            </w:pPr>
            <w:r>
              <w:rPr>
                <w:sz w:val="4"/>
                <w:szCs w:val="4"/>
              </w:rPr>
            </w:r>
          </w:p>
        </w:tc>
        <w:tc>
          <w:tcPr>
            <w:tcW w:w="3733" w:type="dxa"/>
            <w:gridSpan w:val="2"/>
            <w:tcBorders/>
            <w:vAlign w:val="center"/>
          </w:tcPr>
          <w:p>
            <w:pPr>
              <w:pStyle w:val="TableContents"/>
              <w:bidi w:val="0"/>
              <w:spacing w:before="0" w:after="283"/>
              <w:jc w:val="left"/>
              <w:rPr>
                <w:sz w:val="4"/>
                <w:szCs w:val="4"/>
              </w:rPr>
            </w:pPr>
            <w:r>
              <w:rPr>
                <w:sz w:val="4"/>
                <w:szCs w:val="4"/>
              </w:rPr>
            </w:r>
          </w:p>
        </w:tc>
      </w:tr>
      <w:tr>
        <w:trPr/>
        <w:tc>
          <w:tcPr>
            <w:tcW w:w="3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3" w:type="dxa"/>
            <w:tcBorders>
              <w:bottom w:val="single" w:sz="2" w:space="0" w:color="000000"/>
            </w:tcBorders>
            <w:tcMar>
              <w:bottom w:w="28" w:type="dxa"/>
            </w:tcMar>
          </w:tcPr>
          <w:p>
            <w:pPr>
              <w:pStyle w:val="TableContents"/>
              <w:bidi w:val="0"/>
              <w:spacing w:before="0" w:after="283"/>
              <w:jc w:val="left"/>
              <w:rPr/>
            </w:pPr>
            <w:r>
              <w:rPr/>
              <w:t>/s/ Kyle Fitzpatrick</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Name: Kyle Fitzpatrick</w:t>
            </w:r>
          </w:p>
        </w:tc>
      </w:tr>
      <w:tr>
        <w:trPr/>
        <w:tc>
          <w:tcPr>
            <w:tcW w:w="34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3"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a Lender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Huijuan Chen</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Huijuan Chen</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AG NEW YORK BRANCH, as a Lender</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tcPr>
          <w:p>
            <w:pPr>
              <w:pStyle w:val="TableContents"/>
              <w:bidi w:val="0"/>
              <w:spacing w:before="0" w:after="283"/>
              <w:jc w:val="left"/>
              <w:rPr/>
            </w:pPr>
            <w:r>
              <w:rPr/>
              <w:t>/s/ Douglas Darman</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Douglas Darman</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 Director</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9" w:type="dxa"/>
            <w:tcBorders>
              <w:bottom w:val="single" w:sz="2" w:space="0" w:color="000000"/>
            </w:tcBorders>
            <w:tcMar>
              <w:bottom w:w="28" w:type="dxa"/>
            </w:tcMar>
          </w:tcPr>
          <w:p>
            <w:pPr>
              <w:pStyle w:val="TableContents"/>
              <w:bidi w:val="0"/>
              <w:spacing w:before="0" w:after="283"/>
              <w:jc w:val="left"/>
              <w:rPr/>
            </w:pPr>
            <w:r>
              <w:rPr/>
              <w:t>/s/ Alison Lugo</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Name: Alison Lugo</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a Lender</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Donna DeMagistris</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Name: Donna DeMagistris</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Third Amended and Restated Credit Agreement with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ASSOCIATED BANK, NATIONAL ASSOCIATION, as a Lender</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9" w:type="dxa"/>
            <w:tcBorders>
              <w:bottom w:val="single" w:sz="2" w:space="0" w:color="000000"/>
            </w:tcBorders>
            <w:tcMar>
              <w:bottom w:w="28" w:type="dxa"/>
            </w:tcMar>
          </w:tcPr>
          <w:p>
            <w:pPr>
              <w:pStyle w:val="TableContents"/>
              <w:bidi w:val="0"/>
              <w:spacing w:before="0" w:after="283"/>
              <w:jc w:val="left"/>
              <w:rPr/>
            </w:pPr>
            <w:r>
              <w:rPr/>
              <w:t>/s/ Mitchell Vega</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Name: Mitchell Vega</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Title:  Senior Vice President</w:t>
            </w:r>
          </w:p>
        </w:tc>
      </w:tr>
    </w:tbl>
    <w:p>
      <w:pPr>
        <w:pStyle w:val="TextBody"/>
        <w:bidi w:val="0"/>
        <w:spacing w:before="0" w:after="0"/>
        <w:jc w:val="right"/>
        <w:rPr>
          <w:rFonts w:ascii="Times New Roman" w:hAnsi="Times New Roman"/>
          <w:b/>
          <w:sz w:val="20"/>
        </w:rPr>
      </w:pPr>
      <w:bookmarkStart w:id="4" w:name="d105267dex102.htm"/>
      <w:bookmarkStart w:id="5" w:name="ksd105267dex102"/>
      <w:bookmarkEnd w:id="4"/>
      <w:bookmarkEnd w:id="5"/>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SECOND AMENDMENT TO </w:t>
      </w:r>
    </w:p>
    <w:p>
      <w:pPr>
        <w:pStyle w:val="TextBody"/>
        <w:bidi w:val="0"/>
        <w:spacing w:before="0" w:after="0"/>
        <w:jc w:val="center"/>
        <w:rPr>
          <w:rFonts w:ascii="Times New Roman" w:hAnsi="Times New Roman"/>
          <w:sz w:val="20"/>
        </w:rPr>
      </w:pPr>
      <w:r>
        <w:rPr>
          <w:rFonts w:ascii="Times New Roman" w:hAnsi="Times New Roman"/>
          <w:sz w:val="20"/>
        </w:rPr>
        <w:t xml:space="preserve">AMENDED AND RESTATED TERM LOAN AGREEMENT </w:t>
      </w:r>
    </w:p>
    <w:p>
      <w:pPr>
        <w:pStyle w:val="TextBody"/>
        <w:bidi w:val="0"/>
        <w:spacing w:before="240" w:after="0"/>
        <w:jc w:val="left"/>
        <w:rPr>
          <w:rFonts w:ascii="Times New Roman" w:hAnsi="Times New Roman"/>
          <w:sz w:val="20"/>
        </w:rPr>
      </w:pPr>
      <w:r>
        <w:rPr>
          <w:rFonts w:ascii="Times New Roman" w:hAnsi="Times New Roman"/>
          <w:sz w:val="20"/>
        </w:rPr>
        <w:t>THIS SECOND AMENDMENT TO AMENDED AND RESTATED TERM LOAN AGREEMENT (this “</w:t>
      </w:r>
      <w:r>
        <w:rPr>
          <w:rFonts w:ascii="Times New Roman" w:hAnsi="Times New Roman"/>
          <w:sz w:val="20"/>
          <w:u w:val="single"/>
        </w:rPr>
        <w:t>Amendment</w:t>
      </w:r>
      <w:r>
        <w:rPr>
          <w:rFonts w:ascii="Times New Roman" w:hAnsi="Times New Roman"/>
          <w:sz w:val="20"/>
        </w:rPr>
        <w:t>”) dated as of April 14, 2026 (the “</w:t>
      </w:r>
      <w:r>
        <w:rPr>
          <w:rFonts w:ascii="Times New Roman" w:hAnsi="Times New Roman"/>
          <w:sz w:val="20"/>
          <w:u w:val="single"/>
        </w:rPr>
        <w:t>Second Amendment Date</w:t>
      </w:r>
      <w:r>
        <w:rPr>
          <w:rFonts w:ascii="Times New Roman" w:hAnsi="Times New Roman"/>
          <w:sz w:val="20"/>
        </w:rPr>
        <w:t>”), by and among FEDERAL REALTY OP LP, a Delaware limited partnership (the “</w:t>
      </w:r>
      <w:r>
        <w:rPr>
          <w:rFonts w:ascii="Times New Roman" w:hAnsi="Times New Roman"/>
          <w:sz w:val="20"/>
          <w:u w:val="single"/>
        </w:rPr>
        <w:t>Borrower Representative</w:t>
      </w:r>
      <w:r>
        <w:rPr>
          <w:rFonts w:ascii="Times New Roman" w:hAnsi="Times New Roman"/>
          <w:sz w:val="20"/>
        </w:rPr>
        <w:t>”), FRIT SAN JOSE TOWN AND COUNTRY VILLAGE, LLC, a California limited liability company (“</w:t>
      </w:r>
      <w:r>
        <w:rPr>
          <w:rFonts w:ascii="Times New Roman" w:hAnsi="Times New Roman"/>
          <w:sz w:val="20"/>
          <w:u w:val="single"/>
        </w:rPr>
        <w:t>FRIT San Jose</w:t>
      </w:r>
      <w:r>
        <w:rPr>
          <w:rFonts w:ascii="Times New Roman" w:hAnsi="Times New Roman"/>
          <w:sz w:val="20"/>
        </w:rPr>
        <w:t>” and, collectively with the Borrower Representative, the “</w:t>
      </w:r>
      <w:r>
        <w:rPr>
          <w:rFonts w:ascii="Times New Roman" w:hAnsi="Times New Roman"/>
          <w:sz w:val="20"/>
          <w:u w:val="single"/>
        </w:rPr>
        <w:t>Borrower</w:t>
      </w:r>
      <w:r>
        <w:rPr>
          <w:rFonts w:ascii="Times New Roman" w:hAnsi="Times New Roman"/>
          <w:sz w:val="20"/>
        </w:rPr>
        <w:t>” or, each, a “</w:t>
      </w:r>
      <w:r>
        <w:rPr>
          <w:rFonts w:ascii="Times New Roman" w:hAnsi="Times New Roman"/>
          <w:sz w:val="20"/>
          <w:u w:val="single"/>
        </w:rPr>
        <w:t>Borrower</w:t>
      </w:r>
      <w:r>
        <w:rPr>
          <w:rFonts w:ascii="Times New Roman" w:hAnsi="Times New Roman"/>
          <w:sz w:val="20"/>
        </w:rPr>
        <w:t>” as the case may be), each of the Lenders party hereto, and PNC BANK, NATIONAL ASSOCIATION,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Lenders, the Administrative Agent and certain other parties have entered into that certain Amended and Restated Term Loan Agreement dated as of March 20, 2025 (as amended and in effect immediately prior to the effectiveness of this Amendment, the “</w:t>
      </w:r>
      <w:r>
        <w:rPr>
          <w:rFonts w:ascii="Times New Roman" w:hAnsi="Times New Roman"/>
          <w:sz w:val="20"/>
          <w:u w:val="single"/>
        </w:rPr>
        <w:t>Term Loan Agreement</w:t>
      </w:r>
      <w:r>
        <w:rPr>
          <w:rFonts w:ascii="Times New Roman" w:hAnsi="Times New Roman"/>
          <w:sz w:val="20"/>
        </w:rPr>
        <w:t xml:space="preserve">”; unless otherwise defined herein, capitalized terms shall have the respective meanings assigned to such terms in the Term Loan Agreement), pursuant to which certain of the Lenders made certain credit extensions to the Borrower upon the terms and conditions set forth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has requested that the Lenders and the Administrative Agent amend certain provisions of the Term Loan Agreement on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Specific Amendments to the Term Loan Agreement</w:t>
      </w:r>
      <w:r>
        <w:rPr>
          <w:rFonts w:ascii="Times New Roman" w:hAnsi="Times New Roman"/>
          <w:sz w:val="20"/>
        </w:rPr>
        <w:t xml:space="preserve">. As of the Second Amendment Date, the parties hereto agree that the Term Loan Agreement shall be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Term Loan Agreement is amended to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underlined text (indicated textually in the same manner as the following example: </w:t>
      </w:r>
      <w:r>
        <w:rPr>
          <w:rFonts w:ascii="Times New Roman" w:hAnsi="Times New Roman"/>
          <w:color w:val="0000FF"/>
          <w:sz w:val="20"/>
          <w:u w:val="single"/>
          <w:bdr w:val="double" w:sz="2" w:space="1" w:color="000000"/>
        </w:rPr>
        <w:t>underlined text</w:t>
      </w:r>
      <w:r>
        <w:rPr>
          <w:rFonts w:ascii="Times New Roman" w:hAnsi="Times New Roman"/>
          <w:sz w:val="20"/>
        </w:rPr>
        <w:t xml:space="preserve">) as set forth in </w:t>
      </w:r>
      <w:r>
        <w:rPr>
          <w:rFonts w:ascii="Times New Roman" w:hAnsi="Times New Roman"/>
          <w:sz w:val="20"/>
          <w:u w:val="single"/>
        </w:rPr>
        <w:t>Annex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Conditions Precedent</w:t>
      </w:r>
      <w:r>
        <w:rPr>
          <w:rFonts w:ascii="Times New Roman" w:hAnsi="Times New Roman"/>
          <w:sz w:val="20"/>
        </w:rPr>
        <w:t xml:space="preserve">. The effectiveness of this Amendment is subject to receipt by the Administrative Agent of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a counterpart of this Amendment duly executed by the Borrower,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(b) a Compliance Certificate calculated on a pro forma basis for the Borrower’s fiscal quarter ending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(c) evidence that all fees, expenses and reimbursement amounts due and payable by the Borrower to the Administrative Agent hereunder or under the Term Loan Agreement, including without limitation, (i) the costs and expenses set forth in Section 6 hereto, and (ii) the reasonable fees and expenses of counsel to the Administrative Agent have been paid; and </w:t>
      </w:r>
    </w:p>
    <w:p>
      <w:pPr>
        <w:pStyle w:val="TextBody"/>
        <w:bidi w:val="0"/>
        <w:spacing w:before="240" w:after="0"/>
        <w:jc w:val="left"/>
        <w:rPr>
          <w:rFonts w:ascii="Times New Roman" w:hAnsi="Times New Roman"/>
          <w:sz w:val="20"/>
        </w:rPr>
      </w:pPr>
      <w:r>
        <w:rPr>
          <w:rFonts w:ascii="Times New Roman" w:hAnsi="Times New Roman"/>
          <w:sz w:val="20"/>
        </w:rPr>
        <w:t xml:space="preserve">(d) such other documents, agreements and instruments as the Administrative Agent or any Lender through the Administrative Agent, may reasonably request prior to the Second Amendment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w:t>
      </w:r>
      <w:r>
        <w:rPr>
          <w:rFonts w:ascii="Times New Roman" w:hAnsi="Times New Roman"/>
          <w:sz w:val="20"/>
        </w:rPr>
        <w:t xml:space="preserve">. The Borrower represents and warrants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execute and deliver this Amendment and to perform its obligations hereunder and under the Term Loan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Term Loan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Binding Effect</w:t>
      </w:r>
      <w:r>
        <w:rPr>
          <w:rFonts w:ascii="Times New Roman" w:hAnsi="Times New Roman"/>
          <w:sz w:val="20"/>
        </w:rPr>
        <w:t xml:space="preserve">. This Amendment and the Term Loan Agreement as amended by this Amendment constitute valid and binding agreements of the Borrower, enforceable against the Borrower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Default</w:t>
      </w:r>
      <w:r>
        <w:rPr>
          <w:rFonts w:ascii="Times New Roman" w:hAnsi="Times New Roman"/>
          <w:sz w:val="20"/>
        </w:rPr>
        <w:t xml:space="preserve">. No Default or Event of Default has occurred and is continuing as of the date hereof nor will exist immediately after giving effect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Material Adverse Change</w:t>
      </w:r>
      <w:r>
        <w:rPr>
          <w:rFonts w:ascii="Times New Roman" w:hAnsi="Times New Roman"/>
          <w:sz w:val="20"/>
        </w:rPr>
        <w:t xml:space="preserve">. Since December 31, 2025,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Reaffirmation of Representations</w:t>
      </w:r>
      <w:r>
        <w:rPr>
          <w:rFonts w:ascii="Times New Roman" w:hAnsi="Times New Roman"/>
          <w:sz w:val="20"/>
        </w:rPr>
        <w:t xml:space="preserve">. The Borrower hereby repeats and reaffirms all representations and warranties made or deemed made by the Borrower to the Administrative Agent and the Lenders in the Term Loan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References</w:t>
      </w:r>
      <w:r>
        <w:rPr>
          <w:rFonts w:ascii="Times New Roman" w:hAnsi="Times New Roman"/>
          <w:sz w:val="20"/>
        </w:rPr>
        <w:t xml:space="preserve">. Each reference to the Term Loan Agreement in any of the Loan Documents shall be deemed to be a reference to the Term Loan Agreement as amended by this Amendment. This Amendment is a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Costs and Expenses</w:t>
      </w:r>
      <w:r>
        <w:rPr>
          <w:rFonts w:ascii="Times New Roman" w:hAnsi="Times New Roman"/>
          <w:sz w:val="20"/>
        </w:rPr>
        <w:t xml:space="preserve">.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Benefits</w:t>
      </w:r>
      <w:r>
        <w:rPr>
          <w:rFonts w:ascii="Times New Roman" w:hAnsi="Times New Roman"/>
          <w:sz w:val="20"/>
        </w:rPr>
        <w:t xml:space="preserve">. This Amendment shall be binding upon and shall inure to the benefit of the parties hereto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AMENDMENT SHALL BE GOVERNED BY, AND CONSTRUED IN ACCORDANCE WITH, THE LAWS OF THE STATE OF NEW YORK APPLICABLE TO CONTRACTS EXECUTED, AND TO BE FULLY PERFORMED, IN SUCH STATE. </w:t>
      </w:r>
    </w:p>
    <w:p>
      <w:pPr>
        <w:pStyle w:val="TextBody"/>
        <w:bidi w:val="0"/>
        <w:spacing w:before="240" w:after="0"/>
        <w:jc w:val="left"/>
        <w:rPr>
          <w:rFonts w:ascii="Times New Roman" w:hAnsi="Times New Roman"/>
          <w:sz w:val="20"/>
        </w:rPr>
      </w:pPr>
      <w:r>
        <w:rPr>
          <w:rFonts w:ascii="Times New Roman" w:hAnsi="Times New Roman"/>
          <w:sz w:val="20"/>
        </w:rPr>
        <w:t>(b) In addition, except to the extent otherwise set forth herein, Sections 12.5 (</w:t>
      </w:r>
      <w:r>
        <w:rPr>
          <w:rFonts w:ascii="Times New Roman" w:hAnsi="Times New Roman"/>
          <w:i/>
          <w:sz w:val="20"/>
        </w:rPr>
        <w:t>Litigation; Jurisdiction; Other Matters; Waivers</w:t>
      </w:r>
      <w:r>
        <w:rPr>
          <w:rFonts w:ascii="Times New Roman" w:hAnsi="Times New Roman"/>
          <w:sz w:val="20"/>
        </w:rPr>
        <w:t>), 12.12 (</w:t>
      </w:r>
      <w:r>
        <w:rPr>
          <w:rFonts w:ascii="Times New Roman" w:hAnsi="Times New Roman"/>
          <w:i/>
          <w:sz w:val="20"/>
        </w:rPr>
        <w:t>Severability of Provisions</w:t>
      </w:r>
      <w:r>
        <w:rPr>
          <w:rFonts w:ascii="Times New Roman" w:hAnsi="Times New Roman"/>
          <w:sz w:val="20"/>
        </w:rPr>
        <w:t>), 12.14 (</w:t>
      </w:r>
      <w:r>
        <w:rPr>
          <w:rFonts w:ascii="Times New Roman" w:hAnsi="Times New Roman"/>
          <w:i/>
          <w:sz w:val="20"/>
        </w:rPr>
        <w:t>Counterparts; Integration; Effectiveness</w:t>
      </w:r>
      <w:r>
        <w:rPr>
          <w:rFonts w:ascii="Times New Roman" w:hAnsi="Times New Roman"/>
          <w:sz w:val="20"/>
        </w:rPr>
        <w:t>) and 12.18 (</w:t>
      </w:r>
      <w:r>
        <w:rPr>
          <w:rFonts w:ascii="Times New Roman" w:hAnsi="Times New Roman"/>
          <w:i/>
          <w:sz w:val="20"/>
        </w:rPr>
        <w:t>Entire Agreement</w:t>
      </w:r>
      <w:r>
        <w:rPr>
          <w:rFonts w:ascii="Times New Roman" w:hAnsi="Times New Roman"/>
          <w:sz w:val="20"/>
        </w:rPr>
        <w:t xml:space="preserve">) of the Term Loan Agreement are hereby incorporated herein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w:t>
      </w:r>
      <w:r>
        <w:rPr>
          <w:rFonts w:ascii="Times New Roman" w:hAnsi="Times New Roman"/>
          <w:sz w:val="20"/>
          <w:u w:val="single"/>
        </w:rPr>
        <w:t xml:space="preserve"> Effect; Ratification</w:t>
      </w:r>
      <w:r>
        <w:rPr>
          <w:rFonts w:ascii="Times New Roman" w:hAnsi="Times New Roman"/>
          <w:sz w:val="20"/>
        </w:rPr>
        <w:t xml:space="preserve">. Except as expressly herein amended, the terms and conditions of the Term Loan Agreement and the other Loan Documents remain in full force and effect. The amendments contained herein shall be deemed to have prospective application from and after the Second Amendment Date only. The Term Loan Agreement is hereby ratified and confirmed in all respects. Nothing in this Amendment shall limit, impair or constitute a waiver of the rights, powers or remedies available to the Administrative Agent or the Lenders under the Term Loan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Section 11.</w:t>
      </w:r>
      <w:r>
        <w:rPr>
          <w:rFonts w:ascii="Times New Roman" w:hAnsi="Times New Roman"/>
          <w:sz w:val="20"/>
          <w:u w:val="single"/>
        </w:rPr>
        <w:t xml:space="preserve"> Counterparts</w:t>
      </w:r>
      <w:r>
        <w:rPr>
          <w:rFonts w:ascii="Times New Roman" w:hAnsi="Times New Roman"/>
          <w:sz w:val="20"/>
        </w:rPr>
        <w:t xml:space="preserve">. This Amendment may be executed in any number of counterparts, each of which shall be deemed to be an original and shall be binding upon all parties, their successors and assigns.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Second Amendment to Amended and Restated Term Loan Agreement to be executed as of the date first above written. </w:t>
      </w:r>
    </w:p>
    <w:p>
      <w:pPr>
        <w:pStyle w:val="TextBody"/>
        <w:bidi w:val="0"/>
        <w:spacing w:before="0" w:after="0"/>
        <w:jc w:val="left"/>
        <w:rPr/>
      </w:pPr>
      <w:r>
        <w:rPr/>
        <w:t> </w:t>
      </w:r>
    </w:p>
    <w:tbl>
      <w:tblPr>
        <w:tblW w:w="4345" w:type="dxa"/>
        <w:jc w:val="right"/>
        <w:tblInd w:w="0" w:type="dxa"/>
        <w:tblLayout w:type="fixed"/>
        <w:tblCellMar>
          <w:top w:w="0" w:type="dxa"/>
          <w:left w:w="0" w:type="dxa"/>
          <w:bottom w:w="0" w:type="dxa"/>
          <w:right w:w="0" w:type="dxa"/>
        </w:tblCellMar>
      </w:tblPr>
      <w:tblGrid>
        <w:gridCol w:w="305"/>
        <w:gridCol w:w="60"/>
        <w:gridCol w:w="39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4345" w:type="dxa"/>
            <w:gridSpan w:val="3"/>
            <w:tcBorders/>
          </w:tcPr>
          <w:p>
            <w:pPr>
              <w:pStyle w:val="TableContents"/>
              <w:bidi w:val="0"/>
              <w:spacing w:before="0" w:after="283"/>
              <w:jc w:val="left"/>
              <w:rPr/>
            </w:pPr>
            <w:r>
              <w:rPr/>
              <w:t>FEDERAL REALTY OP LP</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980" w:type="dxa"/>
            <w:tcBorders>
              <w:bottom w:val="single" w:sz="2" w:space="0" w:color="000000"/>
            </w:tcBorders>
            <w:tcMar>
              <w:bottom w:w="28" w:type="dxa"/>
            </w:tcMar>
          </w:tcPr>
          <w:p>
            <w:pPr>
              <w:pStyle w:val="TableContents"/>
              <w:bidi w:val="0"/>
              <w:spacing w:before="0" w:after="283"/>
              <w:jc w:val="left"/>
              <w:rPr/>
            </w:pPr>
            <w:r>
              <w:rPr/>
              <w:t>/s/ Dawn M. Becker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Name: Dawn M. Becker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Title: Executive Vice President-Corporate</w:t>
            </w:r>
          </w:p>
        </w:tc>
      </w:tr>
      <w:tr>
        <w:trPr>
          <w:trHeight w:val="240" w:hRule="atLeast"/>
        </w:trPr>
        <w:tc>
          <w:tcPr>
            <w:tcW w:w="4345" w:type="dxa"/>
            <w:gridSpan w:val="3"/>
            <w:tcBorders/>
            <w:vAlign w:val="center"/>
          </w:tcPr>
          <w:p>
            <w:pPr>
              <w:pStyle w:val="TableContents"/>
              <w:bidi w:val="0"/>
              <w:spacing w:before="0" w:after="283"/>
              <w:jc w:val="left"/>
              <w:rPr>
                <w:sz w:val="4"/>
                <w:szCs w:val="4"/>
              </w:rPr>
            </w:pPr>
            <w:r>
              <w:rPr>
                <w:sz w:val="4"/>
                <w:szCs w:val="4"/>
              </w:rPr>
            </w:r>
          </w:p>
        </w:tc>
      </w:tr>
      <w:tr>
        <w:trPr/>
        <w:tc>
          <w:tcPr>
            <w:tcW w:w="4345" w:type="dxa"/>
            <w:gridSpan w:val="3"/>
            <w:tcBorders/>
          </w:tcPr>
          <w:p>
            <w:pPr>
              <w:pStyle w:val="TableContents"/>
              <w:bidi w:val="0"/>
              <w:spacing w:before="0" w:after="283"/>
              <w:jc w:val="left"/>
              <w:rPr/>
            </w:pPr>
            <w:r>
              <w:rPr/>
              <w:t>FRIT SAN JOSE TOWN AND COUNTRY VILLAGE, LLC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980" w:type="dxa"/>
            <w:tcBorders>
              <w:bottom w:val="single" w:sz="2" w:space="0" w:color="000000"/>
            </w:tcBorders>
            <w:tcMar>
              <w:bottom w:w="28" w:type="dxa"/>
            </w:tcMar>
          </w:tcPr>
          <w:p>
            <w:pPr>
              <w:pStyle w:val="TableContents"/>
              <w:bidi w:val="0"/>
              <w:spacing w:before="0" w:after="283"/>
              <w:jc w:val="left"/>
              <w:rPr/>
            </w:pPr>
            <w:r>
              <w:rPr/>
              <w:t>/s/ Dawn M. Becker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Name: Dawn M. Becker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Title: Executive Vice President-Corporate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4"/>
        <w:gridCol w:w="60"/>
        <w:gridCol w:w="3688"/>
      </w:tblGrid>
      <w:tr>
        <w:trPr/>
        <w:tc>
          <w:tcPr>
            <w:tcW w:w="3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 as Administrative Agent and as a Lender</w:t>
            </w:r>
          </w:p>
        </w:tc>
      </w:tr>
      <w:tr>
        <w:trPr>
          <w:trHeight w:val="240" w:hRule="atLeast"/>
        </w:trPr>
        <w:tc>
          <w:tcPr>
            <w:tcW w:w="334" w:type="dxa"/>
            <w:tcBorders/>
            <w:vAlign w:val="center"/>
          </w:tcPr>
          <w:p>
            <w:pPr>
              <w:pStyle w:val="TableContents"/>
              <w:bidi w:val="0"/>
              <w:spacing w:before="0" w:after="283"/>
              <w:jc w:val="left"/>
              <w:rPr>
                <w:sz w:val="4"/>
                <w:szCs w:val="4"/>
              </w:rPr>
            </w:pPr>
            <w:r>
              <w:rPr>
                <w:sz w:val="4"/>
                <w:szCs w:val="4"/>
              </w:rPr>
            </w:r>
          </w:p>
        </w:tc>
        <w:tc>
          <w:tcPr>
            <w:tcW w:w="3748" w:type="dxa"/>
            <w:gridSpan w:val="2"/>
            <w:tcBorders/>
            <w:vAlign w:val="center"/>
          </w:tcPr>
          <w:p>
            <w:pPr>
              <w:pStyle w:val="TableContents"/>
              <w:bidi w:val="0"/>
              <w:spacing w:before="0" w:after="283"/>
              <w:jc w:val="left"/>
              <w:rPr>
                <w:sz w:val="4"/>
                <w:szCs w:val="4"/>
              </w:rPr>
            </w:pPr>
            <w:r>
              <w:rPr>
                <w:sz w:val="4"/>
                <w:szCs w:val="4"/>
              </w:rPr>
            </w:r>
          </w:p>
        </w:tc>
      </w:tr>
      <w:tr>
        <w:trPr/>
        <w:tc>
          <w:tcPr>
            <w:tcW w:w="3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8" w:type="dxa"/>
            <w:tcBorders>
              <w:bottom w:val="single" w:sz="2" w:space="0" w:color="000000"/>
            </w:tcBorders>
            <w:tcMar>
              <w:bottom w:w="28" w:type="dxa"/>
            </w:tcMar>
          </w:tcPr>
          <w:p>
            <w:pPr>
              <w:pStyle w:val="TableContents"/>
              <w:bidi w:val="0"/>
              <w:spacing w:before="0" w:after="283"/>
              <w:jc w:val="left"/>
              <w:rPr/>
            </w:pPr>
            <w:r>
              <w:rPr/>
              <w:t>/s/ Shari L. Reams-Henofer</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Name: Shari L. Reams-Henofer</w:t>
            </w:r>
          </w:p>
        </w:tc>
      </w:tr>
      <w:tr>
        <w:trPr/>
        <w:tc>
          <w:tcPr>
            <w:tcW w:w="33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8"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283"/>
              <w:jc w:val="left"/>
              <w:rPr/>
            </w:pPr>
            <w:r>
              <w:rPr/>
              <w:t>/s/ Antonios Vavdinos</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Antonios Vavdinos</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283"/>
              <w:jc w:val="left"/>
              <w:rPr/>
            </w:pPr>
            <w:r>
              <w:rPr/>
              <w:t>/s/ T. Barrett Vawter</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T. Barrett Vawter</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283"/>
              <w:jc w:val="left"/>
              <w:rPr/>
            </w:pPr>
            <w:r>
              <w:rPr/>
              <w:t>/s/ William M. Brandt, Jr.</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William M. Brandt, Jr.</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a Lender</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Trudy Wilson</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Name: Trudy Wilson</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60"/>
        <w:gridCol w:w="3682"/>
      </w:tblGrid>
      <w:tr>
        <w:trPr/>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a Lender</w:t>
            </w:r>
          </w:p>
        </w:tc>
      </w:tr>
      <w:tr>
        <w:trPr>
          <w:trHeight w:val="240" w:hRule="atLeast"/>
        </w:trPr>
        <w:tc>
          <w:tcPr>
            <w:tcW w:w="340" w:type="dxa"/>
            <w:tcBorders/>
            <w:vAlign w:val="center"/>
          </w:tcPr>
          <w:p>
            <w:pPr>
              <w:pStyle w:val="TableContents"/>
              <w:bidi w:val="0"/>
              <w:spacing w:before="0" w:after="283"/>
              <w:jc w:val="left"/>
              <w:rPr>
                <w:sz w:val="4"/>
                <w:szCs w:val="4"/>
              </w:rPr>
            </w:pPr>
            <w:r>
              <w:rPr>
                <w:sz w:val="4"/>
                <w:szCs w:val="4"/>
              </w:rPr>
            </w:r>
          </w:p>
        </w:tc>
        <w:tc>
          <w:tcPr>
            <w:tcW w:w="3742" w:type="dxa"/>
            <w:gridSpan w:val="2"/>
            <w:tcBorders/>
            <w:vAlign w:val="center"/>
          </w:tcPr>
          <w:p>
            <w:pPr>
              <w:pStyle w:val="TableContents"/>
              <w:bidi w:val="0"/>
              <w:spacing w:before="0" w:after="283"/>
              <w:jc w:val="left"/>
              <w:rPr>
                <w:sz w:val="4"/>
                <w:szCs w:val="4"/>
              </w:rPr>
            </w:pPr>
            <w:r>
              <w:rPr>
                <w:sz w:val="4"/>
                <w:szCs w:val="4"/>
              </w:rPr>
            </w:r>
          </w:p>
        </w:tc>
      </w:tr>
      <w:tr>
        <w:trPr/>
        <w:tc>
          <w:tcPr>
            <w:tcW w:w="3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2" w:type="dxa"/>
            <w:tcBorders>
              <w:bottom w:val="single" w:sz="2" w:space="0" w:color="000000"/>
            </w:tcBorders>
            <w:tcMar>
              <w:bottom w:w="28" w:type="dxa"/>
            </w:tcMar>
          </w:tcPr>
          <w:p>
            <w:pPr>
              <w:pStyle w:val="TableContents"/>
              <w:bidi w:val="0"/>
              <w:spacing w:before="0" w:after="283"/>
              <w:jc w:val="left"/>
              <w:rPr/>
            </w:pPr>
            <w:r>
              <w:rPr/>
              <w:t>/s/ Germaine R. Korhone</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Name: Germaine R. Korhone</w:t>
            </w:r>
          </w:p>
        </w:tc>
      </w:tr>
      <w:tr>
        <w:trPr/>
        <w:tc>
          <w:tcPr>
            <w:tcW w:w="34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2"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283"/>
              <w:jc w:val="left"/>
              <w:rPr/>
            </w:pPr>
            <w:r>
              <w:rPr/>
              <w:t>/s/ Cheryl Sneor</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Cheryl Sneor</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a Lender</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/s/ James Goodall</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James Goodall</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Managing Director</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tcPr>
          <w:p>
            <w:pPr>
              <w:pStyle w:val="TableContents"/>
              <w:bidi w:val="0"/>
              <w:spacing w:before="0" w:after="283"/>
              <w:jc w:val="left"/>
              <w:rPr/>
            </w:pPr>
            <w:r>
              <w:rPr/>
              <w:t>/s/ Kyle Fitzpatrick</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Kyle Fitzpatrick</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a Lender</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283"/>
              <w:jc w:val="left"/>
              <w:rPr/>
            </w:pPr>
            <w:r>
              <w:rPr/>
              <w:t>/s/ Michelle C. Phillips</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Michelle C. Phillips</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President &amp; CEO</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1"/>
        <w:gridCol w:w="60"/>
        <w:gridCol w:w="3671"/>
      </w:tblGrid>
      <w:tr>
        <w:trPr/>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as a Lender</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1" w:type="dxa"/>
            <w:tcBorders>
              <w:bottom w:val="single" w:sz="2" w:space="0" w:color="000000"/>
            </w:tcBorders>
            <w:tcMar>
              <w:bottom w:w="28" w:type="dxa"/>
            </w:tcMar>
          </w:tcPr>
          <w:p>
            <w:pPr>
              <w:pStyle w:val="TableContents"/>
              <w:bidi w:val="0"/>
              <w:spacing w:before="0" w:after="283"/>
              <w:jc w:val="left"/>
              <w:rPr/>
            </w:pPr>
            <w:r>
              <w:rPr/>
              <w:t>/s/ Khrystyna Manko</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Name: Khrystyna Manko</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0"/>
        <w:gridCol w:w="60"/>
        <w:gridCol w:w="3662"/>
      </w:tblGrid>
      <w:tr>
        <w:trPr/>
        <w:tc>
          <w:tcPr>
            <w:tcW w:w="3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w:t>
            </w:r>
          </w:p>
        </w:tc>
      </w:tr>
      <w:tr>
        <w:trPr>
          <w:trHeight w:val="240" w:hRule="atLeast"/>
        </w:trPr>
        <w:tc>
          <w:tcPr>
            <w:tcW w:w="360" w:type="dxa"/>
            <w:tcBorders/>
            <w:vAlign w:val="center"/>
          </w:tcPr>
          <w:p>
            <w:pPr>
              <w:pStyle w:val="TableContents"/>
              <w:bidi w:val="0"/>
              <w:spacing w:before="0" w:after="283"/>
              <w:jc w:val="left"/>
              <w:rPr>
                <w:sz w:val="4"/>
                <w:szCs w:val="4"/>
              </w:rPr>
            </w:pPr>
            <w:r>
              <w:rPr>
                <w:sz w:val="4"/>
                <w:szCs w:val="4"/>
              </w:rPr>
            </w:r>
          </w:p>
        </w:tc>
        <w:tc>
          <w:tcPr>
            <w:tcW w:w="3722" w:type="dxa"/>
            <w:gridSpan w:val="2"/>
            <w:tcBorders/>
            <w:vAlign w:val="center"/>
          </w:tcPr>
          <w:p>
            <w:pPr>
              <w:pStyle w:val="TableContents"/>
              <w:bidi w:val="0"/>
              <w:spacing w:before="0" w:after="283"/>
              <w:jc w:val="left"/>
              <w:rPr>
                <w:sz w:val="4"/>
                <w:szCs w:val="4"/>
              </w:rPr>
            </w:pPr>
            <w:r>
              <w:rPr>
                <w:sz w:val="4"/>
                <w:szCs w:val="4"/>
              </w:rPr>
            </w:r>
          </w:p>
        </w:tc>
      </w:tr>
      <w:tr>
        <w:trPr/>
        <w:tc>
          <w:tcPr>
            <w:tcW w:w="36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2" w:type="dxa"/>
            <w:tcBorders>
              <w:bottom w:val="single" w:sz="2" w:space="0" w:color="000000"/>
            </w:tcBorders>
            <w:tcMar>
              <w:bottom w:w="28" w:type="dxa"/>
            </w:tcMar>
          </w:tcPr>
          <w:p>
            <w:pPr>
              <w:pStyle w:val="TableContents"/>
              <w:bidi w:val="0"/>
              <w:spacing w:before="0" w:after="283"/>
              <w:jc w:val="left"/>
              <w:rPr/>
            </w:pPr>
            <w:r>
              <w:rPr/>
              <w:t>/s/ Kate Brown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Name: Kate Brown</w:t>
            </w:r>
          </w:p>
        </w:tc>
      </w:tr>
      <w:tr>
        <w:trPr/>
        <w:tc>
          <w:tcPr>
            <w:tcW w:w="3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Second Amendment to Amended and Restated Term Loan Agreement 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ASSOCIATED BANK, NATIONAL ASSOCIATION, as a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Mitchell Vega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Name: Mitchell Vega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right"/>
        <w:rPr>
          <w:rFonts w:ascii="Times New Roman" w:hAnsi="Times New Roman"/>
          <w:sz w:val="20"/>
        </w:rPr>
      </w:pPr>
      <w:r>
        <w:rPr>
          <w:rFonts w:ascii="Times New Roman" w:hAnsi="Times New Roman"/>
          <w:sz w:val="20"/>
        </w:rPr>
        <w:t xml:space="preserve">Published CUSIP Number: 3137LEAH6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TERM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20, 2025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FRIT SAN JOSE TOWN AND COUNTRY VILLAGE, LLC </w:t>
      </w:r>
    </w:p>
    <w:p>
      <w:pPr>
        <w:pStyle w:val="TextBody"/>
        <w:bidi w:val="0"/>
        <w:spacing w:before="0" w:after="0"/>
        <w:jc w:val="center"/>
        <w:rPr>
          <w:rFonts w:ascii="Times New Roman" w:hAnsi="Times New Roman"/>
          <w:sz w:val="20"/>
        </w:rPr>
      </w:pPr>
      <w:r>
        <w:rPr>
          <w:rFonts w:ascii="Times New Roman" w:hAnsi="Times New Roman"/>
          <w:sz w:val="20"/>
        </w:rPr>
        <w:t xml:space="preserve">collectively, 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FINANCIAL INSTITUTIONS PARTY HERETO </w:t>
      </w:r>
    </w:p>
    <w:p>
      <w:pPr>
        <w:pStyle w:val="TextBody"/>
        <w:bidi w:val="0"/>
        <w:spacing w:before="0" w:after="0"/>
        <w:jc w:val="center"/>
        <w:rPr>
          <w:rFonts w:ascii="Times New Roman" w:hAnsi="Times New Roman"/>
          <w:sz w:val="20"/>
        </w:rPr>
      </w:pPr>
      <w:r>
        <w:rPr>
          <w:rFonts w:ascii="Times New Roman" w:hAnsi="Times New Roman"/>
          <w:sz w:val="20"/>
        </w:rPr>
        <w:t xml:space="preserve">AND THEIR PERMITTED ASSIGNEES UNDER SECTION 12.6.,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REGIONS BANK, </w:t>
      </w:r>
    </w:p>
    <w:p>
      <w:pPr>
        <w:pStyle w:val="TextBody"/>
        <w:bidi w:val="0"/>
        <w:spacing w:before="0" w:after="0"/>
        <w:jc w:val="center"/>
        <w:rPr>
          <w:rFonts w:ascii="Times New Roman" w:hAnsi="Times New Roman"/>
          <w:sz w:val="20"/>
        </w:rPr>
      </w:pPr>
      <w:r>
        <w:rPr>
          <w:rFonts w:ascii="Times New Roman" w:hAnsi="Times New Roman"/>
          <w:sz w:val="20"/>
        </w:rPr>
        <w:t xml:space="preserve">TD BANK, N.A., </w:t>
      </w:r>
    </w:p>
    <w:p>
      <w:pPr>
        <w:pStyle w:val="TextBody"/>
        <w:bidi w:val="0"/>
        <w:spacing w:before="0" w:after="0"/>
        <w:jc w:val="center"/>
        <w:rPr>
          <w:rFonts w:ascii="Times New Roman" w:hAnsi="Times New Roman"/>
          <w:sz w:val="20"/>
        </w:rPr>
      </w:pPr>
      <w:r>
        <w:rPr>
          <w:rFonts w:ascii="Times New Roman" w:hAnsi="Times New Roman"/>
          <w:sz w:val="20"/>
        </w:rPr>
        <w:t xml:space="preserve">TRUIST BANK,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REGIONS CAPITAL MARKETS, </w:t>
      </w:r>
    </w:p>
    <w:p>
      <w:pPr>
        <w:pStyle w:val="TextBody"/>
        <w:bidi w:val="0"/>
        <w:spacing w:before="0" w:after="0"/>
        <w:jc w:val="center"/>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center"/>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 </w:t>
      </w:r>
    </w:p>
    <w:p>
      <w:pPr>
        <w:pStyle w:val="TextBody"/>
        <w:bidi w:val="0"/>
        <w:spacing w:before="0" w:after="0"/>
        <w:jc w:val="center"/>
        <w:rPr>
          <w:rFonts w:ascii="Times New Roman" w:hAnsi="Times New Roman"/>
          <w:sz w:val="20"/>
        </w:rPr>
      </w:pPr>
      <w:r>
        <w:rPr>
          <w:rFonts w:ascii="Times New Roman" w:hAnsi="Times New Roman"/>
          <w:sz w:val="20"/>
        </w:rPr>
        <w:t xml:space="preserve">Managers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13425" w:type="dxa"/>
        <w:jc w:val="center"/>
        <w:tblInd w:w="0" w:type="dxa"/>
        <w:tblLayout w:type="fixed"/>
        <w:tblCellMar>
          <w:top w:w="0" w:type="dxa"/>
          <w:left w:w="0" w:type="dxa"/>
          <w:bottom w:w="0" w:type="dxa"/>
          <w:right w:w="0" w:type="dxa"/>
        </w:tblCellMar>
      </w:tblPr>
      <w:tblGrid>
        <w:gridCol w:w="1040"/>
        <w:gridCol w:w="60"/>
        <w:gridCol w:w="11585"/>
        <w:gridCol w:w="120"/>
        <w:gridCol w:w="60"/>
        <w:gridCol w:w="5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4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General; References to Eastern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33</w:t>
            </w:r>
            <w:r>
              <w:rPr>
                <w:color w:val="0000FF"/>
                <w:u w:val="single"/>
                <w:bdr w:val="double" w:sz="2" w:space="1" w:color="000000"/>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Financial Attributes of Non-Wholly Owned Subsidiaries and Calculation of Financial Covenants in Certain Circumstances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34</w:t>
            </w:r>
            <w:r>
              <w:rPr>
                <w:color w:val="0000FF"/>
                <w:u w:val="single"/>
                <w:bdr w:val="double" w:sz="2" w:space="1" w:color="000000"/>
              </w:rPr>
              <w:t>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Rates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Divisions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35</w:t>
            </w:r>
            <w:r>
              <w:rPr>
                <w:color w:val="0000FF"/>
                <w:u w:val="single"/>
                <w:bdr w:val="double" w:sz="2" w:space="1" w:color="000000"/>
              </w:rPr>
              <w:t>37</w:t>
            </w:r>
          </w:p>
        </w:tc>
        <w:tc>
          <w:tcPr>
            <w:tcW w:w="60" w:type="dxa"/>
            <w:tcBorders/>
            <w:vAlign w:val="bottom"/>
          </w:tcPr>
          <w:p>
            <w:pPr>
              <w:pStyle w:val="TableContents"/>
              <w:bidi w:val="0"/>
              <w:spacing w:before="0" w:after="283"/>
              <w:jc w:val="left"/>
              <w:rPr/>
            </w:pPr>
            <w:r>
              <w:rPr/>
              <w:t> </w:t>
            </w:r>
          </w:p>
        </w:tc>
      </w:tr>
      <w:tr>
        <w:trPr>
          <w:trHeight w:val="120" w:hRule="atLeast"/>
        </w:trPr>
        <w:tc>
          <w:tcPr>
            <w:tcW w:w="12685"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Credit Facility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35</w:t>
            </w:r>
            <w:r>
              <w:rPr>
                <w:color w:val="0000FF"/>
                <w:u w:val="single"/>
                <w:bdr w:val="double" w:sz="2" w:space="1" w:color="000000"/>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4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FRIT San Jose Joinder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35</w:t>
            </w:r>
            <w:r>
              <w:rPr>
                <w:color w:val="0000FF"/>
                <w:u w:val="single"/>
                <w:bdr w:val="double" w:sz="2" w:space="1" w:color="000000"/>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Rates and Payment of Interest on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Number of Interest Periods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39</w:t>
            </w:r>
            <w:r>
              <w:rPr>
                <w:color w:val="0000FF"/>
                <w:u w:val="single"/>
                <w:bdr w:val="double" w:sz="2" w:space="1" w:color="000000"/>
              </w:rPr>
              <w:t>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Repayment of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39</w:t>
            </w:r>
            <w:r>
              <w:rPr>
                <w:color w:val="0000FF"/>
                <w:u w:val="single"/>
                <w:bdr w:val="double" w:sz="2" w:space="1" w:color="000000"/>
              </w:rPr>
              <w:t>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Optional Prepayments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39</w:t>
            </w:r>
            <w:r>
              <w:rPr>
                <w:color w:val="0000FF"/>
                <w:u w:val="single"/>
                <w:bdr w:val="double" w:sz="2" w:space="1" w:color="000000"/>
              </w:rPr>
              <w:t>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Continuation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40</w:t>
            </w:r>
            <w:r>
              <w:rPr>
                <w:color w:val="0000FF"/>
                <w:u w:val="single"/>
                <w:bdr w:val="double" w:sz="2" w:space="1" w:color="000000"/>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Voluntary Reductions of the Commitments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41</w:t>
            </w:r>
            <w:r>
              <w:rPr>
                <w:color w:val="0000FF"/>
                <w:u w:val="single"/>
                <w:bdr w:val="double" w:sz="2" w:space="1" w:color="000000"/>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Extension of Maturity Date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41</w:t>
            </w:r>
            <w:r>
              <w:rPr>
                <w:color w:val="0000FF"/>
                <w:u w:val="single"/>
                <w:bdr w:val="double" w:sz="2" w:space="1" w:color="000000"/>
              </w:rPr>
              <w:t>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Additional Term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Joint and Several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Borrower Representative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Funds Transfer Disbursements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44</w:t>
            </w:r>
            <w:r>
              <w:rPr>
                <w:color w:val="0000FF"/>
                <w:u w:val="single"/>
                <w:bdr w:val="double" w:sz="2" w:space="1" w:color="000000"/>
              </w:rPr>
              <w:t>46</w:t>
            </w:r>
          </w:p>
        </w:tc>
        <w:tc>
          <w:tcPr>
            <w:tcW w:w="60" w:type="dxa"/>
            <w:tcBorders/>
            <w:vAlign w:val="bottom"/>
          </w:tcPr>
          <w:p>
            <w:pPr>
              <w:pStyle w:val="TableContents"/>
              <w:bidi w:val="0"/>
              <w:spacing w:before="0" w:after="283"/>
              <w:jc w:val="left"/>
              <w:rPr/>
            </w:pPr>
            <w:r>
              <w:rPr/>
              <w:t> </w:t>
            </w:r>
          </w:p>
        </w:tc>
      </w:tr>
      <w:tr>
        <w:trPr>
          <w:trHeight w:val="120" w:hRule="atLeast"/>
        </w:trPr>
        <w:tc>
          <w:tcPr>
            <w:tcW w:w="12685"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Payments, Fees and Other General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44</w:t>
            </w:r>
            <w:r>
              <w:rPr>
                <w:color w:val="0000FF"/>
                <w:u w:val="single"/>
                <w:bdr w:val="double" w:sz="2" w:space="1" w:color="000000"/>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4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44</w:t>
            </w:r>
            <w:r>
              <w:rPr>
                <w:color w:val="0000FF"/>
                <w:u w:val="single"/>
                <w:bdr w:val="double" w:sz="2" w:space="1" w:color="000000"/>
              </w:rPr>
              <w:t>46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Pro Rata Treatment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Sharing of Payments,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45</w:t>
            </w:r>
            <w:r>
              <w:rPr>
                <w:color w:val="0000FF"/>
                <w:u w:val="single"/>
                <w:bdr w:val="double" w:sz="2" w:space="1" w:color="000000"/>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Several Obligations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Fees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Computations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46</w:t>
            </w:r>
            <w:r>
              <w:rPr>
                <w:color w:val="0000FF"/>
                <w:u w:val="single"/>
                <w:bdr w:val="double" w:sz="2" w:space="1" w:color="000000"/>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Usury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Statements of Account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Defaulting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47</w:t>
            </w:r>
            <w:r>
              <w:rPr>
                <w:color w:val="0000FF"/>
                <w:u w:val="single"/>
                <w:bdr w:val="double" w:sz="2" w:space="1" w:color="000000"/>
              </w:rPr>
              <w:t>49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Taxes; Foreign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48</w:t>
            </w:r>
            <w:r>
              <w:rPr>
                <w:color w:val="0000FF"/>
                <w:u w:val="single"/>
                <w:bdr w:val="double" w:sz="2" w:space="1" w:color="000000"/>
              </w:rPr>
              <w:t>50</w:t>
            </w:r>
          </w:p>
        </w:tc>
        <w:tc>
          <w:tcPr>
            <w:tcW w:w="60" w:type="dxa"/>
            <w:tcBorders/>
            <w:vAlign w:val="bottom"/>
          </w:tcPr>
          <w:p>
            <w:pPr>
              <w:pStyle w:val="TableContents"/>
              <w:bidi w:val="0"/>
              <w:spacing w:before="0" w:after="283"/>
              <w:jc w:val="left"/>
              <w:rPr/>
            </w:pPr>
            <w:r>
              <w:rPr/>
              <w:t> </w:t>
            </w:r>
          </w:p>
        </w:tc>
      </w:tr>
      <w:tr>
        <w:trPr>
          <w:trHeight w:val="120" w:hRule="atLeast"/>
        </w:trPr>
        <w:tc>
          <w:tcPr>
            <w:tcW w:w="12685"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Yield Protection,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45"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Additional Costs; Capital Adequacy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Inability to Determine Interest Rates; Alternative Rate of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Illegality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Treatment of Affected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Affected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Change of Lending Office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11585" w:type="dxa"/>
            <w:tcBorders/>
            <w:vAlign w:val="bottom"/>
          </w:tcPr>
          <w:p>
            <w:pPr>
              <w:pStyle w:val="TableContents"/>
              <w:bidi w:val="0"/>
              <w:spacing w:before="0" w:after="283"/>
              <w:jc w:val="left"/>
              <w:rPr/>
            </w:pPr>
            <w:r>
              <w:rPr/>
              <w:t>Assumptions Concerning Funding of SOFR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13350" w:type="dxa"/>
        <w:jc w:val="center"/>
        <w:tblInd w:w="0" w:type="dxa"/>
        <w:tblLayout w:type="fixed"/>
        <w:tblCellMar>
          <w:top w:w="0" w:type="dxa"/>
          <w:left w:w="0" w:type="dxa"/>
          <w:bottom w:w="0" w:type="dxa"/>
          <w:right w:w="0" w:type="dxa"/>
        </w:tblCellMar>
      </w:tblPr>
      <w:tblGrid>
        <w:gridCol w:w="1040"/>
        <w:gridCol w:w="60"/>
        <w:gridCol w:w="11510"/>
        <w:gridCol w:w="120"/>
        <w:gridCol w:w="60"/>
        <w:gridCol w:w="5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6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Conditions Precedent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570"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Initial Conditions Precedent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Conditions Precedent to All Loans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rHeight w:val="120" w:hRule="atLeast"/>
        </w:trPr>
        <w:tc>
          <w:tcPr>
            <w:tcW w:w="12610"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Survival of Representations and Warranties,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66</w:t>
            </w:r>
            <w:r>
              <w:rPr>
                <w:color w:val="0000FF"/>
                <w:u w:val="single"/>
                <w:bdr w:val="double" w:sz="2" w:space="1" w:color="000000"/>
              </w:rPr>
              <w:t>69</w:t>
            </w:r>
          </w:p>
        </w:tc>
        <w:tc>
          <w:tcPr>
            <w:tcW w:w="60" w:type="dxa"/>
            <w:tcBorders/>
            <w:vAlign w:val="bottom"/>
          </w:tcPr>
          <w:p>
            <w:pPr>
              <w:pStyle w:val="TableContents"/>
              <w:bidi w:val="0"/>
              <w:spacing w:before="0" w:after="283"/>
              <w:jc w:val="left"/>
              <w:rPr/>
            </w:pPr>
            <w:r>
              <w:rPr/>
              <w:t> </w:t>
            </w:r>
          </w:p>
        </w:tc>
      </w:tr>
      <w:tr>
        <w:trPr>
          <w:trHeight w:val="120" w:hRule="atLeast"/>
        </w:trPr>
        <w:tc>
          <w:tcPr>
            <w:tcW w:w="12610"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Affirmative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67</w:t>
            </w:r>
            <w:r>
              <w:rPr>
                <w:color w:val="0000FF"/>
                <w:u w:val="single"/>
                <w:bdr w:val="double" w:sz="2" w:space="1" w:color="000000"/>
              </w:rPr>
              <w:t>70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570"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Preservation of Existence and Similar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67</w:t>
            </w:r>
            <w:r>
              <w:rPr>
                <w:color w:val="0000FF"/>
                <w:u w:val="single"/>
                <w:bdr w:val="double" w:sz="2" w:space="1" w:color="000000"/>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Compliance with Applicable Law</w:t>
            </w:r>
            <w:r>
              <w:rPr>
                <w:strike/>
                <w:color w:val="FF0000"/>
              </w:rPr>
              <w:t xml:space="preserve"> and 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67</w:t>
            </w:r>
            <w:r>
              <w:rPr>
                <w:color w:val="0000FF"/>
                <w:u w:val="single"/>
                <w:bdr w:val="double" w:sz="2" w:space="1" w:color="000000"/>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Maintenance of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67</w:t>
            </w:r>
            <w:r>
              <w:rPr>
                <w:color w:val="0000FF"/>
                <w:u w:val="single"/>
                <w:bdr w:val="double" w:sz="2" w:space="1" w:color="000000"/>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Payment of Taxes and Claims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Books and Records; Inspections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69</w:t>
            </w:r>
            <w:r>
              <w:rPr>
                <w:color w:val="0000FF"/>
                <w:u w:val="single"/>
                <w:bdr w:val="double" w:sz="2" w:space="1" w:color="000000"/>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Compliance with Anti-Corruption Laws; Beneficial Ownership Regulation, Anti-Money Laundering Laws and Sanctions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69</w:t>
            </w:r>
            <w:r>
              <w:rPr>
                <w:color w:val="0000FF"/>
                <w:u w:val="single"/>
                <w:bdr w:val="double" w:sz="2" w:space="1" w:color="000000"/>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REIT Status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Exchange Listing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Guarantors</w:t>
            </w:r>
            <w:r>
              <w:rPr>
                <w:color w:val="0000FF"/>
                <w:u w:val="single"/>
                <w:bdr w:val="double" w:sz="2" w:space="1" w:color="000000"/>
              </w:rPr>
              <w:t>; Assets Included in Unencumbered Asset Value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rHeight w:val="120" w:hRule="atLeast"/>
        </w:trPr>
        <w:tc>
          <w:tcPr>
            <w:tcW w:w="12610"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570"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Quarterly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Year-End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Compliance Certificate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71</w:t>
            </w:r>
            <w:r>
              <w:rPr>
                <w:color w:val="0000FF"/>
                <w:u w:val="single"/>
                <w:bdr w:val="double" w:sz="2" w:space="1" w:color="000000"/>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Other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72</w:t>
            </w:r>
            <w:r>
              <w:rPr>
                <w:color w:val="0000FF"/>
                <w:u w:val="single"/>
                <w:bdr w:val="double" w:sz="2" w:space="1" w:color="000000"/>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Electronic Delivery of Certain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74</w:t>
            </w:r>
            <w:r>
              <w:rPr>
                <w:color w:val="0000FF"/>
                <w:u w:val="single"/>
                <w:bdr w:val="double" w:sz="2" w:space="1" w:color="000000"/>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Public/Private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USA Patriot Act Notice; Compliance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78</w:t>
            </w:r>
          </w:p>
        </w:tc>
        <w:tc>
          <w:tcPr>
            <w:tcW w:w="60" w:type="dxa"/>
            <w:tcBorders/>
            <w:vAlign w:val="bottom"/>
          </w:tcPr>
          <w:p>
            <w:pPr>
              <w:pStyle w:val="TableContents"/>
              <w:bidi w:val="0"/>
              <w:spacing w:before="0" w:after="283"/>
              <w:jc w:val="left"/>
              <w:rPr/>
            </w:pPr>
            <w:r>
              <w:rPr/>
              <w:t> </w:t>
            </w:r>
          </w:p>
        </w:tc>
      </w:tr>
      <w:tr>
        <w:trPr>
          <w:trHeight w:val="120" w:hRule="atLeast"/>
        </w:trPr>
        <w:tc>
          <w:tcPr>
            <w:tcW w:w="12610"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26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Negative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570"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Financial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75</w:t>
            </w:r>
            <w:r>
              <w:rPr>
                <w:color w:val="0000FF"/>
                <w:u w:val="single"/>
                <w:bdr w:val="double" w:sz="2" w:space="1" w:color="000000"/>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Liens; Negative Pledges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Restrictions on Intercompany Transfers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Merger, Consolidation, Sales of Assets and Other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81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Modifications of Organizational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Non-Controlled Properties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Derivatives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80</w:t>
            </w:r>
            <w:r>
              <w:rPr>
                <w:color w:val="0000FF"/>
                <w:u w:val="single"/>
                <w:bdr w:val="double" w:sz="2" w:space="1" w:color="000000"/>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pPr>
            <w:r>
              <w:rPr/>
              <w:t>Parent and General Partner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strike/>
                <w:color w:val="FF0000"/>
              </w:rPr>
              <w:t>80</w:t>
            </w:r>
            <w:r>
              <w:rPr>
                <w:color w:val="0000FF"/>
                <w:u w:val="single"/>
                <w:bdr w:val="double" w:sz="2" w:space="1" w:color="000000"/>
              </w:rPr>
              <w:t>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9.15.</w:t>
            </w:r>
          </w:p>
        </w:tc>
        <w:tc>
          <w:tcPr>
            <w:tcW w:w="60" w:type="dxa"/>
            <w:tcBorders/>
            <w:vAlign w:val="bottom"/>
          </w:tcPr>
          <w:p>
            <w:pPr>
              <w:pStyle w:val="TableContents"/>
              <w:bidi w:val="0"/>
              <w:spacing w:before="0" w:after="283"/>
              <w:jc w:val="left"/>
              <w:rPr/>
            </w:pPr>
            <w:r>
              <w:rPr/>
              <w:t> </w:t>
            </w:r>
          </w:p>
        </w:tc>
        <w:tc>
          <w:tcPr>
            <w:tcW w:w="11510"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Outbound Investment Status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85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03"/>
        <w:gridCol w:w="78"/>
        <w:gridCol w:w="7836"/>
        <w:gridCol w:w="125"/>
        <w:gridCol w:w="60"/>
        <w:gridCol w:w="740"/>
        <w:gridCol w:w="63"/>
      </w:tblGrid>
      <w:tr>
        <w:trPr/>
        <w:tc>
          <w:tcPr>
            <w:tcW w:w="1303"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783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81</w:t>
            </w:r>
            <w:r>
              <w:rPr>
                <w:color w:val="0000FF"/>
                <w:u w:val="single"/>
                <w:bdr w:val="double" w:sz="2" w:space="1" w:color="000000"/>
              </w:rPr>
              <w:t>85</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7914" w:type="dxa"/>
            <w:gridSpan w:val="2"/>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Events of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81</w:t>
            </w:r>
            <w:r>
              <w:rPr>
                <w:color w:val="0000FF"/>
                <w:u w:val="single"/>
                <w:bdr w:val="double" w:sz="2" w:space="1" w:color="000000"/>
              </w:rPr>
              <w:t>85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Remedies Upon Event of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84</w:t>
            </w:r>
            <w:r>
              <w:rPr>
                <w:color w:val="0000FF"/>
                <w:u w:val="single"/>
                <w:bdr w:val="double" w:sz="2" w:space="1" w:color="000000"/>
              </w:rPr>
              <w:t>89</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Remedies Upon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85</w:t>
            </w:r>
            <w:r>
              <w:rPr>
                <w:color w:val="0000FF"/>
                <w:u w:val="single"/>
                <w:bdr w:val="double" w:sz="2" w:space="1" w:color="000000"/>
              </w:rPr>
              <w:t>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Marshaling; Payments Set Aside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90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Allocation of Proceeds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90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[Intentionally Omitted]</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Rescission of Acceleration by Requisite Lenders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90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Performance by Administrative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Rights Cumulative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gridSpan w:val="3"/>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The Administrative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92</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7914" w:type="dxa"/>
            <w:gridSpan w:val="2"/>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Appointment and Authorization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92</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PNC Bank as Lender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88</w:t>
            </w:r>
            <w:r>
              <w:rPr/>
              <w:t>93</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Approvals of Lenders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93</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Notice of Events of Default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93</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Administrative Agent’s Reliance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Indemnification of Administrative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94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Lender Credit Decision, Etc.</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91</w:t>
            </w:r>
            <w:r>
              <w:rPr>
                <w:color w:val="0000FF"/>
                <w:u w:val="single"/>
                <w:bdr w:val="double" w:sz="2" w:space="1" w:color="000000"/>
              </w:rPr>
              <w:t>95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11.8.</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Successor Administrative Agent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91</w:t>
            </w:r>
            <w:r>
              <w:rPr>
                <w:color w:val="0000FF"/>
                <w:u w:val="single"/>
                <w:bdr w:val="double" w:sz="2" w:space="1" w:color="000000"/>
              </w:rPr>
              <w:t>96</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11.9.</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Titled Agents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96</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Erroneous Payments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97</w:t>
            </w:r>
          </w:p>
        </w:tc>
        <w:tc>
          <w:tcPr>
            <w:tcW w:w="63" w:type="dxa"/>
            <w:tcBorders/>
            <w:vAlign w:val="bottom"/>
          </w:tcPr>
          <w:p>
            <w:pPr>
              <w:pStyle w:val="TableContents"/>
              <w:bidi w:val="0"/>
              <w:spacing w:before="0" w:after="283"/>
              <w:jc w:val="left"/>
              <w:rPr/>
            </w:pPr>
            <w:r>
              <w:rPr/>
              <w:t> </w:t>
            </w:r>
          </w:p>
        </w:tc>
      </w:tr>
      <w:tr>
        <w:trPr>
          <w:trHeight w:val="120" w:hRule="atLeast"/>
        </w:trPr>
        <w:tc>
          <w:tcPr>
            <w:tcW w:w="9217" w:type="dxa"/>
            <w:gridSpan w:val="3"/>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92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Miscellaneous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99</w:t>
            </w:r>
          </w:p>
        </w:tc>
        <w:tc>
          <w:tcPr>
            <w:tcW w:w="63" w:type="dxa"/>
            <w:tcBorders/>
            <w:vAlign w:val="bottom"/>
          </w:tcPr>
          <w:p>
            <w:pPr>
              <w:pStyle w:val="TableContents"/>
              <w:bidi w:val="0"/>
              <w:spacing w:before="0" w:after="283"/>
              <w:jc w:val="left"/>
              <w:rPr/>
            </w:pPr>
            <w:r>
              <w:rPr/>
              <w:t> </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7914" w:type="dxa"/>
            <w:gridSpan w:val="2"/>
            <w:tcBorders/>
            <w:vAlign w:val="center"/>
          </w:tcPr>
          <w:p>
            <w:pPr>
              <w:pStyle w:val="TableContents"/>
              <w:bidi w:val="0"/>
              <w:spacing w:before="0" w:after="283"/>
              <w:jc w:val="left"/>
              <w:rPr>
                <w:sz w:val="4"/>
                <w:szCs w:val="4"/>
              </w:rPr>
            </w:pPr>
            <w:r>
              <w:rPr>
                <w:sz w:val="4"/>
                <w:szCs w:val="4"/>
              </w:rPr>
            </w:r>
          </w:p>
        </w:tc>
        <w:tc>
          <w:tcPr>
            <w:tcW w:w="988" w:type="dxa"/>
            <w:gridSpan w:val="4"/>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Notices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99</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Expenses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Stamp, Intangible and Recording Taxes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Setoff</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Litigation; Jurisdiction; Other Matters; Waivers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102</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Successors and Assigns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104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12.7.</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Amendments and Waivers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12.8.</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Nonliability of Administrative Agent and Lenders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12.9.</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Confidentiality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Indemnification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Termination; Survival</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113</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Severability of Provisions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GOVERNING LAW</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Counterparts; Integration; Effectiveness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Obligations with Respect to Loan Parties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Independence of Covenants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12.17.</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Limitation of Liability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109</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12.18.</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Entire Agreement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12.19.</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Construction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12.20.</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Headings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12.21.</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Limitation of Liability of Trustees, Etc.</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12.22.</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Acknowledgement and Consent to Bail-In of EEA Financial Institutions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110</w:t>
            </w:r>
            <w:r>
              <w:rPr>
                <w:color w:val="0000FF"/>
                <w:u w:val="single"/>
                <w:bdr w:val="double" w:sz="2" w:space="1" w:color="000000"/>
              </w:rPr>
              <w:t>116</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12.23.</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Electronic Signatures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111</w:t>
            </w:r>
            <w:r>
              <w:rPr>
                <w:color w:val="0000FF"/>
                <w:u w:val="single"/>
                <w:bdr w:val="double" w:sz="2" w:space="1" w:color="000000"/>
              </w:rPr>
              <w:t>116</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12.24.</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Acknowledgement Regarding Any Supported QFCs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111</w:t>
            </w:r>
            <w:r>
              <w:rPr>
                <w:color w:val="0000FF"/>
                <w:u w:val="single"/>
                <w:bdr w:val="double" w:sz="2" w:space="1" w:color="000000"/>
              </w:rPr>
              <w:t>116</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12.25.</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Release of FRIT San Jose as a Borrower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117</w:t>
            </w:r>
          </w:p>
        </w:tc>
        <w:tc>
          <w:tcPr>
            <w:tcW w:w="63" w:type="dxa"/>
            <w:tcBorders/>
            <w:vAlign w:val="bottom"/>
          </w:tcPr>
          <w:p>
            <w:pPr>
              <w:pStyle w:val="TableContents"/>
              <w:bidi w:val="0"/>
              <w:spacing w:before="0" w:after="283"/>
              <w:jc w:val="left"/>
              <w:rPr/>
            </w:pPr>
            <w:r>
              <w:rPr/>
              <w:t> </w:t>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Section 12.26.</w:t>
            </w:r>
          </w:p>
        </w:tc>
        <w:tc>
          <w:tcPr>
            <w:tcW w:w="78" w:type="dxa"/>
            <w:tcBorders/>
            <w:vAlign w:val="bottom"/>
          </w:tcPr>
          <w:p>
            <w:pPr>
              <w:pStyle w:val="TableContents"/>
              <w:bidi w:val="0"/>
              <w:spacing w:before="0" w:after="283"/>
              <w:jc w:val="left"/>
              <w:rPr/>
            </w:pPr>
            <w:r>
              <w:rPr/>
              <w:t> </w:t>
            </w:r>
          </w:p>
        </w:tc>
        <w:tc>
          <w:tcPr>
            <w:tcW w:w="7836" w:type="dxa"/>
            <w:tcBorders/>
            <w:vAlign w:val="bottom"/>
          </w:tcPr>
          <w:p>
            <w:pPr>
              <w:pStyle w:val="TableContents"/>
              <w:bidi w:val="0"/>
              <w:spacing w:before="0" w:after="283"/>
              <w:jc w:val="left"/>
              <w:rPr/>
            </w:pPr>
            <w:r>
              <w:rPr/>
              <w:t>Effect of Amendment and Restatement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112</w:t>
            </w:r>
            <w:r>
              <w:rPr>
                <w:color w:val="0000FF"/>
                <w:u w:val="single"/>
                <w:bdr w:val="double" w:sz="2" w:space="1" w:color="000000"/>
              </w:rPr>
              <w:t>117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71"/>
        <w:gridCol w:w="120"/>
        <w:gridCol w:w="8114"/>
      </w:tblGrid>
      <w:tr>
        <w:trPr/>
        <w:tc>
          <w:tcPr>
            <w:tcW w:w="19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14" w:type="dxa"/>
            <w:tcBorders/>
            <w:vAlign w:val="center"/>
          </w:tcPr>
          <w:p>
            <w:pPr>
              <w:pStyle w:val="TableContents"/>
              <w:bidi w:val="0"/>
              <w:spacing w:before="0" w:after="283"/>
              <w:jc w:val="left"/>
              <w:rPr>
                <w:sz w:val="4"/>
                <w:szCs w:val="4"/>
              </w:rPr>
            </w:pPr>
            <w:r>
              <w:rPr>
                <w:sz w:val="4"/>
                <w:szCs w:val="4"/>
              </w:rPr>
            </w:r>
          </w:p>
        </w:tc>
      </w:tr>
      <w:tr>
        <w:trPr/>
        <w:tc>
          <w:tcPr>
            <w:tcW w:w="1971" w:type="dxa"/>
            <w:tcBorders/>
          </w:tcPr>
          <w:p>
            <w:pPr>
              <w:pStyle w:val="TableContents"/>
              <w:bidi w:val="0"/>
              <w:spacing w:before="0" w:after="283"/>
              <w:jc w:val="left"/>
              <w:rPr/>
            </w:pPr>
            <w:r>
              <w:rPr/>
              <w:t>SCHEDULE I</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Commitments and Loans</w:t>
            </w:r>
          </w:p>
        </w:tc>
      </w:tr>
      <w:tr>
        <w:trPr/>
        <w:tc>
          <w:tcPr>
            <w:tcW w:w="1971" w:type="dxa"/>
            <w:tcBorders/>
          </w:tcPr>
          <w:p>
            <w:pPr>
              <w:pStyle w:val="TableContents"/>
              <w:bidi w:val="0"/>
              <w:spacing w:before="0" w:after="283"/>
              <w:jc w:val="left"/>
              <w:rPr/>
            </w:pPr>
            <w:r>
              <w:rPr/>
              <w:t>SCHEDULE 1.1.(a)</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List of Loan Parties</w:t>
            </w:r>
          </w:p>
        </w:tc>
      </w:tr>
      <w:tr>
        <w:trPr/>
        <w:tc>
          <w:tcPr>
            <w:tcW w:w="1971" w:type="dxa"/>
            <w:tcBorders/>
          </w:tcPr>
          <w:p>
            <w:pPr>
              <w:pStyle w:val="TableContents"/>
              <w:bidi w:val="0"/>
              <w:spacing w:before="0" w:after="283"/>
              <w:jc w:val="left"/>
              <w:rPr/>
            </w:pPr>
            <w:r>
              <w:rPr/>
              <w:t>SCHEDULE 6.1.(b)</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Ownership Structure</w:t>
            </w:r>
          </w:p>
        </w:tc>
      </w:tr>
      <w:tr>
        <w:trPr/>
        <w:tc>
          <w:tcPr>
            <w:tcW w:w="1971" w:type="dxa"/>
            <w:tcBorders/>
          </w:tcPr>
          <w:p>
            <w:pPr>
              <w:pStyle w:val="TableContents"/>
              <w:bidi w:val="0"/>
              <w:spacing w:before="0" w:after="283"/>
              <w:jc w:val="left"/>
              <w:rPr/>
            </w:pPr>
            <w:r>
              <w:rPr/>
              <w:t>SCHEDULE 6.1.(f)</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Properties</w:t>
            </w:r>
          </w:p>
        </w:tc>
      </w:tr>
      <w:tr>
        <w:trPr/>
        <w:tc>
          <w:tcPr>
            <w:tcW w:w="1971" w:type="dxa"/>
            <w:tcBorders/>
          </w:tcPr>
          <w:p>
            <w:pPr>
              <w:pStyle w:val="TableContents"/>
              <w:bidi w:val="0"/>
              <w:spacing w:before="0" w:after="283"/>
              <w:jc w:val="left"/>
              <w:rPr/>
            </w:pPr>
            <w:r>
              <w:rPr/>
              <w:t>SCHEDULE 6.1.(g)</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Indebtedness and Guaranties</w:t>
            </w:r>
          </w:p>
        </w:tc>
      </w:tr>
      <w:tr>
        <w:trPr/>
        <w:tc>
          <w:tcPr>
            <w:tcW w:w="1971" w:type="dxa"/>
            <w:tcBorders/>
          </w:tcPr>
          <w:p>
            <w:pPr>
              <w:pStyle w:val="TableContents"/>
              <w:bidi w:val="0"/>
              <w:spacing w:before="0" w:after="283"/>
              <w:jc w:val="left"/>
              <w:rPr/>
            </w:pPr>
            <w:r>
              <w:rPr/>
              <w:t>SCHEDULE 6.1.(i)</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Litigation</w:t>
            </w:r>
          </w:p>
        </w:tc>
      </w:tr>
      <w:tr>
        <w:trPr/>
        <w:tc>
          <w:tcPr>
            <w:tcW w:w="1971" w:type="dxa"/>
            <w:tcBorders/>
          </w:tcPr>
          <w:p>
            <w:pPr>
              <w:pStyle w:val="TableContents"/>
              <w:bidi w:val="0"/>
              <w:spacing w:before="0" w:after="283"/>
              <w:jc w:val="left"/>
              <w:rPr/>
            </w:pPr>
            <w:r>
              <w:rPr/>
              <w:t>SCHEDULE 6.1.(z)</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Unencumbered Assets</w:t>
            </w:r>
          </w:p>
        </w:tc>
      </w:tr>
      <w:tr>
        <w:trPr>
          <w:trHeight w:val="240" w:hRule="atLeast"/>
        </w:trPr>
        <w:tc>
          <w:tcPr>
            <w:tcW w:w="1971" w:type="dxa"/>
            <w:tcBorders/>
            <w:vAlign w:val="center"/>
          </w:tcPr>
          <w:p>
            <w:pPr>
              <w:pStyle w:val="TableContents"/>
              <w:bidi w:val="0"/>
              <w:spacing w:before="0" w:after="283"/>
              <w:jc w:val="left"/>
              <w:rPr>
                <w:sz w:val="4"/>
                <w:szCs w:val="4"/>
              </w:rPr>
            </w:pPr>
            <w:r>
              <w:rPr>
                <w:sz w:val="4"/>
                <w:szCs w:val="4"/>
              </w:rPr>
            </w:r>
          </w:p>
        </w:tc>
        <w:tc>
          <w:tcPr>
            <w:tcW w:w="8234" w:type="dxa"/>
            <w:gridSpan w:val="2"/>
            <w:tcBorders/>
            <w:vAlign w:val="center"/>
          </w:tcPr>
          <w:p>
            <w:pPr>
              <w:pStyle w:val="TableContents"/>
              <w:bidi w:val="0"/>
              <w:spacing w:before="0" w:after="283"/>
              <w:jc w:val="left"/>
              <w:rPr>
                <w:sz w:val="4"/>
                <w:szCs w:val="4"/>
              </w:rPr>
            </w:pPr>
            <w:r>
              <w:rPr>
                <w:sz w:val="4"/>
                <w:szCs w:val="4"/>
              </w:rPr>
            </w:r>
          </w:p>
        </w:tc>
      </w:tr>
      <w:tr>
        <w:trPr/>
        <w:tc>
          <w:tcPr>
            <w:tcW w:w="1971"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Assignment and Assumption Agreement</w:t>
            </w:r>
          </w:p>
        </w:tc>
      </w:tr>
      <w:tr>
        <w:trPr/>
        <w:tc>
          <w:tcPr>
            <w:tcW w:w="1971"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Guaranty</w:t>
            </w:r>
          </w:p>
        </w:tc>
      </w:tr>
      <w:tr>
        <w:trPr/>
        <w:tc>
          <w:tcPr>
            <w:tcW w:w="1971"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Notice of Borrowing</w:t>
            </w:r>
          </w:p>
        </w:tc>
      </w:tr>
      <w:tr>
        <w:trPr/>
        <w:tc>
          <w:tcPr>
            <w:tcW w:w="1971"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Notice of Continuation</w:t>
            </w:r>
          </w:p>
        </w:tc>
      </w:tr>
      <w:tr>
        <w:trPr/>
        <w:tc>
          <w:tcPr>
            <w:tcW w:w="1971"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Notice of Conversion</w:t>
            </w:r>
          </w:p>
        </w:tc>
      </w:tr>
      <w:tr>
        <w:trPr/>
        <w:tc>
          <w:tcPr>
            <w:tcW w:w="1971" w:type="dxa"/>
            <w:tcBorders/>
          </w:tcPr>
          <w:p>
            <w:pPr>
              <w:pStyle w:val="TableContents"/>
              <w:bidi w:val="0"/>
              <w:spacing w:before="0" w:after="283"/>
              <w:jc w:val="left"/>
              <w:rPr/>
            </w:pPr>
            <w:r>
              <w:rPr/>
              <w:t>EXHIBIT F-1</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Term A Loan Note</w:t>
            </w:r>
          </w:p>
        </w:tc>
      </w:tr>
      <w:tr>
        <w:trPr/>
        <w:tc>
          <w:tcPr>
            <w:tcW w:w="1971" w:type="dxa"/>
            <w:tcBorders/>
          </w:tcPr>
          <w:p>
            <w:pPr>
              <w:pStyle w:val="TableContents"/>
              <w:bidi w:val="0"/>
              <w:spacing w:before="0" w:after="283"/>
              <w:jc w:val="left"/>
              <w:rPr/>
            </w:pPr>
            <w:r>
              <w:rPr/>
              <w:t>EXHIBIT F-2</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Term B Loan Note</w:t>
            </w:r>
          </w:p>
        </w:tc>
      </w:tr>
      <w:tr>
        <w:trPr/>
        <w:tc>
          <w:tcPr>
            <w:tcW w:w="1971"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Disbursement Instruction Agreement</w:t>
            </w:r>
          </w:p>
        </w:tc>
      </w:tr>
      <w:tr>
        <w:trPr/>
        <w:tc>
          <w:tcPr>
            <w:tcW w:w="1971"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Opinion of Counsel</w:t>
            </w:r>
          </w:p>
        </w:tc>
      </w:tr>
      <w:tr>
        <w:trPr/>
        <w:tc>
          <w:tcPr>
            <w:tcW w:w="1971"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Compliance Certificate</w:t>
            </w:r>
          </w:p>
        </w:tc>
      </w:tr>
      <w:tr>
        <w:trPr/>
        <w:tc>
          <w:tcPr>
            <w:tcW w:w="1971" w:type="dxa"/>
            <w:tcBorders/>
          </w:tcPr>
          <w:p>
            <w:pPr>
              <w:pStyle w:val="TableContents"/>
              <w:bidi w:val="0"/>
              <w:spacing w:before="0" w:after="283"/>
              <w:jc w:val="left"/>
              <w:rPr/>
            </w:pPr>
            <w:r>
              <w:rPr/>
              <w:t>EXHIBIT J-1</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U.S. Tax Compliance Certificates</w:t>
            </w:r>
          </w:p>
        </w:tc>
      </w:tr>
      <w:tr>
        <w:trPr/>
        <w:tc>
          <w:tcPr>
            <w:tcW w:w="1971" w:type="dxa"/>
            <w:tcBorders/>
          </w:tcPr>
          <w:p>
            <w:pPr>
              <w:pStyle w:val="TableContents"/>
              <w:bidi w:val="0"/>
              <w:spacing w:before="0" w:after="283"/>
              <w:jc w:val="left"/>
              <w:rPr/>
            </w:pPr>
            <w:r>
              <w:rPr/>
              <w:t>EXHIBIT J-2</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U.S. Tax Compliance Certificates</w:t>
            </w:r>
          </w:p>
        </w:tc>
      </w:tr>
      <w:tr>
        <w:trPr/>
        <w:tc>
          <w:tcPr>
            <w:tcW w:w="1971" w:type="dxa"/>
            <w:tcBorders/>
          </w:tcPr>
          <w:p>
            <w:pPr>
              <w:pStyle w:val="TableContents"/>
              <w:bidi w:val="0"/>
              <w:spacing w:before="0" w:after="283"/>
              <w:jc w:val="left"/>
              <w:rPr/>
            </w:pPr>
            <w:r>
              <w:rPr/>
              <w:t>EXHIBIT J-3</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U.S. Tax Compliance Certificates</w:t>
            </w:r>
          </w:p>
        </w:tc>
      </w:tr>
      <w:tr>
        <w:trPr/>
        <w:tc>
          <w:tcPr>
            <w:tcW w:w="1971" w:type="dxa"/>
            <w:tcBorders/>
          </w:tcPr>
          <w:p>
            <w:pPr>
              <w:pStyle w:val="TableContents"/>
              <w:bidi w:val="0"/>
              <w:spacing w:before="0" w:after="283"/>
              <w:jc w:val="left"/>
              <w:rPr/>
            </w:pPr>
            <w:r>
              <w:rPr/>
              <w:t>EXHIBIT J-4</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U.S. Tax Compliance Certificates</w:t>
            </w:r>
          </w:p>
        </w:tc>
      </w:tr>
      <w:tr>
        <w:trPr/>
        <w:tc>
          <w:tcPr>
            <w:tcW w:w="1971"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Certificate of Beneficial Ownership</w:t>
            </w:r>
          </w:p>
        </w:tc>
      </w:tr>
      <w:tr>
        <w:trPr/>
        <w:tc>
          <w:tcPr>
            <w:tcW w:w="1971"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8114" w:type="dxa"/>
            <w:tcBorders/>
          </w:tcPr>
          <w:p>
            <w:pPr>
              <w:pStyle w:val="TableContents"/>
              <w:bidi w:val="0"/>
              <w:spacing w:before="0" w:after="283"/>
              <w:jc w:val="left"/>
              <w:rPr/>
            </w:pPr>
            <w:r>
              <w:rPr/>
              <w:t>Form of Parent/General Partner Guaranty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AMENDED AND RESTATED TERM LOAN AGREEMENT (this “</w:t>
      </w:r>
      <w:r>
        <w:rPr>
          <w:rFonts w:ascii="Times New Roman" w:hAnsi="Times New Roman"/>
          <w:b/>
          <w:sz w:val="20"/>
        </w:rPr>
        <w:t>Agreement</w:t>
      </w:r>
      <w:r>
        <w:rPr>
          <w:rFonts w:ascii="Times New Roman" w:hAnsi="Times New Roman"/>
          <w:sz w:val="20"/>
        </w:rPr>
        <w:t>”) dated as of March 20, 2025, by and among FEDERAL REALTY OP LP, a Delaware limited partnership (the “</w:t>
      </w:r>
      <w:r>
        <w:rPr>
          <w:rFonts w:ascii="Times New Roman" w:hAnsi="Times New Roman"/>
          <w:b/>
          <w:sz w:val="20"/>
        </w:rPr>
        <w:t>Borrower Representative</w:t>
      </w:r>
      <w:r>
        <w:rPr>
          <w:rFonts w:ascii="Times New Roman" w:hAnsi="Times New Roman"/>
          <w:sz w:val="20"/>
        </w:rPr>
        <w:t>”), FRIT SAN JOSE TOWN AND COUNTRY VILLAGE, LLC, a California limited liability company (“</w:t>
      </w:r>
      <w:r>
        <w:rPr>
          <w:rFonts w:ascii="Times New Roman" w:hAnsi="Times New Roman"/>
          <w:b/>
          <w:sz w:val="20"/>
        </w:rPr>
        <w:t>FRIT San Jose</w:t>
      </w:r>
      <w:r>
        <w:rPr>
          <w:rFonts w:ascii="Times New Roman" w:hAnsi="Times New Roman"/>
          <w:sz w:val="20"/>
        </w:rPr>
        <w:t>” and, collectively with the Borrower Representative, the “</w:t>
      </w:r>
      <w:r>
        <w:rPr>
          <w:rFonts w:ascii="Times New Roman" w:hAnsi="Times New Roman"/>
          <w:b/>
          <w:sz w:val="20"/>
        </w:rPr>
        <w:t>Borrower</w:t>
      </w:r>
      <w:r>
        <w:rPr>
          <w:rFonts w:ascii="Times New Roman" w:hAnsi="Times New Roman"/>
          <w:sz w:val="20"/>
        </w:rPr>
        <w:t>” or, each, a “</w:t>
      </w:r>
      <w:r>
        <w:rPr>
          <w:rFonts w:ascii="Times New Roman" w:hAnsi="Times New Roman"/>
          <w:b/>
          <w:sz w:val="20"/>
        </w:rPr>
        <w:t>Borrower</w:t>
      </w:r>
      <w:r>
        <w:rPr>
          <w:rFonts w:ascii="Times New Roman" w:hAnsi="Times New Roman"/>
          <w:sz w:val="20"/>
        </w:rPr>
        <w:t>” as the case may be), each of the financial institutions initially a signatory hereto together with their successors and permitted assignees under Section 12.6. (the “Lenders”), PNC BANK, NATIONAL ASSOCIATION, as Administrative Agent (together with its successors and permitted assigns, the “</w:t>
      </w:r>
      <w:r>
        <w:rPr>
          <w:rFonts w:ascii="Times New Roman" w:hAnsi="Times New Roman"/>
          <w:b/>
          <w:sz w:val="20"/>
        </w:rPr>
        <w:t>Administrative Agent</w:t>
      </w:r>
      <w:r>
        <w:rPr>
          <w:rFonts w:ascii="Times New Roman" w:hAnsi="Times New Roman"/>
          <w:sz w:val="20"/>
        </w:rPr>
        <w:t>”), each of JPMORGAN CHASE BANK, N.A., REGIONS BANK, TD BANK, N.A., TRUIST BANK and U.S. BANK NATIONAL ASSOCIATION, as Co-Syndication Agents (the “Co-Syndication Agents”) and each of PNC CAPITAL MARKETS LLC, JPMORGAN CHASE BANK, N.A., REGIONS CAPITAL MARKETS, TD SECURITIES (USA) LLC, TRUIST SECURITIES, INC. and U.S. BANK NATIONAL ASSOCIATION, as Joint Lead Arrangers and Joint Book Managers (in such capacities, the “</w:t>
      </w:r>
      <w:r>
        <w:rPr>
          <w:rFonts w:ascii="Times New Roman" w:hAnsi="Times New Roman"/>
          <w:b/>
          <w:sz w:val="20"/>
        </w:rPr>
        <w:t>Arrangers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certain of the Lenders and other financial institutions (who were “Lenders” under the Existing Credit Agreement (as defined below)) made available to Borrower Representative a term loan facility in the aggregate amount of $600,000,000, on the terms and conditions contained in that certain Term Loan Agreement dated as of May 6, 2020 (as amended and in effect immediately prior to the date hereof, the “</w:t>
      </w:r>
      <w:r>
        <w:rPr>
          <w:rFonts w:ascii="Times New Roman" w:hAnsi="Times New Roman"/>
          <w:b/>
          <w:sz w:val="20"/>
        </w:rPr>
        <w:t>Existing Credit Agreement</w:t>
      </w:r>
      <w:r>
        <w:rPr>
          <w:rFonts w:ascii="Times New Roman" w:hAnsi="Times New Roman"/>
          <w:sz w:val="20"/>
        </w:rPr>
        <w:t xml:space="preserve">”) by and among the Borrower Representative, such Lenders, certain other financial institutions (who were “Lenders” under the Existing Credit Agreement), the Administrative Agent and the other parties thereto; and WHEREAS, the Administrative Agent, the Lenders and the Borrower desire to amend and restate the terms of the Existing Credit Agreement to add FRIT San Jose as a borrower hereunder, make available to the Borrower a delayed draw term loan facility in the amount of $150,000,000, extend the maturity date of the existing term loans and make such other amendments as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DEFINITIONS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Definitions.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terms defined elsewhere herein, the following terms shall have the following meanings for the purposes of this Agreement: </w:t>
      </w:r>
    </w:p>
    <w:p>
      <w:pPr>
        <w:pStyle w:val="TextBody"/>
        <w:bidi w:val="0"/>
        <w:spacing w:before="120" w:after="0"/>
        <w:jc w:val="left"/>
        <w:rPr/>
      </w:pPr>
      <w:r>
        <w:rPr/>
        <w:t>“</w:t>
      </w:r>
      <w:r>
        <w:rPr>
          <w:rFonts w:ascii="Times New Roman" w:hAnsi="Times New Roman"/>
          <w:b/>
          <w:sz w:val="20"/>
        </w:rPr>
        <w:t>Accession Agreement</w:t>
      </w:r>
      <w:r>
        <w:rPr>
          <w:rFonts w:ascii="Times New Roman" w:hAnsi="Times New Roman"/>
          <w:sz w:val="20"/>
        </w:rPr>
        <w:t xml:space="preserve">” means an Accession Agreement substantially in the form of Annex I to the Guaranty. </w:t>
      </w:r>
    </w:p>
    <w:p>
      <w:pPr>
        <w:pStyle w:val="TextBody"/>
        <w:bidi w:val="0"/>
        <w:spacing w:before="240" w:after="0"/>
        <w:jc w:val="left"/>
        <w:rPr/>
      </w:pPr>
      <w:r>
        <w:rPr/>
        <w:t>“</w:t>
      </w:r>
      <w:r>
        <w:rPr>
          <w:rFonts w:ascii="Times New Roman" w:hAnsi="Times New Roman"/>
          <w:b/>
          <w:sz w:val="20"/>
        </w:rPr>
        <w:t>Additional Costs</w:t>
      </w:r>
      <w:r>
        <w:rPr>
          <w:rFonts w:ascii="Times New Roman" w:hAnsi="Times New Roman"/>
          <w:sz w:val="20"/>
        </w:rPr>
        <w:t xml:space="preserve">” has the meaning given that term in Section 4.1.(b). </w:t>
      </w:r>
    </w:p>
    <w:p>
      <w:pPr>
        <w:pStyle w:val="TextBody"/>
        <w:bidi w:val="0"/>
        <w:spacing w:before="240" w:after="0"/>
        <w:jc w:val="left"/>
        <w:rPr/>
      </w:pPr>
      <w:r>
        <w:rPr/>
        <w:t>“</w:t>
      </w:r>
      <w:r>
        <w:rPr>
          <w:rFonts w:ascii="Times New Roman" w:hAnsi="Times New Roman"/>
          <w:b/>
          <w:sz w:val="20"/>
        </w:rPr>
        <w:t>Additional Loan</w:t>
      </w:r>
      <w:r>
        <w:rPr>
          <w:rFonts w:ascii="Times New Roman" w:hAnsi="Times New Roman"/>
          <w:sz w:val="20"/>
        </w:rPr>
        <w:t xml:space="preserve">” has the meaning given that term in Section 2.14. </w:t>
      </w:r>
    </w:p>
    <w:p>
      <w:pPr>
        <w:pStyle w:val="TextBody"/>
        <w:bidi w:val="0"/>
        <w:spacing w:before="240" w:after="0"/>
        <w:jc w:val="left"/>
        <w:rPr/>
      </w:pPr>
      <w:r>
        <w:rPr>
          <w:strike/>
          <w:color w:val="FF0000"/>
        </w:rPr>
        <w:t>“</w:t>
      </w:r>
      <w:r>
        <w:rPr>
          <w:rFonts w:ascii="Times New Roman" w:hAnsi="Times New Roman"/>
          <w:b/>
          <w:strike/>
          <w:color w:val="FF0000"/>
          <w:sz w:val="20"/>
        </w:rPr>
        <w:t xml:space="preserve">Adjusted </w:t>
      </w:r>
      <w:r>
        <w:rPr>
          <w:rFonts w:ascii="Times New Roman" w:hAnsi="Times New Roman"/>
          <w:b/>
          <w:strike/>
          <w:color w:val="008000"/>
          <w:sz w:val="20"/>
        </w:rPr>
        <w:t>Daily Simple SOFR</w:t>
      </w:r>
      <w:r>
        <w:rPr>
          <w:rFonts w:ascii="Times New Roman" w:hAnsi="Times New Roman"/>
          <w:strike/>
          <w:color w:val="008000"/>
          <w:sz w:val="20"/>
        </w:rPr>
        <w:t>” means, for any day (a “Simple SOFR Rate Day”), a rate per annum equal to the greater of (a) </w:t>
      </w:r>
      <w:r>
        <w:rPr>
          <w:rFonts w:ascii="Times New Roman" w:hAnsi="Times New Roman"/>
          <w:strike/>
          <w:color w:val="FF0000"/>
          <w:sz w:val="20"/>
        </w:rPr>
        <w:t>the sum of (i) </w:t>
      </w:r>
      <w:r>
        <w:rPr>
          <w:rFonts w:ascii="Times New Roman" w:hAnsi="Times New Roman"/>
          <w:strike/>
          <w:color w:val="008000"/>
          <w:sz w:val="20"/>
        </w:rPr>
        <w:t>SOFR for the day (such day, a “</w:t>
      </w:r>
      <w:r>
        <w:rPr>
          <w:rFonts w:ascii="Times New Roman" w:hAnsi="Times New Roman"/>
          <w:strike/>
          <w:color w:val="008000"/>
          <w:sz w:val="20"/>
          <w:u w:val="single"/>
        </w:rPr>
        <w:t>Simple SOFR Determination Day</w:t>
      </w:r>
      <w:r>
        <w:rPr>
          <w:rFonts w:ascii="Times New Roman" w:hAnsi="Times New Roman"/>
          <w:strike/>
          <w:color w:val="008000"/>
          <w:sz w:val="20"/>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hAnsi="Times New Roman"/>
          <w:strike/>
          <w:color w:val="008000"/>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008000"/>
          <w:sz w:val="20"/>
        </w:rPr>
        <w:t>that if by 5:00 p.m. on the second (2nd) U.S. Government Securities Business Day immediately following any Simple SOFR Determination Day, SOFR in respect of such Simple SOFR Determination Day has not been published on the SOFR Administrator’s Website and a Benchmark Replacement Date with respect to</w:t>
      </w:r>
      <w:r>
        <w:rPr>
          <w:rFonts w:ascii="Times New Roman" w:hAnsi="Times New Roman"/>
          <w:sz w:val="20"/>
        </w:rPr>
        <w:t xml:space="preserve"> </w:t>
      </w:r>
      <w:r>
        <w:rPr>
          <w:rFonts w:ascii="Times New Roman" w:hAnsi="Times New Roman"/>
          <w:strike/>
          <w:color w:val="FF0000"/>
          <w:sz w:val="20"/>
        </w:rPr>
        <w:t xml:space="preserve">Adjusted </w:t>
      </w:r>
      <w:r>
        <w:rPr>
          <w:rFonts w:ascii="Times New Roman" w:hAnsi="Times New Roman"/>
          <w:strike/>
          <w:color w:val="008000"/>
          <w:sz w:val="20"/>
        </w:rPr>
        <w:t xml:space="preserve">Daily Simple SOFR has not occurred, then SOFR for such Simple SOFR Determination Day will be SOFR as published in respect of the first preceding U.S. Government Securities Business Day for which such SOFR was published on the SOFR Administrator’s Website; </w:t>
      </w:r>
      <w:r>
        <w:rPr>
          <w:rFonts w:ascii="Times New Roman" w:hAnsi="Times New Roman"/>
          <w:strike/>
          <w:color w:val="008000"/>
          <w:sz w:val="20"/>
          <w:u w:val="single"/>
        </w:rPr>
        <w:t>provided further</w:t>
      </w:r>
      <w:r>
        <w:rPr>
          <w:rFonts w:ascii="Times New Roman" w:hAnsi="Times New Roman"/>
          <w:strike/>
          <w:color w:val="008000"/>
          <w:sz w:val="20"/>
        </w:rPr>
        <w:t xml:space="preserve"> that SOFR as determined pursuant to this proviso shall be utilized for purposes of calculation of</w:t>
      </w:r>
      <w:r>
        <w:rPr>
          <w:rFonts w:ascii="Times New Roman" w:hAnsi="Times New Roman"/>
          <w:strike/>
          <w:color w:val="FF0000"/>
          <w:sz w:val="20"/>
        </w:rPr>
        <w:t xml:space="preserve"> Adjusted</w:t>
      </w:r>
      <w:r>
        <w:rPr>
          <w:rFonts w:ascii="Times New Roman" w:hAnsi="Times New Roman"/>
          <w:strike/>
          <w:color w:val="008000"/>
          <w:sz w:val="20"/>
        </w:rPr>
        <w:t xml:space="preserve"> Daily Simple SOFR for no more than three (3) consecutive Simple SOFR Rate Days and (</w:t>
      </w:r>
      <w:r>
        <w:rPr>
          <w:rFonts w:ascii="Times New Roman" w:hAnsi="Times New Roman"/>
          <w:strike/>
          <w:color w:val="FF0000"/>
          <w:sz w:val="20"/>
        </w:rPr>
        <w:t>ii) the Simple SOFR Adjustment and (</w:t>
      </w:r>
      <w:r>
        <w:rPr>
          <w:rFonts w:ascii="Times New Roman" w:hAnsi="Times New Roman"/>
          <w:strike/>
          <w:color w:val="008000"/>
          <w:sz w:val="20"/>
        </w:rPr>
        <w:t xml:space="preserve">b) the Floor. Any change in </w:t>
      </w:r>
      <w:r>
        <w:rPr>
          <w:rFonts w:ascii="Times New Roman" w:hAnsi="Times New Roman"/>
          <w:strike/>
          <w:color w:val="FF0000"/>
          <w:sz w:val="20"/>
        </w:rPr>
        <w:t xml:space="preserve">Adjusted Daily Simple </w:t>
      </w:r>
      <w:r>
        <w:rPr>
          <w:rFonts w:ascii="Times New Roman" w:hAnsi="Times New Roman"/>
          <w:strike/>
          <w:color w:val="008000"/>
          <w:sz w:val="20"/>
        </w:rPr>
        <w:t>SOFR due to a change in SOFR shall be effective from and including the effective date of such change in SOFR without notice to the Borrower.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Adjusted EBITDA</w:t>
      </w:r>
      <w:r>
        <w:rPr>
          <w:rFonts w:ascii="Times New Roman" w:hAnsi="Times New Roman"/>
          <w:sz w:val="20"/>
        </w:rPr>
        <w:t xml:space="preserve">” means, for any given period, (a) the EBITDA of the Borrower Representative and its Subsidiaries determined on a consolidated basis for such period (including the Borrower Representative’s Ownership Share of EBITDA of its Unconsolidated Affiliates as set forth in clause (b) of the definition of EBITDA), </w:t>
      </w:r>
      <w:r>
        <w:rPr>
          <w:rFonts w:ascii="Times New Roman" w:hAnsi="Times New Roman"/>
          <w:sz w:val="20"/>
          <w:u w:val="single"/>
        </w:rPr>
        <w:t>minus</w:t>
      </w:r>
      <w:r>
        <w:rPr>
          <w:rFonts w:ascii="Times New Roman" w:hAnsi="Times New Roman"/>
          <w:sz w:val="20"/>
        </w:rPr>
        <w:t xml:space="preserve"> (b) Capital Reserves. </w:t>
      </w:r>
    </w:p>
    <w:p>
      <w:pPr>
        <w:pStyle w:val="TextBody"/>
        <w:bidi w:val="0"/>
        <w:spacing w:before="240" w:after="0"/>
        <w:jc w:val="left"/>
        <w:rPr/>
      </w:pPr>
      <w:r>
        <w:rPr>
          <w:strike/>
          <w:color w:val="FF0000"/>
        </w:rPr>
        <w:t>“</w:t>
      </w:r>
      <w:r>
        <w:rPr>
          <w:rFonts w:ascii="Times New Roman" w:hAnsi="Times New Roman"/>
          <w:b/>
          <w:strike/>
          <w:color w:val="FF0000"/>
          <w:sz w:val="20"/>
        </w:rPr>
        <w:t>Adjusted Term SOFR</w:t>
      </w:r>
      <w:r>
        <w:rPr>
          <w:rFonts w:ascii="Times New Roman" w:hAnsi="Times New Roman"/>
          <w:strike/>
          <w:color w:val="FF0000"/>
          <w:sz w:val="20"/>
        </w:rPr>
        <w:t xml:space="preserve">” means, for purposes of any calculation, the rate per annum equal to (a) Term SOFR for such calculation plus (b) the Term SOFR Adjustment; provided that if Adjusted </w:t>
      </w:r>
      <w:r>
        <w:rPr>
          <w:rFonts w:ascii="Times New Roman" w:hAnsi="Times New Roman"/>
          <w:strike/>
          <w:color w:val="008000"/>
          <w:sz w:val="20"/>
        </w:rPr>
        <w:t>Term SOFR as so determined shall ever be less than the Floor, then</w:t>
      </w:r>
      <w:r>
        <w:rPr>
          <w:rFonts w:ascii="Times New Roman" w:hAnsi="Times New Roman"/>
          <w:strike/>
          <w:color w:val="FF0000"/>
          <w:sz w:val="20"/>
        </w:rPr>
        <w:t xml:space="preserve"> Adjusted</w:t>
      </w:r>
      <w:r>
        <w:rPr>
          <w:rFonts w:ascii="Times New Roman" w:hAnsi="Times New Roman"/>
          <w:strike/>
          <w:color w:val="008000"/>
          <w:sz w:val="20"/>
        </w:rPr>
        <w:t xml:space="preserve"> Term SOFR shall be deemed to be the Floor.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Adjusted Total Asset Value</w:t>
      </w:r>
      <w:r>
        <w:rPr>
          <w:rFonts w:ascii="Times New Roman" w:hAnsi="Times New Roman"/>
          <w:sz w:val="20"/>
        </w:rPr>
        <w:t xml:space="preserve">” means Total Asset Value determined exclusive of assets that are owned by Excluded Subsidiaries and Unconsolidated Affiliates.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means PNC Bank, National Association as contractual representative of the Lenders under this Agreement, or any successor Administrative Agent appointed pursuant to Section 11.8.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the Administrative Questionnaire completed by each Lender and delivered to the Administrative Agent in a form supplied by the Administrative Agent to the Lenders from time to time.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 </w:t>
      </w:r>
    </w:p>
    <w:p>
      <w:pPr>
        <w:pStyle w:val="TextBody"/>
        <w:bidi w:val="0"/>
        <w:spacing w:before="240" w:after="0"/>
        <w:jc w:val="left"/>
        <w:rPr/>
      </w:pPr>
      <w:r>
        <w:rPr/>
        <w:t>“</w:t>
      </w:r>
      <w:r>
        <w:rPr>
          <w:rFonts w:ascii="Times New Roman" w:hAnsi="Times New Roman"/>
          <w:b/>
          <w:sz w:val="20"/>
        </w:rPr>
        <w:t>Agreement Date</w:t>
      </w:r>
      <w:r>
        <w:rPr>
          <w:rFonts w:ascii="Times New Roman" w:hAnsi="Times New Roman"/>
          <w:sz w:val="20"/>
        </w:rPr>
        <w:t xml:space="preserve">” means the date as of which this Agreement is dated.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 </w:t>
      </w:r>
    </w:p>
    <w:p>
      <w:pPr>
        <w:pStyle w:val="TextBody"/>
        <w:bidi w:val="0"/>
        <w:spacing w:before="240" w:after="0"/>
        <w:jc w:val="left"/>
        <w:rPr/>
      </w:pPr>
      <w:r>
        <w:rPr/>
        <w:t>“</w:t>
      </w:r>
      <w:r>
        <w:rPr>
          <w:rFonts w:ascii="Times New Roman" w:hAnsi="Times New Roman"/>
          <w:b/>
          <w:sz w:val="20"/>
        </w:rPr>
        <w:t>Anti-Money Laundering Laws</w:t>
      </w:r>
      <w:r>
        <w:rPr>
          <w:rFonts w:ascii="Times New Roman" w:hAnsi="Times New Roman"/>
          <w:sz w:val="20"/>
        </w:rPr>
        <w:t xml:space="preserve">”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Applicable Law</w:t>
      </w:r>
      <w:r>
        <w:rPr>
          <w:rFonts w:ascii="Times New Roman" w:hAnsi="Times New Roman"/>
          <w:sz w:val="20"/>
        </w:rPr>
        <w:t xml:space="preserve">”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240" w:after="0"/>
        <w:jc w:val="left"/>
        <w:rPr/>
      </w:pPr>
      <w:r>
        <w:rPr/>
        <w:t>“</w:t>
      </w:r>
      <w:r>
        <w:rPr>
          <w:rFonts w:ascii="Times New Roman" w:hAnsi="Times New Roman"/>
          <w:b/>
          <w:sz w:val="20"/>
        </w:rPr>
        <w:t>Applicable Margin</w:t>
      </w:r>
      <w:r>
        <w:rPr>
          <w:rFonts w:ascii="Times New Roman" w:hAnsi="Times New Roman"/>
          <w:sz w:val="20"/>
        </w:rPr>
        <w:t>” means the percentage rate set forth in the table below corresponding to the level (each a “</w:t>
      </w:r>
      <w:r>
        <w:rPr>
          <w:rFonts w:ascii="Times New Roman" w:hAnsi="Times New Roman"/>
          <w:b/>
          <w:sz w:val="20"/>
        </w:rPr>
        <w:t>Level</w:t>
      </w:r>
      <w:r>
        <w:rPr>
          <w:rFonts w:ascii="Times New Roman" w:hAnsi="Times New Roman"/>
          <w:sz w:val="20"/>
        </w:rPr>
        <w:t xml:space="preserve">”) into which the Borrower Representative’s Credit Rating then falls. As of the Agreement Date, the Applicable Margin is determined based on Level 3. Any change in the Borrower Representative’s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 Representative’s Credit Rating has changed; provided, however, if the Borrower has not delivered the notice required by such Section but the Administrative Agent becomes aware that the Borrower Representative’s Credit Rating has changed, then the Administrative Agent may, in its sole discretion, adjust the Level by written notice to the Borrower Representative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 Representative’s Credit Rating has changed. During any period that the Borrower Representative has received </w:t>
      </w:r>
      <w:r>
        <w:rPr>
          <w:rFonts w:ascii="Times New Roman" w:hAnsi="Times New Roman"/>
          <w:strike/>
          <w:color w:val="FF0000"/>
          <w:sz w:val="20"/>
        </w:rPr>
        <w:t xml:space="preserve">two </w:t>
      </w:r>
      <w:r>
        <w:rPr>
          <w:rFonts w:ascii="Times New Roman" w:hAnsi="Times New Roman"/>
          <w:sz w:val="20"/>
        </w:rPr>
        <w:t xml:space="preserve">Credit Ratings </w:t>
      </w:r>
      <w:r>
        <w:rPr>
          <w:rFonts w:ascii="Times New Roman" w:hAnsi="Times New Roman"/>
          <w:color w:val="0000FF"/>
          <w:sz w:val="20"/>
          <w:u w:val="single"/>
          <w:bdr w:val="double" w:sz="2" w:space="1" w:color="000000"/>
        </w:rPr>
        <w:t xml:space="preserve">from each of S&amp;P, Fitch and Moody’s </w:t>
      </w:r>
      <w:r>
        <w:rPr>
          <w:rFonts w:ascii="Times New Roman" w:hAnsi="Times New Roman"/>
          <w:sz w:val="20"/>
        </w:rPr>
        <w:t>that are not equivalent</w:t>
      </w:r>
      <w:r>
        <w:rPr>
          <w:rFonts w:ascii="Times New Roman" w:hAnsi="Times New Roman"/>
          <w:strike/>
          <w:color w:val="FF0000"/>
          <w:sz w:val="20"/>
        </w:rPr>
        <w:t xml:space="preserve">, </w:t>
      </w:r>
      <w:r>
        <w:rPr>
          <w:rFonts w:ascii="Times New Roman" w:hAnsi="Times New Roman"/>
          <w:strike/>
          <w:color w:val="008000"/>
          <w:sz w:val="20"/>
        </w:rPr>
        <w:t>the Applicable Margin shall be determined based on the Level</w:t>
      </w:r>
      <w:r>
        <w:rPr>
          <w:rFonts w:ascii="Times New Roman" w:hAnsi="Times New Roman"/>
          <w:strike/>
          <w:color w:val="FF0000"/>
          <w:sz w:val="20"/>
        </w:rPr>
        <w:t xml:space="preserve"> corresponding to the higher of such two Credit Ratings unless</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the difference </w:t>
      </w:r>
      <w:r>
        <w:rPr>
          <w:rFonts w:ascii="Times New Roman" w:hAnsi="Times New Roman"/>
          <w:strike/>
          <w:color w:val="FF0000"/>
          <w:sz w:val="20"/>
        </w:rPr>
        <w:t>in</w:t>
      </w:r>
      <w:r>
        <w:rPr>
          <w:rFonts w:ascii="Times New Roman" w:hAnsi="Times New Roman"/>
          <w:color w:val="0000FF"/>
          <w:sz w:val="20"/>
          <w:u w:val="single"/>
          <w:bdr w:val="double" w:sz="2" w:space="1" w:color="000000"/>
        </w:rPr>
        <w:t>between</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highest and lowest of such </w:t>
      </w:r>
      <w:r>
        <w:rPr>
          <w:rFonts w:ascii="Times New Roman" w:hAnsi="Times New Roman"/>
          <w:sz w:val="20"/>
        </w:rPr>
        <w:t xml:space="preserve">Credit Ratings is </w:t>
      </w:r>
      <w:r>
        <w:rPr>
          <w:rFonts w:ascii="Times New Roman" w:hAnsi="Times New Roman"/>
          <w:strike/>
          <w:color w:val="FF0000"/>
          <w:sz w:val="20"/>
        </w:rPr>
        <w:t>greater than one ratings level</w:t>
      </w:r>
      <w:r>
        <w:rPr>
          <w:rFonts w:ascii="Times New Roman" w:hAnsi="Times New Roman"/>
          <w:strike/>
          <w:color w:val="008000"/>
          <w:sz w:val="20"/>
        </w:rPr>
        <w:t>, in which case the Applicable Margin shall be determined</w:t>
      </w:r>
      <w:r>
        <w:rPr>
          <w:rFonts w:ascii="Times New Roman" w:hAnsi="Times New Roman"/>
          <w:strike/>
          <w:color w:val="FF0000"/>
          <w:sz w:val="20"/>
        </w:rPr>
        <w:t xml:space="preserve"> by reference to the ratings level immediately below the higher of the two Credit Ratings. During any period for which </w:t>
      </w:r>
      <w:r>
        <w:rPr>
          <w:rFonts w:ascii="Times New Roman" w:hAnsi="Times New Roman"/>
          <w:strike/>
          <w:color w:val="008000"/>
          <w:sz w:val="20"/>
        </w:rPr>
        <w:t xml:space="preserve">the Borrower Representative has received </w:t>
      </w:r>
      <w:r>
        <w:rPr>
          <w:rFonts w:ascii="Times New Roman" w:hAnsi="Times New Roman"/>
          <w:strike/>
          <w:color w:val="FF0000"/>
          <w:sz w:val="20"/>
        </w:rPr>
        <w:t>a Credit Rating from only one Rating Agency</w:t>
      </w:r>
      <w:r>
        <w:rPr>
          <w:rFonts w:ascii="Times New Roman" w:hAnsi="Times New Roman"/>
          <w:color w:val="0000FF"/>
          <w:sz w:val="20"/>
          <w:u w:val="single"/>
          <w:bdr w:val="double" w:sz="2" w:space="1" w:color="000000"/>
        </w:rPr>
        <w:t>(i) one Level</w:t>
      </w:r>
      <w:r>
        <w:rPr>
          <w:rFonts w:ascii="Times New Roman" w:hAnsi="Times New Roman"/>
          <w:sz w:val="20"/>
        </w:rPr>
        <w:t xml:space="preserve">, then the Applicable Margin shall be determined based on </w:t>
      </w:r>
      <w:r>
        <w:rPr>
          <w:rFonts w:ascii="Times New Roman" w:hAnsi="Times New Roman"/>
          <w:color w:val="0000FF"/>
          <w:sz w:val="20"/>
          <w:u w:val="single"/>
          <w:bdr w:val="double" w:sz="2" w:space="1" w:color="000000"/>
        </w:rPr>
        <w:t>the highest of such Credit Ratings or (ii) two or more Levels, then the Applicable Margin shall be determined based on the average of the two highest Credit Ratings (unless the average is not a recognized Level</w:t>
      </w:r>
      <w:r>
        <w:rPr>
          <w:rFonts w:ascii="Times New Roman" w:hAnsi="Times New Roman"/>
          <w:color w:val="008000"/>
          <w:sz w:val="20"/>
          <w:u w:val="single"/>
          <w:bdr w:val="double" w:sz="2" w:space="1" w:color="000000"/>
        </w:rPr>
        <w:t>, in which case the Applicable Margin shall be determined</w:t>
      </w:r>
      <w:r>
        <w:rPr>
          <w:rFonts w:ascii="Times New Roman" w:hAnsi="Times New Roman"/>
          <w:color w:val="0000FF"/>
          <w:sz w:val="20"/>
          <w:u w:val="single"/>
          <w:bdr w:val="double" w:sz="2" w:space="1" w:color="000000"/>
        </w:rPr>
        <w:t xml:space="preserve"> based on the second highest Credit Rating). During any period that </w:t>
      </w:r>
      <w:r>
        <w:rPr>
          <w:rFonts w:ascii="Times New Roman" w:hAnsi="Times New Roman"/>
          <w:color w:val="008000"/>
          <w:sz w:val="20"/>
          <w:u w:val="single"/>
          <w:bdr w:val="double" w:sz="2" w:space="1" w:color="000000"/>
        </w:rPr>
        <w:t xml:space="preserve">the Borrower Representative has received </w:t>
      </w:r>
      <w:r>
        <w:rPr>
          <w:rFonts w:ascii="Times New Roman" w:hAnsi="Times New Roman"/>
          <w:color w:val="0000FF"/>
          <w:sz w:val="20"/>
          <w:u w:val="single"/>
          <w:bdr w:val="double" w:sz="2" w:space="1" w:color="000000"/>
        </w:rPr>
        <w:t xml:space="preserve">only two Credit Ratings from any of S&amp;P, Fitch and Moody’s that are not equivalent and the difference between such Credit Ratings is (x) one Level, then the Applicable Margin shall be determined based on the higher of such Credit Ratings or (y) two or more Levels, then </w:t>
      </w:r>
      <w:r>
        <w:rPr>
          <w:rFonts w:ascii="Times New Roman" w:hAnsi="Times New Roman"/>
          <w:color w:val="008000"/>
          <w:sz w:val="20"/>
          <w:u w:val="single"/>
          <w:bdr w:val="double" w:sz="2" w:space="1" w:color="000000"/>
        </w:rPr>
        <w:t xml:space="preserve">the Applicable Margin shall be determined based on the Level </w:t>
      </w:r>
      <w:r>
        <w:rPr>
          <w:rFonts w:ascii="Times New Roman" w:hAnsi="Times New Roman"/>
          <w:color w:val="0000FF"/>
          <w:sz w:val="20"/>
          <w:u w:val="single"/>
          <w:bdr w:val="double" w:sz="2" w:space="1" w:color="000000"/>
        </w:rPr>
        <w:t xml:space="preserve">that would be applicable if the rating was one higher than the lower of the two applicable Credit Ratings received. During any period that the Borrower Representative has only received one Credit Rating, then the Applicable Margin shall be based upon </w:t>
      </w:r>
      <w:r>
        <w:rPr>
          <w:rFonts w:ascii="Times New Roman" w:hAnsi="Times New Roman"/>
          <w:sz w:val="20"/>
        </w:rPr>
        <w:t xml:space="preserve">such Credit Rating. During any period that the Borrower Representative has not received a Credit Rating from any Rating Agency, the Applicable Margin shall be determined based on Level 6. The provisions of this definition shall be subject to Section 2.5.(c).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
        <w:gridCol w:w="218"/>
        <w:gridCol w:w="6333"/>
        <w:gridCol w:w="218"/>
        <w:gridCol w:w="107"/>
        <w:gridCol w:w="1009"/>
        <w:gridCol w:w="275"/>
        <w:gridCol w:w="162"/>
        <w:gridCol w:w="107"/>
        <w:gridCol w:w="1009"/>
        <w:gridCol w:w="280"/>
      </w:tblGrid>
      <w:tr>
        <w:trPr/>
        <w:tc>
          <w:tcPr>
            <w:tcW w:w="487"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633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Level</w:t>
            </w:r>
          </w:p>
        </w:tc>
        <w:tc>
          <w:tcPr>
            <w:tcW w:w="218" w:type="dxa"/>
            <w:tcBorders/>
            <w:vAlign w:val="bottom"/>
          </w:tcPr>
          <w:p>
            <w:pPr>
              <w:pStyle w:val="TableContents"/>
              <w:bidi w:val="0"/>
              <w:spacing w:before="0" w:after="283"/>
              <w:jc w:val="left"/>
              <w:rPr/>
            </w:pPr>
            <w:r>
              <w:rPr/>
              <w:t>  </w:t>
            </w:r>
          </w:p>
        </w:tc>
        <w:tc>
          <w:tcPr>
            <w:tcW w:w="63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Borrower Representative’s Credit Rating (S&amp;P/Moody’s or equivalent)</w:t>
            </w:r>
          </w:p>
        </w:tc>
        <w:tc>
          <w:tcPr>
            <w:tcW w:w="218"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w:t>
              <w:br/>
              <w:t>Margin</w:t>
              <w:br/>
              <w:t>for all</w:t>
              <w:br/>
              <w:t>SOFR</w:t>
              <w:br/>
              <w:t>Loans</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w:t>
              <w:br/>
              <w:t>Margin</w:t>
              <w:br/>
              <w:t>for all</w:t>
              <w:br/>
              <w:t>Base Rate</w:t>
              <w:br/>
              <w:t>Loans</w:t>
            </w:r>
          </w:p>
        </w:tc>
        <w:tc>
          <w:tcPr>
            <w:tcW w:w="280" w:type="dxa"/>
            <w:tcBorders/>
            <w:vAlign w:val="bottom"/>
          </w:tcPr>
          <w:p>
            <w:pPr>
              <w:pStyle w:val="TableContents"/>
              <w:bidi w:val="0"/>
              <w:spacing w:before="0" w:after="283"/>
              <w:jc w:val="left"/>
              <w:rPr/>
            </w:pPr>
            <w:r>
              <w:rPr/>
              <w:t> </w:t>
            </w:r>
          </w:p>
        </w:tc>
      </w:tr>
      <w:tr>
        <w:trPr/>
        <w:tc>
          <w:tcPr>
            <w:tcW w:w="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218" w:type="dxa"/>
            <w:tcBorders/>
            <w:shd w:fill="CCEEFF" w:val="clear"/>
            <w:vAlign w:val="bottom"/>
          </w:tcPr>
          <w:p>
            <w:pPr>
              <w:pStyle w:val="TableContents"/>
              <w:bidi w:val="0"/>
              <w:spacing w:before="0" w:after="283"/>
              <w:jc w:val="left"/>
              <w:rPr/>
            </w:pPr>
            <w:r>
              <w:rPr/>
              <w:t>  </w:t>
            </w:r>
          </w:p>
        </w:tc>
        <w:tc>
          <w:tcPr>
            <w:tcW w:w="6333" w:type="dxa"/>
            <w:tcBorders/>
            <w:shd w:fill="CCEEFF" w:val="clear"/>
            <w:vAlign w:val="bottom"/>
          </w:tcPr>
          <w:p>
            <w:pPr>
              <w:pStyle w:val="TableContents"/>
              <w:bidi w:val="0"/>
              <w:spacing w:before="0" w:after="283"/>
              <w:jc w:val="left"/>
              <w:rPr/>
            </w:pPr>
            <w:r>
              <w:rPr/>
              <w:t>A/A2 (or equivalent) or better</w:t>
            </w:r>
          </w:p>
        </w:tc>
        <w:tc>
          <w:tcPr>
            <w:tcW w:w="21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0.750</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0.000</w:t>
            </w:r>
          </w:p>
        </w:tc>
        <w:tc>
          <w:tcPr>
            <w:tcW w:w="280" w:type="dxa"/>
            <w:tcBorders/>
            <w:shd w:fill="CCEEFF" w:val="clear"/>
            <w:vAlign w:val="bottom"/>
          </w:tcPr>
          <w:p>
            <w:pPr>
              <w:pStyle w:val="TableContents"/>
              <w:bidi w:val="0"/>
              <w:spacing w:before="0" w:after="283"/>
              <w:jc w:val="left"/>
              <w:rPr/>
            </w:pPr>
            <w:r>
              <w:rPr/>
              <w:t>% </w:t>
            </w:r>
          </w:p>
        </w:tc>
      </w:tr>
      <w:tr>
        <w:trPr/>
        <w:tc>
          <w:tcPr>
            <w:tcW w:w="487"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218" w:type="dxa"/>
            <w:tcBorders/>
            <w:vAlign w:val="bottom"/>
          </w:tcPr>
          <w:p>
            <w:pPr>
              <w:pStyle w:val="TableContents"/>
              <w:bidi w:val="0"/>
              <w:spacing w:before="0" w:after="283"/>
              <w:jc w:val="left"/>
              <w:rPr/>
            </w:pPr>
            <w:r>
              <w:rPr/>
              <w:t>  </w:t>
            </w:r>
          </w:p>
        </w:tc>
        <w:tc>
          <w:tcPr>
            <w:tcW w:w="6333" w:type="dxa"/>
            <w:tcBorders/>
            <w:vAlign w:val="bottom"/>
          </w:tcPr>
          <w:p>
            <w:pPr>
              <w:pStyle w:val="TableContents"/>
              <w:bidi w:val="0"/>
              <w:spacing w:before="0" w:after="283"/>
              <w:jc w:val="left"/>
              <w:rPr/>
            </w:pPr>
            <w:r>
              <w:rPr/>
              <w:t>A-/A3 (or equivalent)</w:t>
            </w:r>
          </w:p>
        </w:tc>
        <w:tc>
          <w:tcPr>
            <w:tcW w:w="21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0.800</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0.000</w:t>
            </w:r>
          </w:p>
        </w:tc>
        <w:tc>
          <w:tcPr>
            <w:tcW w:w="280" w:type="dxa"/>
            <w:tcBorders/>
            <w:vAlign w:val="bottom"/>
          </w:tcPr>
          <w:p>
            <w:pPr>
              <w:pStyle w:val="TableContents"/>
              <w:bidi w:val="0"/>
              <w:spacing w:before="0" w:after="283"/>
              <w:jc w:val="left"/>
              <w:rPr/>
            </w:pPr>
            <w:r>
              <w:rPr/>
              <w:t>% </w:t>
            </w:r>
          </w:p>
        </w:tc>
      </w:tr>
      <w:tr>
        <w:trPr/>
        <w:tc>
          <w:tcPr>
            <w:tcW w:w="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218" w:type="dxa"/>
            <w:tcBorders/>
            <w:shd w:fill="CCEEFF" w:val="clear"/>
            <w:vAlign w:val="bottom"/>
          </w:tcPr>
          <w:p>
            <w:pPr>
              <w:pStyle w:val="TableContents"/>
              <w:bidi w:val="0"/>
              <w:spacing w:before="0" w:after="283"/>
              <w:jc w:val="left"/>
              <w:rPr/>
            </w:pPr>
            <w:r>
              <w:rPr/>
              <w:t>  </w:t>
            </w:r>
          </w:p>
        </w:tc>
        <w:tc>
          <w:tcPr>
            <w:tcW w:w="6333" w:type="dxa"/>
            <w:tcBorders/>
            <w:shd w:fill="CCEEFF" w:val="clear"/>
            <w:vAlign w:val="bottom"/>
          </w:tcPr>
          <w:p>
            <w:pPr>
              <w:pStyle w:val="TableContents"/>
              <w:bidi w:val="0"/>
              <w:spacing w:before="0" w:after="283"/>
              <w:jc w:val="left"/>
              <w:rPr/>
            </w:pPr>
            <w:r>
              <w:rPr/>
              <w:t>BBB+/Baa1 (or equivalent)</w:t>
            </w:r>
          </w:p>
        </w:tc>
        <w:tc>
          <w:tcPr>
            <w:tcW w:w="21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0.850</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0.000</w:t>
            </w:r>
          </w:p>
        </w:tc>
        <w:tc>
          <w:tcPr>
            <w:tcW w:w="280" w:type="dxa"/>
            <w:tcBorders/>
            <w:shd w:fill="CCEEFF" w:val="clear"/>
            <w:vAlign w:val="bottom"/>
          </w:tcPr>
          <w:p>
            <w:pPr>
              <w:pStyle w:val="TableContents"/>
              <w:bidi w:val="0"/>
              <w:spacing w:before="0" w:after="283"/>
              <w:jc w:val="left"/>
              <w:rPr/>
            </w:pPr>
            <w:r>
              <w:rPr/>
              <w:t>% </w:t>
            </w:r>
          </w:p>
        </w:tc>
      </w:tr>
      <w:tr>
        <w:trPr/>
        <w:tc>
          <w:tcPr>
            <w:tcW w:w="487"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218" w:type="dxa"/>
            <w:tcBorders/>
            <w:vAlign w:val="bottom"/>
          </w:tcPr>
          <w:p>
            <w:pPr>
              <w:pStyle w:val="TableContents"/>
              <w:bidi w:val="0"/>
              <w:spacing w:before="0" w:after="283"/>
              <w:jc w:val="left"/>
              <w:rPr/>
            </w:pPr>
            <w:r>
              <w:rPr/>
              <w:t>  </w:t>
            </w:r>
          </w:p>
        </w:tc>
        <w:tc>
          <w:tcPr>
            <w:tcW w:w="6333" w:type="dxa"/>
            <w:tcBorders/>
            <w:vAlign w:val="bottom"/>
          </w:tcPr>
          <w:p>
            <w:pPr>
              <w:pStyle w:val="TableContents"/>
              <w:bidi w:val="0"/>
              <w:spacing w:before="0" w:after="283"/>
              <w:jc w:val="left"/>
              <w:rPr/>
            </w:pPr>
            <w:r>
              <w:rPr/>
              <w:t>BBB/Baa2 (or equivalent)</w:t>
            </w:r>
          </w:p>
        </w:tc>
        <w:tc>
          <w:tcPr>
            <w:tcW w:w="21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0.950</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0.000</w:t>
            </w:r>
          </w:p>
        </w:tc>
        <w:tc>
          <w:tcPr>
            <w:tcW w:w="280" w:type="dxa"/>
            <w:tcBorders/>
            <w:vAlign w:val="bottom"/>
          </w:tcPr>
          <w:p>
            <w:pPr>
              <w:pStyle w:val="TableContents"/>
              <w:bidi w:val="0"/>
              <w:spacing w:before="0" w:after="283"/>
              <w:jc w:val="left"/>
              <w:rPr/>
            </w:pPr>
            <w:r>
              <w:rPr/>
              <w:t>% </w:t>
            </w:r>
          </w:p>
        </w:tc>
      </w:tr>
      <w:tr>
        <w:trPr/>
        <w:tc>
          <w:tcPr>
            <w:tcW w:w="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218" w:type="dxa"/>
            <w:tcBorders/>
            <w:shd w:fill="CCEEFF" w:val="clear"/>
            <w:vAlign w:val="bottom"/>
          </w:tcPr>
          <w:p>
            <w:pPr>
              <w:pStyle w:val="TableContents"/>
              <w:bidi w:val="0"/>
              <w:spacing w:before="0" w:after="283"/>
              <w:jc w:val="left"/>
              <w:rPr/>
            </w:pPr>
            <w:r>
              <w:rPr/>
              <w:t>  </w:t>
            </w:r>
          </w:p>
        </w:tc>
        <w:tc>
          <w:tcPr>
            <w:tcW w:w="6333" w:type="dxa"/>
            <w:tcBorders/>
            <w:shd w:fill="CCEEFF" w:val="clear"/>
            <w:vAlign w:val="bottom"/>
          </w:tcPr>
          <w:p>
            <w:pPr>
              <w:pStyle w:val="TableContents"/>
              <w:bidi w:val="0"/>
              <w:spacing w:before="0" w:after="283"/>
              <w:jc w:val="left"/>
              <w:rPr/>
            </w:pPr>
            <w:r>
              <w:rPr/>
              <w:t>BBB-/Baa3 (or equivalent)</w:t>
            </w:r>
          </w:p>
        </w:tc>
        <w:tc>
          <w:tcPr>
            <w:tcW w:w="21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1.200</w:t>
            </w:r>
          </w:p>
        </w:tc>
        <w:tc>
          <w:tcPr>
            <w:tcW w:w="27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0.200</w:t>
            </w:r>
          </w:p>
        </w:tc>
        <w:tc>
          <w:tcPr>
            <w:tcW w:w="280" w:type="dxa"/>
            <w:tcBorders/>
            <w:shd w:fill="CCEEFF" w:val="clear"/>
            <w:vAlign w:val="bottom"/>
          </w:tcPr>
          <w:p>
            <w:pPr>
              <w:pStyle w:val="TableContents"/>
              <w:bidi w:val="0"/>
              <w:spacing w:before="0" w:after="283"/>
              <w:jc w:val="left"/>
              <w:rPr/>
            </w:pPr>
            <w:r>
              <w:rPr/>
              <w:t>% </w:t>
            </w:r>
          </w:p>
        </w:tc>
      </w:tr>
      <w:tr>
        <w:trPr/>
        <w:tc>
          <w:tcPr>
            <w:tcW w:w="487" w:type="dxa"/>
            <w:tcBorders/>
          </w:tcPr>
          <w:p>
            <w:pPr>
              <w:pStyle w:val="TableContents"/>
              <w:bidi w:val="0"/>
              <w:spacing w:before="0" w:after="0"/>
              <w:jc w:val="left"/>
              <w:rPr>
                <w:rFonts w:ascii="Times New Roman" w:hAnsi="Times New Roman"/>
                <w:sz w:val="20"/>
              </w:rPr>
            </w:pPr>
            <w:r>
              <w:rPr>
                <w:rFonts w:ascii="Times New Roman" w:hAnsi="Times New Roman"/>
                <w:sz w:val="20"/>
              </w:rPr>
              <w:t>6</w:t>
            </w:r>
          </w:p>
        </w:tc>
        <w:tc>
          <w:tcPr>
            <w:tcW w:w="218" w:type="dxa"/>
            <w:tcBorders/>
            <w:vAlign w:val="bottom"/>
          </w:tcPr>
          <w:p>
            <w:pPr>
              <w:pStyle w:val="TableContents"/>
              <w:bidi w:val="0"/>
              <w:spacing w:before="0" w:after="283"/>
              <w:jc w:val="left"/>
              <w:rPr/>
            </w:pPr>
            <w:r>
              <w:rPr/>
              <w:t>  </w:t>
            </w:r>
          </w:p>
        </w:tc>
        <w:tc>
          <w:tcPr>
            <w:tcW w:w="6333" w:type="dxa"/>
            <w:tcBorders/>
            <w:vAlign w:val="bottom"/>
          </w:tcPr>
          <w:p>
            <w:pPr>
              <w:pStyle w:val="TableContents"/>
              <w:bidi w:val="0"/>
              <w:spacing w:before="0" w:after="283"/>
              <w:jc w:val="left"/>
              <w:rPr/>
            </w:pPr>
            <w:r>
              <w:rPr/>
              <w:t>Lower than BBB-/Baa3 (or equivalent)</w:t>
            </w:r>
          </w:p>
        </w:tc>
        <w:tc>
          <w:tcPr>
            <w:tcW w:w="21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1.600</w:t>
            </w:r>
          </w:p>
        </w:tc>
        <w:tc>
          <w:tcPr>
            <w:tcW w:w="27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0.600</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Approved Fund</w:t>
      </w:r>
      <w:r>
        <w:rPr>
          <w:rFonts w:ascii="Times New Roman" w:hAnsi="Times New Roman"/>
          <w:sz w:val="20"/>
        </w:rPr>
        <w:t xml:space="preserve">” means any Fund that is administered or managed by (a) a Lender, (b) an Affiliate of a Lender, or (c) an entity or an Affiliate of any entity that administers or manages a Lender. </w:t>
      </w:r>
    </w:p>
    <w:p>
      <w:pPr>
        <w:pStyle w:val="TextBody"/>
        <w:bidi w:val="0"/>
        <w:spacing w:before="240" w:after="0"/>
        <w:jc w:val="left"/>
        <w:rPr/>
      </w:pPr>
      <w:r>
        <w:rPr/>
        <w:t>“</w:t>
      </w:r>
      <w:r>
        <w:rPr>
          <w:rFonts w:ascii="Times New Roman" w:hAnsi="Times New Roman"/>
          <w:b/>
          <w:sz w:val="20"/>
        </w:rPr>
        <w:t>Arranger</w:t>
      </w:r>
      <w:r>
        <w:rPr>
          <w:rFonts w:ascii="Times New Roman" w:hAnsi="Times New Roman"/>
          <w:sz w:val="20"/>
        </w:rPr>
        <w:t xml:space="preserve">” has the meaning set forth in the introductory paragraph hereof and shall include each Arranger’s successors and permitted assigns. </w:t>
      </w:r>
    </w:p>
    <w:p>
      <w:pPr>
        <w:pStyle w:val="TextBody"/>
        <w:bidi w:val="0"/>
        <w:spacing w:before="240" w:after="0"/>
        <w:jc w:val="left"/>
        <w:rPr/>
      </w:pPr>
      <w:r>
        <w:rPr/>
        <w:t>“</w:t>
      </w:r>
      <w:r>
        <w:rPr>
          <w:rFonts w:ascii="Times New Roman" w:hAnsi="Times New Roman"/>
          <w:b/>
          <w:sz w:val="20"/>
        </w:rPr>
        <w:t>Assignment and Assumption</w:t>
      </w:r>
      <w:r>
        <w:rPr>
          <w:rFonts w:ascii="Times New Roman" w:hAnsi="Times New Roman"/>
          <w:sz w:val="20"/>
        </w:rPr>
        <w:t xml:space="preserve">” means an Assignment and Assumption Agreement among a Lender, an Eligible Assignee and the Administrative Agent, substantially in the form of Exhibit A. </w:t>
      </w:r>
    </w:p>
    <w:p>
      <w:pPr>
        <w:pStyle w:val="TextBody"/>
        <w:bidi w:val="0"/>
        <w:spacing w:before="240" w:after="0"/>
        <w:jc w:val="left"/>
        <w:rPr/>
      </w:pPr>
      <w:r>
        <w:rPr/>
        <w:t>“</w:t>
      </w:r>
      <w:r>
        <w:rPr>
          <w:rFonts w:ascii="Times New Roman" w:hAnsi="Times New Roman"/>
          <w:b/>
          <w:sz w:val="20"/>
        </w:rPr>
        <w:t>Availability Period</w:t>
      </w:r>
      <w:r>
        <w:rPr>
          <w:rFonts w:ascii="Times New Roman" w:hAnsi="Times New Roman"/>
          <w:sz w:val="20"/>
        </w:rPr>
        <w:t xml:space="preserve">” means the period from and including the Closing Date to but excluding the Availability Termination Date. </w:t>
      </w:r>
    </w:p>
    <w:p>
      <w:pPr>
        <w:pStyle w:val="TextBody"/>
        <w:bidi w:val="0"/>
        <w:spacing w:before="240" w:after="0"/>
        <w:jc w:val="left"/>
        <w:rPr/>
      </w:pPr>
      <w:r>
        <w:rPr/>
        <w:t>“</w:t>
      </w:r>
      <w:r>
        <w:rPr>
          <w:rFonts w:ascii="Times New Roman" w:hAnsi="Times New Roman"/>
          <w:b/>
          <w:sz w:val="20"/>
        </w:rPr>
        <w:t>Availability Termination Date</w:t>
      </w:r>
      <w:r>
        <w:rPr>
          <w:rFonts w:ascii="Times New Roman" w:hAnsi="Times New Roman"/>
          <w:sz w:val="20"/>
        </w:rPr>
        <w:t xml:space="preserve">” means the first to occur of (a) December 20, 2025 and (b) the date on which the Commitments are terminated or reduced to zero in accordance herewith.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the Bankruptcy Code of 1978, as amended. </w:t>
      </w:r>
    </w:p>
    <w:p>
      <w:pPr>
        <w:pStyle w:val="TextBody"/>
        <w:bidi w:val="0"/>
        <w:spacing w:before="240" w:after="0"/>
        <w:jc w:val="left"/>
        <w:rPr/>
      </w:pPr>
      <w:r>
        <w:rPr/>
        <w:t>“</w:t>
      </w:r>
      <w:r>
        <w:rPr>
          <w:rFonts w:ascii="Times New Roman" w:hAnsi="Times New Roman"/>
          <w:b/>
          <w:sz w:val="20"/>
        </w:rPr>
        <w:t>Base Rate</w:t>
      </w:r>
      <w:r>
        <w:rPr>
          <w:rFonts w:ascii="Times New Roman" w:hAnsi="Times New Roman"/>
          <w:sz w:val="20"/>
        </w:rPr>
        <w:t>” means, at any time, the highest of (a) the Prime Rate, (b) the Federal Funds Rate plus 0.50% and (c) </w:t>
      </w:r>
      <w:r>
        <w:rPr>
          <w:rFonts w:ascii="Times New Roman" w:hAnsi="Times New Roman"/>
          <w:strike/>
          <w:color w:val="FF0000"/>
          <w:sz w:val="20"/>
        </w:rPr>
        <w:t xml:space="preserve">Adjusted </w:t>
      </w:r>
      <w:r>
        <w:rPr>
          <w:rFonts w:ascii="Times New Roman" w:hAnsi="Times New Roman"/>
          <w:sz w:val="20"/>
        </w:rPr>
        <w:t>Term SOFR for a one-month tenor in effect on such day plus 1.00%; each change in the Base Rate shall take effect simultaneously with the corresponding change or changes in the Prime Rate, the Federal Funds Rate or</w:t>
      </w:r>
      <w:r>
        <w:rPr>
          <w:rFonts w:ascii="Times New Roman" w:hAnsi="Times New Roman"/>
          <w:strike/>
          <w:color w:val="FF0000"/>
          <w:sz w:val="20"/>
        </w:rPr>
        <w:t xml:space="preserve"> Adjusted </w:t>
      </w:r>
      <w:r>
        <w:rPr>
          <w:rFonts w:ascii="Times New Roman" w:hAnsi="Times New Roman"/>
          <w:sz w:val="20"/>
        </w:rPr>
        <w:t xml:space="preserve">Term SOFR, as applicable (provided that clause (c) shall not be applicable during any period in which </w:t>
      </w:r>
      <w:r>
        <w:rPr>
          <w:rFonts w:ascii="Times New Roman" w:hAnsi="Times New Roman"/>
          <w:strike/>
          <w:color w:val="FF0000"/>
          <w:sz w:val="20"/>
        </w:rPr>
        <w:t xml:space="preserve">Adjusted </w:t>
      </w:r>
      <w:r>
        <w:rPr>
          <w:rFonts w:ascii="Times New Roman" w:hAnsi="Times New Roman"/>
          <w:sz w:val="20"/>
        </w:rPr>
        <w:t xml:space="preserve">Term SOFR is unavailable or unascertainable). Notwithstanding the foregoing, in no event shall the Base Rate be less than 1.00%.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any portion of a Loan bearing interest at a rate based on the Base Rate. </w:t>
      </w:r>
    </w:p>
    <w:p>
      <w:pPr>
        <w:pStyle w:val="TextBody"/>
        <w:bidi w:val="0"/>
        <w:spacing w:before="240" w:after="0"/>
        <w:jc w:val="left"/>
        <w:rPr/>
      </w:pPr>
      <w:r>
        <w:rPr/>
        <w:t>“</w:t>
      </w:r>
      <w:r>
        <w:rPr>
          <w:rFonts w:ascii="Times New Roman" w:hAnsi="Times New Roman"/>
          <w:b/>
          <w:sz w:val="20"/>
        </w:rPr>
        <w:t>Base Rate Term SOFR Determination Day</w:t>
      </w:r>
      <w:r>
        <w:rPr>
          <w:rFonts w:ascii="Times New Roman" w:hAnsi="Times New Roman"/>
          <w:sz w:val="20"/>
        </w:rPr>
        <w:t xml:space="preserve">” has the meaning given that term in the definition of the term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w:t>
      </w:r>
      <w:r>
        <w:rPr>
          <w:rFonts w:ascii="Times New Roman" w:hAnsi="Times New Roman"/>
          <w:sz w:val="20"/>
        </w:rPr>
        <w:t xml:space="preserve">” means, initially, </w:t>
      </w:r>
      <w:r>
        <w:rPr>
          <w:rFonts w:ascii="Times New Roman" w:hAnsi="Times New Roman"/>
          <w:strike/>
          <w:color w:val="FF0000"/>
          <w:sz w:val="20"/>
        </w:rPr>
        <w:t xml:space="preserve">Adjusted </w:t>
      </w:r>
      <w:r>
        <w:rPr>
          <w:rFonts w:ascii="Times New Roman" w:hAnsi="Times New Roman"/>
          <w:sz w:val="20"/>
        </w:rPr>
        <w:t xml:space="preserve">Daily Simple SOFR or </w:t>
      </w:r>
      <w:r>
        <w:rPr>
          <w:rFonts w:ascii="Times New Roman" w:hAnsi="Times New Roman"/>
          <w:strike/>
          <w:color w:val="FF0000"/>
          <w:sz w:val="20"/>
        </w:rPr>
        <w:t xml:space="preserve">Adjusted </w:t>
      </w:r>
      <w:r>
        <w:rPr>
          <w:rFonts w:ascii="Times New Roman" w:hAnsi="Times New Roman"/>
          <w:sz w:val="20"/>
        </w:rPr>
        <w:t xml:space="preserve">Term SOFR, as applicable; </w:t>
      </w:r>
      <w:r>
        <w:rPr>
          <w:rFonts w:ascii="Times New Roman" w:hAnsi="Times New Roman"/>
          <w:sz w:val="20"/>
          <w:u w:val="single"/>
        </w:rPr>
        <w:t>provided</w:t>
      </w:r>
      <w:r>
        <w:rPr>
          <w:rFonts w:ascii="Times New Roman" w:hAnsi="Times New Roman"/>
          <w:sz w:val="20"/>
        </w:rPr>
        <w:t xml:space="preserve"> that if a Benchmark Transition Event has occurred with respect to </w:t>
      </w:r>
      <w:r>
        <w:rPr>
          <w:rFonts w:ascii="Times New Roman" w:hAnsi="Times New Roman"/>
          <w:strike/>
          <w:color w:val="FF0000"/>
          <w:sz w:val="20"/>
        </w:rPr>
        <w:t xml:space="preserve">Adjusted </w:t>
      </w:r>
      <w:r>
        <w:rPr>
          <w:rFonts w:ascii="Times New Roman" w:hAnsi="Times New Roman"/>
          <w:sz w:val="20"/>
        </w:rPr>
        <w:t xml:space="preserve">Daily Simple SOFR or </w:t>
      </w:r>
      <w:r>
        <w:rPr>
          <w:rFonts w:ascii="Times New Roman" w:hAnsi="Times New Roman"/>
          <w:strike/>
          <w:color w:val="FF0000"/>
          <w:sz w:val="20"/>
        </w:rPr>
        <w:t xml:space="preserve">Adjusted </w:t>
      </w:r>
      <w:r>
        <w:rPr>
          <w:rFonts w:ascii="Times New Roman" w:hAnsi="Times New Roman"/>
          <w:sz w:val="20"/>
        </w:rPr>
        <w:t xml:space="preserve">Term SOFR, as applicable, or the applicable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4.2.(b)(i)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Benchmark Replacement</w:t>
      </w:r>
      <w:r>
        <w:rPr>
          <w:rFonts w:ascii="Times New Roman" w:hAnsi="Times New Roman"/>
          <w:sz w:val="20"/>
        </w:rPr>
        <w:t xml:space="preserve">”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b/>
          <w:sz w:val="20"/>
        </w:rPr>
        <w:t>Benchmark Replacement Date</w:t>
      </w:r>
      <w:r>
        <w:rPr>
          <w:rFonts w:ascii="Times New Roman" w:hAnsi="Times New Roman"/>
          <w:sz w:val="20"/>
        </w:rPr>
        <w:t xml:space="preserve">” means the earlier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(if applicable)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Transition Event</w:t>
      </w:r>
      <w:r>
        <w:rPr>
          <w:rFonts w:ascii="Times New Roman" w:hAnsi="Times New Roman"/>
          <w:sz w:val="20"/>
        </w:rPr>
        <w:t xml:space="preserve">” means the occurrence of one or more of the following events with respect to any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b/>
          <w:sz w:val="20"/>
        </w:rPr>
        <w:t>Benchmark Unavailability Period</w:t>
      </w:r>
      <w:r>
        <w:rPr>
          <w:rFonts w:ascii="Times New Roman" w:hAnsi="Times New Roman"/>
          <w:sz w:val="20"/>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and (y) ending at the time that a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certificate in substantially the form of Exhibit K (as amended or modified by the Administrative Agent from time to time in its sole discretion), certifying, among other things, the beneficial ownership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Arrangement</w:t>
      </w:r>
      <w:r>
        <w:rPr>
          <w:rFonts w:ascii="Times New Roman" w:hAnsi="Times New Roman"/>
          <w:sz w:val="20"/>
        </w:rPr>
        <w:t xml:space="preserve">” means at any time an employee benefit plan within the meaning of Section 3(3) of ERISA which is not a Plan or a Multiemployer Plan and which is maintained or otherwise contributed to by any member of the ERISA Group. </w:t>
      </w:r>
    </w:p>
    <w:p>
      <w:pPr>
        <w:pStyle w:val="TextBody"/>
        <w:bidi w:val="0"/>
        <w:spacing w:before="24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set forth in the introductory paragraph hereof and shall include the Borrower’s respective successors and permitted assigns. </w:t>
      </w:r>
    </w:p>
    <w:p>
      <w:pPr>
        <w:pStyle w:val="TextBody"/>
        <w:bidi w:val="0"/>
        <w:spacing w:before="240" w:after="0"/>
        <w:jc w:val="left"/>
        <w:rPr/>
      </w:pPr>
      <w:r>
        <w:rPr/>
        <w:t>“</w:t>
      </w:r>
      <w:r>
        <w:rPr>
          <w:rFonts w:ascii="Times New Roman" w:hAnsi="Times New Roman"/>
          <w:b/>
          <w:sz w:val="20"/>
        </w:rPr>
        <w:t>Borrower Information</w:t>
      </w:r>
      <w:r>
        <w:rPr>
          <w:rFonts w:ascii="Times New Roman" w:hAnsi="Times New Roman"/>
          <w:sz w:val="20"/>
        </w:rPr>
        <w:t xml:space="preserve">” has the meaning given that term in Section 2.5.(c). </w:t>
      </w:r>
    </w:p>
    <w:p>
      <w:pPr>
        <w:pStyle w:val="TextBody"/>
        <w:bidi w:val="0"/>
        <w:spacing w:before="240" w:after="0"/>
        <w:jc w:val="left"/>
        <w:rPr/>
      </w:pPr>
      <w:r>
        <w:rPr/>
        <w:t>“</w:t>
      </w:r>
      <w:r>
        <w:rPr>
          <w:rFonts w:ascii="Times New Roman" w:hAnsi="Times New Roman"/>
          <w:b/>
          <w:sz w:val="20"/>
        </w:rPr>
        <w:t>Borrower Representative</w:t>
      </w:r>
      <w:r>
        <w:rPr>
          <w:rFonts w:ascii="Times New Roman" w:hAnsi="Times New Roman"/>
          <w:sz w:val="20"/>
        </w:rPr>
        <w:t xml:space="preserve">” has the meaning set forth in the introductory paragraph hereof and shall include the Borrower Representative’s successors and permitted assigns.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(a) is not a Saturday, Sunday or other day on which the Federal Reserve Bank of New York is closed and (b) is not a day on which commercial banks in Pittsburgh, Pennsylvania are closed. </w:t>
      </w:r>
    </w:p>
    <w:p>
      <w:pPr>
        <w:pStyle w:val="TextBody"/>
        <w:bidi w:val="0"/>
        <w:spacing w:before="240" w:after="0"/>
        <w:jc w:val="left"/>
        <w:rPr/>
      </w:pPr>
      <w:r>
        <w:rPr/>
        <w:t>“</w:t>
      </w:r>
      <w:r>
        <w:rPr>
          <w:rFonts w:ascii="Times New Roman" w:hAnsi="Times New Roman"/>
          <w:b/>
          <w:sz w:val="20"/>
        </w:rPr>
        <w:t>Capital Reserves</w:t>
      </w:r>
      <w:r>
        <w:rPr>
          <w:rFonts w:ascii="Times New Roman" w:hAnsi="Times New Roman"/>
          <w:sz w:val="20"/>
        </w:rPr>
        <w:t xml:space="preserve">” 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units), an amount equal to (a) $200 per apartment unit in such Multifamily Property </w:t>
      </w:r>
      <w:r>
        <w:rPr>
          <w:rFonts w:ascii="Times New Roman" w:hAnsi="Times New Roman"/>
          <w:sz w:val="20"/>
          <w:u w:val="single"/>
        </w:rPr>
        <w:t>times,</w:t>
      </w:r>
      <w:r>
        <w:rPr>
          <w:rFonts w:ascii="Times New Roman" w:hAnsi="Times New Roman"/>
          <w:sz w:val="20"/>
        </w:rPr>
        <w:t xml:space="preserve"> (b)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Representative and its Subsidiaries and a proportionate share of all Office Properties, Retail Properties, Multifamily Properties and Hotel Properties of all Unconsolidated Affiliates. </w:t>
      </w:r>
    </w:p>
    <w:p>
      <w:pPr>
        <w:pStyle w:val="TextBody"/>
        <w:bidi w:val="0"/>
        <w:spacing w:before="240" w:after="0"/>
        <w:jc w:val="left"/>
        <w:rPr/>
      </w:pPr>
      <w:r>
        <w:rPr/>
        <w:t>“</w:t>
      </w:r>
      <w:r>
        <w:rPr>
          <w:rFonts w:ascii="Times New Roman" w:hAnsi="Times New Roman"/>
          <w:b/>
          <w:sz w:val="20"/>
        </w:rPr>
        <w:t>Capitalization Rate</w:t>
      </w:r>
      <w:r>
        <w:rPr>
          <w:rFonts w:ascii="Times New Roman" w:hAnsi="Times New Roman"/>
          <w:sz w:val="20"/>
        </w:rPr>
        <w:t xml:space="preserve">” means 6.00% for all Properties. </w:t>
      </w:r>
    </w:p>
    <w:p>
      <w:pPr>
        <w:pStyle w:val="TextBody"/>
        <w:bidi w:val="0"/>
        <w:spacing w:before="240" w:after="0"/>
        <w:jc w:val="left"/>
        <w:rPr/>
      </w:pPr>
      <w:r>
        <w:rPr/>
        <w:t>“</w:t>
      </w:r>
      <w:r>
        <w:rPr>
          <w:rFonts w:ascii="Times New Roman" w:hAnsi="Times New Roman"/>
          <w:b/>
          <w:sz w:val="20"/>
        </w:rPr>
        <w:t>Capitalized Lease Obligation</w:t>
      </w:r>
      <w:r>
        <w:rPr>
          <w:rFonts w:ascii="Times New Roman" w:hAnsi="Times New Roman"/>
          <w:sz w:val="20"/>
        </w:rPr>
        <w:t xml:space="preserve">”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Cash Equivalents</w:t>
      </w:r>
      <w:r>
        <w:rPr>
          <w:rFonts w:ascii="Times New Roman" w:hAnsi="Times New Roman"/>
          <w:sz w:val="20"/>
        </w:rPr>
        <w:t xml:space="preserve">”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xml:space="preserve">” (a) when used with respect to a Loan, refers to whether such Loan is a Term A Loan or a Term B Loan and (b) when used with respect to a Lender, refers whether to such Lender is a Term A Loan Lender or Term B Loan Lender.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as to a Term B Loan Lender, such Term B Loan Lender’s obligation to make Term B Loans pursuant to Section 2.2(c), in an amount up to, but not exceeding, the amount set forth for such Lender on </w:t>
      </w:r>
      <w:r>
        <w:rPr>
          <w:rFonts w:ascii="Times New Roman" w:hAnsi="Times New Roman"/>
          <w:sz w:val="20"/>
          <w:u w:val="single"/>
        </w:rPr>
        <w:t>Schedule I</w:t>
      </w:r>
      <w:r>
        <w:rPr>
          <w:rFonts w:ascii="Times New Roman" w:hAnsi="Times New Roman"/>
          <w:sz w:val="20"/>
        </w:rPr>
        <w:t xml:space="preserve"> as such Lender’s “Term B Loan Amount” or as set forth in any applicable Assignment and Assumption, as the same may be reduced from time to time pursuant to Section 2.12. or increased or reduced as appropriate to reflect any assignments to or by such Lender effected in accordance with Section 12.6. The aggregate amount of Commitments as of the Effective Date is $150,000,000. </w:t>
      </w:r>
    </w:p>
    <w:p>
      <w:pPr>
        <w:pStyle w:val="TextBody"/>
        <w:bidi w:val="0"/>
        <w:spacing w:before="240" w:after="0"/>
        <w:jc w:val="left"/>
        <w:rPr/>
      </w:pPr>
      <w:r>
        <w:rPr/>
        <w:t>“</w:t>
      </w:r>
      <w:r>
        <w:rPr>
          <w:rFonts w:ascii="Times New Roman" w:hAnsi="Times New Roman"/>
          <w:b/>
          <w:sz w:val="20"/>
        </w:rPr>
        <w:t>Commitment Percentage</w:t>
      </w:r>
      <w:r>
        <w:rPr>
          <w:rFonts w:ascii="Times New Roman" w:hAnsi="Times New Roman"/>
          <w:sz w:val="20"/>
        </w:rPr>
        <w:t xml:space="preserve">” means, with respect to a Term B Loan Lender, the ratio, expressed as a percentage, of (a) the amount of such Term B Loan Lender’s Commitment to (b) the aggregate amount of the Commitments of all Term B Loan Lenders; provided, however, that if at the time of determination the Commitments have been terminated or been reduced to zero, the “Commitment Percentage” of each Lender shall be the “Commitment Percentage” of such Lender in effect immediately prior to such termination or reduction. </w:t>
      </w:r>
    </w:p>
    <w:p>
      <w:pPr>
        <w:pStyle w:val="TextBody"/>
        <w:bidi w:val="0"/>
        <w:spacing w:before="24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§1 et seq.), as amended from time to time, and any successor statute.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has the meaning given that term in Section 8.3.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w:t>
      </w:r>
      <w:r>
        <w:rPr>
          <w:rFonts w:ascii="Times New Roman" w:hAnsi="Times New Roman"/>
          <w:sz w:val="20"/>
          <w:u w:val="single"/>
        </w:rPr>
        <w:t xml:space="preserve"> Section 4.4</w:t>
      </w:r>
      <w:r>
        <w:rPr>
          <w:rFonts w:ascii="Times New Roman" w:hAnsi="Times New Roman"/>
          <w:sz w:val="20"/>
        </w:rPr>
        <w:t xml:space="preserve"> and other technical, administrative or operational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Continue</w:t>
      </w:r>
      <w:r>
        <w:rPr>
          <w:rFonts w:ascii="Times New Roman" w:hAnsi="Times New Roman"/>
          <w:sz w:val="20"/>
        </w:rPr>
        <w:t>”, “</w:t>
      </w:r>
      <w:r>
        <w:rPr>
          <w:rFonts w:ascii="Times New Roman" w:hAnsi="Times New Roman"/>
          <w:b/>
          <w:sz w:val="20"/>
        </w:rPr>
        <w:t>Continuation</w:t>
      </w:r>
      <w:r>
        <w:rPr>
          <w:rFonts w:ascii="Times New Roman" w:hAnsi="Times New Roman"/>
          <w:sz w:val="20"/>
        </w:rPr>
        <w:t>” and “</w:t>
      </w:r>
      <w:r>
        <w:rPr>
          <w:rFonts w:ascii="Times New Roman" w:hAnsi="Times New Roman"/>
          <w:b/>
          <w:sz w:val="20"/>
        </w:rPr>
        <w:t>Continued</w:t>
      </w:r>
      <w:r>
        <w:rPr>
          <w:rFonts w:ascii="Times New Roman" w:hAnsi="Times New Roman"/>
          <w:sz w:val="20"/>
        </w:rPr>
        <w:t xml:space="preserve">” each refers to the continuation of a SOFR Loan from one Interest Period to another Interest Period pursuant to Section 2.9. </w:t>
      </w:r>
    </w:p>
    <w:p>
      <w:pPr>
        <w:pStyle w:val="TextBody"/>
        <w:bidi w:val="0"/>
        <w:spacing w:before="240" w:after="0"/>
        <w:jc w:val="left"/>
        <w:rPr/>
      </w:pPr>
      <w:r>
        <w:rPr/>
        <w:t>“</w:t>
      </w:r>
      <w:r>
        <w:rPr>
          <w:rFonts w:ascii="Times New Roman" w:hAnsi="Times New Roman"/>
          <w:b/>
          <w:sz w:val="20"/>
        </w:rPr>
        <w:t>Construction-in-Process</w:t>
      </w:r>
      <w:r>
        <w:rPr>
          <w:rFonts w:ascii="Times New Roman" w:hAnsi="Times New Roman"/>
          <w:sz w:val="20"/>
        </w:rPr>
        <w:t xml:space="preserve">”means cash expenditures for land and improvements (including indirect costs internally allocated and development costs) in accordance with GAAP on all Development Properties.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b/>
          <w:sz w:val="20"/>
        </w:rPr>
        <w:t>Controlled Property</w:t>
      </w:r>
      <w:r>
        <w:rPr>
          <w:rFonts w:ascii="Times New Roman" w:hAnsi="Times New Roman"/>
          <w:sz w:val="20"/>
        </w:rPr>
        <w:t xml:space="preserve">” means a Property which is an Eligible Property that is owned in fee simple (or leased under a Ground Lease) by a Subsidiary that is not a Wholly Owned Subsidiary and with respect to which the Borrower Representative or such Subsidiary has the right to take the following actions without the need to obtain the consent of any Person (other than the Requisite Lenders if required pursuant to the Loan Documents): (A) to create Liens on such Property as security for Indebtedness of the Borrower Representative or such Subsidiary, as applicable and (B) to sell, convey, transfer or otherwise dispose of such Property. </w:t>
      </w:r>
    </w:p>
    <w:p>
      <w:pPr>
        <w:pStyle w:val="TextBody"/>
        <w:bidi w:val="0"/>
        <w:spacing w:before="240" w:after="0"/>
        <w:jc w:val="left"/>
        <w:rPr/>
      </w:pPr>
      <w:r>
        <w:rPr/>
        <w:t>“</w:t>
      </w:r>
      <w:r>
        <w:rPr>
          <w:rFonts w:ascii="Times New Roman" w:hAnsi="Times New Roman"/>
          <w:b/>
          <w:sz w:val="20"/>
        </w:rPr>
        <w:t>Convert</w:t>
      </w:r>
      <w:r>
        <w:rPr>
          <w:rFonts w:ascii="Times New Roman" w:hAnsi="Times New Roman"/>
          <w:sz w:val="20"/>
        </w:rPr>
        <w:t>”, “</w:t>
      </w:r>
      <w:r>
        <w:rPr>
          <w:rFonts w:ascii="Times New Roman" w:hAnsi="Times New Roman"/>
          <w:b/>
          <w:sz w:val="20"/>
        </w:rPr>
        <w:t>Conversion</w:t>
      </w:r>
      <w:r>
        <w:rPr>
          <w:rFonts w:ascii="Times New Roman" w:hAnsi="Times New Roman"/>
          <w:sz w:val="20"/>
        </w:rPr>
        <w:t>” and “</w:t>
      </w:r>
      <w:r>
        <w:rPr>
          <w:rFonts w:ascii="Times New Roman" w:hAnsi="Times New Roman"/>
          <w:b/>
          <w:sz w:val="20"/>
        </w:rPr>
        <w:t>Converted</w:t>
      </w:r>
      <w:r>
        <w:rPr>
          <w:rFonts w:ascii="Times New Roman" w:hAnsi="Times New Roman"/>
          <w:sz w:val="20"/>
        </w:rPr>
        <w:t xml:space="preserve">” each refers to the conversion of a Loan of one Type into a Loan of another Type pursuant to Section 2.10.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Convertible Notes</w:t>
      </w:r>
      <w:r>
        <w:rPr>
          <w:rFonts w:ascii="Times New Roman" w:hAnsi="Times New Roman"/>
          <w:color w:val="0000FF"/>
          <w:sz w:val="20"/>
          <w:u w:val="single"/>
          <w:bdr w:val="double" w:sz="2" w:space="1" w:color="000000"/>
        </w:rPr>
        <w:t>” has the meaning given that term in Section 9.12.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w:t>
      </w:r>
    </w:p>
    <w:p>
      <w:pPr>
        <w:pStyle w:val="TextBody"/>
        <w:bidi w:val="0"/>
        <w:spacing w:before="240" w:after="0"/>
        <w:jc w:val="left"/>
        <w:rPr/>
      </w:pPr>
      <w:r>
        <w:rPr/>
        <w:t>“</w:t>
      </w:r>
      <w:r>
        <w:rPr>
          <w:rFonts w:ascii="Times New Roman" w:hAnsi="Times New Roman"/>
          <w:b/>
          <w:sz w:val="20"/>
        </w:rPr>
        <w:t>Covered Party</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Credit Event</w:t>
      </w:r>
      <w:r>
        <w:rPr>
          <w:rFonts w:ascii="Times New Roman" w:hAnsi="Times New Roman"/>
          <w:sz w:val="20"/>
        </w:rPr>
        <w:t xml:space="preserve">” means any of the following: (a) the making (or deemed making) of any Loan, (b) the Conversion of a Base Rate Loan into a SOFR Loan and (c) the Continuation of a SOFR Loan. </w:t>
      </w:r>
    </w:p>
    <w:p>
      <w:pPr>
        <w:pStyle w:val="TextBody"/>
        <w:bidi w:val="0"/>
        <w:spacing w:before="240" w:after="0"/>
        <w:jc w:val="left"/>
        <w:rPr/>
      </w:pPr>
      <w:r>
        <w:rPr/>
        <w:t>“</w:t>
      </w:r>
      <w:r>
        <w:rPr>
          <w:rFonts w:ascii="Times New Roman" w:hAnsi="Times New Roman"/>
          <w:b/>
          <w:sz w:val="20"/>
        </w:rPr>
        <w:t>Credit Rating</w:t>
      </w:r>
      <w:r>
        <w:rPr>
          <w:rFonts w:ascii="Times New Roman" w:hAnsi="Times New Roman"/>
          <w:sz w:val="20"/>
        </w:rPr>
        <w:t xml:space="preserve">” means the rating assigned by a Rating Agency to the senior unsecured long term Indebtedness of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t xml:space="preserve"> </w:t>
      </w:r>
      <w:r>
        <w:rPr>
          <w:rFonts w:ascii="Times New Roman" w:hAnsi="Times New Roman"/>
          <w:color w:val="008000"/>
          <w:sz w:val="20"/>
          <w:u w:val="single"/>
          <w:bdr w:val="double" w:sz="2" w:space="1" w:color="000000"/>
        </w:rPr>
        <w:t xml:space="preserve">Daily Simple SOFR” means, for any day (a “Simple SOFR Rate Day”), a rate per annum equal to the greater of (a) SOFR for the day (such day, a “Simple SOFR Determination Day”)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provided that if by 5:00 p.m. on the second (2nd) U.S. Government Securities Business Day immediately following any Simple SOFR Determination Day, SOFR in respect of such Simple SOFR Determination Day has not been published on the SOFR Administrator’s Website and a Benchmark Replacement Date with respect to Daily Simple SOFR has not occurred, then SOFR for such Simple SOFR Determination Day will be SOFR as published in respect of the first preceding U.S. Government Securities Business Day for which such SOFR was published on the SOFR Administrator’s Website; provided further that SOFR as determined pursuant to this proviso shall be utilized for purposes of calculation of Daily Simple SOFR for no more than three (3) consecutive Simple SOFR Rate Days and (b) the Floor. Any change in </w:t>
      </w:r>
      <w:r>
        <w:rPr>
          <w:rFonts w:ascii="Times New Roman" w:hAnsi="Times New Roman"/>
          <w:color w:val="0000FF"/>
          <w:sz w:val="20"/>
          <w:u w:val="single"/>
          <w:bdr w:val="double" w:sz="2" w:space="1" w:color="000000"/>
        </w:rPr>
        <w:t xml:space="preserve">Daily Simple SOFR </w:t>
      </w:r>
      <w:r>
        <w:rPr>
          <w:rFonts w:ascii="Times New Roman" w:hAnsi="Times New Roman"/>
          <w:color w:val="008000"/>
          <w:sz w:val="20"/>
          <w:u w:val="single"/>
          <w:bdr w:val="double" w:sz="2" w:space="1" w:color="000000"/>
        </w:rPr>
        <w:t>due to a change in SOFR shall be effective from and including the effective date of such change in SOFR without notice to the Borrower.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Daily Simple SOFR Loan</w:t>
      </w:r>
      <w:r>
        <w:rPr>
          <w:rFonts w:ascii="Times New Roman" w:hAnsi="Times New Roman"/>
          <w:sz w:val="20"/>
        </w:rPr>
        <w:t xml:space="preserve">” means any Loan bearing interest at a rate based on </w:t>
      </w:r>
      <w:r>
        <w:rPr>
          <w:rFonts w:ascii="Times New Roman" w:hAnsi="Times New Roman"/>
          <w:strike/>
          <w:color w:val="FF0000"/>
          <w:sz w:val="20"/>
        </w:rPr>
        <w:t xml:space="preserve">Adjusted </w:t>
      </w:r>
      <w:r>
        <w:rPr>
          <w:rFonts w:ascii="Times New Roman" w:hAnsi="Times New Roman"/>
          <w:sz w:val="20"/>
        </w:rPr>
        <w:t xml:space="preserve">Daily Simple SOFR. </w:t>
      </w:r>
    </w:p>
    <w:p>
      <w:pPr>
        <w:pStyle w:val="TextBody"/>
        <w:bidi w:val="0"/>
        <w:spacing w:before="240" w:after="0"/>
        <w:jc w:val="left"/>
        <w:rPr/>
      </w:pPr>
      <w:r>
        <w:rPr/>
        <w:t>“</w:t>
      </w:r>
      <w:r>
        <w:rPr>
          <w:rFonts w:ascii="Times New Roman" w:hAnsi="Times New Roman"/>
          <w:b/>
          <w:sz w:val="20"/>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of the events specified in Section 10.1., whether or not there has been satisfied any requirement for the giving of notice, the lapse of time, or both.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rPr>
        <w:t xml:space="preserve">Derivatives Contract”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240" w:after="0"/>
        <w:jc w:val="left"/>
        <w:rPr/>
      </w:pPr>
      <w:r>
        <w:rPr/>
        <w:t>“</w:t>
      </w:r>
      <w:r>
        <w:rPr>
          <w:rFonts w:ascii="Times New Roman" w:hAnsi="Times New Roman"/>
          <w:b/>
          <w:sz w:val="20"/>
        </w:rPr>
        <w:t>Derivatives Support Document</w:t>
      </w:r>
      <w:r>
        <w:rPr>
          <w:rFonts w:ascii="Times New Roman" w:hAnsi="Times New Roman"/>
          <w:sz w:val="20"/>
        </w:rPr>
        <w:t xml:space="preserve">”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 </w:t>
      </w:r>
    </w:p>
    <w:p>
      <w:pPr>
        <w:pStyle w:val="TextBody"/>
        <w:bidi w:val="0"/>
        <w:spacing w:before="240" w:after="0"/>
        <w:jc w:val="left"/>
        <w:rPr/>
      </w:pPr>
      <w:r>
        <w:rPr/>
        <w:t>“</w:t>
      </w:r>
      <w:r>
        <w:rPr>
          <w:rFonts w:ascii="Times New Roman" w:hAnsi="Times New Roman"/>
          <w:b/>
          <w:sz w:val="20"/>
        </w:rPr>
        <w:t>Derivatives Termination Value</w:t>
      </w:r>
      <w:r>
        <w:rPr>
          <w:rFonts w:ascii="Times New Roman" w:hAnsi="Times New Roman"/>
          <w:sz w:val="20"/>
        </w:rPr>
        <w:t xml:space="preserve">”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 </w:t>
      </w:r>
    </w:p>
    <w:p>
      <w:pPr>
        <w:pStyle w:val="TextBody"/>
        <w:bidi w:val="0"/>
        <w:spacing w:before="240" w:after="0"/>
        <w:jc w:val="left"/>
        <w:rPr/>
      </w:pPr>
      <w:r>
        <w:rPr/>
        <w:t>“</w:t>
      </w:r>
      <w:r>
        <w:rPr>
          <w:rFonts w:ascii="Times New Roman" w:hAnsi="Times New Roman"/>
          <w:b/>
          <w:sz w:val="20"/>
        </w:rPr>
        <w:t>Development Property</w:t>
      </w:r>
      <w:r>
        <w:rPr>
          <w:rFonts w:ascii="Times New Roman" w:hAnsi="Times New Roman"/>
          <w:sz w:val="20"/>
        </w:rPr>
        <w:t xml:space="preserve">”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 (a) the date that is six months past substantial completion of such Property and (b) achieving an Occupancy Rate of 85.0% and (y) in the case of a Hotel Property, the date that is 12 months past substantial completion of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Disbursement Instruction Agreement</w:t>
      </w:r>
      <w:r>
        <w:rPr>
          <w:rFonts w:ascii="Times New Roman" w:hAnsi="Times New Roman"/>
          <w:sz w:val="20"/>
        </w:rPr>
        <w:t xml:space="preserve">” means an agreement substantially in the form of Exhibit G to be executed and delivered by the Borrower, as the same may be amended, restated or modified from time to time with the prior written approval of the Administrative Agent.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240" w:after="0"/>
        <w:jc w:val="left"/>
        <w:rPr/>
      </w:pPr>
      <w:r>
        <w:rPr/>
        <w:t>“</w:t>
      </w:r>
      <w:r>
        <w:rPr>
          <w:rFonts w:ascii="Times New Roman" w:hAnsi="Times New Roman"/>
          <w:b/>
          <w:sz w:val="20"/>
        </w:rPr>
        <w:t>EBITDA</w:t>
      </w:r>
      <w:r>
        <w:rPr>
          <w:rFonts w:ascii="Times New Roman" w:hAnsi="Times New Roman"/>
          <w:sz w:val="20"/>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hAnsi="Times New Roman"/>
          <w:sz w:val="20"/>
          <w:u w:val="single"/>
        </w:rPr>
        <w:t>plus</w:t>
      </w:r>
      <w:r>
        <w:rPr>
          <w:rFonts w:ascii="Times New Roman" w:hAnsi="Times New Roman"/>
          <w:sz w:val="20"/>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later of (a) the Agreement Date and (b) the date on which all of the conditions precedent set forth in Section 5.1. shall have been fulfilled or waived by all of the Lenders.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 </w:t>
      </w:r>
    </w:p>
    <w:p>
      <w:pPr>
        <w:pStyle w:val="TextBody"/>
        <w:bidi w:val="0"/>
        <w:spacing w:before="240" w:after="0"/>
        <w:jc w:val="left"/>
        <w:rPr/>
      </w:pPr>
      <w:r>
        <w:rPr/>
        <w:t>“</w:t>
      </w:r>
      <w:r>
        <w:rPr>
          <w:rFonts w:ascii="Times New Roman" w:hAnsi="Times New Roman"/>
          <w:b/>
          <w:sz w:val="20"/>
        </w:rPr>
        <w:t>Eligible Property</w:t>
      </w:r>
      <w:r>
        <w:rPr>
          <w:rFonts w:ascii="Times New Roman" w:hAnsi="Times New Roman"/>
          <w:sz w:val="20"/>
        </w:rPr>
        <w:t xml:space="preserve">” means a Property which satisfies all of the following requirements: (a) such Property is a Retail Property, an Office Property, a Multifamily Property or Hotel Property; (b) neither such Property, nor any interest of the Borrower Representative, any Subsidiary or any Unconsolidated Affiliate therein (and if such Property is owned by a Subsidiary or Unconsolidated Affiliate, none of the Borrower Representative’s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environmental conditions or other adverse matters except for defects, deficiencies, conditions or other matters individually or collectively which are not material to the profitable operation of such Property; and (d) if (i) such Property is leased by the Borrower Representative,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Representative, such Subsidiary or Unconsolidated Affiliate under the Ground Lease or other lease.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 </w:t>
      </w:r>
    </w:p>
    <w:p>
      <w:pPr>
        <w:pStyle w:val="TextBody"/>
        <w:bidi w:val="0"/>
        <w:spacing w:before="240" w:after="0"/>
        <w:jc w:val="left"/>
        <w:rPr/>
      </w:pPr>
      <w:r>
        <w:rPr/>
        <w:t>“</w:t>
      </w:r>
      <w:r>
        <w:rPr>
          <w:rFonts w:ascii="Times New Roman" w:hAnsi="Times New Roman"/>
          <w:b/>
          <w:sz w:val="20"/>
        </w:rPr>
        <w:t>Equity Interest</w:t>
      </w:r>
      <w:r>
        <w:rPr>
          <w:rFonts w:ascii="Times New Roman" w:hAnsi="Times New Roman"/>
          <w:sz w:val="20"/>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w:t>
      </w:r>
    </w:p>
    <w:p>
      <w:pPr>
        <w:pStyle w:val="TextBody"/>
        <w:bidi w:val="0"/>
        <w:spacing w:before="240" w:after="0"/>
        <w:jc w:val="left"/>
        <w:rPr/>
      </w:pPr>
      <w:r>
        <w:rPr/>
        <w:t>“</w:t>
      </w:r>
      <w:r>
        <w:rPr>
          <w:rFonts w:ascii="Times New Roman" w:hAnsi="Times New Roman"/>
          <w:b/>
          <w:sz w:val="20"/>
        </w:rPr>
        <w:t>Equity Issuance</w:t>
      </w:r>
      <w:r>
        <w:rPr>
          <w:rFonts w:ascii="Times New Roman" w:hAnsi="Times New Roman"/>
          <w:sz w:val="20"/>
        </w:rPr>
        <w:t xml:space="preserve">”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 </w:t>
      </w:r>
    </w:p>
    <w:p>
      <w:pPr>
        <w:pStyle w:val="TextBody"/>
        <w:bidi w:val="0"/>
        <w:spacing w:before="36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in effect from time to time.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 </w:t>
      </w:r>
    </w:p>
    <w:p>
      <w:pPr>
        <w:pStyle w:val="TextBody"/>
        <w:bidi w:val="0"/>
        <w:spacing w:before="240" w:after="0"/>
        <w:jc w:val="left"/>
        <w:rPr/>
      </w:pPr>
      <w:r>
        <w:rPr/>
        <w:t>“</w:t>
      </w:r>
      <w:r>
        <w:rPr>
          <w:rFonts w:ascii="Times New Roman" w:hAnsi="Times New Roman"/>
          <w:sz w:val="20"/>
        </w:rPr>
        <w:t xml:space="preserve">ERISA Group”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 </w:t>
      </w:r>
    </w:p>
    <w:p>
      <w:pPr>
        <w:pStyle w:val="TextBody"/>
        <w:bidi w:val="0"/>
        <w:spacing w:before="240" w:after="0"/>
        <w:jc w:val="left"/>
        <w:rPr/>
      </w:pPr>
      <w:r>
        <w:rPr/>
        <w:t>“</w:t>
      </w:r>
      <w:r>
        <w:rPr>
          <w:rFonts w:ascii="Times New Roman" w:hAnsi="Times New Roman"/>
          <w:b/>
          <w:sz w:val="20"/>
        </w:rPr>
        <w:t>Erroneous Payment</w:t>
      </w:r>
      <w:r>
        <w:rPr>
          <w:rFonts w:ascii="Times New Roman" w:hAnsi="Times New Roman"/>
          <w:sz w:val="20"/>
        </w:rPr>
        <w:t xml:space="preserve">” has the meaning given that term in Section 11.10.(a). </w:t>
      </w:r>
    </w:p>
    <w:p>
      <w:pPr>
        <w:pStyle w:val="TextBody"/>
        <w:bidi w:val="0"/>
        <w:spacing w:before="240" w:after="0"/>
        <w:jc w:val="left"/>
        <w:rPr/>
      </w:pPr>
      <w:r>
        <w:rPr/>
        <w:t>“</w:t>
      </w:r>
      <w:r>
        <w:rPr>
          <w:rFonts w:ascii="Times New Roman" w:hAnsi="Times New Roman"/>
          <w:b/>
          <w:sz w:val="20"/>
        </w:rPr>
        <w:t>Erroneous Payment Deficiency Assignment</w:t>
      </w:r>
      <w:r>
        <w:rPr>
          <w:rFonts w:ascii="Times New Roman" w:hAnsi="Times New Roman"/>
          <w:sz w:val="20"/>
        </w:rPr>
        <w:t xml:space="preserve">” has the meaning given that term in Section 11.10(d). </w:t>
      </w:r>
    </w:p>
    <w:p>
      <w:pPr>
        <w:pStyle w:val="TextBody"/>
        <w:bidi w:val="0"/>
        <w:spacing w:before="240" w:after="0"/>
        <w:jc w:val="left"/>
        <w:rPr/>
      </w:pPr>
      <w:r>
        <w:rPr/>
        <w:t>“</w:t>
      </w:r>
      <w:r>
        <w:rPr>
          <w:rFonts w:ascii="Times New Roman" w:hAnsi="Times New Roman"/>
          <w:b/>
          <w:sz w:val="20"/>
        </w:rPr>
        <w:t>Erroneous Payment Impacted Class</w:t>
      </w:r>
      <w:r>
        <w:rPr>
          <w:rFonts w:ascii="Times New Roman" w:hAnsi="Times New Roman"/>
          <w:sz w:val="20"/>
        </w:rPr>
        <w:t xml:space="preserve">” has the meaning given that term in Section 11.10(d). </w:t>
      </w:r>
    </w:p>
    <w:p>
      <w:pPr>
        <w:pStyle w:val="TextBody"/>
        <w:bidi w:val="0"/>
        <w:spacing w:before="240" w:after="0"/>
        <w:jc w:val="left"/>
        <w:rPr/>
      </w:pPr>
      <w:r>
        <w:rPr/>
        <w:t>“</w:t>
      </w:r>
      <w:r>
        <w:rPr>
          <w:rFonts w:ascii="Times New Roman" w:hAnsi="Times New Roman"/>
          <w:b/>
          <w:sz w:val="20"/>
        </w:rPr>
        <w:t>Erroneous Payment Return Deficiency</w:t>
      </w:r>
      <w:r>
        <w:rPr>
          <w:rFonts w:ascii="Times New Roman" w:hAnsi="Times New Roman"/>
          <w:sz w:val="20"/>
        </w:rPr>
        <w:t xml:space="preserve">” has the meaning given that term in Section 11.10(d).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means any of the events specified in Section 10.1., provided that any requirement for notice or lapse of time or any other condition has been satisfied.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means any Subsidiary (a) </w:t>
      </w:r>
      <w:r>
        <w:rPr>
          <w:rFonts w:ascii="Times New Roman" w:hAnsi="Times New Roman"/>
          <w:strike/>
          <w:color w:val="FF0000"/>
          <w:sz w:val="20"/>
        </w:rPr>
        <w:t>holding</w:t>
      </w:r>
      <w:r>
        <w:rPr>
          <w:rFonts w:ascii="Times New Roman" w:hAnsi="Times New Roman"/>
          <w:color w:val="0000FF"/>
          <w:sz w:val="20"/>
          <w:u w:val="single"/>
          <w:bdr w:val="double" w:sz="2" w:space="1" w:color="000000"/>
        </w:rPr>
        <w:t>that (i) holds</w:t>
      </w:r>
      <w:r>
        <w:rPr>
          <w:rFonts w:ascii="Times New Roman" w:hAnsi="Times New Roman"/>
          <w:sz w:val="20"/>
        </w:rPr>
        <w:t xml:space="preserve"> title to assets that are or are to become collateral for any Secured Indebtedness of such Subsidiary and (</w:t>
      </w:r>
      <w:r>
        <w:rPr>
          <w:rFonts w:ascii="Times New Roman" w:hAnsi="Times New Roman"/>
          <w:strike/>
          <w:color w:val="FF0000"/>
          <w:sz w:val="20"/>
        </w:rPr>
        <w:t>b</w:t>
      </w:r>
      <w:r>
        <w:rPr>
          <w:rFonts w:ascii="Times New Roman" w:hAnsi="Times New Roman"/>
          <w:color w:val="0000FF"/>
          <w:sz w:val="20"/>
          <w:u w:val="single"/>
          <w:bdr w:val="double" w:sz="2" w:space="1" w:color="000000"/>
        </w:rPr>
        <w:t>ii</w:t>
      </w:r>
      <w:r>
        <w:rPr>
          <w:rFonts w:ascii="Times New Roman" w:hAnsi="Times New Roman"/>
          <w:sz w:val="20"/>
        </w:rPr>
        <w:t xml:space="preserve">) </w:t>
      </w:r>
      <w:r>
        <w:rPr>
          <w:rFonts w:ascii="Times New Roman" w:hAnsi="Times New Roman"/>
          <w:strike/>
          <w:color w:val="FF0000"/>
          <w:sz w:val="20"/>
        </w:rPr>
        <w:t xml:space="preserve">that </w:t>
      </w:r>
      <w:r>
        <w:rPr>
          <w:rFonts w:ascii="Times New Roman" w:hAnsi="Times New Roman"/>
          <w:sz w:val="20"/>
        </w:rPr>
        <w:t>is prohibited from Guarantying the Indebtedness of any other Person pursuant to (</w:t>
      </w:r>
      <w:r>
        <w:rPr>
          <w:rFonts w:ascii="Times New Roman" w:hAnsi="Times New Roman"/>
          <w:strike/>
          <w:color w:val="FF0000"/>
          <w:sz w:val="20"/>
        </w:rPr>
        <w:t>i</w:t>
      </w:r>
      <w:r>
        <w:rPr>
          <w:rFonts w:ascii="Times New Roman" w:hAnsi="Times New Roman"/>
          <w:color w:val="0000FF"/>
          <w:sz w:val="20"/>
          <w:u w:val="single"/>
          <w:bdr w:val="double" w:sz="2" w:space="1" w:color="000000"/>
        </w:rPr>
        <w:t>x</w:t>
      </w:r>
      <w:r>
        <w:rPr>
          <w:rFonts w:ascii="Times New Roman" w:hAnsi="Times New Roman"/>
          <w:sz w:val="20"/>
        </w:rPr>
        <w:t>) any document, instrument, or agreement evidencing such Secured Indebtedness or (</w:t>
      </w:r>
      <w:r>
        <w:rPr>
          <w:rFonts w:ascii="Times New Roman" w:hAnsi="Times New Roman"/>
          <w:strike/>
          <w:color w:val="FF0000"/>
          <w:sz w:val="20"/>
        </w:rPr>
        <w:t>ii</w:t>
      </w:r>
      <w:r>
        <w:rPr>
          <w:rFonts w:ascii="Times New Roman" w:hAnsi="Times New Roman"/>
          <w:color w:val="0000FF"/>
          <w:sz w:val="20"/>
          <w:u w:val="single"/>
          <w:bdr w:val="double" w:sz="2" w:space="1" w:color="000000"/>
        </w:rPr>
        <w:t>y</w:t>
      </w:r>
      <w:r>
        <w:rPr>
          <w:rFonts w:ascii="Times New Roman" w:hAnsi="Times New Roman"/>
          <w:sz w:val="20"/>
        </w:rPr>
        <w:t xml:space="preserve">) a provision of such Subsidiary’s organizational documents </w:t>
      </w:r>
      <w:r>
        <w:rPr>
          <w:rFonts w:ascii="Times New Roman" w:hAnsi="Times New Roman"/>
          <w:color w:val="0000FF"/>
          <w:sz w:val="20"/>
          <w:u w:val="single"/>
          <w:bdr w:val="double" w:sz="2" w:space="1" w:color="000000"/>
        </w:rPr>
        <w:t xml:space="preserve">(or the organizational documents of another Subsidiary that directly or indirectly owns a majority of the Equity Interests of such Subsidiary) </w:t>
      </w:r>
      <w:r>
        <w:rPr>
          <w:rFonts w:ascii="Times New Roman" w:hAnsi="Times New Roman"/>
          <w:sz w:val="20"/>
        </w:rPr>
        <w:t xml:space="preserve">which provision was included in such </w:t>
      </w:r>
      <w:r>
        <w:rPr>
          <w:rFonts w:ascii="Times New Roman" w:hAnsi="Times New Roman"/>
          <w:strike/>
          <w:color w:val="FF0000"/>
          <w:sz w:val="20"/>
        </w:rPr>
        <w:t>Subsidiary’s</w:t>
      </w:r>
      <w:r>
        <w:rPr>
          <w:rFonts w:ascii="Times New Roman" w:hAnsi="Times New Roman"/>
          <w:sz w:val="20"/>
        </w:rPr>
        <w:t xml:space="preserve"> organizational documents as a condition to the extension of such Secured Indebtedness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(b) (i) that is not a Wholly Owned Subsidiary, (ii) that does not directly or indirectly own any asset included in the calculation of Unencumbered Asset Value and (iii) whose organizational documents (or the organizational documents of another Subsidiary that directly or indirectly owns a majority of the Equity Interests of such Subsidiary) include provisions which restrict such Subsidiary from (w) granting Liens in its assets, (x) paying distributions to, or repaying Indebtedness owed to, </w:t>
      </w:r>
      <w:r>
        <w:rPr>
          <w:rFonts w:ascii="Times New Roman" w:hAnsi="Times New Roman"/>
          <w:color w:val="008000"/>
          <w:sz w:val="20"/>
          <w:u w:val="single"/>
          <w:bdr w:val="double" w:sz="2" w:space="1" w:color="000000"/>
        </w:rPr>
        <w:t>the Borrower or any Subsidiary,</w:t>
      </w:r>
      <w:r>
        <w:rPr>
          <w:rFonts w:ascii="Times New Roman" w:hAnsi="Times New Roman"/>
          <w:sz w:val="20"/>
        </w:rPr>
        <w:t xml:space="preserve"> </w:t>
      </w:r>
      <w:r>
        <w:rPr>
          <w:rFonts w:ascii="Times New Roman" w:hAnsi="Times New Roman"/>
          <w:color w:val="0000FF"/>
          <w:sz w:val="20"/>
          <w:u w:val="single"/>
          <w:bdr w:val="double" w:sz="2" w:space="1" w:color="000000"/>
        </w:rPr>
        <w:t>(y) making loans or advances to the Borrower or any Subsidiary or (z) transferring property or assets to Borrower or any Subsidiary; provided that, in each case described in this clause (b)(iii), such provisions were not included in the applicable organizational documents for the purpose of making such Subsidiary an Excluded Subsidiary.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b/>
          <w:sz w:val="20"/>
        </w:rPr>
        <w:t>Existing Credit Agreement</w:t>
      </w:r>
      <w:r>
        <w:rPr>
          <w:rFonts w:ascii="Times New Roman" w:hAnsi="Times New Roman"/>
          <w:sz w:val="20"/>
        </w:rPr>
        <w:t xml:space="preserve">” has the meaning given to such term in the recitals hereto.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 </w:t>
      </w:r>
    </w:p>
    <w:p>
      <w:pPr>
        <w:pStyle w:val="TextBody"/>
        <w:bidi w:val="0"/>
        <w:spacing w:before="240" w:after="0"/>
        <w:jc w:val="left"/>
        <w:rPr/>
      </w:pPr>
      <w:r>
        <w:rPr/>
        <w:t>“</w:t>
      </w:r>
      <w:r>
        <w:rPr>
          <w:rFonts w:ascii="Times New Roman" w:hAnsi="Times New Roman"/>
          <w:b/>
          <w:sz w:val="20"/>
        </w:rPr>
        <w:t>Extension Request</w:t>
      </w:r>
      <w:r>
        <w:rPr>
          <w:rFonts w:ascii="Times New Roman" w:hAnsi="Times New Roman"/>
          <w:sz w:val="20"/>
        </w:rPr>
        <w:t xml:space="preserve">” has the meaning given that term in Section 2.13.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Representative evidenced by an officer’s certificate delivered to the Administrative Agent. </w:t>
      </w:r>
    </w:p>
    <w:p>
      <w:pPr>
        <w:pStyle w:val="TextBody"/>
        <w:bidi w:val="0"/>
        <w:spacing w:before="240" w:after="0"/>
        <w:jc w:val="left"/>
        <w:rPr/>
      </w:pPr>
      <w:r>
        <w:rPr/>
        <w:t>“</w:t>
      </w:r>
      <w:r>
        <w:rPr>
          <w:rFonts w:ascii="Times New Roman" w:hAnsi="Times New Roman"/>
          <w:b/>
          <w:sz w:val="20"/>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means, collectively, (i) that certain fee letter dated February 13, 2025, by and among the Borrower, PNC Bank, and PNC Capital Markets LLC, and (ii) any other fee letter entered into with respect to this Agreement by and among the Borrower and/or the Borrower Representative, as applicable and an Arranger. </w:t>
      </w:r>
    </w:p>
    <w:p>
      <w:pPr>
        <w:pStyle w:val="TextBody"/>
        <w:bidi w:val="0"/>
        <w:spacing w:before="240" w:after="0"/>
        <w:jc w:val="left"/>
        <w:rPr/>
      </w:pPr>
      <w:r>
        <w:rPr/>
        <w:t>“</w:t>
      </w:r>
      <w:r>
        <w:rPr>
          <w:rFonts w:ascii="Times New Roman" w:hAnsi="Times New Roman"/>
          <w:b/>
          <w:sz w:val="20"/>
        </w:rPr>
        <w:t>Fees</w:t>
      </w:r>
      <w:r>
        <w:rPr>
          <w:rFonts w:ascii="Times New Roman" w:hAnsi="Times New Roman"/>
          <w:sz w:val="20"/>
        </w:rPr>
        <w:t xml:space="preserve">” means the fees and commissions provided for or referred to in Section 3.5. and any other fees payable by the Borrower hereunder, under any other Loan Document or under the Fee Letter.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Fitch</w:t>
      </w:r>
      <w:r>
        <w:rPr>
          <w:rFonts w:ascii="Times New Roman" w:hAnsi="Times New Roman"/>
          <w:color w:val="0000FF"/>
          <w:sz w:val="20"/>
          <w:u w:val="single"/>
          <w:bdr w:val="double" w:sz="2" w:space="1" w:color="000000"/>
        </w:rPr>
        <w:t xml:space="preserve">” means Fitch Ratings Inc. and its successors. </w:t>
      </w:r>
    </w:p>
    <w:p>
      <w:pPr>
        <w:pStyle w:val="TextBody"/>
        <w:bidi w:val="0"/>
        <w:spacing w:before="240" w:after="0"/>
        <w:jc w:val="left"/>
        <w:rPr/>
      </w:pPr>
      <w:r>
        <w:rPr/>
        <w:t>“</w:t>
      </w:r>
      <w:r>
        <w:rPr>
          <w:rFonts w:ascii="Times New Roman" w:hAnsi="Times New Roman"/>
          <w:b/>
          <w:sz w:val="20"/>
        </w:rPr>
        <w:t>Fixed Charges</w:t>
      </w:r>
      <w:r>
        <w:rPr>
          <w:rFonts w:ascii="Times New Roman" w:hAnsi="Times New Roman"/>
          <w:sz w:val="20"/>
        </w:rPr>
        <w:t xml:space="preserve">” means, for any period, the sum of (a) Interest Expense of the Borrower Representative and its Subsidiaries determined on a consolidated basis and of Unconsolidated Affiliates for such period, (b) all regularly scheduled principal payments made with respect to Indebtedness of the Borrower Representative, its Subsidiaries and its Unconsolidated Affiliates during such period, other than any balloon, bullet or similar principal payment which repays such Indebtedness in full, and (c) all Preferred Dividends paid by the Borrower Representative, its Subsidiaries and Unconsolidated Affiliates during such period (other than such payments to the Borrower Representative and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Borrower Representative’s Ownership Share of the amounts (other than inter-company amounts) set forth in clauses (a) through (c) above with respect to Unconsolidated Affiliates of the Borrower Representative shall be included in determinations of Fixed Charges. </w:t>
      </w:r>
    </w:p>
    <w:p>
      <w:pPr>
        <w:pStyle w:val="TextBody"/>
        <w:bidi w:val="0"/>
        <w:spacing w:before="240" w:after="0"/>
        <w:jc w:val="left"/>
        <w:rPr/>
      </w:pPr>
      <w:r>
        <w:rPr/>
        <w:t>“</w:t>
      </w:r>
      <w:r>
        <w:rPr>
          <w:rFonts w:ascii="Times New Roman" w:hAnsi="Times New Roman"/>
          <w:b/>
          <w:sz w:val="20"/>
        </w:rPr>
        <w:t>FRIT San Jose</w:t>
      </w:r>
      <w:r>
        <w:rPr>
          <w:rFonts w:ascii="Times New Roman" w:hAnsi="Times New Roman"/>
          <w:sz w:val="20"/>
        </w:rPr>
        <w:t xml:space="preserve">” has the meaning given to such term in the introductory paragraph hereof. </w:t>
      </w:r>
    </w:p>
    <w:p>
      <w:pPr>
        <w:pStyle w:val="TextBody"/>
        <w:bidi w:val="0"/>
        <w:spacing w:before="240" w:after="0"/>
        <w:jc w:val="left"/>
        <w:rPr/>
      </w:pPr>
      <w:r>
        <w:rPr/>
        <w:t>“</w:t>
      </w:r>
      <w:r>
        <w:rPr>
          <w:rFonts w:ascii="Times New Roman" w:hAnsi="Times New Roman"/>
          <w:b/>
          <w:sz w:val="20"/>
        </w:rPr>
        <w:t>Floor</w:t>
      </w:r>
      <w:r>
        <w:rPr>
          <w:rFonts w:ascii="Times New Roman" w:hAnsi="Times New Roman"/>
          <w:sz w:val="20"/>
        </w:rPr>
        <w:t xml:space="preserve">” means a rate of interest equal to 0.00%. </w:t>
      </w:r>
    </w:p>
    <w:p>
      <w:pPr>
        <w:pStyle w:val="TextBody"/>
        <w:bidi w:val="0"/>
        <w:spacing w:before="240" w:after="0"/>
        <w:jc w:val="left"/>
        <w:rPr/>
      </w:pPr>
      <w:r>
        <w:rPr/>
        <w:t>“</w:t>
      </w:r>
      <w:r>
        <w:rPr>
          <w:rFonts w:ascii="Times New Roman" w:hAnsi="Times New Roman"/>
          <w:b/>
          <w:sz w:val="20"/>
        </w:rPr>
        <w:t>Foreign Lender</w:t>
      </w:r>
      <w:r>
        <w:rPr>
          <w:rFonts w:ascii="Times New Roman" w:hAnsi="Times New Roman"/>
          <w:sz w:val="20"/>
        </w:rPr>
        <w:t xml:space="preserve">” means (a) if the Borrower is a U.S. Person, a Lender that is not a U.S. Person, and (b) if the Borrower is not a U.S. Person, a Lender that is resident or organized under the laws of a jurisdiction other than that in which the Borrower is resident for tax purposes. </w:t>
      </w:r>
    </w:p>
    <w:p>
      <w:pPr>
        <w:pStyle w:val="TextBody"/>
        <w:bidi w:val="0"/>
        <w:spacing w:before="240" w:after="0"/>
        <w:jc w:val="left"/>
        <w:rPr/>
      </w:pPr>
      <w:r>
        <w:rPr/>
        <w:t>“</w:t>
      </w:r>
      <w:r>
        <w:rPr>
          <w:rFonts w:ascii="Times New Roman" w:hAnsi="Times New Roman"/>
          <w:b/>
          <w:sz w:val="20"/>
        </w:rPr>
        <w:t>Franchise Agreement</w:t>
      </w:r>
      <w:r>
        <w:rPr>
          <w:rFonts w:ascii="Times New Roman" w:hAnsi="Times New Roman"/>
          <w:sz w:val="20"/>
        </w:rPr>
        <w:t xml:space="preserve">” means an agreement permitting the use of the applicable hotel brand name, hotel system trademarks, trade names and any related rights in connection with the ownership or operation of a Property. </w:t>
      </w:r>
    </w:p>
    <w:p>
      <w:pPr>
        <w:pStyle w:val="TextBody"/>
        <w:bidi w:val="0"/>
        <w:spacing w:before="240" w:after="0"/>
        <w:jc w:val="left"/>
        <w:rPr/>
      </w:pPr>
      <w:r>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Funds From Operations</w:t>
      </w:r>
      <w:r>
        <w:rPr>
          <w:rFonts w:ascii="Times New Roman" w:hAnsi="Times New Roman"/>
          <w:sz w:val="20"/>
        </w:rPr>
        <w:t xml:space="preserve">”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Partner</w:t>
      </w:r>
      <w:r>
        <w:rPr>
          <w:rFonts w:ascii="Times New Roman" w:hAnsi="Times New Roman"/>
          <w:sz w:val="20"/>
        </w:rPr>
        <w:t xml:space="preserve">” means Federal Realty GP LLC, a limited liability company formed under the laws of the State of Delaware.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means all authorizations, consents, approvals, licenses and exemptions of, registrations and filings with, and reports to, all Governmental Authorities.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 </w:t>
      </w:r>
    </w:p>
    <w:p>
      <w:pPr>
        <w:pStyle w:val="TextBody"/>
        <w:bidi w:val="0"/>
        <w:spacing w:before="240" w:after="0"/>
        <w:jc w:val="left"/>
        <w:rPr/>
      </w:pPr>
      <w:r>
        <w:rPr/>
        <w:t>“</w:t>
      </w:r>
      <w:r>
        <w:rPr>
          <w:rFonts w:ascii="Times New Roman" w:hAnsi="Times New Roman"/>
          <w:b/>
          <w:sz w:val="20"/>
        </w:rPr>
        <w:t>Ground Lease</w:t>
      </w:r>
      <w:r>
        <w:rPr>
          <w:rFonts w:ascii="Times New Roman" w:hAnsi="Times New Roman"/>
          <w:sz w:val="20"/>
        </w:rPr>
        <w:t xml:space="preserve">”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means any Person that guarantees all or a portion of the Obligations including, at all times after delivery of the Parent/General Partner Guaranty (if ever), the Parent and, at all times after delivery of the Parent/General Partner Guaranty (if ever), the General Partner.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w:t>
      </w:r>
      <w:r>
        <w:rPr>
          <w:rFonts w:ascii="Times New Roman" w:hAnsi="Times New Roman"/>
          <w:b/>
          <w:sz w:val="20"/>
        </w:rPr>
        <w:t>Guaranteed</w:t>
      </w:r>
      <w:r>
        <w:rPr>
          <w:rFonts w:ascii="Times New Roman" w:hAnsi="Times New Roman"/>
          <w:sz w:val="20"/>
        </w:rPr>
        <w:t>”, “</w:t>
      </w:r>
      <w:r>
        <w:rPr>
          <w:rFonts w:ascii="Times New Roman" w:hAnsi="Times New Roman"/>
          <w:b/>
          <w:sz w:val="20"/>
        </w:rPr>
        <w:t>Guarantying</w:t>
      </w:r>
      <w:r>
        <w:rPr>
          <w:rFonts w:ascii="Times New Roman" w:hAnsi="Times New Roman"/>
          <w:sz w:val="20"/>
        </w:rPr>
        <w:t>” or to “</w:t>
      </w:r>
      <w:r>
        <w:rPr>
          <w:rFonts w:ascii="Times New Roman" w:hAnsi="Times New Roman"/>
          <w:b/>
          <w:sz w:val="20"/>
        </w:rPr>
        <w:t>Guarantee</w:t>
      </w:r>
      <w:r>
        <w:rPr>
          <w:rFonts w:ascii="Times New Roman" w:hAnsi="Times New Roman"/>
          <w:sz w:val="20"/>
        </w:rPr>
        <w:t xml:space="preserv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 </w:t>
      </w:r>
    </w:p>
    <w:p>
      <w:pPr>
        <w:pStyle w:val="TextBody"/>
        <w:bidi w:val="0"/>
        <w:spacing w:before="240" w:after="0"/>
        <w:jc w:val="left"/>
        <w:rPr/>
      </w:pPr>
      <w:r>
        <w:rPr/>
        <w:t>“</w:t>
      </w:r>
      <w:r>
        <w:rPr>
          <w:rFonts w:ascii="Times New Roman" w:hAnsi="Times New Roman"/>
          <w:b/>
          <w:sz w:val="20"/>
        </w:rPr>
        <w:t>Hotel Property</w:t>
      </w:r>
      <w:r>
        <w:rPr>
          <w:rFonts w:ascii="Times New Roman" w:hAnsi="Times New Roman"/>
          <w:sz w:val="20"/>
        </w:rPr>
        <w:t xml:space="preserve">” means any Property, the improvements on which are operated as a hotel, inn or the providing of lodging or leisure services, together with any incidental improvements on such Property operated in connection with such hotel, inn, lodging or leisure facility.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given that term in Section 6.1.(s). </w:t>
      </w:r>
    </w:p>
    <w:p>
      <w:pPr>
        <w:pStyle w:val="TextBody"/>
        <w:bidi w:val="0"/>
        <w:spacing w:before="240" w:after="0"/>
        <w:jc w:val="left"/>
        <w:rPr/>
      </w:pPr>
      <w:r>
        <w:rPr/>
        <w:t>“</w:t>
      </w:r>
      <w:r>
        <w:rPr>
          <w:rFonts w:ascii="Times New Roman" w:hAnsi="Times New Roman"/>
          <w:b/>
          <w:sz w:val="20"/>
        </w:rPr>
        <w:t>Interest Expense</w:t>
      </w:r>
      <w:r>
        <w:rPr>
          <w:rFonts w:ascii="Times New Roman" w:hAnsi="Times New Roman"/>
          <w:sz w:val="20"/>
        </w:rPr>
        <w:t xml:space="preserve">” means, for any period, without duplication, (a) total interest expense of the Borrower Representative and its Subsidiaries determined on a consolidated basis in accordance with GAAP for such period, including capitalized interest not funded under a construction loan on a consolidated basis, plus (b) the Borrower Representative’s Ownership Share of total interest expense of Unconsolidated Affiliates determined in accordance with GAAP for such period, including capitalized interest not funded under a construction loan.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if any Interest Period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Investment</w:t>
      </w:r>
      <w:r>
        <w:rPr>
          <w:rFonts w:ascii="Times New Roman" w:hAnsi="Times New Roman"/>
          <w:sz w:val="20"/>
        </w:rPr>
        <w:t xml:space="preserve">”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Credit Rating of BBB-/Baa3 (or the equivalent) or higher from a Rating Agency.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 </w:t>
      </w:r>
    </w:p>
    <w:p>
      <w:pPr>
        <w:pStyle w:val="TextBody"/>
        <w:bidi w:val="0"/>
        <w:spacing w:before="240" w:after="0"/>
        <w:jc w:val="left"/>
        <w:rPr/>
      </w:pPr>
      <w:r>
        <w:rPr/>
        <w:t>“</w:t>
      </w:r>
      <w:r>
        <w:rPr>
          <w:rFonts w:ascii="Times New Roman" w:hAnsi="Times New Roman"/>
          <w:b/>
          <w:sz w:val="20"/>
        </w:rPr>
        <w:t>Lending Office</w:t>
      </w:r>
      <w:r>
        <w:rPr>
          <w:rFonts w:ascii="Times New Roman" w:hAnsi="Times New Roman"/>
          <w:sz w:val="20"/>
        </w:rPr>
        <w:t xml:space="preserve">”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 </w:t>
      </w:r>
    </w:p>
    <w:p>
      <w:pPr>
        <w:pStyle w:val="TextBody"/>
        <w:bidi w:val="0"/>
        <w:spacing w:before="240" w:after="0"/>
        <w:jc w:val="left"/>
        <w:rPr/>
      </w:pPr>
      <w:r>
        <w:rPr/>
        <w:t>“</w:t>
      </w:r>
      <w:r>
        <w:rPr>
          <w:rFonts w:ascii="Times New Roman" w:hAnsi="Times New Roman"/>
          <w:b/>
          <w:sz w:val="20"/>
        </w:rPr>
        <w:t>Level</w:t>
      </w:r>
      <w:r>
        <w:rPr>
          <w:rFonts w:ascii="Times New Roman" w:hAnsi="Times New Roman"/>
          <w:sz w:val="20"/>
        </w:rPr>
        <w:t xml:space="preserve">” has the meaning given that term in the definition of the term “Applicable Margin.”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w:t>
      </w:r>
    </w:p>
    <w:p>
      <w:pPr>
        <w:pStyle w:val="TextBody"/>
        <w:bidi w:val="0"/>
        <w:spacing w:before="360" w:after="0"/>
        <w:jc w:val="left"/>
        <w:rPr/>
      </w:pPr>
      <w:r>
        <w:rPr/>
        <w:t>“</w:t>
      </w:r>
      <w:r>
        <w:rPr>
          <w:rFonts w:ascii="Times New Roman" w:hAnsi="Times New Roman"/>
          <w:b/>
          <w:sz w:val="20"/>
        </w:rPr>
        <w:t>Loan</w:t>
      </w:r>
      <w:r>
        <w:rPr>
          <w:rFonts w:ascii="Times New Roman" w:hAnsi="Times New Roman"/>
          <w:sz w:val="20"/>
        </w:rPr>
        <w:t xml:space="preserve">” means a Term A Loan, a Term B Loan or an Additional Loan made pursuant to Section 2.14. </w:t>
      </w:r>
    </w:p>
    <w:p>
      <w:pPr>
        <w:pStyle w:val="TextBody"/>
        <w:bidi w:val="0"/>
        <w:spacing w:before="240" w:after="0"/>
        <w:jc w:val="left"/>
        <w:rPr/>
      </w:pPr>
      <w:r>
        <w:rPr/>
        <w:t>“</w:t>
      </w:r>
      <w:r>
        <w:rPr>
          <w:rFonts w:ascii="Times New Roman" w:hAnsi="Times New Roman"/>
          <w:b/>
          <w:sz w:val="20"/>
        </w:rPr>
        <w:t>Loan Document</w:t>
      </w:r>
      <w:r>
        <w:rPr>
          <w:rFonts w:ascii="Times New Roman" w:hAnsi="Times New Roman"/>
          <w:sz w:val="20"/>
        </w:rPr>
        <w:t xml:space="preserve">” means this Agreement, each Note, the Guaranty and each other document or instrument now or hereafter executed and delivered by a Loan Party in connection with, pursuant to or relating to this Agreement (other than the Fee Letter and any Specified Derivatives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Party</w:t>
      </w:r>
      <w:r>
        <w:rPr>
          <w:rFonts w:ascii="Times New Roman" w:hAnsi="Times New Roman"/>
          <w:sz w:val="20"/>
        </w:rPr>
        <w:t xml:space="preserve">” means each of the Borrower and each other Person who guarantees all or a portion of the Obligations. Schedule 1.1.(a) sets forth the Loan Parties in addition to the Borrower as of the Agreement Date. </w:t>
      </w:r>
    </w:p>
    <w:p>
      <w:pPr>
        <w:pStyle w:val="TextBody"/>
        <w:bidi w:val="0"/>
        <w:spacing w:before="240" w:after="0"/>
        <w:jc w:val="left"/>
        <w:rPr/>
      </w:pPr>
      <w:r>
        <w:rPr/>
        <w:t>“</w:t>
      </w:r>
      <w:r>
        <w:rPr>
          <w:rFonts w:ascii="Times New Roman" w:hAnsi="Times New Roman"/>
          <w:b/>
          <w:sz w:val="20"/>
        </w:rPr>
        <w:t>Major Default</w:t>
      </w:r>
      <w:r>
        <w:rPr>
          <w:rFonts w:ascii="Times New Roman" w:hAnsi="Times New Roman"/>
          <w:sz w:val="20"/>
        </w:rPr>
        <w:t xml:space="preserve">” means a Default resulting from the occurrence of any of the events described in Section 10.1.(a), Section 10.1.(e) or Section 10.1.(f). </w:t>
      </w:r>
    </w:p>
    <w:p>
      <w:pPr>
        <w:pStyle w:val="TextBody"/>
        <w:bidi w:val="0"/>
        <w:spacing w:before="240" w:after="0"/>
        <w:jc w:val="left"/>
        <w:rPr/>
      </w:pPr>
      <w:r>
        <w:rPr/>
        <w:t>“</w:t>
      </w:r>
      <w:r>
        <w:rPr>
          <w:rFonts w:ascii="Times New Roman" w:hAnsi="Times New Roman"/>
          <w:b/>
          <w:sz w:val="20"/>
        </w:rPr>
        <w:t>Mandatorily Redeemable Stock</w:t>
      </w:r>
      <w:r>
        <w:rPr>
          <w:rFonts w:ascii="Times New Roman" w:hAnsi="Times New Roman"/>
          <w:sz w:val="20"/>
        </w:rPr>
        <w:t xml:space="preserve">”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Representative and in “downREIT” Subsidiaries of the Borrower Representative) which is redeemable in exchange for common stock or other equivalent common Equity Interests without the payment of any cash or other consideration); in each case, on or prior to the Maturity Date. For purposes of this definition, Equity Interests in any of the following Subsidiaries which the Borrower Representative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 </w:t>
      </w:r>
    </w:p>
    <w:p>
      <w:pPr>
        <w:pStyle w:val="TextBody"/>
        <w:bidi w:val="0"/>
        <w:spacing w:before="240" w:after="0"/>
        <w:jc w:val="left"/>
        <w:rPr/>
      </w:pPr>
      <w:r>
        <w:rPr/>
        <w:t>“</w:t>
      </w:r>
      <w:r>
        <w:rPr>
          <w:rFonts w:ascii="Times New Roman" w:hAnsi="Times New Roman"/>
          <w:b/>
          <w:sz w:val="20"/>
        </w:rPr>
        <w:t>Material Acquisition</w:t>
      </w:r>
      <w:r>
        <w:rPr>
          <w:rFonts w:ascii="Times New Roman" w:hAnsi="Times New Roman"/>
          <w:sz w:val="20"/>
        </w:rPr>
        <w:t xml:space="preserve">” means any acquisition by the Borrower Representative or any Subsidiary in which the GAAP book value of the assets acquired exceed 10.0% of the consolidated total assets of the Borrower Representative and its Subsidiaries determined under GAAP as of the last day of the most recently ending fiscal quarter of the Borrower Representative for which financial statements are publicly available.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materially adverse effect on (a) the business, assets, liabilities, financial condition or results of operations of the Borrower Representative and/or the Parent and their respective Subsidiaries taken as a whole, (b) the ability of the Borrower Representative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 </w:t>
      </w:r>
    </w:p>
    <w:p>
      <w:pPr>
        <w:pStyle w:val="TextBody"/>
        <w:bidi w:val="0"/>
        <w:spacing w:before="240" w:after="0"/>
        <w:jc w:val="left"/>
        <w:rPr/>
      </w:pPr>
      <w:r>
        <w:rPr>
          <w:strike/>
          <w:color w:val="FF0000"/>
        </w:rPr>
        <w:t>“</w:t>
      </w:r>
      <w:r>
        <w:rPr>
          <w:rFonts w:ascii="Times New Roman" w:hAnsi="Times New Roman"/>
          <w:b/>
          <w:strike/>
          <w:color w:val="FF0000"/>
          <w:sz w:val="20"/>
        </w:rPr>
        <w:t>Material Contract</w:t>
      </w:r>
      <w:r>
        <w:rPr>
          <w:rFonts w:ascii="Times New Roman" w:hAnsi="Times New Roman"/>
          <w:strike/>
          <w:color w:val="FF0000"/>
          <w:sz w:val="20"/>
        </w:rPr>
        <w:t>” means any contract or other arrangement (other than Loan Documents, the Fee Letter and Specified Derivatives Contracts), whether written or oral, to which the Borrower Representative, any Subsidiary or any other Loan Party is a party as to which the breach, nonperformance, cancellation or failure to renew (if renewable by its terms) by any party thereto could reasonably be expected to have a Material Adverse Effect.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has the meaning given that term in Section 10.1.(d).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means any Subsidiary to which more than 2% of Adjusted Total Asset Value is attributable on an individual basis.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March 20, 2028, or such later date to which the Maturity Date may be extended pursuant to Section 2.13.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Mixed-Use Project</w:t>
      </w:r>
      <w:r>
        <w:rPr>
          <w:rFonts w:ascii="Times New Roman" w:hAnsi="Times New Roman"/>
          <w:sz w:val="20"/>
        </w:rPr>
        <w:t xml:space="preserve">” means any mixed-use project that includes or will include a Retail Property and will also include a Multifamily Property and/or an Office Property.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means a mortgage, deed of trust, deed to secure debt or similar security instrument made by a Person owning an interest in real estate granting a Lien on such interest in real estate as security for the payment of Indebtedness. </w:t>
      </w:r>
    </w:p>
    <w:p>
      <w:pPr>
        <w:pStyle w:val="TextBody"/>
        <w:bidi w:val="0"/>
        <w:spacing w:before="240" w:after="0"/>
        <w:jc w:val="left"/>
        <w:rPr/>
      </w:pPr>
      <w:r>
        <w:rPr/>
        <w:t>“</w:t>
      </w:r>
      <w:r>
        <w:rPr>
          <w:rFonts w:ascii="Times New Roman" w:hAnsi="Times New Roman"/>
          <w:b/>
          <w:sz w:val="20"/>
        </w:rPr>
        <w:t>Mortgage Receivable</w:t>
      </w:r>
      <w:r>
        <w:rPr>
          <w:rFonts w:ascii="Times New Roman" w:hAnsi="Times New Roman"/>
          <w:sz w:val="20"/>
        </w:rPr>
        <w:t xml:space="preserve">” means a promissory note or similarly structured investment secured by a Mortgage of which the Borrower Representative, its Subsidiaries or its Unconsolidated Affiliates is the holder and retains the rights of collection of all payments thereunder including, without limitation, mezzanine debt and preferred equity investments secured by individual or portfolio properties.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 </w:t>
      </w:r>
    </w:p>
    <w:p>
      <w:pPr>
        <w:pStyle w:val="TextBody"/>
        <w:bidi w:val="0"/>
        <w:spacing w:before="240" w:after="0"/>
        <w:jc w:val="left"/>
        <w:rPr/>
      </w:pPr>
      <w:r>
        <w:rPr/>
        <w:t>“</w:t>
      </w:r>
      <w:r>
        <w:rPr>
          <w:rFonts w:ascii="Times New Roman" w:hAnsi="Times New Roman"/>
          <w:b/>
          <w:sz w:val="20"/>
        </w:rPr>
        <w:t>Multifamily Property</w:t>
      </w:r>
      <w:r>
        <w:rPr>
          <w:rFonts w:ascii="Times New Roman" w:hAnsi="Times New Roman"/>
          <w:sz w:val="20"/>
        </w:rPr>
        <w:t xml:space="preserve">” means a Property improved with, and from which at least 80% of the rental income is derived from, residential apartments, which may include a Property that is a part of a Mixed-Use Project. </w:t>
      </w:r>
    </w:p>
    <w:p>
      <w:pPr>
        <w:pStyle w:val="TextBody"/>
        <w:bidi w:val="0"/>
        <w:spacing w:before="240" w:after="0"/>
        <w:jc w:val="left"/>
        <w:rPr/>
      </w:pPr>
      <w:r>
        <w:rPr/>
        <w:t>“</w:t>
      </w:r>
      <w:r>
        <w:rPr>
          <w:rFonts w:ascii="Times New Roman" w:hAnsi="Times New Roman"/>
          <w:b/>
          <w:sz w:val="20"/>
        </w:rPr>
        <w:t>Negative Pledge</w:t>
      </w:r>
      <w:r>
        <w:rPr>
          <w:rFonts w:ascii="Times New Roman" w:hAnsi="Times New Roman"/>
          <w:sz w:val="20"/>
        </w:rPr>
        <w:t xml:space="preserv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 </w:t>
      </w:r>
    </w:p>
    <w:p>
      <w:pPr>
        <w:pStyle w:val="TextBody"/>
        <w:bidi w:val="0"/>
        <w:spacing w:before="240" w:after="0"/>
        <w:jc w:val="left"/>
        <w:rPr/>
      </w:pPr>
      <w:r>
        <w:rPr/>
        <w:t>“</w:t>
      </w:r>
      <w:r>
        <w:rPr>
          <w:rFonts w:ascii="Times New Roman" w:hAnsi="Times New Roman"/>
          <w:b/>
          <w:sz w:val="20"/>
        </w:rPr>
        <w:t>Net Operating Income</w:t>
      </w:r>
      <w:r>
        <w:rPr>
          <w:rFonts w:ascii="Times New Roman" w:hAnsi="Times New Roman"/>
          <w:sz w:val="20"/>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hAnsi="Times New Roman"/>
          <w:sz w:val="20"/>
          <w:u w:val="single"/>
        </w:rPr>
        <w:t>minus</w:t>
      </w:r>
      <w:r>
        <w:rPr>
          <w:rFonts w:ascii="Times New Roman" w:hAnsi="Times New Roman"/>
          <w:sz w:val="20"/>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Representative, its Subsidiaries or, to the extent applicable its Unconsolidated Affiliates and any property management fees)</w:t>
      </w:r>
      <w:r>
        <w:rPr>
          <w:rFonts w:ascii="Times New Roman" w:hAnsi="Times New Roman"/>
          <w:sz w:val="20"/>
          <w:u w:val="single"/>
        </w:rPr>
        <w:t xml:space="preserve"> minus</w:t>
      </w:r>
      <w:r>
        <w:rPr>
          <w:rFonts w:ascii="Times New Roman" w:hAnsi="Times New Roman"/>
          <w:sz w:val="20"/>
        </w:rPr>
        <w:t xml:space="preserve"> (c) the Capital Reserves for such Property as of the end of such period </w:t>
      </w:r>
      <w:r>
        <w:rPr>
          <w:rFonts w:ascii="Times New Roman" w:hAnsi="Times New Roman"/>
          <w:sz w:val="20"/>
          <w:u w:val="single"/>
        </w:rPr>
        <w:t>minus</w:t>
      </w:r>
      <w:r>
        <w:rPr>
          <w:rFonts w:ascii="Times New Roman" w:hAnsi="Times New Roman"/>
          <w:sz w:val="20"/>
        </w:rPr>
        <w:t xml:space="preserve"> (d) the greater of (i) the actual property management fee paid during such period with respect to such Property and (ii) an imputed management fee in the amount equal to 3.0% of the gross revenues for such Property for such period.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Non-Controlled Property</w:t>
      </w:r>
      <w:r>
        <w:rPr>
          <w:rFonts w:ascii="Times New Roman" w:hAnsi="Times New Roman"/>
          <w:sz w:val="20"/>
        </w:rPr>
        <w:t xml:space="preserve">” means an Eligible Property owned in fee simple (or leased under a Ground Lease) by (a) an Unconsolidated Affiliate or (b) a Subsidiary that is not a Wholly Owned Subsidiary but which Property does not otherwise qualify as a Controlled Property.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xml:space="preserve">” means a Term A Loan Note or a Term B Loan Note.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means a notice substantially in the form of Exhibit C (or such other form reasonably acceptable to the Administrative Agent and containing the information required in such Exhibit) to be delivered to the Administrative Agent pursuant to Section 2.2.(d) evidencing the Borrower’s request for the borrowing of the Loans. </w:t>
      </w:r>
    </w:p>
    <w:p>
      <w:pPr>
        <w:pStyle w:val="TextBody"/>
        <w:bidi w:val="0"/>
        <w:spacing w:before="240" w:after="0"/>
        <w:jc w:val="left"/>
        <w:rPr/>
      </w:pPr>
      <w:r>
        <w:rPr/>
        <w:t>“</w:t>
      </w:r>
      <w:r>
        <w:rPr>
          <w:rFonts w:ascii="Times New Roman" w:hAnsi="Times New Roman"/>
          <w:b/>
          <w:sz w:val="20"/>
        </w:rPr>
        <w:t>Notice of Continuation</w:t>
      </w:r>
      <w:r>
        <w:rPr>
          <w:rFonts w:ascii="Times New Roman" w:hAnsi="Times New Roman"/>
          <w:sz w:val="20"/>
        </w:rPr>
        <w:t xml:space="preserve">” 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SOFR Loan.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individually and collectively: (a) the aggregate principal balance of, 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 </w:t>
      </w:r>
    </w:p>
    <w:p>
      <w:pPr>
        <w:pStyle w:val="TextBody"/>
        <w:bidi w:val="0"/>
        <w:spacing w:before="240" w:after="0"/>
        <w:jc w:val="left"/>
        <w:rPr/>
      </w:pPr>
      <w:r>
        <w:rPr/>
        <w:t>“</w:t>
      </w:r>
      <w:r>
        <w:rPr>
          <w:rFonts w:ascii="Times New Roman" w:hAnsi="Times New Roman"/>
          <w:b/>
          <w:sz w:val="20"/>
        </w:rPr>
        <w:t>Occupancy Rate</w:t>
      </w:r>
      <w:r>
        <w:rPr>
          <w:rFonts w:ascii="Times New Roman" w:hAnsi="Times New Roman"/>
          <w:sz w:val="20"/>
        </w:rPr>
        <w:t xml:space="preserve">” means, with respect to a Property at any time, the ratio, expressed as a percentage, of (a) the net rentable square footage of such Property for which the Borrower Representative, a Subsidiary or, to the extent applicable, an Unconsolidated Affiliate, is collecting rent to (b) the total square footage of such Property available for lease; </w:t>
      </w:r>
      <w:r>
        <w:rPr>
          <w:rFonts w:ascii="Times New Roman" w:hAnsi="Times New Roman"/>
          <w:i/>
          <w:sz w:val="20"/>
        </w:rPr>
        <w:t>provided</w:t>
      </w:r>
      <w:r>
        <w:rPr>
          <w:rFonts w:ascii="Times New Roman" w:hAnsi="Times New Roman"/>
          <w:sz w:val="20"/>
        </w:rPr>
        <w:t xml:space="preserve">, that, in the case of a Multifamily Property, “Occupancy Rate” means the ratio, expressed as a percentage, of (a) the net rentable units of such Multifamily Property for which the Borrower Representative, a Subsidiary or, to the extent applicable, an Unconsolidated Affiliate is collecting rent to (b) the total units of such Multifamily Property available for lease.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pPr>
      <w:r>
        <w:rPr/>
        <w:t>“</w:t>
      </w:r>
      <w:r>
        <w:rPr>
          <w:rFonts w:ascii="Times New Roman" w:hAnsi="Times New Roman"/>
          <w:b/>
          <w:sz w:val="20"/>
        </w:rPr>
        <w:t>Office Property</w:t>
      </w:r>
      <w:r>
        <w:rPr>
          <w:rFonts w:ascii="Times New Roman" w:hAnsi="Times New Roman"/>
          <w:sz w:val="20"/>
        </w:rPr>
        <w:t xml:space="preserve">” means a Property improved with a building or buildings the substantial use of which is office space, which may include a Property that is part of a Mixed-Use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Off-Balance Sheet Obligations</w:t>
      </w:r>
      <w:r>
        <w:rPr>
          <w:rFonts w:ascii="Times New Roman" w:hAnsi="Times New Roman"/>
          <w:sz w:val="20"/>
        </w:rPr>
        <w:t xml:space="preserve">” means liabilities and obligations of the Borrower Representative, any Subsidiary or any other Person in respect of “off-balance sheet arrangements” (as defined in Item 303(a)(4)(ii) of Regulation S-K promulgated under the Securities Act) which the Borrower Representative would be required to disclose in the “Management’s Discussion and Analysis of Financial Condition and Results of Operations” section of the Borrower Representative’s report on Form 10-Q or Form 10-K (or their equivalents) which the Borrower is required to file with the Securities and Exchange Commission (or any Governmental Authority substituted therefor).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Outbound Investment Rules</w:t>
      </w:r>
      <w:r>
        <w:rPr>
          <w:rFonts w:ascii="Times New Roman" w:hAnsi="Times New Roman"/>
          <w:color w:val="0000FF"/>
          <w:sz w:val="20"/>
          <w:u w:val="single"/>
          <w:bdr w:val="double" w:sz="2" w:space="1" w:color="000000"/>
        </w:rPr>
        <w:t>” means the regulations administered and enforced, together with any related public guidance issued, by the United States Treasury Department under U.S. Executive Order 14105 of August 9, 2023, or any similar law or regulation; as of the Second Amendment Date, and as codified at 31 C.F.R. § 850.101 et seq.</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Ownership Share</w:t>
      </w:r>
      <w:r>
        <w:rPr>
          <w:rFonts w:ascii="Times New Roman" w:hAnsi="Times New Roman"/>
          <w:sz w:val="20"/>
        </w:rPr>
        <w:t xml:space="preserv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means Federal Realty Investment Trust, a real estate investment trust formed under the laws of the State of Maryland</w:t>
      </w:r>
      <w:r>
        <w:rPr>
          <w:rFonts w:ascii="Times New Roman" w:hAnsi="Times New Roman"/>
          <w:strike/>
          <w:color w:val="FF0000"/>
          <w:sz w:val="20"/>
        </w:rPr>
        <w:t>, formerly known as FRT Holdco REIT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Parent/General Partner Guaranty</w:t>
      </w:r>
      <w:r>
        <w:rPr>
          <w:rFonts w:ascii="Times New Roman" w:hAnsi="Times New Roman"/>
          <w:sz w:val="20"/>
        </w:rPr>
        <w:t xml:space="preserve">” means the Parent/General Partner Guaranty delivered (if ever) pursuant to Section 7.14. and substantially in the form of Exhibit L.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given that term in Section 12.6.(d).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PATRIOT Act</w:t>
      </w:r>
      <w:r>
        <w:rPr>
          <w:rFonts w:ascii="Times New Roman" w:hAnsi="Times New Roman"/>
          <w:sz w:val="20"/>
        </w:rPr>
        <w:t xml:space="preserve">” means the USA PATRIOT Act (Title III of Pub. L. 107-56 (signed into law October 26, 2001)). </w:t>
      </w:r>
    </w:p>
    <w:p>
      <w:pPr>
        <w:pStyle w:val="TextBody"/>
        <w:bidi w:val="0"/>
        <w:spacing w:before="240" w:after="0"/>
        <w:jc w:val="left"/>
        <w:rPr/>
      </w:pPr>
      <w:r>
        <w:rPr/>
        <w:t>“</w:t>
      </w:r>
      <w:r>
        <w:rPr>
          <w:rFonts w:ascii="Times New Roman" w:hAnsi="Times New Roman"/>
          <w:b/>
          <w:sz w:val="20"/>
        </w:rPr>
        <w:t>Payment Recipient</w:t>
      </w:r>
      <w:r>
        <w:rPr>
          <w:rFonts w:ascii="Times New Roman" w:hAnsi="Times New Roman"/>
          <w:sz w:val="20"/>
        </w:rPr>
        <w:t xml:space="preserve">” has the meaning given that term in Section 11.10(a).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and any successor agency.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Periodic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pPr>
      <w:r>
        <w:rPr/>
        <w:t>“</w:t>
      </w:r>
      <w:r>
        <w:rPr>
          <w:rFonts w:ascii="Times New Roman" w:hAnsi="Times New Roman"/>
          <w:b/>
          <w:sz w:val="20"/>
        </w:rPr>
        <w:t>Permitted Bond Hedge Transaction</w:t>
      </w:r>
      <w:r>
        <w:rPr>
          <w:rFonts w:ascii="Times New Roman" w:hAnsi="Times New Roman"/>
          <w:sz w:val="20"/>
        </w:rPr>
        <w:t xml:space="preserve">” 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Representative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w:t>
      </w:r>
      <w:r>
        <w:rPr>
          <w:rFonts w:ascii="Times New Roman" w:hAnsi="Times New Roman"/>
          <w:strike/>
          <w:color w:val="FF0000"/>
          <w:sz w:val="20"/>
        </w:rPr>
        <w:t>net proceeds</w:t>
      </w:r>
      <w:r>
        <w:rPr>
          <w:rFonts w:ascii="Times New Roman" w:hAnsi="Times New Roman"/>
          <w:color w:val="0000FF"/>
          <w:sz w:val="20"/>
          <w:u w:val="single"/>
          <w:bdr w:val="double" w:sz="2" w:space="1" w:color="000000"/>
        </w:rPr>
        <w:t>Net Proceeds</w:t>
      </w:r>
      <w:r>
        <w:rPr>
          <w:rFonts w:ascii="Times New Roman" w:hAnsi="Times New Roman"/>
          <w:sz w:val="20"/>
        </w:rPr>
        <w:t xml:space="preserve"> received by the Borrower Representative from the issuance of the Convertible Notes in connection with such Permitted Bond Hedge Transactions.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Representative or a Subsidiary securing obligations owing by a Subsidiary to the Borrower Representative or a Subsidiary; (g) Liens in existence as of the Agreement Date and set forth on Part II of Schedule 6.1.(f); and (h) Liens securing Indebtedness permitted by the Loan Documents. </w:t>
      </w:r>
    </w:p>
    <w:p>
      <w:pPr>
        <w:pStyle w:val="TextBody"/>
        <w:bidi w:val="0"/>
        <w:spacing w:before="240" w:after="0"/>
        <w:jc w:val="left"/>
        <w:rPr/>
      </w:pPr>
      <w:r>
        <w:rPr/>
        <w:t>“</w:t>
      </w:r>
      <w:r>
        <w:rPr>
          <w:rFonts w:ascii="Times New Roman" w:hAnsi="Times New Roman"/>
          <w:b/>
          <w:sz w:val="20"/>
        </w:rPr>
        <w:t>Permitted Warrant Transaction</w:t>
      </w:r>
      <w:r>
        <w:rPr>
          <w:rFonts w:ascii="Times New Roman" w:hAnsi="Times New Roman"/>
          <w:sz w:val="20"/>
        </w:rPr>
        <w:t xml:space="preserve">” 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Representative or Parent of a related Permitted Bond Hedge Transaction and settled in common shares of Parent (or such other securities or property), cash or a combination thereof, and the performance by Parent of its obligations thereunder.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PNC Bank</w:t>
      </w:r>
      <w:r>
        <w:rPr>
          <w:rFonts w:ascii="Times New Roman" w:hAnsi="Times New Roman"/>
          <w:sz w:val="20"/>
        </w:rPr>
        <w:t xml:space="preserve">” means PNC Bank, National Association, and its successors and permitted assigns. </w:t>
      </w:r>
    </w:p>
    <w:p>
      <w:pPr>
        <w:pStyle w:val="TextBody"/>
        <w:bidi w:val="0"/>
        <w:spacing w:before="240" w:after="0"/>
        <w:jc w:val="left"/>
        <w:rPr/>
      </w:pPr>
      <w:r>
        <w:rPr/>
        <w:t>“</w:t>
      </w:r>
      <w:r>
        <w:rPr>
          <w:rFonts w:ascii="Times New Roman" w:hAnsi="Times New Roman"/>
          <w:b/>
          <w:sz w:val="20"/>
        </w:rPr>
        <w:t>Post-Default Rate</w:t>
      </w:r>
      <w:r>
        <w:rPr>
          <w:rFonts w:ascii="Times New Roman" w:hAnsi="Times New Roman"/>
          <w:sz w:val="20"/>
        </w:rPr>
        <w:t xml:space="preserve">” means, in respect of any principal of any Loan, the rate otherwise applicable plus an additional four percent (4.0%) per annum and with respect to any other Obligation, a rate per annum equal to the Base Rate as in effect from time to time plus the Applicable Margin for Base Rate Loans plus four percent (4.0%). </w:t>
      </w:r>
    </w:p>
    <w:p>
      <w:pPr>
        <w:pStyle w:val="TextBody"/>
        <w:bidi w:val="0"/>
        <w:spacing w:before="240" w:after="0"/>
        <w:jc w:val="left"/>
        <w:rPr/>
      </w:pPr>
      <w:r>
        <w:rPr/>
        <w:t>“</w:t>
      </w:r>
      <w:r>
        <w:rPr>
          <w:rFonts w:ascii="Times New Roman" w:hAnsi="Times New Roman"/>
          <w:b/>
          <w:sz w:val="20"/>
        </w:rPr>
        <w:t>Preferred Dividends</w:t>
      </w:r>
      <w:r>
        <w:rPr>
          <w:rFonts w:ascii="Times New Roman" w:hAnsi="Times New Roman"/>
          <w:sz w:val="20"/>
        </w:rPr>
        <w:t xml:space="preserve">” means, for any period and without duplication, all Restricted Payments paid during such period on Preferred Equity issued by the Borrower Representative, a Subsidiary or an Unconsolidated Affiliate (including any distributions by the Borrower Representative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Representative or a Subsidiary; or (c) constituting balloon, bullet or similar redemptions resulting in the redemption of Preferred Equity in full. </w:t>
      </w:r>
    </w:p>
    <w:p>
      <w:pPr>
        <w:pStyle w:val="TextBody"/>
        <w:bidi w:val="0"/>
        <w:spacing w:before="240" w:after="0"/>
        <w:jc w:val="left"/>
        <w:rPr/>
      </w:pPr>
      <w:r>
        <w:rPr/>
        <w:t>“</w:t>
      </w:r>
      <w:r>
        <w:rPr>
          <w:rFonts w:ascii="Times New Roman" w:hAnsi="Times New Roman"/>
          <w:b/>
          <w:sz w:val="20"/>
        </w:rPr>
        <w:t>Preferred Equity</w:t>
      </w:r>
      <w:r>
        <w:rPr>
          <w:rFonts w:ascii="Times New Roman" w:hAnsi="Times New Roman"/>
          <w:sz w:val="20"/>
        </w:rPr>
        <w:t xml:space="preserve">” means, with respect to any Person, Equity Interests in such Person which are entitled to preference or priority over any other Equity Interest in such Person in respect of the payment of dividends or distribution of assets upon liquidation or both.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 </w:t>
      </w:r>
    </w:p>
    <w:p>
      <w:pPr>
        <w:pStyle w:val="TextBody"/>
        <w:bidi w:val="0"/>
        <w:spacing w:before="240" w:after="0"/>
        <w:jc w:val="left"/>
        <w:rPr/>
      </w:pPr>
      <w:r>
        <w:rPr/>
        <w:t>“</w:t>
      </w:r>
      <w:r>
        <w:rPr>
          <w:rFonts w:ascii="Times New Roman" w:hAnsi="Times New Roman"/>
          <w:b/>
          <w:sz w:val="20"/>
        </w:rPr>
        <w:t>Principal Office</w:t>
      </w:r>
      <w:r>
        <w:rPr>
          <w:rFonts w:ascii="Times New Roman" w:hAnsi="Times New Roman"/>
          <w:sz w:val="20"/>
        </w:rPr>
        <w:t xml:space="preserve">” means the main banking office of the Administrative Agent located in Pittsburgh, Pennsylvania, or such other office designated by the Administrative Agent.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any parcel of real property owned or leased (in whole or in part) or operated by the Borrower Representative, any Subsidiary or any Unconsolidated Affiliate of the Borrower Representative and which is located in a state of the United States of America or the District of Columbia. </w:t>
      </w:r>
    </w:p>
    <w:p>
      <w:pPr>
        <w:pStyle w:val="TextBody"/>
        <w:bidi w:val="0"/>
        <w:spacing w:before="240" w:after="0"/>
        <w:jc w:val="left"/>
        <w:rPr/>
      </w:pPr>
      <w:r>
        <w:rPr/>
        <w:t>“</w:t>
      </w:r>
      <w:r>
        <w:rPr>
          <w:rFonts w:ascii="Times New Roman" w:hAnsi="Times New Roman"/>
          <w:b/>
          <w:sz w:val="20"/>
        </w:rPr>
        <w:t>Property Management Agreement</w:t>
      </w:r>
      <w:r>
        <w:rPr>
          <w:rFonts w:ascii="Times New Roman" w:hAnsi="Times New Roman"/>
          <w:sz w:val="20"/>
        </w:rPr>
        <w:t xml:space="preserve">” means an agreement pursuant to which the Borrower Representative or a Subsidiary engages a Person to advise it with respect to the management of an Unencumbered Property or to provide management services with respect to the same. </w:t>
      </w:r>
    </w:p>
    <w:p>
      <w:pPr>
        <w:pStyle w:val="TextBody"/>
        <w:bidi w:val="0"/>
        <w:spacing w:before="24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b/>
          <w:sz w:val="20"/>
        </w:rPr>
        <w:t>QFC Credit Support</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Qualified ECP Guarantor</w:t>
      </w:r>
      <w:r>
        <w:rPr>
          <w:rFonts w:ascii="Times New Roman" w:hAnsi="Times New Roman"/>
          <w:sz w:val="20"/>
        </w:rPr>
        <w:t xml:space="preserve">”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Qualified Forward Equity Contract</w:t>
      </w:r>
      <w:r>
        <w:rPr>
          <w:rFonts w:ascii="Times New Roman" w:hAnsi="Times New Roman"/>
          <w:color w:val="0000FF"/>
          <w:sz w:val="20"/>
          <w:u w:val="single"/>
          <w:bdr w:val="double" w:sz="2" w:space="1" w:color="000000"/>
        </w:rPr>
        <w:t xml:space="preserve">” means a forward equity contract with respect to common Equity Interests of the Parent, entered into by the Parent and a Person (other than the Borrower, its Subsidiaries or their respective Affiliates) that has an investment grade rating with a Rating Agency; provided that, Qualified Forward Equity Contract shall exclude each forward equity contract, if any, with respect to which any of the following apply (w) the Parent or the counterparty would not reasonably be expected, for any reason, to be able to fulfill its obligations thereunder prior to the Maturity Date, (x) the Parent does not intend to contribute the net cash proceeds received in connection with any such forward equity contracts to the Borrower or its Subsidiaries, (y) the Borrower Representative’s limited partnership agreement does not require the Parent to contribute such net cash proceeds to the Borrower Representative or (z) the Parent no longer intends to issue common Equity Interests sufficient to realize such net cash proceeds. </w:t>
      </w:r>
    </w:p>
    <w:p>
      <w:pPr>
        <w:pStyle w:val="TextBody"/>
        <w:bidi w:val="0"/>
        <w:spacing w:before="240" w:after="0"/>
        <w:jc w:val="left"/>
        <w:rPr/>
      </w:pPr>
      <w:r>
        <w:rPr/>
        <w:t>“</w:t>
      </w:r>
      <w:r>
        <w:rPr>
          <w:rFonts w:ascii="Times New Roman" w:hAnsi="Times New Roman"/>
          <w:b/>
          <w:sz w:val="20"/>
        </w:rPr>
        <w:t>Qualified Plan</w:t>
      </w:r>
      <w:r>
        <w:rPr>
          <w:rFonts w:ascii="Times New Roman" w:hAnsi="Times New Roman"/>
          <w:sz w:val="20"/>
        </w:rPr>
        <w:t xml:space="preserve">” means a Benefit Arrangement that is intended to be tax-qualified under Section 401(a) of the Internal Revenue Code.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means S&amp;P</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Moody’s</w:t>
      </w:r>
      <w:r>
        <w:rPr>
          <w:rFonts w:ascii="Times New Roman" w:hAnsi="Times New Roman"/>
          <w:color w:val="0000FF"/>
          <w:sz w:val="20"/>
          <w:u w:val="single"/>
          <w:bdr w:val="double" w:sz="2" w:space="1" w:color="000000"/>
        </w:rPr>
        <w:t xml:space="preserve"> or Fitch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(a) the Administrative Agent and (b) any Lender, as applicable. </w:t>
      </w:r>
    </w:p>
    <w:p>
      <w:pPr>
        <w:pStyle w:val="TextBody"/>
        <w:bidi w:val="0"/>
        <w:spacing w:before="240" w:after="0"/>
        <w:jc w:val="left"/>
        <w:rPr/>
      </w:pPr>
      <w:r>
        <w:rPr/>
        <w:t>“</w:t>
      </w:r>
      <w:r>
        <w:rPr>
          <w:rFonts w:ascii="Times New Roman" w:hAnsi="Times New Roman"/>
          <w:b/>
          <w:sz w:val="20"/>
        </w:rPr>
        <w:t>Recourse Indebtedness</w:t>
      </w:r>
      <w:r>
        <w:rPr>
          <w:rFonts w:ascii="Times New Roman" w:hAnsi="Times New Roman"/>
          <w:sz w:val="20"/>
        </w:rPr>
        <w:t xml:space="preserve">”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Regulatory Change</w:t>
      </w:r>
      <w:r>
        <w:rPr>
          <w:rFonts w:ascii="Times New Roman" w:hAnsi="Times New Roman"/>
          <w:sz w:val="20"/>
        </w:rPr>
        <w:t xml:space="preserve">” 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 </w:t>
      </w:r>
    </w:p>
    <w:p>
      <w:pPr>
        <w:pStyle w:val="TextBody"/>
        <w:bidi w:val="0"/>
        <w:spacing w:before="240" w:after="0"/>
        <w:jc w:val="left"/>
        <w:rPr/>
      </w:pPr>
      <w:r>
        <w:rPr/>
        <w:t>“</w:t>
      </w:r>
      <w:r>
        <w:rPr>
          <w:rFonts w:ascii="Times New Roman" w:hAnsi="Times New Roman"/>
          <w:b/>
          <w:sz w:val="20"/>
        </w:rPr>
        <w:t>REIT</w:t>
      </w:r>
      <w:r>
        <w:rPr>
          <w:rFonts w:ascii="Times New Roman" w:hAnsi="Times New Roman"/>
          <w:sz w:val="20"/>
        </w:rPr>
        <w:t xml:space="preserve">” means a Person qualifying for treatment as a “real estate investment trust” under the Internal Revenue Code. </w:t>
      </w:r>
    </w:p>
    <w:p>
      <w:pPr>
        <w:pStyle w:val="TextBody"/>
        <w:bidi w:val="0"/>
        <w:spacing w:before="240" w:after="0"/>
        <w:jc w:val="left"/>
        <w:rPr/>
      </w:pPr>
      <w:r>
        <w:rPr/>
        <w:t>“</w:t>
      </w:r>
      <w:r>
        <w:rPr>
          <w:rFonts w:ascii="Times New Roman" w:hAnsi="Times New Roman"/>
          <w:b/>
          <w:sz w:val="20"/>
        </w:rPr>
        <w:t>Related Parties</w:t>
      </w:r>
      <w:r>
        <w:rPr>
          <w:rFonts w:ascii="Times New Roman" w:hAnsi="Times New Roman"/>
          <w:sz w:val="20"/>
        </w:rPr>
        <w:t xml:space="preserve">” means, with respect to any Person, such Person’s Affiliates and the partners, directors, officers, employees, agents and advisors of such Person and of such Person’s Affiliates.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means the FRB or the Federal Reserve Bank of New York, or a committee officially endorsed or convened by the FRB or the Federal Reserve Bank of New York,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Requisite Lenders</w:t>
      </w:r>
      <w:r>
        <w:rPr>
          <w:rFonts w:ascii="Times New Roman" w:hAnsi="Times New Roman"/>
          <w:sz w:val="20"/>
        </w:rPr>
        <w:t xml:space="preserve">” means, as of any date, Lenders having more than 50.0% of the sum of (a) the aggregate amount of the Commitments (if any) and (b) the principal amount of the aggregate outstanding Loans;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 </w:t>
      </w:r>
    </w:p>
    <w:p>
      <w:pPr>
        <w:pStyle w:val="TextBody"/>
        <w:bidi w:val="0"/>
        <w:spacing w:before="240" w:after="0"/>
        <w:jc w:val="left"/>
        <w:rPr/>
      </w:pPr>
      <w:r>
        <w:rPr/>
        <w:t>“</w:t>
      </w:r>
      <w:r>
        <w:rPr>
          <w:rFonts w:ascii="Times New Roman" w:hAnsi="Times New Roman"/>
          <w:b/>
          <w:sz w:val="20"/>
        </w:rPr>
        <w:t>Requisite Term A Loan Lenders</w:t>
      </w:r>
      <w:r>
        <w:rPr>
          <w:rFonts w:ascii="Times New Roman" w:hAnsi="Times New Roman"/>
          <w:sz w:val="20"/>
        </w:rPr>
        <w:t xml:space="preserve">” means, as of any date, Term A Loan Lenders holding more than 50.0% of the aggregate amount of the principal amount of the aggregate outstanding Term A Loans; provided that in determining such percentage at any given time, all then existing Defaulting Lenders will be disregarded and excluded; provided, further, that at all times when two or more Term A Loan Lenders (excluding Defaulting Lenders) are party to this Agreement, the term “Requisite Term A Loan Lenders” shall in no event mean less than two Term A Loan Lenders. </w:t>
      </w:r>
    </w:p>
    <w:p>
      <w:pPr>
        <w:pStyle w:val="TextBody"/>
        <w:bidi w:val="0"/>
        <w:spacing w:before="240" w:after="0"/>
        <w:jc w:val="left"/>
        <w:rPr/>
      </w:pPr>
      <w:r>
        <w:rPr/>
        <w:t>“</w:t>
      </w:r>
      <w:r>
        <w:rPr>
          <w:rFonts w:ascii="Times New Roman" w:hAnsi="Times New Roman"/>
          <w:b/>
          <w:sz w:val="20"/>
        </w:rPr>
        <w:t>Requisite Term B Loan Lenders</w:t>
      </w:r>
      <w:r>
        <w:rPr>
          <w:rFonts w:ascii="Times New Roman" w:hAnsi="Times New Roman"/>
          <w:sz w:val="20"/>
        </w:rPr>
        <w:t xml:space="preserve">” means, as of any date, Term B Loan Lenders holding more than 50.0% of the sum of (a) the aggregate amount of the Commitments (if any) and (b) the principal amount of the aggregate outstanding Term B Loans; provided that in determining such percentage at any given time, all then existing Defaulting Lenders will be disregarded and excluded; provided, further, that at all times when two or more Term B Loan Lenders (excluding Defaulting Lenders) are party to this Agreement, the term “Requisite Term B Loan Lenders” shall in no event mean less than two Term B Loan Lenders.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with respect to the Borrower Representative or any Subsidiary, the chief executive officer, the chief financial officer, the treasurer or the chief operating officer of the Borrower Representative or such Subsidiary and, solely in the case of the Borrower Representative, the chief accounting officer of the Borrower Representative.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means (a) any dividend or other distribution, direct or indirect, on account of any Equity Interest of the Borrower Representative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Representative or any of its Subsidiaries now or hereafter outstanding; and (c) any payment made to retire, or to obtain the surrender of, any outstanding warrants, options or other rights to acquire any Equity Interests of the Borrower Representative or any of its Subsidiaries now or hereafter outstanding. </w:t>
      </w:r>
    </w:p>
    <w:p>
      <w:pPr>
        <w:pStyle w:val="TextBody"/>
        <w:bidi w:val="0"/>
        <w:spacing w:before="240" w:after="0"/>
        <w:jc w:val="left"/>
        <w:rPr/>
      </w:pPr>
      <w:r>
        <w:rPr/>
        <w:t>“</w:t>
      </w:r>
      <w:r>
        <w:rPr>
          <w:rFonts w:ascii="Times New Roman" w:hAnsi="Times New Roman"/>
          <w:b/>
          <w:sz w:val="20"/>
        </w:rPr>
        <w:t>Retail Property</w:t>
      </w:r>
      <w:r>
        <w:rPr>
          <w:rFonts w:ascii="Times New Roman" w:hAnsi="Times New Roman"/>
          <w:sz w:val="20"/>
        </w:rPr>
        <w:t xml:space="preserve">” means each Property listed on Part I of Schedule 6.1.(f) hereto as a Retail Property and any other Property, a substantial use of which is the retail sale of goods and services, which may include a Property that is part of a Mixed-Use Project. </w:t>
      </w:r>
    </w:p>
    <w:p>
      <w:pPr>
        <w:pStyle w:val="TextBody"/>
        <w:bidi w:val="0"/>
        <w:spacing w:before="240" w:after="0"/>
        <w:jc w:val="left"/>
        <w:rPr/>
      </w:pPr>
      <w:r>
        <w:rPr/>
        <w:t>“</w:t>
      </w:r>
      <w:r>
        <w:rPr>
          <w:rFonts w:ascii="Times New Roman" w:hAnsi="Times New Roman"/>
          <w:b/>
          <w:sz w:val="20"/>
        </w:rPr>
        <w:t>Revolver Credit Agreement</w:t>
      </w:r>
      <w:r>
        <w:rPr>
          <w:rFonts w:ascii="Times New Roman" w:hAnsi="Times New Roman"/>
          <w:sz w:val="20"/>
        </w:rPr>
        <w:t xml:space="preserve">” means that certain Second Amended and Restated Credit Agreement, dated as October 5, 2022, by and among the Borrower Representative, the financial institutions party thereto as “Lenders”, Wells Fargo Bank, National Association, as administrative agent thereunder, and the other parties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S&amp;P</w:t>
      </w:r>
      <w:r>
        <w:rPr>
          <w:rFonts w:ascii="Times New Roman" w:hAnsi="Times New Roman"/>
          <w:sz w:val="20"/>
        </w:rPr>
        <w:t xml:space="preserve">” means S&amp;P Global Ratings, a business unit of Standard &amp; Poor’s Financial Services LLC, and any successor thereto.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at any time, a country, region or territory which is itself the subject or target of any Sanctions (including, without limitation, </w:t>
      </w:r>
      <w:r>
        <w:rPr>
          <w:rFonts w:ascii="Times New Roman" w:hAnsi="Times New Roman"/>
          <w:strike/>
          <w:color w:val="FF0000"/>
          <w:sz w:val="20"/>
        </w:rPr>
        <w:t>at the time of this agreement</w:t>
      </w:r>
      <w:r>
        <w:rPr>
          <w:rFonts w:ascii="Times New Roman" w:hAnsi="Times New Roman"/>
          <w:color w:val="0000FF"/>
          <w:sz w:val="20"/>
          <w:u w:val="single"/>
          <w:bdr w:val="double" w:sz="2" w:space="1" w:color="000000"/>
        </w:rPr>
        <w:t>as of the Second Amendment Date</w:t>
      </w:r>
      <w:r>
        <w:rPr>
          <w:rFonts w:ascii="Times New Roman" w:hAnsi="Times New Roman"/>
          <w:sz w:val="20"/>
        </w:rPr>
        <w:t>, the Crimea, Zaporizhzhia and Kherson Regions of Ukraine, the so-called Donetsk People’s Republic or Luhansk People’s Republic regions of Ukraine, Cuba, Iran</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and</w:t>
      </w:r>
      <w:r>
        <w:rPr>
          <w:rFonts w:ascii="Times New Roman" w:hAnsi="Times New Roman"/>
          <w:sz w:val="20"/>
        </w:rPr>
        <w:t xml:space="preserve"> North Korea</w:t>
      </w:r>
      <w:r>
        <w:rPr>
          <w:rFonts w:ascii="Times New Roman" w:hAnsi="Times New Roman"/>
          <w:strike/>
          <w:color w:val="FF0000"/>
          <w:sz w:val="20"/>
        </w:rPr>
        <w:t xml:space="preserve"> and Syria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Global Affairs Canada,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Canada, or other relevant sanctions authority in any jurisdiction in which (a) the Borrower or any of its Subsidiaries or Affiliates is located or conducts business, (b) in which any of the proceeds of the Extensions of Credit will be used, or </w:t>
      </w:r>
    </w:p>
    <w:p>
      <w:pPr>
        <w:pStyle w:val="TextBody"/>
        <w:bidi w:val="0"/>
        <w:spacing w:before="0" w:after="0"/>
        <w:jc w:val="left"/>
        <w:rPr>
          <w:rFonts w:ascii="Times New Roman" w:hAnsi="Times New Roman"/>
          <w:sz w:val="20"/>
        </w:rPr>
      </w:pPr>
      <w:r>
        <w:rPr>
          <w:rFonts w:ascii="Times New Roman" w:hAnsi="Times New Roman"/>
          <w:sz w:val="20"/>
        </w:rPr>
        <w:t xml:space="preserve">(c) from which repayment of the Extensions of Credit will be derived.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Second Amendment Date</w:t>
      </w:r>
      <w:r>
        <w:rPr>
          <w:rFonts w:ascii="Times New Roman" w:hAnsi="Times New Roman"/>
          <w:color w:val="0000FF"/>
          <w:sz w:val="20"/>
          <w:u w:val="single"/>
          <w:bdr w:val="double" w:sz="2" w:space="1" w:color="000000"/>
        </w:rPr>
        <w:t xml:space="preserve">” means April 14, 2026. </w:t>
      </w:r>
    </w:p>
    <w:p>
      <w:pPr>
        <w:pStyle w:val="TextBody"/>
        <w:bidi w:val="0"/>
        <w:spacing w:before="240" w:after="0"/>
        <w:jc w:val="left"/>
        <w:rPr/>
      </w:pPr>
      <w:r>
        <w:rPr/>
        <w:t>“</w:t>
      </w:r>
      <w:r>
        <w:rPr>
          <w:rFonts w:ascii="Times New Roman" w:hAnsi="Times New Roman"/>
          <w:b/>
          <w:sz w:val="20"/>
        </w:rPr>
        <w:t>Secured Indebtedness</w:t>
      </w:r>
      <w:r>
        <w:rPr>
          <w:rFonts w:ascii="Times New Roman" w:hAnsi="Times New Roman"/>
          <w:sz w:val="20"/>
        </w:rPr>
        <w:t xml:space="preserve">” means, with respect to any Person, (a) all Indebtedness of such Person that is secured in any manner by any Lien on any property </w:t>
      </w:r>
      <w:r>
        <w:rPr>
          <w:rFonts w:ascii="Times New Roman" w:hAnsi="Times New Roman"/>
          <w:sz w:val="20"/>
          <w:u w:val="single"/>
        </w:rPr>
        <w:t>plus</w:t>
      </w:r>
      <w:r>
        <w:rPr>
          <w:rFonts w:ascii="Times New Roman" w:hAnsi="Times New Roman"/>
          <w:sz w:val="20"/>
        </w:rPr>
        <w:t xml:space="preserve"> (b) such Person’s Ownership Share of the Secured Indebtedness of any of such Person’s Unconsolidated Affiliates.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Securities Exchange Act</w:t>
      </w:r>
      <w:r>
        <w:rPr>
          <w:rFonts w:ascii="Times New Roman" w:hAnsi="Times New Roman"/>
          <w:sz w:val="20"/>
        </w:rPr>
        <w:t xml:space="preserve">” means the Securities Exchange Act of 1934,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any Subsidiary to which more than $200,000,000 of Total Asset Value is attributable on an individual basis. </w:t>
      </w:r>
    </w:p>
    <w:p>
      <w:pPr>
        <w:pStyle w:val="TextBody"/>
        <w:bidi w:val="0"/>
        <w:spacing w:before="240" w:after="0"/>
        <w:jc w:val="left"/>
        <w:rPr/>
      </w:pPr>
      <w:r>
        <w:rPr>
          <w:strike/>
          <w:color w:val="FF0000"/>
        </w:rPr>
        <w:t>“</w:t>
      </w:r>
      <w:r>
        <w:rPr>
          <w:rFonts w:ascii="Times New Roman" w:hAnsi="Times New Roman"/>
          <w:b/>
          <w:strike/>
          <w:color w:val="FF0000"/>
          <w:sz w:val="20"/>
        </w:rPr>
        <w:t>Simple SOFR Adjustment</w:t>
      </w:r>
      <w:r>
        <w:rPr>
          <w:rFonts w:ascii="Times New Roman" w:hAnsi="Times New Roman"/>
          <w:strike/>
          <w:color w:val="FF0000"/>
          <w:sz w:val="20"/>
        </w:rPr>
        <w:t>” means a percentage equal to 0.00% 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Simple SOFR Determination Day</w:t>
      </w:r>
      <w:r>
        <w:rPr>
          <w:rFonts w:ascii="Times New Roman" w:hAnsi="Times New Roman"/>
          <w:sz w:val="20"/>
        </w:rPr>
        <w:t>” has the meaning specified in the definition of “</w:t>
      </w:r>
      <w:r>
        <w:rPr>
          <w:rFonts w:ascii="Times New Roman" w:hAnsi="Times New Roman"/>
          <w:strike/>
          <w:color w:val="FF0000"/>
          <w:sz w:val="20"/>
        </w:rPr>
        <w:t>Adjusted</w:t>
      </w:r>
      <w:r>
        <w:rPr>
          <w:rFonts w:ascii="Times New Roman" w:hAnsi="Times New Roman"/>
          <w:sz w:val="20"/>
        </w:rPr>
        <w:t xml:space="preserve"> Daily Simple SOFR.” </w:t>
      </w:r>
    </w:p>
    <w:p>
      <w:pPr>
        <w:pStyle w:val="TextBody"/>
        <w:bidi w:val="0"/>
        <w:spacing w:before="240" w:after="0"/>
        <w:jc w:val="left"/>
        <w:rPr/>
      </w:pPr>
      <w:r>
        <w:rPr/>
        <w:t>“</w:t>
      </w:r>
      <w:r>
        <w:rPr>
          <w:rFonts w:ascii="Times New Roman" w:hAnsi="Times New Roman"/>
          <w:b/>
          <w:sz w:val="20"/>
        </w:rPr>
        <w:t>Simple SOFR Rate Day</w:t>
      </w:r>
      <w:r>
        <w:rPr>
          <w:rFonts w:ascii="Times New Roman" w:hAnsi="Times New Roman"/>
          <w:sz w:val="20"/>
        </w:rPr>
        <w:t>” has the meaning given that term in the definition of the term “</w:t>
      </w:r>
      <w:r>
        <w:rPr>
          <w:rFonts w:ascii="Times New Roman" w:hAnsi="Times New Roman"/>
          <w:strike/>
          <w:color w:val="FF0000"/>
          <w:sz w:val="20"/>
        </w:rPr>
        <w:t xml:space="preserve">Adjusted </w:t>
      </w:r>
      <w:r>
        <w:rPr>
          <w:rFonts w:ascii="Times New Roman" w:hAnsi="Times New Roman"/>
          <w:sz w:val="20"/>
        </w:rPr>
        <w:t xml:space="preserve">Daily Simple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sz w:val="20"/>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b/>
          <w:sz w:val="20"/>
        </w:rPr>
        <w:t>SOFR Loan</w:t>
      </w:r>
      <w:r>
        <w:rPr>
          <w:rFonts w:ascii="Times New Roman" w:hAnsi="Times New Roman"/>
          <w:sz w:val="20"/>
        </w:rPr>
        <w:t xml:space="preserve">” means any Daily Simple SOFR Loan or Term SOFR Loan.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 </w:t>
      </w:r>
    </w:p>
    <w:p>
      <w:pPr>
        <w:pStyle w:val="TextBody"/>
        <w:bidi w:val="0"/>
        <w:spacing w:before="240" w:after="0"/>
        <w:jc w:val="left"/>
        <w:rPr/>
      </w:pPr>
      <w:r>
        <w:rPr/>
        <w:t>“</w:t>
      </w:r>
      <w:r>
        <w:rPr>
          <w:rFonts w:ascii="Times New Roman" w:hAnsi="Times New Roman"/>
          <w:b/>
          <w:sz w:val="20"/>
        </w:rPr>
        <w:t>Specified Derivatives Contract</w:t>
      </w:r>
      <w:r>
        <w:rPr>
          <w:rFonts w:ascii="Times New Roman" w:hAnsi="Times New Roman"/>
          <w:sz w:val="20"/>
        </w:rPr>
        <w:t xml:space="preserve">” means any Derivatives Contract, together with any Derivatives Support Document relating thereto, that is made or entered into at any time, or in effect at any time now or hereafter, whether as a result of an assignment or transfer or otherwise, between the Borrower Representative or any Subsidiary of the Borrower Representative and any Specified Derivatives Provider. </w:t>
      </w:r>
    </w:p>
    <w:p>
      <w:pPr>
        <w:pStyle w:val="TextBody"/>
        <w:bidi w:val="0"/>
        <w:spacing w:before="240" w:after="0"/>
        <w:jc w:val="left"/>
        <w:rPr/>
      </w:pPr>
      <w:r>
        <w:rPr/>
        <w:t>“</w:t>
      </w:r>
      <w:r>
        <w:rPr>
          <w:rFonts w:ascii="Times New Roman" w:hAnsi="Times New Roman"/>
          <w:b/>
          <w:sz w:val="20"/>
        </w:rPr>
        <w:t>Specified Derivatives Obligations</w:t>
      </w:r>
      <w:r>
        <w:rPr>
          <w:rFonts w:ascii="Times New Roman" w:hAnsi="Times New Roman"/>
          <w:sz w:val="20"/>
        </w:rPr>
        <w:t xml:space="preserve">” means all indebtedness, liabilities, obligations, covenants and duties of the Borrower Representative or its Subsidiaries under or in respect of any Specified Derivatives Contract, whether direct or indirect, absolute or contingent, due or not due, liquidated or unliquidated, and whether or not evidenced by any written confirmation. </w:t>
      </w:r>
    </w:p>
    <w:p>
      <w:pPr>
        <w:pStyle w:val="TextBody"/>
        <w:bidi w:val="0"/>
        <w:spacing w:before="240" w:after="0"/>
        <w:jc w:val="left"/>
        <w:rPr/>
      </w:pPr>
      <w:r>
        <w:rPr/>
        <w:t>“</w:t>
      </w:r>
      <w:r>
        <w:rPr>
          <w:rFonts w:ascii="Times New Roman" w:hAnsi="Times New Roman"/>
          <w:b/>
          <w:sz w:val="20"/>
        </w:rPr>
        <w:t>Specified Derivatives Provider</w:t>
      </w:r>
      <w:r>
        <w:rPr>
          <w:rFonts w:ascii="Times New Roman" w:hAnsi="Times New Roman"/>
          <w:sz w:val="20"/>
        </w:rPr>
        <w:t xml:space="preserve">” means any Lender, or any Affiliate of a Lender that is a party to a Derivatives Contract at the time the Derivatives Contract is entered into. </w:t>
      </w:r>
    </w:p>
    <w:p>
      <w:pPr>
        <w:pStyle w:val="TextBody"/>
        <w:bidi w:val="0"/>
        <w:spacing w:before="240" w:after="0"/>
        <w:jc w:val="left"/>
        <w:rPr/>
      </w:pPr>
      <w:r>
        <w:rPr/>
        <w:t>“</w:t>
      </w:r>
      <w:r>
        <w:rPr>
          <w:rFonts w:ascii="Times New Roman" w:hAnsi="Times New Roman"/>
          <w:b/>
          <w:sz w:val="20"/>
        </w:rPr>
        <w:t>Stabilized Property</w:t>
      </w:r>
      <w:r>
        <w:rPr>
          <w:rFonts w:ascii="Times New Roman" w:hAnsi="Times New Roman"/>
          <w:sz w:val="20"/>
        </w:rPr>
        <w:t xml:space="preserve">” means a property that is not a Development Property.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w:t>
      </w:r>
    </w:p>
    <w:p>
      <w:pPr>
        <w:pStyle w:val="TextBody"/>
        <w:bidi w:val="0"/>
        <w:spacing w:before="240" w:after="0"/>
        <w:jc w:val="left"/>
        <w:rPr/>
      </w:pPr>
      <w:r>
        <w:rPr/>
        <w:t>“</w:t>
      </w:r>
      <w:r>
        <w:rPr>
          <w:rFonts w:ascii="Times New Roman" w:hAnsi="Times New Roman"/>
          <w:b/>
          <w:sz w:val="20"/>
        </w:rPr>
        <w:t>Supported QFC</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A Loan</w:t>
      </w:r>
      <w:r>
        <w:rPr>
          <w:rFonts w:ascii="Times New Roman" w:hAnsi="Times New Roman"/>
          <w:sz w:val="20"/>
        </w:rPr>
        <w:t xml:space="preserve">” means a loan made by a Term A Loan Lender as described in Section 2.2.(a). “Term A Loan Lender” means a Lender holding any Term A Loan. </w:t>
      </w:r>
    </w:p>
    <w:p>
      <w:pPr>
        <w:pStyle w:val="TextBody"/>
        <w:bidi w:val="0"/>
        <w:spacing w:before="240" w:after="0"/>
        <w:jc w:val="left"/>
        <w:rPr/>
      </w:pPr>
      <w:r>
        <w:rPr/>
        <w:t>“</w:t>
      </w:r>
      <w:r>
        <w:rPr>
          <w:rFonts w:ascii="Times New Roman" w:hAnsi="Times New Roman"/>
          <w:b/>
          <w:sz w:val="20"/>
        </w:rPr>
        <w:t>Term A Loan Note</w:t>
      </w:r>
      <w:r>
        <w:rPr>
          <w:rFonts w:ascii="Times New Roman" w:hAnsi="Times New Roman"/>
          <w:sz w:val="20"/>
        </w:rPr>
        <w:t xml:space="preserve">” means a promissory note of the Borrowers substantially in the form of Exhibit F-1, payable to a Term A Loan Lender or its registered assignees in a principal amount equal to the amount of such Term A Loan Lender’s Term A Loan. </w:t>
      </w:r>
    </w:p>
    <w:p>
      <w:pPr>
        <w:pStyle w:val="TextBody"/>
        <w:bidi w:val="0"/>
        <w:spacing w:before="240" w:after="0"/>
        <w:jc w:val="left"/>
        <w:rPr/>
      </w:pPr>
      <w:r>
        <w:rPr/>
        <w:t>“</w:t>
      </w:r>
      <w:r>
        <w:rPr>
          <w:rFonts w:ascii="Times New Roman" w:hAnsi="Times New Roman"/>
          <w:b/>
          <w:sz w:val="20"/>
        </w:rPr>
        <w:t>Term B Loan</w:t>
      </w:r>
      <w:r>
        <w:rPr>
          <w:rFonts w:ascii="Times New Roman" w:hAnsi="Times New Roman"/>
          <w:sz w:val="20"/>
        </w:rPr>
        <w:t xml:space="preserve">” means a loan made by a Term B Loan Lender as described in Section 2.2.(c). </w:t>
      </w:r>
    </w:p>
    <w:p>
      <w:pPr>
        <w:pStyle w:val="TextBody"/>
        <w:bidi w:val="0"/>
        <w:spacing w:before="240" w:after="0"/>
        <w:jc w:val="left"/>
        <w:rPr/>
      </w:pPr>
      <w:r>
        <w:rPr/>
        <w:t>“</w:t>
      </w:r>
      <w:r>
        <w:rPr>
          <w:rFonts w:ascii="Times New Roman" w:hAnsi="Times New Roman"/>
          <w:b/>
          <w:sz w:val="20"/>
        </w:rPr>
        <w:t>Term B Loan Lender</w:t>
      </w:r>
      <w:r>
        <w:rPr>
          <w:rFonts w:ascii="Times New Roman" w:hAnsi="Times New Roman"/>
          <w:sz w:val="20"/>
        </w:rPr>
        <w:t xml:space="preserve">” means a Lender having a Commitment or holding any Term B Loan. </w:t>
      </w:r>
    </w:p>
    <w:p>
      <w:pPr>
        <w:pStyle w:val="TextBody"/>
        <w:bidi w:val="0"/>
        <w:spacing w:before="240" w:after="0"/>
        <w:jc w:val="left"/>
        <w:rPr/>
      </w:pPr>
      <w:r>
        <w:rPr/>
        <w:t>“</w:t>
      </w:r>
      <w:r>
        <w:rPr>
          <w:rFonts w:ascii="Times New Roman" w:hAnsi="Times New Roman"/>
          <w:b/>
          <w:sz w:val="20"/>
        </w:rPr>
        <w:t>Term B Loan Note</w:t>
      </w:r>
      <w:r>
        <w:rPr>
          <w:rFonts w:ascii="Times New Roman" w:hAnsi="Times New Roman"/>
          <w:sz w:val="20"/>
        </w:rPr>
        <w:t xml:space="preserve">” means a promissory note of the Borrowers substantially in the form of Exhibit F-2, payable to a Term B Loan Lender or its registered assignees in a principal amount equal to the amount of such Term B Loan Lender’s Term B Loans and its Commitment. </w:t>
      </w:r>
    </w:p>
    <w:p>
      <w:pPr>
        <w:pStyle w:val="TextBody"/>
        <w:bidi w:val="0"/>
        <w:spacing w:before="36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 Base Rate Loan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provided that if </w:t>
      </w:r>
      <w:r>
        <w:rPr>
          <w:rFonts w:ascii="Times New Roman" w:hAnsi="Times New Roman"/>
          <w:color w:val="008000"/>
          <w:sz w:val="20"/>
          <w:u w:val="single"/>
          <w:bdr w:val="double" w:sz="2" w:space="1" w:color="000000"/>
        </w:rPr>
        <w:t>Term SOFR as so determined shall ever be less than the Floor, then Term SOFR shall be deemed to be the Floor.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Term SOFR Adjustment</w:t>
      </w:r>
      <w:r>
        <w:rPr>
          <w:rFonts w:ascii="Times New Roman" w:hAnsi="Times New Roman"/>
          <w:sz w:val="20"/>
        </w:rPr>
        <w:t xml:space="preserve">” means a percentage equal to 0.00% per annum. </w:t>
      </w:r>
    </w:p>
    <w:p>
      <w:pPr>
        <w:pStyle w:val="TextBody"/>
        <w:bidi w:val="0"/>
        <w:spacing w:before="240" w:after="0"/>
        <w:jc w:val="left"/>
        <w:rPr/>
      </w:pPr>
      <w:r>
        <w:rPr/>
        <w:t>“</w:t>
      </w:r>
      <w:r>
        <w:rPr>
          <w:rFonts w:ascii="Times New Roman" w:hAnsi="Times New Roman"/>
          <w:b/>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b/>
          <w:sz w:val="20"/>
        </w:rPr>
        <w:t>Term SOFR Loan</w:t>
      </w:r>
      <w:r>
        <w:rPr>
          <w:rFonts w:ascii="Times New Roman" w:hAnsi="Times New Roman"/>
          <w:sz w:val="20"/>
        </w:rPr>
        <w:t xml:space="preserve">” means any Loan bearing interest at a rate based on </w:t>
      </w:r>
      <w:r>
        <w:rPr>
          <w:rFonts w:ascii="Times New Roman" w:hAnsi="Times New Roman"/>
          <w:strike/>
          <w:color w:val="FF0000"/>
          <w:sz w:val="20"/>
        </w:rPr>
        <w:t xml:space="preserve">Adjusted </w:t>
      </w:r>
      <w:r>
        <w:rPr>
          <w:rFonts w:ascii="Times New Roman" w:hAnsi="Times New Roman"/>
          <w:sz w:val="20"/>
        </w:rPr>
        <w:t xml:space="preserve">Term SOFR (other than the </w:t>
      </w:r>
      <w:r>
        <w:rPr>
          <w:rFonts w:ascii="Times New Roman" w:hAnsi="Times New Roman"/>
          <w:strike/>
          <w:color w:val="FF0000"/>
          <w:sz w:val="20"/>
        </w:rPr>
        <w:t xml:space="preserve">Adjusted </w:t>
      </w:r>
      <w:r>
        <w:rPr>
          <w:rFonts w:ascii="Times New Roman" w:hAnsi="Times New Roman"/>
          <w:sz w:val="20"/>
        </w:rPr>
        <w:t xml:space="preserve">Term SOFR component of the definition of “Base Rate”). </w:t>
      </w:r>
    </w:p>
    <w:p>
      <w:pPr>
        <w:pStyle w:val="TextBody"/>
        <w:bidi w:val="0"/>
        <w:spacing w:before="240" w:after="0"/>
        <w:jc w:val="left"/>
        <w:rPr/>
      </w:pPr>
      <w:r>
        <w:rPr/>
        <w:t>“</w:t>
      </w:r>
      <w:r>
        <w:rPr>
          <w:rFonts w:ascii="Times New Roman" w:hAnsi="Times New Roman"/>
          <w:b/>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sz w:val="20"/>
        </w:rPr>
        <w:t>Total Asset Value</w:t>
      </w:r>
      <w:r>
        <w:rPr>
          <w:rFonts w:ascii="Times New Roman" w:hAnsi="Times New Roman"/>
          <w:sz w:val="20"/>
        </w:rPr>
        <w:t>” means the sum of all of the following of the Borrower Representative and its Subsidiaries on a consolidated basis determined in accordance with GAAP applied on a consistent basis: (a) cash and cash equivalents, plus (b) with respect to each Stabilized Property owned by the Borrower Representative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w:t>
      </w:r>
      <w:r>
        <w:rPr>
          <w:rFonts w:ascii="Times New Roman" w:hAnsi="Times New Roman"/>
          <w:color w:val="0000FF"/>
          <w:sz w:val="20"/>
          <w:u w:val="single"/>
          <w:bdr w:val="double" w:sz="2" w:space="1" w:color="000000"/>
        </w:rPr>
        <w:t xml:space="preserve"> plus (g)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w:t>
      </w:r>
      <w:r>
        <w:rPr>
          <w:rFonts w:ascii="Times New Roman" w:hAnsi="Times New Roman"/>
          <w:sz w:val="20"/>
        </w:rPr>
        <w:t>. The EBITDA attributable to each Stabilized Property for the most recently ended four consecutive fiscal quarter period cannot be less than zero. Borrower Representative’s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Representative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w:t>
      </w:r>
      <w:r>
        <w:rPr>
          <w:rFonts w:ascii="Times New Roman" w:hAnsi="Times New Roman"/>
          <w:strike/>
          <w:color w:val="FF0000"/>
          <w:sz w:val="20"/>
        </w:rPr>
        <w:t>,</w:t>
      </w:r>
      <w:r>
        <w:rPr>
          <w:rFonts w:ascii="Times New Roman" w:hAnsi="Times New Roman"/>
          <w:color w:val="0000FF"/>
          <w:sz w:val="20"/>
          <w:u w:val="single"/>
          <w:bdr w:val="double" w:sz="2" w:space="1" w:color="000000"/>
        </w:rPr>
        <w:t>; provided that if the Borrower Representative has a Credit Rating of A-/A3 from (x) either S&amp;P or Moody’s, the percentage of Total Asset Value attributable to Investments in Unconsolidated Affiliates and other Persons that are not Subsidiaries and Investments in Subsidiaries that own Non-Controlled Properties that may be included pursuant to this clause (A) shall be increased to 30% and (y) two or more Rating Agencies, this clause (A) shall not apply, and</w:t>
      </w:r>
      <w:r>
        <w:rPr>
          <w:rFonts w:ascii="Times New Roman" w:hAnsi="Times New Roman"/>
          <w:sz w:val="20"/>
        </w:rPr>
        <w:t xml:space="preserve"> (B) the amount of Total Asset Value attributable to Mortgage Receivables</w:t>
      </w:r>
      <w:r>
        <w:rPr>
          <w:rFonts w:ascii="Times New Roman" w:hAnsi="Times New Roman"/>
          <w:strike/>
          <w:color w:val="FF0000"/>
          <w:sz w:val="20"/>
        </w:rPr>
        <w:t xml:space="preserve"> would exceed 5.0% of Total Asset Value</w:t>
      </w:r>
      <w:r>
        <w:rPr>
          <w:rFonts w:ascii="Times New Roman" w:hAnsi="Times New Roman"/>
          <w:strike/>
          <w:color w:val="008000"/>
          <w:sz w:val="20"/>
        </w:rPr>
        <w:t xml:space="preserve">, such excess shall be excluded </w:t>
      </w:r>
      <w:r>
        <w:rPr>
          <w:rFonts w:ascii="Times New Roman" w:hAnsi="Times New Roman"/>
          <w:strike/>
          <w:color w:val="FF0000"/>
          <w:sz w:val="20"/>
        </w:rPr>
        <w:t xml:space="preserve">from Total Asset Value, (C) the amount </w:t>
      </w:r>
      <w:r>
        <w:rPr>
          <w:rFonts w:ascii="Times New Roman" w:hAnsi="Times New Roman"/>
          <w:strike/>
          <w:color w:val="008000"/>
          <w:sz w:val="20"/>
        </w:rPr>
        <w:t xml:space="preserve">of Total Asset Value attributable to </w:t>
      </w:r>
      <w:r>
        <w:rPr>
          <w:rFonts w:ascii="Times New Roman" w:hAnsi="Times New Roman"/>
          <w:strike/>
          <w:color w:val="FF0000"/>
          <w:sz w:val="20"/>
        </w:rPr>
        <w:t>Construction-in-Process would exceed 20.0% of Total Asset Value, such excess shall be excluded from Total Asset Value, (D) the amount of Total Asset Value attributable to</w:t>
      </w:r>
      <w:r>
        <w:rPr>
          <w:rFonts w:ascii="Times New Roman" w:hAnsi="Times New Roman"/>
          <w:color w:val="0000FF"/>
          <w:sz w:val="20"/>
          <w:u w:val="single"/>
          <w:bdr w:val="double" w:sz="2" w:space="1" w:color="000000"/>
        </w:rPr>
        <w:t>, Construction-In-Process,</w:t>
      </w:r>
      <w:r>
        <w:rPr>
          <w:rFonts w:ascii="Times New Roman" w:hAnsi="Times New Roman"/>
          <w:sz w:val="20"/>
        </w:rPr>
        <w:t xml:space="preserve"> Unimproved Land (calculated on the basis of acquisition cost)</w:t>
      </w:r>
      <w:r>
        <w:rPr>
          <w:rFonts w:ascii="Times New Roman" w:hAnsi="Times New Roman"/>
          <w:strike/>
          <w:color w:val="FF0000"/>
          <w:sz w:val="20"/>
        </w:rPr>
        <w:t xml:space="preserve"> would exceed 5.0% of Total Asset Value, such excess shall be excluded from Total Asset Value, (E) the amount of Total Asset Value attributable to</w:t>
      </w:r>
      <w:r>
        <w:rPr>
          <w:rFonts w:ascii="Times New Roman" w:hAnsi="Times New Roman"/>
          <w:color w:val="0000FF"/>
          <w:sz w:val="20"/>
          <w:u w:val="single"/>
          <w:bdr w:val="double" w:sz="2" w:space="1" w:color="000000"/>
        </w:rPr>
        <w:t>,</w:t>
      </w:r>
      <w:r>
        <w:rPr>
          <w:rFonts w:ascii="Times New Roman" w:hAnsi="Times New Roman"/>
          <w:sz w:val="20"/>
        </w:rPr>
        <w:t xml:space="preserve"> Investments in Persons (other than Investments in Subsidiaries and Unconsolidated Affiliates) </w:t>
      </w:r>
      <w:r>
        <w:rPr>
          <w:rFonts w:ascii="Times New Roman" w:hAnsi="Times New Roman"/>
          <w:strike/>
          <w:color w:val="FF0000"/>
          <w:sz w:val="20"/>
        </w:rPr>
        <w:t>would exceed 5.0% of Total Asset Value, such excess shall be excluded from Total Asset Value, (F) the amount of Total Asset Value attributable to</w:t>
      </w:r>
      <w:r>
        <w:rPr>
          <w:rFonts w:ascii="Times New Roman" w:hAnsi="Times New Roman"/>
          <w:color w:val="0000FF"/>
          <w:sz w:val="20"/>
          <w:u w:val="single"/>
          <w:bdr w:val="double" w:sz="2" w:space="1" w:color="000000"/>
        </w:rPr>
        <w:t>and</w:t>
      </w:r>
      <w:r>
        <w:rPr>
          <w:rFonts w:ascii="Times New Roman" w:hAnsi="Times New Roman"/>
          <w:sz w:val="20"/>
        </w:rPr>
        <w:t xml:space="preserve"> Hotel Properties would </w:t>
      </w:r>
      <w:r>
        <w:rPr>
          <w:rFonts w:ascii="Times New Roman" w:hAnsi="Times New Roman"/>
          <w:strike/>
          <w:color w:val="FF0000"/>
          <w:sz w:val="20"/>
        </w:rPr>
        <w:t>exceed 2.5% of Total Asset Value, such excess shall be excluded form Total Asset Value and (G) the amount of Total Asset Value attributable to assets of the types referred to in the immediately preceding clauses (B) through (F) would</w:t>
      </w:r>
      <w:r>
        <w:rPr>
          <w:rFonts w:ascii="Times New Roman" w:hAnsi="Times New Roman"/>
          <w:sz w:val="20"/>
        </w:rPr>
        <w:t xml:space="preserve"> exceed 25.0% of Total Asset Value in the aggregate, such excess shall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from Total Asset Value</w:t>
      </w:r>
      <w:r>
        <w:rPr>
          <w:rFonts w:ascii="Times New Roman" w:hAnsi="Times New Roman"/>
          <w:color w:val="0000FF"/>
          <w:sz w:val="20"/>
          <w:u w:val="single"/>
          <w:bdr w:val="double" w:sz="2" w:space="1" w:color="000000"/>
        </w:rPr>
        <w:t xml:space="preserve">; provided that, if the Borrower has a Credit Rating of A-/A3 from (x) either S&amp;P or Moody’s, instead of the 25% limitation on certain assets provided in the preceding clause, the percentage </w:t>
      </w:r>
      <w:r>
        <w:rPr>
          <w:rFonts w:ascii="Times New Roman" w:hAnsi="Times New Roman"/>
          <w:color w:val="008000"/>
          <w:sz w:val="20"/>
          <w:u w:val="single"/>
          <w:bdr w:val="double" w:sz="2" w:space="1" w:color="000000"/>
        </w:rPr>
        <w:t>of Total Asset Value attributable to</w:t>
      </w:r>
      <w:r>
        <w:rPr>
          <w:rFonts w:ascii="Times New Roman" w:hAnsi="Times New Roman"/>
          <w:color w:val="0000FF"/>
          <w:sz w:val="20"/>
          <w:u w:val="single"/>
          <w:bdr w:val="double" w:sz="2" w:space="1" w:color="000000"/>
        </w:rPr>
        <w:t xml:space="preserve"> Mortgage Receivables, Construction-In-Process, Unimproved Land (calculated on the basis of acquisition cost), Investments in Persons (other than Investments in Subsidiaries and Unconsolidated Affiliates), Hotel Properties and Investments described in clause (A) above that collectively may be included in Total Asset Value shall be increased to 40% and (y) two or more Rating Agencies, this clause (B) shall not apply</w:t>
      </w:r>
      <w:r>
        <w:rPr>
          <w:rFonts w:ascii="Times New Roman" w:hAnsi="Times New Roman"/>
          <w:sz w:val="20"/>
        </w:rPr>
        <w:t xml:space="preserv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 </w:t>
      </w:r>
    </w:p>
    <w:p>
      <w:pPr>
        <w:pStyle w:val="TextBody"/>
        <w:bidi w:val="0"/>
        <w:spacing w:before="240" w:after="0"/>
        <w:jc w:val="left"/>
        <w:rPr/>
      </w:pPr>
      <w:r>
        <w:rPr/>
        <w:t>“</w:t>
      </w:r>
      <w:r>
        <w:rPr>
          <w:rFonts w:ascii="Times New Roman" w:hAnsi="Times New Roman"/>
          <w:b/>
          <w:sz w:val="20"/>
        </w:rPr>
        <w:t>Total Indebtedness</w:t>
      </w:r>
      <w:r>
        <w:rPr>
          <w:rFonts w:ascii="Times New Roman" w:hAnsi="Times New Roman"/>
          <w:sz w:val="20"/>
        </w:rPr>
        <w:t xml:space="preserve">” means (a) all Indebtedness of the Borrower Representative and its Subsidiaries determined on a consolidated basis </w:t>
      </w:r>
      <w:r>
        <w:rPr>
          <w:rFonts w:ascii="Times New Roman" w:hAnsi="Times New Roman"/>
          <w:sz w:val="20"/>
          <w:u w:val="single"/>
        </w:rPr>
        <w:t>plus</w:t>
      </w:r>
      <w:r>
        <w:rPr>
          <w:rFonts w:ascii="Times New Roman" w:hAnsi="Times New Roman"/>
          <w:sz w:val="20"/>
        </w:rPr>
        <w:t xml:space="preserve"> (b) such Person’s Ownership Share of the Indebtedness of the Borrower Representative’s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with respect to any Loan, refers to whether such Loan or portion thereof is a Daily Simple SOFR Loan, a Term SOFR Loan or a Base Rate Loan.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b/>
          <w:sz w:val="20"/>
        </w:rPr>
        <w:t>Unconsolidated Affiliate</w:t>
      </w:r>
      <w:r>
        <w:rPr>
          <w:rFonts w:ascii="Times New Roman" w:hAnsi="Times New Roman"/>
          <w:sz w:val="20"/>
        </w:rPr>
        <w:t xml:space="preserve">”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Unencumbered Adjusted NOI</w:t>
      </w:r>
      <w:r>
        <w:rPr>
          <w:rFonts w:ascii="Times New Roman" w:hAnsi="Times New Roman"/>
          <w:sz w:val="20"/>
        </w:rPr>
        <w:t xml:space="preserve">”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 </w:t>
      </w:r>
    </w:p>
    <w:p>
      <w:pPr>
        <w:pStyle w:val="TextBody"/>
        <w:bidi w:val="0"/>
        <w:spacing w:before="240" w:after="0"/>
        <w:jc w:val="left"/>
        <w:rPr/>
      </w:pPr>
      <w:r>
        <w:rPr/>
        <w:t>“</w:t>
      </w:r>
      <w:r>
        <w:rPr>
          <w:rFonts w:ascii="Times New Roman" w:hAnsi="Times New Roman"/>
          <w:b/>
          <w:sz w:val="20"/>
        </w:rPr>
        <w:t>Unencumbered Asset Value</w:t>
      </w:r>
      <w:r>
        <w:rPr>
          <w:rFonts w:ascii="Times New Roman" w:hAnsi="Times New Roman"/>
          <w:sz w:val="20"/>
        </w:rPr>
        <w:t>” means (a) Unencumbered Adjusted NOI for the most recently ended four consecutive fiscal quarter period divided by the Capitalization Rate, plus (b) the GAAP book value of all assets (other than assets otherwise included in clauses (c)</w:t>
      </w:r>
      <w:r>
        <w:rPr>
          <w:rFonts w:ascii="Times New Roman" w:hAnsi="Times New Roman"/>
          <w:strike/>
          <w:color w:val="FF0000"/>
          <w:sz w:val="20"/>
        </w:rPr>
        <w:t> and</w:t>
      </w:r>
      <w:r>
        <w:rPr>
          <w:rFonts w:ascii="Times New Roman" w:hAnsi="Times New Roman"/>
          <w:color w:val="0000FF"/>
          <w:sz w:val="20"/>
          <w:u w:val="single"/>
          <w:bdr w:val="double" w:sz="2" w:space="1" w:color="000000"/>
        </w:rPr>
        <w:t>,</w:t>
      </w:r>
      <w:r>
        <w:rPr>
          <w:rFonts w:ascii="Times New Roman" w:hAnsi="Times New Roman"/>
          <w:sz w:val="20"/>
        </w:rPr>
        <w:t xml:space="preserve"> (d</w:t>
      </w:r>
      <w:r>
        <w:rPr>
          <w:rFonts w:ascii="Times New Roman" w:hAnsi="Times New Roman"/>
          <w:color w:val="0000FF"/>
          <w:sz w:val="20"/>
          <w:u w:val="single"/>
          <w:bdr w:val="double" w:sz="2" w:space="1" w:color="000000"/>
        </w:rPr>
        <w:t>) and (e</w:t>
      </w:r>
      <w:r>
        <w:rPr>
          <w:rFonts w:ascii="Times New Roman" w:hAnsi="Times New Roman"/>
          <w:sz w:val="20"/>
        </w:rPr>
        <w:t>)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w:t>
      </w:r>
      <w:r>
        <w:rPr>
          <w:rFonts w:ascii="Times New Roman" w:hAnsi="Times New Roman"/>
          <w:color w:val="0000FF"/>
          <w:sz w:val="20"/>
          <w:u w:val="single"/>
          <w:bdr w:val="double" w:sz="2" w:space="1" w:color="000000"/>
        </w:rPr>
        <w:t>, plus (e)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w:t>
      </w:r>
      <w:r>
        <w:rPr>
          <w:rFonts w:ascii="Times New Roman" w:hAnsi="Times New Roman"/>
          <w:sz w:val="20"/>
        </w:rPr>
        <w:t xml:space="preserve">. For purposes of this definition, (A) to the extent that more than 25.0% of Unencumbered Asset Value would be attributable to Controlled Properties, Non-Controlled Properties and Development Properties such excess shall be excluded, </w:t>
      </w:r>
      <w:r>
        <w:rPr>
          <w:rFonts w:ascii="Times New Roman" w:hAnsi="Times New Roman"/>
          <w:strike/>
          <w:color w:val="FF0000"/>
          <w:sz w:val="20"/>
        </w:rPr>
        <w:t xml:space="preserve">and </w:t>
      </w:r>
      <w:r>
        <w:rPr>
          <w:rFonts w:ascii="Times New Roman" w:hAnsi="Times New Roman"/>
          <w:sz w:val="20"/>
        </w:rPr>
        <w:t>(B) to the extent that more than 2.5% of Unencumbered Asset Value would be attributable to Hotel Properties</w:t>
      </w:r>
      <w:r>
        <w:rPr>
          <w:rFonts w:ascii="Times New Roman" w:hAnsi="Times New Roman"/>
          <w:color w:val="008000"/>
          <w:sz w:val="20"/>
          <w:u w:val="single"/>
          <w:bdr w:val="double" w:sz="2" w:space="1" w:color="000000"/>
        </w:rPr>
        <w:t>, such excess shall be excluded</w:t>
      </w:r>
      <w:r>
        <w:rPr>
          <w:rFonts w:ascii="Times New Roman" w:hAnsi="Times New Roman"/>
          <w:color w:val="0000FF"/>
          <w:sz w:val="20"/>
          <w:u w:val="single"/>
          <w:bdr w:val="double" w:sz="2" w:space="1" w:color="000000"/>
        </w:rPr>
        <w:t xml:space="preserve"> and (C) to the extent that more than 7.5% of Unencumbered Asset Value would be attributable to Qualified Forward Equity Contracts</w:t>
      </w:r>
      <w:r>
        <w:rPr>
          <w:rFonts w:ascii="Times New Roman" w:hAnsi="Times New Roman"/>
          <w:sz w:val="20"/>
        </w:rPr>
        <w:t xml:space="preserve">, such excess shall be 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 </w:t>
      </w:r>
    </w:p>
    <w:p>
      <w:pPr>
        <w:pStyle w:val="TextBody"/>
        <w:bidi w:val="0"/>
        <w:spacing w:before="240" w:after="0"/>
        <w:jc w:val="left"/>
        <w:rPr/>
      </w:pPr>
      <w:r>
        <w:rPr/>
        <w:t>“</w:t>
      </w:r>
      <w:r>
        <w:rPr>
          <w:rFonts w:ascii="Times New Roman" w:hAnsi="Times New Roman"/>
          <w:b/>
          <w:sz w:val="20"/>
        </w:rPr>
        <w:t>Unimproved Land</w:t>
      </w:r>
      <w:r>
        <w:rPr>
          <w:rFonts w:ascii="Times New Roman" w:hAnsi="Times New Roman"/>
          <w:sz w:val="20"/>
        </w:rPr>
        <w:t xml:space="preserve">” means land on which no development (other than paving or other improvements that are not material and are temporary in nature) has occurred and for which no development is planned in the following 12 months. </w:t>
      </w:r>
    </w:p>
    <w:p>
      <w:pPr>
        <w:pStyle w:val="TextBody"/>
        <w:bidi w:val="0"/>
        <w:spacing w:before="240" w:after="0"/>
        <w:jc w:val="left"/>
        <w:rPr/>
      </w:pPr>
      <w:r>
        <w:rPr/>
        <w:t>“</w:t>
      </w:r>
      <w:r>
        <w:rPr>
          <w:rFonts w:ascii="Times New Roman" w:hAnsi="Times New Roman"/>
          <w:b/>
          <w:sz w:val="20"/>
        </w:rPr>
        <w:t>Unsecured Indebtedness</w:t>
      </w:r>
      <w:r>
        <w:rPr>
          <w:rFonts w:ascii="Times New Roman" w:hAnsi="Times New Roman"/>
          <w:sz w:val="20"/>
        </w:rPr>
        <w:t xml:space="preserve">” means Total Indebtedness which is not Secured Indebtedness. Indebtedness that is secured solely by Equity Interests and is recourse to the Borrower Representative or its Subsidiaries shall be considered to be Unsecured Indebtedness.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sz w:val="20"/>
          <w:u w:val="single"/>
        </w:rPr>
        <w:t>provided</w:t>
      </w:r>
      <w:r>
        <w:rPr>
          <w:rFonts w:ascii="Times New Roman" w:hAnsi="Times New Roman"/>
          <w:sz w:val="20"/>
        </w:rPr>
        <w:t xml:space="preserve">, that for purposes of notice requirements in Sections 2.2.(d)., , 2.8., 2.9. and 2.10., in each case, such day is also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 Person</w:t>
      </w:r>
      <w:r>
        <w:rPr>
          <w:rFonts w:ascii="Times New Roman" w:hAnsi="Times New Roman"/>
          <w:sz w:val="20"/>
        </w:rPr>
        <w:t xml:space="preserve">” means any Person that is a “United States Person” as defined in Section 7701(a)(30) of the Internal Revenue Code. </w:t>
      </w:r>
    </w:p>
    <w:p>
      <w:pPr>
        <w:pStyle w:val="TextBody"/>
        <w:bidi w:val="0"/>
        <w:spacing w:before="240" w:after="0"/>
        <w:jc w:val="left"/>
        <w:rPr/>
      </w:pPr>
      <w:r>
        <w:rPr/>
        <w:t>“</w:t>
      </w:r>
      <w:r>
        <w:rPr>
          <w:rFonts w:ascii="Times New Roman" w:hAnsi="Times New Roman"/>
          <w:b/>
          <w:sz w:val="20"/>
        </w:rPr>
        <w:t>U.S. Special Resolution Regimes</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assigned to such term in Section 3.10.(g)(ii)(B)(III). </w:t>
      </w:r>
    </w:p>
    <w:p>
      <w:pPr>
        <w:pStyle w:val="TextBody"/>
        <w:bidi w:val="0"/>
        <w:spacing w:before="240" w:after="0"/>
        <w:jc w:val="left"/>
        <w:rPr/>
      </w:pPr>
      <w:r>
        <w:rPr/>
        <w:t>“</w:t>
      </w:r>
      <w:r>
        <w:rPr>
          <w:rFonts w:ascii="Times New Roman" w:hAnsi="Times New Roman"/>
          <w:b/>
          <w:sz w:val="20"/>
        </w:rPr>
        <w:t>Wholly Owned Property</w:t>
      </w:r>
      <w:r>
        <w:rPr>
          <w:rFonts w:ascii="Times New Roman" w:hAnsi="Times New Roman"/>
          <w:sz w:val="20"/>
        </w:rPr>
        <w:t xml:space="preserve">” means an Eligible Property which is wholly owned in fee simple (or leased under a Ground Lease) by only the Borrower Representative or a Wholly Owned Subsidiary.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means any liability as a result of a complete or partial withdrawal from a Multiemployer Plan as such terms are defined in Part I of Subtitle E of Title IV of ERISA. </w:t>
      </w:r>
    </w:p>
    <w:p>
      <w:pPr>
        <w:pStyle w:val="TextBody"/>
        <w:bidi w:val="0"/>
        <w:spacing w:before="240" w:after="0"/>
        <w:jc w:val="left"/>
        <w:rPr/>
      </w:pPr>
      <w:r>
        <w:rPr/>
        <w:t>“</w:t>
      </w:r>
      <w:r>
        <w:rPr>
          <w:rFonts w:ascii="Times New Roman" w:hAnsi="Times New Roman"/>
          <w:b/>
          <w:sz w:val="20"/>
        </w:rPr>
        <w:t>Withholding Agent</w:t>
      </w:r>
      <w:r>
        <w:rPr>
          <w:rFonts w:ascii="Times New Roman" w:hAnsi="Times New Roman"/>
          <w:sz w:val="20"/>
        </w:rPr>
        <w:t xml:space="preserve">” means (a) the Borrower, (b) any other Loan Party and (c) the Administrative Agent, as applicable. </w:t>
      </w:r>
    </w:p>
    <w:p>
      <w:pPr>
        <w:pStyle w:val="TextBody"/>
        <w:bidi w:val="0"/>
        <w:spacing w:before="24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General; References to Eastern Time.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giving effect to Accounting Standards Codification 842 (or any other Accounting Standards Codification or Financial Accounting Standard having a similar result or effect) (and related interpretations) to the extent any lease where the Borrower Representative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Representative or a Subsidiary of such Subsidiary, a reference to an “Affiliate” means a reference to an Affiliate of the Borrower Representative and a reference to an “Unconsolidated Affiliate” means an Unconsolidated Affiliate of the Borrower Representative. Titles and captions of Articles, Sections, subsections and clauses in this Agreement are for convenience only, and neither limit nor amplify the provisions of this Agreement. Unless otherwise indicated, all references to time are references to Eastern time. </w:t>
      </w:r>
    </w:p>
    <w:p>
      <w:pPr>
        <w:pStyle w:val="TextBody"/>
        <w:bidi w:val="0"/>
        <w:spacing w:before="360" w:after="0"/>
        <w:jc w:val="left"/>
        <w:rPr>
          <w:rFonts w:ascii="Times New Roman" w:hAnsi="Times New Roman"/>
          <w:sz w:val="20"/>
        </w:rPr>
      </w:pPr>
      <w:r>
        <w:rPr>
          <w:rFonts w:ascii="Times New Roman" w:hAnsi="Times New Roman"/>
          <w:b/>
          <w:sz w:val="20"/>
        </w:rPr>
        <w:t>Section 1.3. Financial Attributes of Non-Wholly Owned Subsidiaries and Calculation of Financial Covenants in Certain 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herein, when determining compliance by the Borrower with any financial covenant contained in any of the Loan Documents only the Ownership Share of the Borrower Representative of the financial attributes of a Subsidiary that is not a Wholly Owned Subsidiary shall be included.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Representative,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or Borrower Representative shall be deemed to be references to the Parent such that the financial covenants shall be calculated at the level of the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1.4. Rates.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does not warrant or accept any responsibility for, and shall not have any liability with respect to, (a) the continuation of, administration of, submission of, calculation of or any other matter related to </w:t>
      </w:r>
      <w:r>
        <w:rPr>
          <w:rFonts w:ascii="Times New Roman" w:hAnsi="Times New Roman"/>
          <w:strike/>
          <w:color w:val="FF0000"/>
          <w:sz w:val="20"/>
        </w:rPr>
        <w:t xml:space="preserve">Adjusted </w:t>
      </w:r>
      <w:r>
        <w:rPr>
          <w:rFonts w:ascii="Times New Roman" w:hAnsi="Times New Roman"/>
          <w:sz w:val="20"/>
        </w:rPr>
        <w:t>Daily Simple SOFR, SOFR, the Term SOFR Reference Rate</w:t>
      </w:r>
      <w:r>
        <w:rPr>
          <w:rFonts w:ascii="Times New Roman" w:hAnsi="Times New Roman"/>
          <w:strike/>
          <w:color w:val="FF0000"/>
          <w:sz w:val="20"/>
        </w:rPr>
        <w:t xml:space="preserve">, Adjusted Term SOFR </w:t>
      </w:r>
      <w:r>
        <w:rPr>
          <w:rFonts w:ascii="Times New Roman" w:hAnsi="Times New Roman"/>
          <w:sz w:val="20"/>
        </w:rPr>
        <w:t xml:space="preserve">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sz w:val="20"/>
          <w:u w:val="single"/>
        </w:rPr>
        <w:t>Section 4.2.(b)</w:t>
      </w:r>
      <w:r>
        <w:rPr>
          <w:rFonts w:ascii="Times New Roman" w:hAnsi="Times New Roman"/>
          <w:sz w:val="20"/>
        </w:rPr>
        <w:t xml:space="preserve">, will be similar to, or produce the same value or economic equivalence of, or have the same volume or liquidity as, </w:t>
      </w:r>
      <w:r>
        <w:rPr>
          <w:rFonts w:ascii="Times New Roman" w:hAnsi="Times New Roman"/>
          <w:strike/>
          <w:color w:val="FF0000"/>
          <w:sz w:val="20"/>
        </w:rPr>
        <w:t xml:space="preserve">Adjusted </w:t>
      </w:r>
      <w:r>
        <w:rPr>
          <w:rFonts w:ascii="Times New Roman" w:hAnsi="Times New Roman"/>
          <w:sz w:val="20"/>
        </w:rPr>
        <w:t xml:space="preserve">Daily Simple SOFR, SOFR, the Term SOFR Reference Rate, </w:t>
      </w:r>
      <w:r>
        <w:rPr>
          <w:rFonts w:ascii="Times New Roman" w:hAnsi="Times New Roman"/>
          <w:strike/>
          <w:color w:val="FF0000"/>
          <w:sz w:val="20"/>
        </w:rPr>
        <w:t xml:space="preserve">Adjusted Term SOFR, </w:t>
      </w:r>
      <w:r>
        <w:rPr>
          <w:rFonts w:ascii="Times New Roman" w:hAnsi="Times New Roman"/>
          <w:sz w:val="20"/>
        </w:rPr>
        <w:t xml:space="preserve">Term SOFR or any other Benchmark prior to its discontinuance or unavailability, or (b) the effect, implementation or composition of any Conforming Changes. The Administrative Agent and its Affiliates or other related entities may engage in transactions that affect the calculation of </w:t>
      </w:r>
      <w:r>
        <w:rPr>
          <w:rFonts w:ascii="Times New Roman" w:hAnsi="Times New Roman"/>
          <w:strike/>
          <w:color w:val="FF0000"/>
          <w:sz w:val="20"/>
        </w:rPr>
        <w:t xml:space="preserve">Adjusted </w:t>
      </w:r>
      <w:r>
        <w:rPr>
          <w:rFonts w:ascii="Times New Roman" w:hAnsi="Times New Roman"/>
          <w:sz w:val="20"/>
        </w:rPr>
        <w:t>Daily Simple SOFR, SOFR, Term SOFR Reference Rate</w:t>
      </w:r>
      <w:r>
        <w:rPr>
          <w:rFonts w:ascii="Times New Roman" w:hAnsi="Times New Roman"/>
          <w:strike/>
          <w:color w:val="FF0000"/>
          <w:sz w:val="20"/>
        </w:rPr>
        <w:t xml:space="preserve">, Adjusted Term SOFR, </w:t>
      </w:r>
      <w:r>
        <w:rPr>
          <w:rFonts w:ascii="Times New Roman" w:hAnsi="Times New Roman"/>
          <w:sz w:val="20"/>
        </w:rPr>
        <w:t xml:space="preserve">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w:t>
      </w:r>
      <w:r>
        <w:rPr>
          <w:rFonts w:ascii="Times New Roman" w:hAnsi="Times New Roman"/>
          <w:strike/>
          <w:color w:val="FF0000"/>
          <w:sz w:val="20"/>
        </w:rPr>
        <w:t xml:space="preserve">Adjusted </w:t>
      </w:r>
      <w:r>
        <w:rPr>
          <w:rFonts w:ascii="Times New Roman" w:hAnsi="Times New Roman"/>
          <w:sz w:val="20"/>
        </w:rPr>
        <w:t>Daily Simple SOFR, SOFR, Term SOFR Reference Rate</w:t>
      </w:r>
      <w:r>
        <w:rPr>
          <w:rFonts w:ascii="Times New Roman" w:hAnsi="Times New Roman"/>
          <w:strike/>
          <w:color w:val="FF0000"/>
          <w:sz w:val="20"/>
        </w:rPr>
        <w:t xml:space="preserve">, Adjusted Term SOFR </w:t>
      </w:r>
      <w:r>
        <w:rPr>
          <w:rFonts w:ascii="Times New Roman" w:hAnsi="Times New Roman"/>
          <w:sz w:val="20"/>
        </w:rPr>
        <w:t xml:space="preserve">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1.5. Divisions.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CREDIT FACILITY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FRIT San Jose Joinder. </w:t>
      </w:r>
    </w:p>
    <w:p>
      <w:pPr>
        <w:pStyle w:val="TextBody"/>
        <w:bidi w:val="0"/>
        <w:spacing w:before="120" w:after="0"/>
        <w:jc w:val="left"/>
        <w:rPr>
          <w:rFonts w:ascii="Times New Roman" w:hAnsi="Times New Roman"/>
          <w:sz w:val="20"/>
        </w:rPr>
      </w:pPr>
      <w:r>
        <w:rPr>
          <w:rFonts w:ascii="Times New Roman" w:hAnsi="Times New Roman"/>
          <w:sz w:val="20"/>
        </w:rPr>
        <w:t xml:space="preserve">FRIT San Jose by its signature to this Agreement shall become a “Borrower” under this Agreement and the other Loan Documents with the same force and effect as if originally named as a “Borrower” in the Existing Credit Agreement, and FRIT San Jose hereby (a) agrees to all the terms and provisions of this Agreement and the other Loan Documents applicable to it as a Borrower thereunder, and (b) acknowledges, agrees and confirms that, by its execution of this Agreement, subject to the terms hereof and thereof, it will be deemed to be a Borrower for all purposes of this Agreement and the other Loan Documents and shall have all of the rights, benefits, duties and obligations of a Borrower thereunder. FRIT San Jose and the Borrower Representative acknowledge that the Obligations are the joint and several responsibility of each of them pursuant to Section 2.15 hereof and that the Borrower Representative may act as agent for each Borrower as provided in Section 2.16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2.2.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Loans</w:t>
      </w:r>
      <w:r>
        <w:rPr>
          <w:rFonts w:ascii="Times New Roman" w:hAnsi="Times New Roman"/>
          <w:sz w:val="20"/>
        </w:rPr>
        <w:t xml:space="preserve">. The “Lenders” under the Existing Credit Agreement made “Loans” to the Borrower Representative under the Existing Credit Agreement. The Borrower hereby agrees and acknowledges that as of the Effective Date, the aggregate outstanding principal balance of the “Loans” is $600,000,000 and shall continue hereunder and for all purposes hereunder shall constitute and be referred to as the Term A Loans hereunder, without constituting a novation, but in all cases subject to the terms and conditions applicable to Term A Loans hereunder. The Borrower and the Lenders acknowledge and agree that the principal amount of such Term A Loan held by each Term A Loan Lender as of the Effective Date is set forth on Schedule I opposite the name of such Term A Loan Lender as such Term A Loan Lender’s “Term A Loan Amount”. Once repaid, the principal amount of the Term A Loans (or any portion thereof)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Reallocation on the Effective Date</w:t>
      </w:r>
      <w:r>
        <w:rPr>
          <w:rFonts w:ascii="Times New Roman" w:hAnsi="Times New Roman"/>
          <w:sz w:val="20"/>
        </w:rPr>
        <w:t>. Each of the parties to this Agreement agree that, simultaneously with the effectiveness of this Agreement, the principal amount of all outstanding “Loans” of each of the “Lenders” under the Existing Credit Agreement immediately prior to the Effective Date, shall be reallocated among the Term A Loan Lenders so that the Term A Loans are held by the Term A Loan Lenders as set forth on Schedule I attached hereto. To effect such reallocations each Term A Loan Lender who either was not a “Lender” under the Existing Credit Agreement immediately prior to the effectiveness of this Agreement or whose outstanding principal amount of its Term A Loan upon the effectiveness of this Agreement exceeds the outstanding principal amount of its “Loan” under the Existing Credit Agreement immediately prior to the effectiveness of this Agreement (each an “</w:t>
      </w:r>
      <w:r>
        <w:rPr>
          <w:rFonts w:ascii="Times New Roman" w:hAnsi="Times New Roman"/>
          <w:b/>
          <w:sz w:val="20"/>
        </w:rPr>
        <w:t>Assignee TLA Lender</w:t>
      </w:r>
      <w:r>
        <w:rPr>
          <w:rFonts w:ascii="Times New Roman" w:hAnsi="Times New Roman"/>
          <w:sz w:val="20"/>
        </w:rPr>
        <w:t>”) shall be deemed to have purchased all right, title and interest in, and all obligations in respect of, the “Loans” from the “Lenders” under the Existing Credit Agreement who will not have a Term A Loan on and as of the Effective Date or whose Term A Loan upon the effectiveness of this Agreement is less than their respective “Loans” under the Existing Credit Agreement immediately prior to the effectiveness of this Agreement (each an “</w:t>
      </w:r>
      <w:r>
        <w:rPr>
          <w:rFonts w:ascii="Times New Roman" w:hAnsi="Times New Roman"/>
          <w:b/>
          <w:sz w:val="20"/>
        </w:rPr>
        <w:t>Assignor TLA Lender</w:t>
      </w:r>
      <w:r>
        <w:rPr>
          <w:rFonts w:ascii="Times New Roman" w:hAnsi="Times New Roman"/>
          <w:sz w:val="20"/>
        </w:rPr>
        <w:t xml:space="preserve">”), so that the Term A Loans of the Term A Loan Lenders will be held by the Term A Loan Lenders as set forth on Schedule I. Such purchases shall be deemed to have been effected by way of, and subject to the terms and conditions of, an Assignment and Assumption without the payment of any related assignment fee, and, except for Notes to be provided to the Assignor TLA Lenders and Assignee TLA Lenders in the principal amount of their respective Term A Loans, and subject to acceptance and recording thereof by the Administrative Agent pursuant to Section 12.6.(c), no other documents or instruments shall be, or shall be required to be, executed in connection with such assignments (all of which are hereby waived). The Assignor TLA Lenders, the Assignee TLA Lenders and the other Lenders shall make such cash settlements among themselves, through the Administrative Agent, as the Administrative Agent may direct with respect to such reallocations and assignments so that the aggregate outstanding principal amount of Term A Loans shall be held by the Term A Loan Lenders pro rata in accordance with the amount of each such Term A Loan Lender’s “Term A Loan Amount” set forth on Schedule I.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 B Loans</w:t>
      </w:r>
      <w:r>
        <w:rPr>
          <w:rFonts w:ascii="Times New Roman" w:hAnsi="Times New Roman"/>
          <w:sz w:val="20"/>
        </w:rPr>
        <w:t xml:space="preserve">. Subject to the terms and conditions set forth in this Agreement, each Term B Loan Lender severally and not jointly agrees to make Term B Loans to the Borrower during the Availability Period, in an aggregate principal amount at any one time outstanding up to, but not exceeding, such Term B Loan Lender’s Commitment. There shall be no more than three (3) separate borrowings of Term B Loans and each borrowing shall be in an aggregate minimum amount of $25,000,000 and integral multiples of $5,000,000 in excess thereof; provided, that a borrowing may be in the aggregate amount of the remaining Commitments. Upon a Term B Loan Lender making its Term B Loan, the Commitment of such Term B Loan Lender shall be permanently reduced by the principal amount of such Term B Loan. Any portion of a Term B Loan made under this Section 2.2(c) and repaid or prepaid may not be reborrowed. All undrawn Commitments shall terminate at 5:00 pm on the Availability Termination Date if not previously terminated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Requests for Term B Loans</w:t>
      </w:r>
      <w:r>
        <w:rPr>
          <w:rFonts w:ascii="Times New Roman" w:hAnsi="Times New Roman"/>
          <w:sz w:val="20"/>
        </w:rPr>
        <w:t xml:space="preserve">. Not later than 2:00 p.m. Eastern time at least three (3) U.S. Government Securities Business Days prior to a borrowing of Term B Loans, the Borrower shall deliver to the Administrative Agent a Notice of Borrowing. Each Notice of Borrowing shall specify the aggregate principal amount of the Term B Loans to be borrowed, the date such Term B Loans are to be borrowed (which must be a U.S. Government Securities Business Day), the Type of the requested Term B Loans, and if such Term B Loans are to be Term SOFR Loans, the initial Interest Period for such Term B Loans. Each Notice of Borrowing shall be irrevocable once given and binding on the Borrower. Prior to delivering a Notice of Borrowing, the Borrower may (without specifying whether a Loan will be a Base Rate Loan, a Daily Simple SOFR Loan or a Term SOFR Loan) request that the Administrative Agent provide the Borrower with the most recent </w:t>
      </w:r>
      <w:r>
        <w:rPr>
          <w:rFonts w:ascii="Times New Roman" w:hAnsi="Times New Roman"/>
          <w:strike/>
          <w:color w:val="FF0000"/>
          <w:sz w:val="20"/>
        </w:rPr>
        <w:t xml:space="preserve">Adjusted </w:t>
      </w:r>
      <w:r>
        <w:rPr>
          <w:rFonts w:ascii="Times New Roman" w:hAnsi="Times New Roman"/>
          <w:sz w:val="20"/>
        </w:rPr>
        <w:t xml:space="preserve">Daily Simple SOFR or </w:t>
      </w:r>
      <w:r>
        <w:rPr>
          <w:rFonts w:ascii="Times New Roman" w:hAnsi="Times New Roman"/>
          <w:strike/>
          <w:color w:val="FF0000"/>
          <w:sz w:val="20"/>
        </w:rPr>
        <w:t xml:space="preserve">Adjusted </w:t>
      </w:r>
      <w:r>
        <w:rPr>
          <w:rFonts w:ascii="Times New Roman" w:hAnsi="Times New Roman"/>
          <w:sz w:val="20"/>
        </w:rPr>
        <w:t xml:space="preserve">Term SOFR available to the Administrative Agent. The Administrative Agent shall provide such non-binding quoted rate to the Borrower on the date of such request or as soon as possible thereafter; provided that such quoted rate shall be as of the time of the quote provided and any rate applicable to Loans made hereunder shall be the rate calculated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of Term B Loans</w:t>
      </w:r>
      <w:r>
        <w:rPr>
          <w:rFonts w:ascii="Times New Roman" w:hAnsi="Times New Roman"/>
          <w:sz w:val="20"/>
        </w:rPr>
        <w:t xml:space="preserve">. Promptly after receipt of a Notice of Borrowing under the immediately preceding subsection (d), the Administrative Agent shall notify each Term B Loan Lender of the proposed borrowing. Each Term B Loan Lender shall deposit an amount equal to the Term B Loan to be made by such Term B Loan Lender to the Borrower with the Administrative Agent at the Principal Office, in immediately available funds not later than 11:00 a.m. Eastern time on the date of such proposed Term B Loans. Subject to fulfillment of all applicable conditions set forth herein, the Administrative Agent shall make available to the Borrower in the account specified in the Disbursement Instruction Agreement, not later than 12:00 p.m. Eastern time on the date of the requested borrowing of Term B Loans, the proceeds of such amounts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Assumptions Regarding Funding by Lenders</w:t>
      </w:r>
      <w:r>
        <w:rPr>
          <w:rFonts w:ascii="Times New Roman" w:hAnsi="Times New Roman"/>
          <w:sz w:val="20"/>
        </w:rPr>
        <w:t xml:space="preserve">. Unless the Administrative Agent shall have been notified by any Term B Loan Lender that such Term B Loan Lender will not make available to the Administrative Agent the Term B Loan to be made by such Term B Loan Lender in connection with any borrowing, the Administrative Agent may assume that such Term B Loan Lender will make the proceeds of such Term B Loan available to the Administrative Agent in accordance with this Section, and the Administrative Agent may (but shall not be obligated to), in reliance upon such assumption, make available to the Borrower the amount of such Term B Loan to be provided by such Term B Loan Lender. If the Administrative Agent makes the amount of such Term B Loan available to the Borrower prior to its receipt of any proceeds of Term B Loans by any Term B Loan Lender, then if such Term B Loan Lender has not funded its Term B Loan prior to the time set forth therefor in clause (e) above, the Administrative Agent shall use reasonable efforts to notify the Borrower that such Term B Loan Lender has failed to fund by the time required therefore; provided, however, that the Administrative Agent’s failure to provide such notice shall not result in any liability to the Administrative Agent and shall not affect any other provision set forth herein. In such event, if such Term B Loan Lender does not make available to the Administrative Agent the proceeds of such Term B Loan, then such Term B Loan Lender and the Borrower severally agree to pay to the Administrative Agent on demand the amount of such Loan with interest thereon, for each day from and including the date such Term B Loan is made available to the Borrower but excluding the date of payment to the Administrative Agent, at (i) in the case of a payment to be made by such Term B Loan Lender, the Federal Funds Rate and (ii) in the case of a payment to be made by the Borrower, the interest rate applicable to Base Rate Loans. Notwithstanding the prior sentence, if any Term B Loan Lender shall fail to make available to the Administrative Agent the proceeds of the Term B Loan on the date and at the time specified in Section 2.2.(e) but shall make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proceeds available to the Administrative Agent at a later time on such date, such Term B Loan Lender shall pay to the Administrative Agent one day’s worth of interest computed in accordance with clause (i) of the immediately preceding sentence, unless such Term B Loan Lender can provide evidence reasonably satisfactory to the Administrative Agent that such Term B Loan Lender has timely made such proceeds available to the Administrative Agent, including, without limitation, a Fed Reference Number screen shot evidencing the date and time such Term B Loan Lender’s wire was sent. If the Borrower and such Term B Loan Lender shall pay the amount of such interest to the Administrative Agent for the same or overlapping period, the Administrative Agent shall promptly remit to the Borrower the amount of such interest paid by the Borrower for such period. If such Term B Loan Lender pays to the Administrative Agent the amount of such Term B Loan, the amount so paid shall constitute such Term B Loan Lender’s Term B Loan included in the borrowing. Any payment by the Borrower shall be without prejudice to any claim the Borrower may have against a Term B Loan Lender that shall have failed to make available the proceeds of the Term B Loan to be made by such Term B Loan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2.3.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2.4.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2.5. Rates and Payment of Interest on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Rates</w:t>
      </w:r>
      <w:r>
        <w:rPr>
          <w:rFonts w:ascii="Times New Roman" w:hAnsi="Times New Roman"/>
          <w:sz w:val="20"/>
        </w:rPr>
        <w:t xml:space="preserve">.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 </w:t>
      </w:r>
    </w:p>
    <w:p>
      <w:pPr>
        <w:pStyle w:val="TextBody"/>
        <w:bidi w:val="0"/>
        <w:spacing w:before="120" w:after="0"/>
        <w:jc w:val="left"/>
        <w:rPr>
          <w:rFonts w:ascii="Times New Roman" w:hAnsi="Times New Roman"/>
          <w:sz w:val="20"/>
        </w:rPr>
      </w:pPr>
      <w:r>
        <w:rPr>
          <w:rFonts w:ascii="Times New Roman" w:hAnsi="Times New Roman"/>
          <w:sz w:val="20"/>
        </w:rPr>
        <w:t xml:space="preserve">(i) during such periods as such Loan is a Base Rate Loan, at the Base Rate (as in effect from time to time), plus the Applicable Margin for Base Rate Loans; </w:t>
      </w:r>
    </w:p>
    <w:p>
      <w:pPr>
        <w:pStyle w:val="TextBody"/>
        <w:bidi w:val="0"/>
        <w:spacing w:before="120" w:after="0"/>
        <w:jc w:val="left"/>
        <w:rPr>
          <w:rFonts w:ascii="Times New Roman" w:hAnsi="Times New Roman"/>
          <w:sz w:val="20"/>
        </w:rPr>
      </w:pPr>
      <w:r>
        <w:rPr>
          <w:rFonts w:ascii="Times New Roman" w:hAnsi="Times New Roman"/>
          <w:sz w:val="20"/>
        </w:rPr>
        <w:t xml:space="preserve">(ii) during such periods as such Loan is a Daily Simple SOFR Loan, at </w:t>
      </w:r>
      <w:r>
        <w:rPr>
          <w:rFonts w:ascii="Times New Roman" w:hAnsi="Times New Roman"/>
          <w:strike/>
          <w:color w:val="FF0000"/>
          <w:sz w:val="20"/>
        </w:rPr>
        <w:t>Adjusted</w:t>
      </w:r>
      <w:r>
        <w:rPr>
          <w:rFonts w:ascii="Times New Roman" w:hAnsi="Times New Roman"/>
          <w:sz w:val="20"/>
        </w:rPr>
        <w:t xml:space="preserve"> Daily Simple SOFR (as in effect from time to time), plus the Applicable Margin for SOFR Loans; and </w:t>
      </w:r>
    </w:p>
    <w:p>
      <w:pPr>
        <w:pStyle w:val="TextBody"/>
        <w:bidi w:val="0"/>
        <w:spacing w:before="120" w:after="0"/>
        <w:jc w:val="left"/>
        <w:rPr>
          <w:rFonts w:ascii="Times New Roman" w:hAnsi="Times New Roman"/>
          <w:sz w:val="20"/>
        </w:rPr>
      </w:pPr>
      <w:r>
        <w:rPr>
          <w:rFonts w:ascii="Times New Roman" w:hAnsi="Times New Roman"/>
          <w:sz w:val="20"/>
        </w:rPr>
        <w:t>(iii) during such periods as such Loan is a Term SOFR Loan, at</w:t>
      </w:r>
      <w:r>
        <w:rPr>
          <w:rFonts w:ascii="Times New Roman" w:hAnsi="Times New Roman"/>
          <w:strike/>
          <w:color w:val="FF0000"/>
          <w:sz w:val="20"/>
        </w:rPr>
        <w:t xml:space="preserve"> Adjusted</w:t>
      </w:r>
      <w:r>
        <w:rPr>
          <w:rFonts w:ascii="Times New Roman" w:hAnsi="Times New Roman"/>
          <w:sz w:val="20"/>
        </w:rPr>
        <w:t xml:space="preserve"> Term SOFR for such Loan for the Interest Period therefor, plus the Applicable Margin for SOFR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Interest</w:t>
      </w:r>
      <w:r>
        <w:rPr>
          <w:rFonts w:ascii="Times New Roman" w:hAnsi="Times New Roman"/>
          <w:sz w:val="20"/>
        </w:rPr>
        <w:t xml:space="preserve">.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Borrower Information Used to Determine Applicable Interest Rates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(i)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hAnsi="Times New Roman"/>
          <w:b/>
          <w:sz w:val="20"/>
        </w:rPr>
        <w:t>Borrower Information</w:t>
      </w:r>
      <w:r>
        <w:rPr>
          <w:rFonts w:ascii="Times New Roman" w:hAnsi="Times New Roman"/>
          <w:sz w:val="20"/>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Borrower Representative’s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 Representative’s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or any Lender’s other rights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2.6. Number of Interest Periods.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more than three (3) different Interest Periods for Loans outstanding at the same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2.7. Repayment of Loans.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repay the entire outstanding principal amount of, and all accrued but unpaid interest on, the Loans on the Maturity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2.8. Optional Prepayments.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4.4., the Borrower may prepay any Loan in whole or part at any time without premium or penalty.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such Class of Loans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2.9. Continuation.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exists, the Borrower may on any Business Day, continue any (x) Daily Simple SOFR Loans as Daily Simple SOFR Loans or (y) Term SOFR Loans as Term SOFR Loans. Each Continuation of SOFR Loans of the same Class shall be in an aggregate minimum amount of $1,000,000 and integral multiples of $1,000,000 in excess of that amount, and, with respect to Term SOFR Loans, each 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12:00 p.m. noon Eastern time three (3) U.S. Government Securities Business Days before the day on which a 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2.10.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of the same Class into Term SOFR Loans or Daily Simple SOFR Loans, as applicable, shall be in an aggregate minimum amount of $1,000,000 and integral multiples of $1,000,000 in excess of that amount. Each such Notice of Conversion shall be given not later than 12:00 p.m. noon Eastern time (x) with respect to Loans that are to be Converted to Base Rate Loans, one (1) Business Day, (y) with respect to Loans that are to be converted to Daily Simple SOFR Loans, one (1) U.S. Government Securities Business Day and (z) with respect to Loans 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and Class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2.11.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Notes</w:t>
      </w:r>
      <w:r>
        <w:rPr>
          <w:rFonts w:ascii="Times New Roman" w:hAnsi="Times New Roman"/>
          <w:sz w:val="20"/>
        </w:rPr>
        <w:t xml:space="preserve">. Except in the case of a Lender that has notified the Administrative Agent in writing that it elects not to receive a Note, the Loans made by each Lender shall, in addition to this Agreement, also be evidenced by a Note, payable to the order of such Lender in a principal amount equal to the amount of its Loans and Commitment as originally in effect and otherwise duly completed (or, if such Lender was not a Lender on the Effective Date, in a principal amount equal to the initial principal amount of the Loans and Commitment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Records</w:t>
      </w:r>
      <w:r>
        <w:rPr>
          <w:rFonts w:ascii="Times New Roman" w:hAnsi="Times New Roman"/>
          <w:sz w:val="20"/>
        </w:rPr>
        <w:t xml:space="preserve">. The date, amount, interest rate, Class,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Lost, Stolen, Destroyed or Mutilated Notes</w:t>
      </w:r>
      <w:r>
        <w:rPr>
          <w:rFonts w:ascii="Times New Roman" w:hAnsi="Times New Roman"/>
          <w:sz w:val="20"/>
        </w:rPr>
        <w:t xml:space="preserve">.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2.12. Voluntary Reductions of the Commitments.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to terminate or reduce the aggregate unused amount of the Commitments at any time and from time to time without penalty or premium upon not less than 5 Business Days prior written notice to the Administrative Agent of each such termination or reduction, which notice shall specify the effective date thereof and the amount of any such reduction (which in the case of any partial reduction of the Commitments shall not be less than $5,000,000 and integral multiples of $1,000,000 in excess of that amount in the aggregate) and shall be irrevocable once given and effective only upon receipt by the Administrative Agent (“</w:t>
      </w:r>
      <w:r>
        <w:rPr>
          <w:rFonts w:ascii="Times New Roman" w:hAnsi="Times New Roman"/>
          <w:b/>
          <w:sz w:val="20"/>
        </w:rPr>
        <w:t>Commitment Reduction Notice</w:t>
      </w:r>
      <w:r>
        <w:rPr>
          <w:rFonts w:ascii="Times New Roman" w:hAnsi="Times New Roman"/>
          <w:sz w:val="20"/>
        </w:rPr>
        <w:t xml:space="preserve">”); provided, however, the Borrower may not reduce the aggregate amount of the Commitments below $20,000,000 unless the Borrower is terminating the Commitments in full. Promptly after receipt of a Commitment Reduction Notice the Administrative Agent shall notify each Lender of the proposed termination or Commitment reduction. The Commitments, once reduced or terminated pursuant to this Section, may not be increased or reinstated. The Borrower shall pay all fees on the Term B Loans accrued to the date of such reduction or termination of the Commitments to the Administrative Agent for the account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Extension of Maturity Date.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exercisable two times, to extend the Maturity Date by twelve months. The Borrower may exercise such right only by executing and delivering to the Administrative Agent at least 30 days but not more than 90 days prior to the Maturity Date, a written request for such extension (an “</w:t>
      </w:r>
      <w:r>
        <w:rPr>
          <w:rFonts w:ascii="Times New Roman" w:hAnsi="Times New Roman"/>
          <w:b/>
          <w:sz w:val="20"/>
        </w:rPr>
        <w:t>Extension Request</w:t>
      </w:r>
      <w:r>
        <w:rPr>
          <w:rFonts w:ascii="Times New Roman" w:hAnsi="Times New Roman"/>
          <w:sz w:val="20"/>
        </w:rPr>
        <w:t xml:space="preserve">”). The Administrative Agent shall notify the Lenders if it receives an Extension Request promptly upon receipt thereof. Subject to satisfaction of the following conditions, the Maturity Date shall be extended for twelve months effective upon receipt by the Administrative Agent of the Extension Request and payment of the fee referred to in the following clause (y): (x)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3.5(c) on or before the effective date of the applicable extension.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2.14. Additional Term Loans.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at any time and from time to time, to request the making of additional Loans (“</w:t>
      </w:r>
      <w:r>
        <w:rPr>
          <w:rFonts w:ascii="Times New Roman" w:hAnsi="Times New Roman"/>
          <w:b/>
          <w:sz w:val="20"/>
        </w:rPr>
        <w:t>Additional Loans</w:t>
      </w:r>
      <w:r>
        <w:rPr>
          <w:rFonts w:ascii="Times New Roman" w:hAnsi="Times New Roman"/>
          <w:sz w:val="20"/>
        </w:rPr>
        <w:t xml:space="preserve">”) which are either Term A Loans or Term B Loans by providing written notice to the Administrative Agent, which notice shall be irrevocable once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the making of any Additional Loans the aggregate outstanding amount of the Loans shall not exceed $1,000,000,000 minus the amount of any optional prepayments of the Loans pursuant to Section 2.8. Additional Loans shall be on the same terms and conditions of this Agreement that are applicable to all other Term A Loans or Term B Loans, as the case may be. Each such request to make Additional Loans must be in a minimum amount of $25,000,000 and integral multiples of $5,000,000 in excess thereof. If the request is approved by the Administrative Agent, the Administrative Agent, in consultation with the Borrower Representative, shall manage all aspects of the syndication of such Additional Loans, including decisions as to the selection of the existing Lenders and/or other banks, financial institutions and other institutional lenders to be approached with respect to such increase and the allocations of the Additional Loans among such existing Lenders and/or other banks, financial institutions and other institutional lenders; provided that any such other banks, financial institutions and other institutional lenders and the amounts of the respective increases and the allocations of such Additional Loans, as the case may be, shall be reasonably acceptable to the Borrower Representative. No Lender shall be obligated in any way whatsoever to make Additional Loans, and any new Lender becoming a party to this Agreement in connection with any such requested Additional Loans must be an Eligible Assignee. In connection with the making of any Additional Loans under this Section, (I) the Borrower shall certify to any Person to become a Lender or any Lender making Additional Loans that (x) no Default or Event of Default is in existence on the effective date of such increase and (y) the representations and warranties made or deemed made by the Borrower and each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and (II) the Administrative Agent shall have received each of the following, in form and substance reasonably satisfactory to the Administrative Agent: (i) if not previously delivered to the Administrative Agent, copies (certified by the Secretary or Assistant Secretary of the Borrower Representative) of (A) all corporate, partnership, member or other necessary action taken by the Borrower to authorize such Additional Loans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 (iii) new Notes executed by the Borrower,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new Lenders and replacement Notes executed by the Borrower, payable to any existing Lenders providing Additional Loans, in the amount of each such Lender’s Loans at the time of the effectiveness of the making of any Additional Loans. In connection with the making of any Additional Loans pursuant to this Section 2.14. any Lender becoming a party hereto shall execute such documents and agreements as the Administrative Agent may reasonably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Joint and Several Liability. </w:t>
      </w:r>
    </w:p>
    <w:p>
      <w:pPr>
        <w:pStyle w:val="TextBody"/>
        <w:bidi w:val="0"/>
        <w:spacing w:before="120" w:after="0"/>
        <w:jc w:val="left"/>
        <w:rPr>
          <w:rFonts w:ascii="Times New Roman" w:hAnsi="Times New Roman"/>
          <w:sz w:val="20"/>
        </w:rPr>
      </w:pPr>
      <w:r>
        <w:rPr>
          <w:rFonts w:ascii="Times New Roman" w:hAnsi="Times New Roman"/>
          <w:sz w:val="20"/>
        </w:rPr>
        <w:t xml:space="preserve">(a) Each Borrower acknowledges and agrees that (i) it is a co-borrower hereunder and shall be jointly and severally, with the other Borrower, directly and primarily liable for the Obligations regardless of which Borrower actually receives Loans or other extensions of credit hereunder or the amount of such Loans or other extensions of credit received or the manner in which the Administrative Agent and/or any Lender accounts for such Loans or other extensions of credit on its books and records, (ii) each Borrower shall have the obligations of co-maker with respect to each Note and shall be primary obligors with respect to all Loans and the other Obligations, it being agreed that such extensions of credit to each Borrower inure to the benefit of the Borrower collectively, and (iii) the Administrative Agent and each of the Lenders is relying on such joint and several liability of the collective Borrower as co-makers in extending the Loans hereunder. Each Borrower’s obligations with respect to Loans made to it and each Borrower’s obligations arising as a result of the joint and several liability of the collective Borrower hereunder, with respect to Loans made to the other Borrower hereunder shall be separate and distinct obligations, but all such Obligations shall be primary obligations of each Borrower. </w:t>
      </w:r>
    </w:p>
    <w:p>
      <w:pPr>
        <w:pStyle w:val="TextBody"/>
        <w:bidi w:val="0"/>
        <w:spacing w:before="240" w:after="0"/>
        <w:jc w:val="left"/>
        <w:rPr>
          <w:rFonts w:ascii="Times New Roman" w:hAnsi="Times New Roman"/>
          <w:sz w:val="20"/>
        </w:rPr>
      </w:pPr>
      <w:r>
        <w:rPr>
          <w:rFonts w:ascii="Times New Roman" w:hAnsi="Times New Roman"/>
          <w:sz w:val="20"/>
        </w:rPr>
        <w:t xml:space="preserve">(b) Each Borrower’s obligations arising as a result of the joint and several liability of the collective Borrower hereunder with respect to Obligations of the other Borrower hereunder shall, to the fullest extent permitted by law, be unconditional irrespective of (i) the validity or enforceability, avoidance or subordination of the Obligations of the other Borrower or other document evidencing all or any part of the Obligations of the other Borrower, (ii) the absence of any attempt to collect the Obligations from the other Borrower, or any other security therefor, or the absence of any other action to enforce the same, (iii) the waiver, consent, extension, forbearance or granting of any indulgence by the Administrative Agent or any Lender with respect to any provision of any instrument evidencing the Obligations of the other Borrower, or any part thereof, or any other agreement now or hereafter executed by the other Borrower and delivered to the Administrative Agent or any Lender, (iv) the failure by the Administrative Agent or any Lender to take any steps to perfect and maintain its security interest in, or to preserve its rights to, any security for the Obligations of the other Borrower, (v) any borrowing or grant of a security interest by the other Borrower, as debtors-in-possession under Section 364 of the Bankruptcy Code of 1978 or any other Debtor Relief Law, (vi) the disallowance of all or any portion of the Administrative Agent’s or any Lender’s claim(s) for the repayment of the Obligations of the other Borrower under Section 502 of the Bankruptcy Code of 1978 or any other Debtor Relief Law, or (vii) any other circumstances which might constitute a legal or equitable discharge or defense of the other Borrower.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Borrower’s obligations arising as a result of the joint and several liability of the collective Borrower hereunder with respect to Obligations of the other Borrower hereunder, each Borrower waives, until the repayment of all Obligations, any right to enforce any right of subrogation or any remedy which the Administrative Agent or any Lender now has or may hereafter have against such Borrower, any endorser or any guarantor of all or any part of the Obligations, and any benefit of, and any right to participate in, any security or collateral given to the Administrative Agent or any Lender to secure payment of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payment or payments made by a Borrower or any other Person or received or collected by the Administrative Agent or any Lender from a Borrower or any other Person by virtue of any action or proceeding or any set-off or appropriation or application at any time or from time to time in reduction of or in payment of the Obligations shall be deemed (except to the extent Obligations are satisfied) to modify, release or otherwise affect the liability of a Borrower under this Agreement, which shall remain liable for the Obligations until the repayment of all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2.16. Borrower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Each Borrower hereby appoints Borrower Representative as, and Borrower Representative shall act under this Agreement as, the agent, attorney-in-fact and legal representative of the collective Borrower for all purposes hereunder, including, without limitation, requesting Loans (if applicable) and receiving account statements and other notices and communications to the Borrower (or any Borrower) from Administrative Agent or any Lender. Accordingly, the parties agree that any and all actions to be taken hereunder by the Borrower may be taken by the Borrower Representative for and on behalf of the Borrower, and any and all notices and communications permitted or required to be made by Administrative Agent or any Lender hereunder to the Borrower, shall be deemed made to each Borrower if delivered to Borrower Representative. The Administrative Agent and each Lender and other Agent may rely, and shall be fully protected in relying, on any notice, disbursement instruction, report, information or any other notice or communication made or given by Borrower Representative or any Borrower, whether in its own name, on behalf of any other Borrower or on behalf of the collective “Borrower”, and none of Administrative Agent or any Lender shall have any obligation to make any inquiry or request any confirmation from or on behalf of any other Borrower as to the binding effect on it of any such notice, request, instruction, report, information, other notice or communications. Borrower Representative or any other Borrower may from time to time tender to Administrative Agent and the Lenders, representations or performance of covenants hereunder and take actions in respect of other matters on behalf of the collective Borrower, and any such representations, performance or actions by Borrower Representative or any Borrower, shall be conclusively deemed done with the authorization of and on behalf of the other Borrower, as the circumstances and the specific action taken may indicate. Administrative Agent and each of the Lenders may in all cases rely on communications from, and representations and actions taken by, the Borrower Representative or any other Borrower as though given, delivered, made or taken by or from the collective Borrower, and all such communications, representations and actions shall be binding upon each Borrower on whose behalf such communications, representations or actions were purportedly taken by such other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2.17. Funds Transfer Disbursements.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hereby authorizes the Administrative Agent to disburse the proceeds of the Loans made by the Lenders or any of their Affiliates pursuant to the Loan Documents to any of the accounts designated in the Disbursement Instruction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PAYMENTS, FEES AND OTHER GENERAL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 Payments.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Borrower</w:t>
      </w:r>
      <w:r>
        <w:rPr>
          <w:rFonts w:ascii="Times New Roman" w:hAnsi="Times New Roman"/>
          <w:sz w:val="20"/>
        </w:rPr>
        <w:t xml:space="preserve">.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Presumptions Regarding Payments by Borrower</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3.2. Pro Rata Treatment.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otherwise provided herein: (a) each borrowing from the Term B Loan Lenders under Section 2.2.(c) shall be made from the Term B Loan Lenders, each payment of fees under Section 3.5(b) shall be made for the account of the Term B Loan Lenders, and each termination or reduction of the amount of the Commitments under Section 2.12. shall be applied to the respective Commitments of the Term B Loan Lenders, pro rata according to the amounts of their respective Commitments, (b) each payment or prepayment of principal of a Class of Loans shall be made for the account of the Lenders of such Class pro rata in accordance with the respective unpaid principal amounts of the Loans held by them; (c) each payment of interest on a Class of Loans shall be made for the account of the Lenders of such Class pro rata in accordance with the amounts of interest on such Loans then due and payable to the respective Lenders; (d) the Conversion and Continuation of Loans of a particular Class and Type (other than Conversions provided for by Sections 4.1.(c) and 4.5.) shall be made pro rata among the Lenders of such Class according to the amounts of their Loans of such Class and the then current Interest Period for each Lender’s portion of each such Loan of such Type shall be coterminous; and (e) each payment of the fees under Section 3.5.(c) with respect to the Loans shall be made for the account of the Lenders pro rata according to the unpaid principal amounts of their respective Loans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3.3. Sharing of Payments, Etc. </w:t>
      </w:r>
    </w:p>
    <w:p>
      <w:pPr>
        <w:pStyle w:val="TextBody"/>
        <w:bidi w:val="0"/>
        <w:spacing w:before="120" w:after="0"/>
        <w:jc w:val="left"/>
        <w:rPr>
          <w:rFonts w:ascii="Times New Roman" w:hAnsi="Times New Roman"/>
          <w:sz w:val="20"/>
        </w:rPr>
      </w:pPr>
      <w:r>
        <w:rPr>
          <w:rFonts w:ascii="Times New Roman" w:hAnsi="Times New Roman"/>
          <w:sz w:val="20"/>
        </w:rPr>
        <w:t xml:space="preserve">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3.4. Several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3.5. Fees.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Fee</w:t>
      </w:r>
      <w:r>
        <w:rPr>
          <w:rFonts w:ascii="Times New Roman" w:hAnsi="Times New Roman"/>
          <w:sz w:val="20"/>
        </w:rPr>
        <w:t xml:space="preserve">. On the Effective Date, the Borrower agrees to pay to the Administrative Agent and each Lender all loan fees as have been agreed to in writing by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Ticking Fee</w:t>
      </w:r>
      <w:r>
        <w:rPr>
          <w:rFonts w:ascii="Times New Roman" w:hAnsi="Times New Roman"/>
          <w:sz w:val="20"/>
        </w:rPr>
        <w:t xml:space="preserve">. For the period from the date that is sixty (60) days after the Effective Date until the Availability Termination Date, the Borrower shall pay to the Administrative Agent for the account of each Term B Loan Lender in accordance with its Commitment Percentage, a per annum ticking fee equal to the daily aggregate amount of the Commitments available multiplied by a per annum rate equal to 0.15%. Such fee shall be computed on a daily basis and payable quarterly in arrears on the first day of each January, April, July and October, commencing with the first such date to occur at least sixty (60) days after the Effective Date, and on the Availability Termination Date. The Borrower acknowledges that such fee is a bona fide commitment/ticking fee and is intended as reasonable compensation to the Term B Loan Lenders for committing to make funds available to the Borrower as described herein and for no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Maturity Extension Fee</w:t>
      </w:r>
      <w:r>
        <w:rPr>
          <w:rFonts w:ascii="Times New Roman" w:hAnsi="Times New Roman"/>
          <w:sz w:val="20"/>
        </w:rPr>
        <w:t xml:space="preserve">. If the Borrower exercises its right to extend the Maturity Date in accordance with Section 2.13., the Borrower shall pay to the Administrative Agent for the account of each Lender a fee for each extension equal to 0.125% of the aggregate principal amount of such Lender’s Loan outstanding as of the effective date of such extension. Such fee shall be due and payable in full on the effective date of the extension pursuant to Section 2.13.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Administrative and Other Fees</w:t>
      </w:r>
      <w:r>
        <w:rPr>
          <w:rFonts w:ascii="Times New Roman" w:hAnsi="Times New Roman"/>
          <w:sz w:val="20"/>
        </w:rPr>
        <w:t xml:space="preserve">. The Borrower agrees to pay the administrative and other fees of the Administrative Agent as provided in the Fee Letter and as may be otherwise agreed to in writing from time to time by the Borrower, the Arrangers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3.6. Computations.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expressly set forth herein, any accrued interest on any Loan, any Fees or any other Obligations due hereunder shall be computed on the basis of a year of 360 days and the actual number of days elapsed.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3.7. Usury.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3.8. Statements of Account.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will account to the Borrower Representative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3.9. 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Requisite Lenders, Requisite Term A Loan Lenders and Requisite Term B Loan Lenders, as applicable.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sz w:val="20"/>
          <w:u w:val="single"/>
        </w:rPr>
        <w:t>fourth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fifth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 Term B Loan in respect of which such Defaulting Lender has not fully funded its appropriate share, such payment shall be applied solely to pay the Term B Loans of all Non-Defaulting Lenders on a pro rata basis prior to being applied to the payment of a Term B Loan of such Defaulting Lender until such time as all Term B Loans are held by the Lenders pro rata in accordance with their respective Commitment Percentages immediately prior to any fundings which such Defaulting Lender failed to fund.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Fees</w:t>
      </w:r>
      <w:r>
        <w:rPr>
          <w:rFonts w:ascii="Times New Roman" w:hAnsi="Times New Roman"/>
          <w:sz w:val="20"/>
        </w:rPr>
        <w:t xml:space="preserve">. No Defaulting Lender shall be entitled to receive any Fees payable under Section 3.5. for any period during which that Lender is a Defaulting Lender (and the Borrower shall not be required to pay any such fee that otherwise would have been required to have been paid to that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Term B Loans of the other Term B Loan Lenders or take such other actions as the Administrative Agent may determine to be necessary to cause the Term B Loans to be held pro rata by the Term B Loan Lenders in accordance with their respective Commitment Percentages immediately prior to any fundings which such Defaulting Lender failed to fund,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3.10. Taxes; Foreign Lenders.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w:t>
      </w:r>
      <w:r>
        <w:rPr>
          <w:rFonts w:ascii="Times New Roman" w:hAnsi="Times New Roman"/>
          <w:sz w:val="20"/>
        </w:rPr>
        <w:t xml:space="preserve">. The Borrower and the other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w:t>
      </w:r>
      <w:r>
        <w:rPr>
          <w:rFonts w:ascii="Times New Roman" w:hAnsi="Times New Roman"/>
          <w:sz w:val="20"/>
        </w:rPr>
        <w:t xml:space="preserve">.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an electronic copy (or an original if requested by the Borrower or the Administrative Agent) of an executed IRS Form W-8ECI;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“U.S. Tax Compliance Certificate”) and (y) an electronic copy (or an original if requested by the Borrower or the Administrative Agent) of IRS Form W-8BEN or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YIELD PROTECTION, ETC.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4.1. Additional Costs; Capital Adequacy.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Adequacy</w:t>
      </w:r>
      <w:r>
        <w:rPr>
          <w:rFonts w:ascii="Times New Roman" w:hAnsi="Times New Roman"/>
          <w:sz w:val="20"/>
        </w:rPr>
        <w:t xml:space="preserve">.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the Commitments of such Lender or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Costs.</w:t>
      </w:r>
      <w:r>
        <w:rPr>
          <w:rFonts w:ascii="Times New Roman" w:hAnsi="Times New Roman"/>
          <w:sz w:val="20"/>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of, or maintaining of any SOFR Loans or its obligation to make any SOFR Loans hereunder, any reduction in any amount receivable by such Lender under this Agreement or any of the other Loan Documents in respect of any of such SOFR Loans or such obligation or the maintenance by such Lender of capital in respect of its SOFR Loans (such increases in costs and reductions in amounts receivable being herein called “Additional Costs”), to the extent resulting from any Regulatory Change that: (i) changes the basis of taxation of any amounts payable to such Lender under this Agreement or any of the other Loan Documents in respect of any of such SOFR Loans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is determined to the extent utilized to determine </w:t>
      </w:r>
      <w:r>
        <w:rPr>
          <w:rFonts w:ascii="Times New Roman" w:hAnsi="Times New Roman"/>
          <w:strike/>
          <w:color w:val="FF0000"/>
          <w:sz w:val="20"/>
        </w:rPr>
        <w:t xml:space="preserve">Adjusted </w:t>
      </w:r>
      <w:r>
        <w:rPr>
          <w:rFonts w:ascii="Times New Roman" w:hAnsi="Times New Roman"/>
          <w:sz w:val="20"/>
        </w:rPr>
        <w:t xml:space="preserve">Term SOFR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Lender’s Suspension of SOFR Loans.</w:t>
      </w:r>
      <w:r>
        <w:rPr>
          <w:rFonts w:ascii="Times New Roman" w:hAnsi="Times New Roman"/>
          <w:sz w:val="20"/>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hereunder shall be suspended until such Regulatory Change ceases to be in effect (in which case the provisions of Section 4.5. shall apply). </w:t>
      </w:r>
    </w:p>
    <w:p>
      <w:pPr>
        <w:pStyle w:val="TextBody"/>
        <w:bidi w:val="0"/>
        <w:spacing w:before="240" w:after="0"/>
        <w:jc w:val="left"/>
        <w:rPr>
          <w:rFonts w:ascii="Times New Roman" w:hAnsi="Times New Roman"/>
          <w:sz w:val="20"/>
        </w:rPr>
      </w:pPr>
      <w:r>
        <w:rPr>
          <w:rFonts w:ascii="Times New Roman" w:hAnsi="Times New Roman"/>
          <w:sz w:val="20"/>
        </w:rPr>
        <w:t xml:space="preserve">(d)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and Determination of Additional Costs</w:t>
      </w:r>
      <w:r>
        <w:rPr>
          <w:rFonts w:ascii="Times New Roman" w:hAnsi="Times New Roman"/>
          <w:sz w:val="20"/>
        </w:rPr>
        <w:t xml:space="preserve">.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4.2. Inability to Determine Interest Rates; Alternative Rate of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Circumstances Affecting Benchmark Availability</w:t>
      </w:r>
      <w:r>
        <w:rPr>
          <w:rFonts w:ascii="Times New Roman" w:hAnsi="Times New Roman"/>
          <w:sz w:val="20"/>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w:t>
      </w:r>
      <w:r>
        <w:rPr>
          <w:rFonts w:ascii="Times New Roman" w:hAnsi="Times New Roman"/>
          <w:strike/>
          <w:color w:val="FF0000"/>
          <w:sz w:val="20"/>
        </w:rPr>
        <w:t xml:space="preserve">Adjusted </w:t>
      </w:r>
      <w:r>
        <w:rPr>
          <w:rFonts w:ascii="Times New Roman" w:hAnsi="Times New Roman"/>
          <w:sz w:val="20"/>
        </w:rPr>
        <w:t xml:space="preserve">Daily Simple SOFR pursuant to the definition thereof or </w:t>
      </w:r>
      <w:r>
        <w:rPr>
          <w:rFonts w:ascii="Times New Roman" w:hAnsi="Times New Roman"/>
          <w:strike/>
          <w:color w:val="FF0000"/>
          <w:sz w:val="20"/>
        </w:rPr>
        <w:t xml:space="preserve">Adjusted </w:t>
      </w:r>
      <w:r>
        <w:rPr>
          <w:rFonts w:ascii="Times New Roman" w:hAnsi="Times New Roman"/>
          <w:sz w:val="20"/>
        </w:rPr>
        <w:t>Term SOFR with respect to a proposed Term SOFR Loan on or prior to the first day of the applicable Interest Period or (ii) the Requisite Lenders shall determine (which determination shall be conclusive and binding absent manifest error) that</w:t>
      </w:r>
      <w:r>
        <w:rPr>
          <w:rFonts w:ascii="Times New Roman" w:hAnsi="Times New Roman"/>
          <w:strike/>
          <w:color w:val="FF0000"/>
          <w:sz w:val="20"/>
        </w:rPr>
        <w:t xml:space="preserve"> Adjusted</w:t>
      </w:r>
      <w:r>
        <w:rPr>
          <w:rFonts w:ascii="Times New Roman" w:hAnsi="Times New Roman"/>
          <w:sz w:val="20"/>
        </w:rPr>
        <w:t xml:space="preserve"> Daily Simple SOFR or</w:t>
      </w:r>
      <w:r>
        <w:rPr>
          <w:rFonts w:ascii="Times New Roman" w:hAnsi="Times New Roman"/>
          <w:strike/>
          <w:color w:val="FF0000"/>
          <w:sz w:val="20"/>
        </w:rPr>
        <w:t xml:space="preserve"> Adjusted</w:t>
      </w:r>
      <w:r>
        <w:rPr>
          <w:rFonts w:ascii="Times New Roman" w:hAnsi="Times New Roman"/>
          <w:sz w:val="20"/>
        </w:rPr>
        <w:t xml:space="preserve"> Term SOFR, as applicable, does not adequately and fairly reflect the cost to such Lenders of making or maintaining any such Loan during, with respect to</w:t>
      </w:r>
      <w:r>
        <w:rPr>
          <w:rFonts w:ascii="Times New Roman" w:hAnsi="Times New Roman"/>
          <w:strike/>
          <w:color w:val="FF0000"/>
          <w:sz w:val="20"/>
        </w:rPr>
        <w:t xml:space="preserve"> Adjusted</w:t>
      </w:r>
      <w:r>
        <w:rPr>
          <w:rFonts w:ascii="Times New Roman" w:hAnsi="Times New Roman"/>
          <w:sz w:val="20"/>
        </w:rPr>
        <w:t xml:space="preserve">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w:t>
      </w:r>
      <w:r>
        <w:rPr>
          <w:rFonts w:ascii="Times New Roman" w:hAnsi="Times New Roman"/>
          <w:sz w:val="20"/>
          <w:u w:val="single"/>
        </w:rPr>
        <w:t xml:space="preserve"> Section 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Benchmark Replacement</w:t>
      </w:r>
      <w:r>
        <w:rPr>
          <w:rFonts w:ascii="Times New Roman" w:hAnsi="Times New Roman"/>
          <w:sz w:val="20"/>
        </w:rPr>
        <w:t xml:space="preserve">.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Eastern time on the fifth (5th)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 w:hAnsi="Times New Roman"/>
          <w:sz w:val="20"/>
          <w:u w:val="single"/>
        </w:rPr>
        <w:t>Section 4.2.(b)(i).</w:t>
      </w:r>
      <w:r>
        <w:rPr>
          <w:rFonts w:ascii="Times New Roman" w:hAnsi="Times New Roman"/>
          <w:sz w:val="20"/>
        </w:rPr>
        <w:t xml:space="preserve"> will occur prior to the applicable Benchmark Transition Start Date. No Derivatives Contract shall be deemed to be a “Loan Document” for purposes of this </w:t>
      </w:r>
      <w:r>
        <w:rPr>
          <w:rFonts w:ascii="Times New Roman" w:hAnsi="Times New Roman"/>
          <w:sz w:val="20"/>
          <w:u w:val="single"/>
        </w:rPr>
        <w:t>Section 4.2.(b)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and the Lenders of the removal or reinstatement of any tenor of a Benchmark pursuant to </w:t>
      </w:r>
      <w:r>
        <w:rPr>
          <w:rFonts w:ascii="Times New Roman" w:hAnsi="Times New Roman"/>
          <w:sz w:val="20"/>
          <w:u w:val="single"/>
        </w:rPr>
        <w:t>Section 4.2.(b)(iv)</w:t>
      </w:r>
      <w:r>
        <w:rPr>
          <w:rFonts w:ascii="Times New Roman" w:hAnsi="Times New Roman"/>
          <w:sz w:val="20"/>
        </w:rPr>
        <w:t xml:space="preserve">. Any determination, decision or election that may be made by the Administrative Agent or, if applicable, any Lender (or group of Lenders) pursuant to this </w:t>
      </w:r>
      <w:r>
        <w:rPr>
          <w:rFonts w:ascii="Times New Roman" w:hAnsi="Times New Roman"/>
          <w:sz w:val="20"/>
          <w:u w:val="single"/>
        </w:rPr>
        <w:t>Section 4.2.</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 w:hAnsi="Times New Roman"/>
          <w:sz w:val="20"/>
          <w:u w:val="single"/>
        </w:rPr>
        <w:t>Section 4.2</w:t>
      </w:r>
      <w:r>
        <w:rPr>
          <w:rFonts w:ascii="Times New Roman" w:hAnsi="Times New Roman"/>
          <w:sz w:val="20"/>
        </w:rPr>
        <w:t xml:space="preserve"> (including in the definitions of defined terms used in such clauses).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with respect to a given Benchmark, (A) the Borrower may revoke any pending request for a borrowing of </w:t>
      </w:r>
      <w:r>
        <w:rPr>
          <w:rFonts w:ascii="Times New Roman" w:hAnsi="Times New Roman"/>
          <w:strike/>
          <w:color w:val="FF0000"/>
          <w:sz w:val="20"/>
        </w:rPr>
        <w:t xml:space="preserve">Revolving </w:t>
      </w:r>
      <w:r>
        <w:rPr>
          <w:rFonts w:ascii="Times New Roman" w:hAnsi="Times New Roman"/>
          <w:sz w:val="20"/>
        </w:rPr>
        <w:t xml:space="preserve">Loans, Conversion to, or a Continuation of any affected SOFR Loans to be made, converted or continued during any Benchmark Unavailability Period and, failing that, the Borrower will be deemed to have converted any such request into a request for a borrowing of </w:t>
      </w:r>
      <w:r>
        <w:rPr>
          <w:rFonts w:ascii="Times New Roman" w:hAnsi="Times New Roman"/>
          <w:strike/>
          <w:color w:val="FF0000"/>
          <w:sz w:val="20"/>
        </w:rPr>
        <w:t xml:space="preserve">Revolving </w:t>
      </w:r>
      <w:r>
        <w:rPr>
          <w:rFonts w:ascii="Times New Roman" w:hAnsi="Times New Roman"/>
          <w:sz w:val="20"/>
        </w:rPr>
        <w:t xml:space="preserve">Loans of or Conversion to Base Rate Loans and (B) any outstanding affected SOFR Loans will be deemed to have been converted to Base Rate Loans (I) with respect to any Daily Simple SOFR Loans, immediately and (II) with respect to any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4.3. Illegality.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if any Lender shall reasonably determine (which determination shall be conclusive and binding) that it is unlawful for such Lender to honor its obligation to Convert to, Continue or maintain SOFR Loans hereunder, then such Lender shall promptly notify the Borrower thereof (with a copy of such notice to the Administrative Agent) and such Lender’s obligation to maintain or Continue, or to Convert Loans of any other Type into, SOFR Loans shall be suspended until such time as such Lender may again maintain SOFR Loans (in which case the provisions of Section 4.5. shall be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4.4.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 </w:t>
      </w:r>
    </w:p>
    <w:p>
      <w:pPr>
        <w:pStyle w:val="TextBody"/>
        <w:bidi w:val="0"/>
        <w:spacing w:before="120" w:after="0"/>
        <w:jc w:val="left"/>
        <w:rPr>
          <w:rFonts w:ascii="Times New Roman" w:hAnsi="Times New Roman"/>
          <w:sz w:val="20"/>
        </w:rPr>
      </w:pPr>
      <w:r>
        <w:rPr>
          <w:rFonts w:ascii="Times New Roman" w:hAnsi="Times New Roman"/>
          <w:sz w:val="20"/>
        </w:rPr>
        <w:t xml:space="preserve">(a) any payment or prepayment (whether mandatory or optional) of a Term SOFR Loan, or Conversion of a Term SOFR Loan, made by such Lender for any reason (including, without limitation, acceleration) on a date other than the last day of the Interest Period for such Loan; or </w:t>
      </w:r>
    </w:p>
    <w:p>
      <w:pPr>
        <w:pStyle w:val="TextBody"/>
        <w:bidi w:val="0"/>
        <w:spacing w:before="120" w:after="0"/>
        <w:jc w:val="left"/>
        <w:rPr>
          <w:rFonts w:ascii="Times New Roman" w:hAnsi="Times New Roman"/>
          <w:sz w:val="20"/>
        </w:rPr>
      </w:pPr>
      <w:r>
        <w:rPr>
          <w:rFonts w:ascii="Times New Roman" w:hAnsi="Times New Roman"/>
          <w:sz w:val="20"/>
        </w:rPr>
        <w:t xml:space="preserve">(b) any failure by the Borrower for any reason (including, without limitation, the failure of any of the applicable conditions precedent specified in Section 5.2. to be satisfied) to borrow a Term SOFR Loan from such Lender on the date for such borrowing, or to Convert a Base Rate Loan or Daily Simple SOFR Loan into a Term SOFR Loan or Continue a Term SOFR Loan on the requested date of such Conversion or Continuation. </w:t>
      </w:r>
    </w:p>
    <w:p>
      <w:pPr>
        <w:pStyle w:val="TextBody"/>
        <w:bidi w:val="0"/>
        <w:spacing w:before="120" w:after="0"/>
        <w:jc w:val="left"/>
        <w:rPr>
          <w:rFonts w:ascii="Times New Roman" w:hAnsi="Times New Roman"/>
          <w:sz w:val="20"/>
        </w:rPr>
      </w:pPr>
      <w:r>
        <w:rPr>
          <w:rFonts w:ascii="Times New Roman" w:hAnsi="Times New Roman"/>
          <w:sz w:val="20"/>
        </w:rPr>
        <w:t xml:space="preserve">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4.5. Treatment of Affected Loans. </w:t>
      </w:r>
    </w:p>
    <w:p>
      <w:pPr>
        <w:pStyle w:val="TextBody"/>
        <w:bidi w:val="0"/>
        <w:spacing w:before="120" w:after="0"/>
        <w:jc w:val="left"/>
        <w:rPr>
          <w:rFonts w:ascii="Times New Roman" w:hAnsi="Times New Roman"/>
          <w:sz w:val="20"/>
        </w:rPr>
      </w:pPr>
      <w:r>
        <w:rPr>
          <w:rFonts w:ascii="Times New Roman" w:hAnsi="Times New Roman"/>
          <w:sz w:val="20"/>
        </w:rPr>
        <w:t xml:space="preserve">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such Lender’s SOFR Loans have been so Converted, all payments and prepayments of principal that would otherwise be applied to such Lender’s SOFR Loans shall be applied instead to its Base Rate Loans;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portion of such Lender’s Loan that would otherwise be Continued by such Lender as a SOFR Loan shall be Continued instead as a Base Rate Loan, and any Base Rate Loan of such Lender that would otherwise be Converted into a SOFR Loan shall remain as a Base Rate Loan. </w:t>
      </w:r>
    </w:p>
    <w:p>
      <w:pPr>
        <w:pStyle w:val="TextBody"/>
        <w:bidi w:val="0"/>
        <w:spacing w:before="240" w:after="0"/>
        <w:jc w:val="left"/>
        <w:rPr>
          <w:rFonts w:ascii="Times New Roman" w:hAnsi="Times New Roman"/>
          <w:sz w:val="20"/>
        </w:rPr>
      </w:pPr>
      <w:r>
        <w:rPr>
          <w:rFonts w:ascii="Times New Roman" w:hAnsi="Times New Roman"/>
          <w:sz w:val="20"/>
        </w:rPr>
        <w:t xml:space="preserve">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circumstances ceasing to exist) at a time when SOFR Loans made by other Lenders are outstanding, then 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Class, Types, and Interest Periods) in accordance with their respective unpaid principal amount of the Loan made by such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4.6. Affected Lenders. </w:t>
      </w:r>
    </w:p>
    <w:p>
      <w:pPr>
        <w:pStyle w:val="TextBody"/>
        <w:bidi w:val="0"/>
        <w:spacing w:before="120" w:after="0"/>
        <w:jc w:val="left"/>
        <w:rPr>
          <w:rFonts w:ascii="Times New Roman" w:hAnsi="Times New Roman"/>
          <w:sz w:val="20"/>
        </w:rPr>
      </w:pPr>
      <w:r>
        <w:rPr>
          <w:rFonts w:ascii="Times New Roman" w:hAnsi="Times New Roman"/>
          <w:sz w:val="20"/>
        </w:rPr>
        <w:t xml:space="preserve">If (a) a Lender requests compensation pursuant to Section 3.10. or 4.1., and the Requisite Lenders are not also doing the same, or (b) the obligation of any Lender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“Affected Lender”), and upon such demand the Affected Lender shall promptly, assign its Loans and Commitment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4.7. Change of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4.8. Assumptions Concerning Funding of SOFR Loans. </w:t>
      </w:r>
    </w:p>
    <w:p>
      <w:pPr>
        <w:pStyle w:val="TextBody"/>
        <w:bidi w:val="0"/>
        <w:spacing w:before="120" w:after="0"/>
        <w:jc w:val="left"/>
        <w:rPr>
          <w:rFonts w:ascii="Times New Roman" w:hAnsi="Times New Roman"/>
          <w:sz w:val="20"/>
        </w:rPr>
      </w:pPr>
      <w:r>
        <w:rPr>
          <w:rFonts w:ascii="Times New Roman" w:hAnsi="Times New Roman"/>
          <w:sz w:val="20"/>
        </w:rPr>
        <w:t xml:space="preserve">Calculation of all amounts payable to a Lender under this Article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provided, however, that each Lender may fund each of its SOFR Loans in any manner it sees fit and the foregoing assumption shall be used only for calculation of amounts payable under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CONDITIONS PRECEDENT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 Initial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Lenders to make the Loans is subject to the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Agreement executed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(ii) Notes executed by the Borrower, payable to each applicable Lender and complying with the terms of Section 2.11.(a); </w:t>
      </w:r>
    </w:p>
    <w:p>
      <w:pPr>
        <w:pStyle w:val="TextBody"/>
        <w:bidi w:val="0"/>
        <w:spacing w:before="120" w:after="0"/>
        <w:jc w:val="left"/>
        <w:rPr>
          <w:rFonts w:ascii="Times New Roman" w:hAnsi="Times New Roman"/>
          <w:sz w:val="20"/>
        </w:rPr>
      </w:pPr>
      <w:r>
        <w:rPr>
          <w:rFonts w:ascii="Times New Roman" w:hAnsi="Times New Roman"/>
          <w:sz w:val="20"/>
        </w:rPr>
        <w:t xml:space="preserve">(iii) the Guaranty executed by each of the Guarantors, if applicable, initially to be a party thereto; </w:t>
      </w:r>
    </w:p>
    <w:p>
      <w:pPr>
        <w:pStyle w:val="TextBody"/>
        <w:bidi w:val="0"/>
        <w:spacing w:before="120" w:after="0"/>
        <w:jc w:val="left"/>
        <w:rPr>
          <w:rFonts w:ascii="Times New Roman" w:hAnsi="Times New Roman"/>
          <w:sz w:val="20"/>
        </w:rPr>
      </w:pPr>
      <w:r>
        <w:rPr>
          <w:rFonts w:ascii="Times New Roman" w:hAnsi="Times New Roman"/>
          <w:sz w:val="20"/>
        </w:rPr>
        <w:t xml:space="preserve">(iv) an opinion of Pillsbury Winthrop Shaw Pittman LLP, counsel to the Borrower and the other Loan Parties, addressed to the Administrative Agent and the Lenders and covering the matters set forth in Exhibit H; </w:t>
      </w:r>
    </w:p>
    <w:p>
      <w:pPr>
        <w:pStyle w:val="TextBody"/>
        <w:bidi w:val="0"/>
        <w:spacing w:before="120" w:after="0"/>
        <w:jc w:val="left"/>
        <w:rPr>
          <w:rFonts w:ascii="Times New Roman" w:hAnsi="Times New Roman"/>
          <w:sz w:val="20"/>
        </w:rPr>
      </w:pPr>
      <w:r>
        <w:rPr>
          <w:rFonts w:ascii="Times New Roman" w:hAnsi="Times New Roman"/>
          <w:sz w:val="20"/>
        </w:rPr>
        <w:t xml:space="preserve">(v)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Representative, authorized to execute and deliver on behalf of the Borrower the Notice of Borrowing, Notices of Conversion and Notices of Continuation;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(ix) a Compliance Certificate calculated on a pro forma basis for the Borrower Representative’s fiscal quarter ending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(x) a Disbursement Instruction Agreement effective as of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(xi) a consent or amendment under the Revolver Credit Agreement shall have occurred such that FRIT San Jose is not required to become a Loan Party with respect to the Revolver Credit Agreement despite its co-borrower status hereunder; </w:t>
      </w:r>
    </w:p>
    <w:p>
      <w:pPr>
        <w:pStyle w:val="TextBody"/>
        <w:bidi w:val="0"/>
        <w:spacing w:before="120" w:after="0"/>
        <w:jc w:val="left"/>
        <w:rPr>
          <w:rFonts w:ascii="Times New Roman" w:hAnsi="Times New Roman"/>
          <w:sz w:val="20"/>
        </w:rPr>
      </w:pPr>
      <w:r>
        <w:rPr>
          <w:rFonts w:ascii="Times New Roman" w:hAnsi="Times New Roman"/>
          <w:sz w:val="20"/>
        </w:rPr>
        <w:t xml:space="preserve">(xii) 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(xiii) a Release of Guarantor with respect to FRIT San Jose duly executed by the Borrower Representative, FRIT San Jose and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(xiv) such other documents, agreements and instruments as the Administrative Agent, or any Lender through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(b) In the good faith judgment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(v) 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not have occurred or exist any other material disruption of financial or capital markets that could reasonably be expected to materially and adversely affect the transactions contemplated by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Conditions Precedent to All Loans.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Lenders to make the Loans are subject to the further conditions precedent that: (a) no Default or Event of Default shall exist as of the date of the making of the Loans or would exist immediately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[intentionally omitted].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REPRESENTATIONS AND WARRANTIES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the Administrative Agent and each Lender to enter into this Agreement and to make Loans, the Borrower represents and warrants to the Administrative Agent and each Lender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Power; Qualification</w:t>
      </w:r>
      <w:r>
        <w:rPr>
          <w:rFonts w:ascii="Times New Roman" w:hAnsi="Times New Roman"/>
          <w:sz w:val="20"/>
        </w:rPr>
        <w:t xml:space="preserve">.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Ownership Structure</w:t>
      </w:r>
      <w:r>
        <w:rPr>
          <w:rFonts w:ascii="Times New Roman" w:hAnsi="Times New Roman"/>
          <w:sz w:val="20"/>
        </w:rPr>
        <w:t xml:space="preserve">. Part I of Schedule 6.1.(b) is, as of the Effective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Representative, whether such Subsidiary is a Material Subsidiary and/or an Excluded Subsidiary and whether such Subsidiary owns a Non-Controlled Property (and, if so, which one(s)). As of the Effective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Effective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of Loan Documents with Laws</w:t>
      </w:r>
      <w:r>
        <w:rPr>
          <w:rFonts w:ascii="Times New Roman" w:hAnsi="Times New Roman"/>
          <w:sz w:val="20"/>
        </w:rPr>
        <w:t xml:space="preserve">.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Law; Governmental Approvals</w:t>
      </w:r>
      <w:r>
        <w:rPr>
          <w:rFonts w:ascii="Times New Roman" w:hAnsi="Times New Roman"/>
          <w:sz w:val="20"/>
        </w:rPr>
        <w:t xml:space="preserve">.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Title to Properties; Liens</w:t>
      </w:r>
      <w:r>
        <w:rPr>
          <w:rFonts w:ascii="Times New Roman" w:hAnsi="Times New Roman"/>
          <w:sz w:val="20"/>
        </w:rPr>
        <w:t xml:space="preserve">.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Existing Indebtedness</w:t>
      </w:r>
      <w:r>
        <w:rPr>
          <w:rFonts w:ascii="Times New Roman" w:hAnsi="Times New Roman"/>
          <w:sz w:val="20"/>
        </w:rPr>
        <w:t xml:space="preserve">. Schedule 6.1.(g) is, as of December 31, 2024,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December 31, 2024 through the Effective Date neither the Borrower nor any of its Subsidiaries has incurred any Indebtedness having an outstanding principal balance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Affected Financial Institution</w:t>
      </w:r>
      <w:r>
        <w:rPr>
          <w:rFonts w:ascii="Times New Roman" w:hAnsi="Times New Roman"/>
          <w:sz w:val="20"/>
        </w:rPr>
        <w:t xml:space="preserve">. None of the Parent, the General Partner or any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Litigation</w:t>
      </w:r>
      <w:r>
        <w:rPr>
          <w:rFonts w:ascii="Times New Roman" w:hAnsi="Times New Roman"/>
          <w:sz w:val="20"/>
        </w:rPr>
        <w:t xml:space="preserve">.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Taxes</w:t>
      </w:r>
      <w:r>
        <w:rPr>
          <w:rFonts w:ascii="Times New Roman" w:hAnsi="Times New Roman"/>
          <w:sz w:val="20"/>
        </w:rPr>
        <w:t xml:space="preserve">.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Effective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Financial Statements</w:t>
      </w:r>
      <w:r>
        <w:rPr>
          <w:rFonts w:ascii="Times New Roman" w:hAnsi="Times New Roman"/>
          <w:sz w:val="20"/>
        </w:rPr>
        <w:t xml:space="preserve">. The Borrower has furnished to each Lender copies of the audited consolidated balance sheets of the Borrower Representative and its consolidated Subsidiaries as of December 31, 2023 and December 31, 2024, and the related audited consolidated statements of comprehensive income, capital and cash flows for the years ended on such dates, with the opinion thereon of Grant Thornton LLP. Such financial statements (including in each case related schedules and notes) present fairly, in all material respects and in accordance with GAAP consistently applied throughout the periods involved, the consolidated financial position of the Borrower Representative and its consolidated Subsidiaries as at their respective dates and the results of operations and the cash flows for such periods (subject, as to interim statements, to changes resulting from normal year-end audit adjustments). Neither the Borrower nor any of its Subsidiaries has on the Agreement Date any </w:t>
      </w:r>
      <w:r>
        <w:rPr>
          <w:rFonts w:ascii="Times New Roman" w:hAnsi="Times New Roman"/>
          <w:strike/>
          <w:color w:val="FF0000"/>
          <w:sz w:val="20"/>
        </w:rPr>
        <w:t xml:space="preserve">material </w:t>
      </w:r>
      <w:r>
        <w:rPr>
          <w:rFonts w:ascii="Times New Roman" w:hAnsi="Times New Roman"/>
          <w:sz w:val="20"/>
        </w:rPr>
        <w:t>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r>
        <w:rPr>
          <w:rFonts w:ascii="Times New Roman" w:hAnsi="Times New Roman"/>
          <w:color w:val="0000FF"/>
          <w:sz w:val="20"/>
          <w:u w:val="single"/>
          <w:bdr w:val="double" w:sz="2" w:space="1" w:color="000000"/>
        </w:rPr>
        <w:t xml:space="preserve"> or that would not be, individually or in the aggregate,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Material Adverse Change</w:t>
      </w:r>
      <w:r>
        <w:rPr>
          <w:rFonts w:ascii="Times New Roman" w:hAnsi="Times New Roman"/>
          <w:sz w:val="20"/>
        </w:rPr>
        <w:t xml:space="preserve">. Since December 31, 2024, there has been no event, change, circumstance or occurrence that could reasonably be expected to have a Material Adverse Effect. Each of the Borrower, the other Loan Parties and the other Subsidiaries is Solvent.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of the most recent valuation date, the “benefit obligation” of all Plans does not exceed the “fair market value of plan assets” for such Plans by more than $10,000,000 all as determined by and with such terms defined in accordance with FASB ASC 715. </w:t>
      </w:r>
    </w:p>
    <w:p>
      <w:pPr>
        <w:pStyle w:val="TextBody"/>
        <w:bidi w:val="0"/>
        <w:spacing w:before="120" w:after="0"/>
        <w:jc w:val="left"/>
        <w:rPr>
          <w:rFonts w:ascii="Times New Roman" w:hAnsi="Times New Roman"/>
          <w:sz w:val="20"/>
        </w:rPr>
      </w:pPr>
      <w:r>
        <w:rPr>
          <w:rFonts w:ascii="Times New Roman" w:hAnsi="Times New Roman"/>
          <w:sz w:val="20"/>
        </w:rPr>
        <w:t xml:space="preserve">(iii) 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Absence of Default</w:t>
      </w:r>
      <w:r>
        <w:rPr>
          <w:rFonts w:ascii="Times New Roman" w:hAnsi="Times New Roman"/>
          <w:sz w:val="20"/>
        </w:rPr>
        <w:t xml:space="preserve">.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Environmental Laws</w:t>
      </w:r>
      <w:r>
        <w:rPr>
          <w:rFonts w:ascii="Times New Roman" w:hAnsi="Times New Roman"/>
          <w:sz w:val="20"/>
        </w:rPr>
        <w:t xml:space="preserve">.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Investment Company</w:t>
      </w:r>
      <w:r>
        <w:rPr>
          <w:rFonts w:ascii="Times New Roman" w:hAnsi="Times New Roman"/>
          <w:sz w:val="20"/>
        </w:rPr>
        <w:t xml:space="preserve">.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Margin Stock</w:t>
      </w:r>
      <w:r>
        <w:rPr>
          <w:rFonts w:ascii="Times New Roman" w:hAnsi="Times New Roman"/>
          <w:sz w:val="20"/>
        </w:rPr>
        <w:t xml:space="preserve">.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Affiliate Transactions</w:t>
      </w:r>
      <w:r>
        <w:rPr>
          <w:rFonts w:ascii="Times New Roman" w:hAnsi="Times New Roman"/>
          <w:sz w:val="20"/>
        </w:rPr>
        <w:t xml:space="preserve">. Except as permitted by Section 9.9., none of the Borrower, any other Loan Party or any other Subsidiary is a party to or bound by any agreement or arrangement with any Affiliate.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w:t>
      </w:r>
      <w:r>
        <w:rPr>
          <w:rFonts w:ascii="Times New Roman" w:hAnsi="Times New Roman"/>
          <w:sz w:val="20"/>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hAnsi="Times New Roman"/>
          <w:b/>
          <w:sz w:val="20"/>
        </w:rPr>
        <w:t>Intellectual Property</w:t>
      </w:r>
      <w:r>
        <w:rPr>
          <w:rFonts w:ascii="Times New Roman" w:hAnsi="Times New Roman"/>
          <w:sz w:val="20"/>
        </w:rPr>
        <w:t xml:space="preserve">”)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Business</w:t>
      </w:r>
      <w:r>
        <w:rPr>
          <w:rFonts w:ascii="Times New Roman" w:hAnsi="Times New Roman"/>
          <w:sz w:val="20"/>
        </w:rPr>
        <w:t xml:space="preserv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Broker’s Fees</w:t>
      </w:r>
      <w:r>
        <w:rPr>
          <w:rFonts w:ascii="Times New Roman" w:hAnsi="Times New Roman"/>
          <w:sz w:val="20"/>
        </w:rPr>
        <w:t xml:space="preserve">.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Accuracy and Completeness of Information</w:t>
      </w:r>
      <w:r>
        <w:rPr>
          <w:rFonts w:ascii="Times New Roman" w:hAnsi="Times New Roman"/>
          <w:sz w:val="20"/>
        </w:rPr>
        <w:t xml:space="preserve">.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 Plan Assets; No Prohibited Transactions</w:t>
      </w:r>
      <w:r>
        <w:rPr>
          <w:rFonts w:ascii="Times New Roman" w:hAnsi="Times New Roman"/>
          <w:sz w:val="20"/>
        </w:rPr>
        <w:t xml:space="preserve">.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Anti-Corruption Laws; Anti-Money Laundering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(iv) No proceeds of any Loan have been used, directly or indirectly, by the Borrower, any of its Subsidiaries or any of its or their respective directors, officers, employees and agents in violation of Section 9.13.(c).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REIT Status</w:t>
      </w:r>
      <w:r>
        <w:rPr>
          <w:rFonts w:ascii="Times New Roman" w:hAnsi="Times New Roman"/>
          <w:sz w:val="20"/>
        </w:rPr>
        <w:t xml:space="preserve">. The Parent qualifies as, and has elected to be treated as, a REIT and is in compliance with all requirements and conditions imposed under the Internal Revenue Code to allow the Parent to maintain its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Unencumbered Assets</w:t>
      </w:r>
      <w:r>
        <w:rPr>
          <w:rFonts w:ascii="Times New Roman" w:hAnsi="Times New Roman"/>
          <w:sz w:val="20"/>
        </w:rPr>
        <w:t xml:space="preserve">.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(aa)</w:t>
      </w:r>
      <w:r>
        <w:rPr>
          <w:rFonts w:ascii="Times New Roman" w:hAnsi="Times New Roman"/>
          <w:sz w:val="20"/>
        </w:rPr>
        <w:t xml:space="preserve"> </w:t>
      </w:r>
      <w:r>
        <w:rPr>
          <w:rFonts w:ascii="Times New Roman" w:hAnsi="Times New Roman"/>
          <w:color w:val="0000FF"/>
          <w:sz w:val="20"/>
          <w:u w:val="single"/>
          <w:bdr w:val="double" w:sz="2" w:space="1" w:color="000000"/>
        </w:rPr>
        <w:t>Outbound Investment Rules. No Loan Party is a ‘covered foreign person’ as that term is used in the Outbound Investment Rules. No Loan Party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the Lenders to be in violation of the Outbound Investment Rules or cause the Lenders to be legally prohibited by the Outbound Investment Rules from performing under this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6.2. Survival of Representations and Warranties, Etc. </w:t>
      </w:r>
    </w:p>
    <w:p>
      <w:pPr>
        <w:pStyle w:val="TextBody"/>
        <w:bidi w:val="0"/>
        <w:spacing w:before="120" w:after="0"/>
        <w:jc w:val="left"/>
        <w:rPr>
          <w:rFonts w:ascii="Times New Roman" w:hAnsi="Times New Roman"/>
          <w:sz w:val="20"/>
        </w:rPr>
      </w:pPr>
      <w:r>
        <w:rPr>
          <w:rFonts w:ascii="Times New Roman" w:hAnsi="Times New Roman"/>
          <w:sz w:val="20"/>
        </w:rPr>
        <w:t xml:space="preserve">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Maturity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provided for in Section 12.7., the Borrower shall comply with the following covenants: </w:t>
      </w:r>
    </w:p>
    <w:p>
      <w:pPr>
        <w:pStyle w:val="TextBody"/>
        <w:bidi w:val="0"/>
        <w:spacing w:before="120" w:after="0"/>
        <w:jc w:val="left"/>
        <w:rPr>
          <w:rFonts w:ascii="Times New Roman" w:hAnsi="Times New Roman"/>
          <w:b/>
          <w:sz w:val="20"/>
        </w:rPr>
      </w:pPr>
      <w:r>
        <w:rPr>
          <w:rFonts w:ascii="Times New Roman" w:hAnsi="Times New Roman"/>
          <w:b/>
          <w:sz w:val="20"/>
        </w:rPr>
        <w:t xml:space="preserve">Section 7.1. Preservation of Existence and Similar Matters.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Section 7.2. Compliance with Applicable Law</w:t>
      </w:r>
      <w:r>
        <w:rPr>
          <w:rFonts w:ascii="Times New Roman" w:hAnsi="Times New Roman"/>
          <w:b/>
          <w:strike/>
          <w:color w:val="FF0000"/>
          <w:sz w:val="20"/>
        </w:rPr>
        <w:t xml:space="preserve"> and Material Contracts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Borrower shall, and shall cause each other Loan Party and each other Subsidiary to</w:t>
      </w:r>
      <w:r>
        <w:rPr>
          <w:rFonts w:ascii="Times New Roman" w:hAnsi="Times New Roman"/>
          <w:strike/>
          <w:color w:val="FF0000"/>
          <w:sz w:val="20"/>
        </w:rPr>
        <w:t>, comply with (a)</w:t>
      </w:r>
      <w:r>
        <w:rPr>
          <w:rFonts w:ascii="Times New Roman" w:hAnsi="Times New Roman"/>
          <w:strike/>
          <w:color w:val="008000"/>
          <w:sz w:val="20"/>
        </w:rPr>
        <w:t> all Applicable Laws, including the obtaining of all Governmental Approvals, the failure with which to comply could reasonably be expected to have a Material Adverse Effect</w:t>
      </w:r>
      <w:r>
        <w:rPr>
          <w:rFonts w:ascii="Times New Roman" w:hAnsi="Times New Roman"/>
          <w:strike/>
          <w:color w:val="FF0000"/>
          <w:sz w:val="20"/>
        </w:rPr>
        <w:t>, and (b) all terms and conditions of all contracts and other written agreements to which it is a party if any such non-compliance could reasonably be expected to have a Material Adverse Effect. The Parent shall</w:t>
      </w:r>
      <w:r>
        <w:rPr>
          <w:rFonts w:ascii="Times New Roman" w:hAnsi="Times New Roman"/>
          <w:sz w:val="20"/>
        </w:rPr>
        <w:t>, comply with all Applicable Laws, including the obtaining of all Governmental Approvals, the failure with which to comply could reasonably be expected to have a Material Adverse Effect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The Parent shall comply with </w:t>
      </w:r>
      <w:r>
        <w:rPr>
          <w:rFonts w:ascii="Times New Roman" w:hAnsi="Times New Roman"/>
          <w:color w:val="008000"/>
          <w:sz w:val="20"/>
          <w:u w:val="single"/>
          <w:bdr w:val="double" w:sz="2" w:space="1" w:color="000000"/>
        </w:rPr>
        <w:t>all Applicable Laws, including the obtaining of all Governmental Approvals, the failure with which to comply could reasonably be expected to have a Material Adverse Effect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7.3. Maintenance of Property.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7.4. Conduct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carry on its respective businesses as described in Section 6.1.(t).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7.5.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7.6. Payment of Taxes and Claims.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7.7. Books and Records; Inspections.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7.8.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Loans only to (i) provide for the general working capital needs of the Borrower and its Subsidiaries and (ii) for other general corporate purposes of the Borrower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7.9.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Further Assurances. </w:t>
      </w:r>
    </w:p>
    <w:p>
      <w:pPr>
        <w:pStyle w:val="TextBody"/>
        <w:bidi w:val="0"/>
        <w:spacing w:before="120" w:after="0"/>
        <w:jc w:val="left"/>
        <w:rPr>
          <w:rFonts w:ascii="Times New Roman" w:hAnsi="Times New Roman"/>
          <w:sz w:val="20"/>
        </w:rPr>
      </w:pPr>
      <w:r>
        <w:rPr>
          <w:rFonts w:ascii="Times New Roman" w:hAnsi="Times New Roman"/>
          <w:sz w:val="20"/>
        </w:rPr>
        <w:t xml:space="preserve">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Compliance with Anti-Corruption Laws; Beneficial Ownership Regulation, Anti-Money Laundering Laws and Sanctions. </w:t>
      </w:r>
    </w:p>
    <w:p>
      <w:pPr>
        <w:pStyle w:val="TextBody"/>
        <w:bidi w:val="0"/>
        <w:spacing w:before="120" w:after="0"/>
        <w:jc w:val="left"/>
        <w:rPr>
          <w:rFonts w:ascii="Times New Roman" w:hAnsi="Times New Roman"/>
          <w:sz w:val="20"/>
        </w:rPr>
      </w:pPr>
      <w:r>
        <w:rPr>
          <w:rFonts w:ascii="Times New Roman" w:hAnsi="Times New Roman"/>
          <w:sz w:val="20"/>
        </w:rPr>
        <w:t xml:space="preserve">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7.12. REIT Status.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at all times maintain its status as, and election to be treated as, a REIT under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7.13.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 </w:t>
      </w:r>
    </w:p>
    <w:p>
      <w:pPr>
        <w:pStyle w:val="TextBody"/>
        <w:bidi w:val="0"/>
        <w:spacing w:before="360" w:after="0"/>
        <w:jc w:val="left"/>
        <w:rPr>
          <w:rFonts w:ascii="Times New Roman" w:hAnsi="Times New Roman"/>
          <w:b/>
          <w:sz w:val="20"/>
        </w:rPr>
      </w:pPr>
      <w:r>
        <w:rPr>
          <w:rFonts w:ascii="Times New Roman" w:hAnsi="Times New Roman"/>
          <w:b/>
          <w:sz w:val="20"/>
        </w:rPr>
        <w:t>Section 7.14. Guarantors</w:t>
      </w:r>
      <w:r>
        <w:rPr>
          <w:rFonts w:ascii="Times New Roman" w:hAnsi="Times New Roman"/>
          <w:b/>
          <w:color w:val="0000FF"/>
          <w:sz w:val="20"/>
          <w:u w:val="single"/>
          <w:bdr w:val="double" w:sz="2" w:space="1" w:color="000000"/>
        </w:rPr>
        <w:t>; Assets Included in Unencumbered Asset Value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10 Business Days of the </w:t>
      </w:r>
      <w:r>
        <w:rPr>
          <w:rFonts w:ascii="Times New Roman" w:hAnsi="Times New Roman"/>
          <w:color w:val="0000FF"/>
          <w:sz w:val="20"/>
          <w:u w:val="single"/>
          <w:bdr w:val="double" w:sz="2" w:space="1" w:color="000000"/>
        </w:rPr>
        <w:t xml:space="preserve">first </w:t>
      </w:r>
      <w:r>
        <w:rPr>
          <w:rFonts w:ascii="Times New Roman" w:hAnsi="Times New Roman"/>
          <w:sz w:val="20"/>
        </w:rPr>
        <w:t xml:space="preserve">date on which </w:t>
      </w:r>
      <w:r>
        <w:rPr>
          <w:rFonts w:ascii="Times New Roman" w:hAnsi="Times New Roman"/>
          <w:strike/>
          <w:color w:val="FF0000"/>
          <w:sz w:val="20"/>
        </w:rPr>
        <w:t xml:space="preserve">any of the following conditions first applies to </w:t>
      </w:r>
      <w:r>
        <w:rPr>
          <w:rFonts w:ascii="Times New Roman" w:hAnsi="Times New Roman"/>
          <w:sz w:val="20"/>
        </w:rPr>
        <w:t>any Subsidiary (other than a Subsidiary owning a Non-Controlled Property) that is not already a Guarantor</w:t>
      </w:r>
      <w:r>
        <w:rPr>
          <w:rFonts w:ascii="Times New Roman" w:hAnsi="Times New Roman"/>
          <w:color w:val="008000"/>
          <w:sz w:val="20"/>
          <w:u w:val="single"/>
          <w:bdr w:val="double" w:sz="2" w:space="1" w:color="000000"/>
        </w:rPr>
        <w:t xml:space="preserve"> (A) owns any asset the value of which is included in the determination of Unencumbered Asset Value and (B) has incurred, acquired or suffered to exist any Recourse Indebtedness</w:t>
      </w:r>
      <w:r>
        <w:rPr>
          <w:rFonts w:ascii="Times New Roman" w:hAnsi="Times New Roman"/>
          <w:sz w:val="20"/>
        </w:rPr>
        <w:t>,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(x) such Subsidiary Guarantees, or otherwise becomes obligated in respect of, any Indebtedness of </w:t>
      </w:r>
      <w:r>
        <w:rPr>
          <w:rFonts w:ascii="Times New Roman" w:hAnsi="Times New Roman"/>
          <w:strike/>
          <w:color w:val="008000"/>
          <w:sz w:val="20"/>
        </w:rPr>
        <w:t xml:space="preserve">the Borrower or any Subsidiary </w:t>
      </w:r>
      <w:r>
        <w:rPr>
          <w:rFonts w:ascii="Times New Roman" w:hAnsi="Times New Roman"/>
          <w:strike/>
          <w:color w:val="FF0000"/>
          <w:sz w:val="20"/>
        </w:rPr>
        <w:t>of the Borrower;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(y) such Subsidiary </w:t>
      </w:r>
      <w:r>
        <w:rPr>
          <w:rFonts w:ascii="Times New Roman" w:hAnsi="Times New Roman"/>
          <w:strike/>
          <w:color w:val="008000"/>
          <w:sz w:val="20"/>
        </w:rPr>
        <w:t>(A) owns any asset the value of which is included in the determination of Unencumbered Asset Value and (B) has incurred, acquired or suffered to exist any Recourse Indebtedness</w:t>
      </w:r>
      <w:r>
        <w:rPr>
          <w:rFonts w:ascii="Times New Roman" w:hAnsi="Times New Roman"/>
          <w:strike/>
          <w:color w:val="FF0000"/>
          <w:sz w:val="20"/>
        </w:rPr>
        <w: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 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 the Parent or General Partner, as the case may be, Guarantees, or otherwise becomes obligated in respect of, any Indebtedness of the Borrower or any Subsidiary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(y) the Parent or General Partner, as the case may be, fails to satisfy the requirements of Section 9.14 hereto.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 xml:space="preserve">In order to avoid a Subsidiary being required to provide an Accession Agreement or Guaranty and related deliverables because it satisfies the requirements of subclauses (A) and (B) of clause (a) above or so that any Subsidiary qualifies as an Excluded Subsidiary, as of any date the Borrower may elect to remove assets of any Subsidiary from Unencumbered Asset Value which were previously included therein by requesting in writing to the Administrative Agent that such assets not be included in Unencumbered Asset Value and delivering to the Administrative Agent an updated pro forma Compliance Certificate giving effect to the removal of such asset(s) and demonstrating that no Default or Event of Default is then in existence or would occur as a result of such removal, including, without limitation, a Default or Event of Default resulting from a violation of any of the covenants contained in Section 9.1.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8.1. Quarterly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50 days after the end of each of the first, second and third fiscal quarters of the Borrower Representative commencing with the fiscal quarter of the Borrower Representative ending March 31, 2025), the unaudited consolidated balance sheet of the Borrower Representative and its Subsidiaries as at the end of such period and the related unaudited consolidated statements of comprehensive income, capital and cash flows of the Borrower Representative and its consolidated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Representative, in his or her opinion, to present fairly, in all material respects and in accordance with GAAP, the consolidated financial position of the Borrower Representative and its consolidated Subsidiaries as at the date thereof and the results of operations for such period (subject to normal year-end audit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8.2. Year-End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95 days after the end of each fiscal year of the Borrower Representative), the audited consolidated balance sheet of the Borrower Representative and its consolidated Subsidiaries as at the end of such fiscal year and the related audited consolidated statements of comprehensive income, capital and cash flows of the Borrower Representative and its consolidated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Representative, in his or her opinion, to present fairly, in all material respects and in accordance with GAAP, the consolidated financial position of the Borrower Representative and its consolidated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Representative to deliver such financial statements and report thereon to the Administrative Agent and the Lenders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8.3. Compliance Certificate. </w:t>
      </w:r>
    </w:p>
    <w:p>
      <w:pPr>
        <w:pStyle w:val="TextBody"/>
        <w:bidi w:val="0"/>
        <w:spacing w:before="120" w:after="0"/>
        <w:jc w:val="left"/>
        <w:rPr>
          <w:rFonts w:ascii="Times New Roman" w:hAnsi="Times New Roman"/>
          <w:sz w:val="20"/>
        </w:rPr>
      </w:pPr>
      <w:r>
        <w:rPr>
          <w:rFonts w:ascii="Times New Roman" w:hAnsi="Times New Roman"/>
          <w:sz w:val="20"/>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I (a “</w:t>
      </w:r>
      <w:r>
        <w:rPr>
          <w:rFonts w:ascii="Times New Roman" w:hAnsi="Times New Roman"/>
          <w:b/>
          <w:sz w:val="20"/>
        </w:rPr>
        <w:t>Compliance Certificate</w:t>
      </w:r>
      <w:r>
        <w:rPr>
          <w:rFonts w:ascii="Times New Roman" w:hAnsi="Times New Roman"/>
          <w:sz w:val="20"/>
        </w:rPr>
        <w:t xml:space="preserve">”) executed on behalf of the Borrower by the chief accounting officer or the chief financial officer of the Borrower Representative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8.4.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 Promptly upon receipt thereof, copies of all management reports, if any, submitted to the Borrower or its partners by its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(c) Promptly upon the mailing thereof to the shareholders of the Parent or the Borrower Representative generally, copies of all financial statements, reports and proxy statements so mailed and promptly upon the issuance thereof copies of all press releases issued by the Parent, the General Partner, the Borrower, any Subsidiary or any other Loan Party; </w:t>
      </w:r>
    </w:p>
    <w:p>
      <w:pPr>
        <w:pStyle w:val="TextBody"/>
        <w:bidi w:val="0"/>
        <w:spacing w:before="240" w:after="0"/>
        <w:jc w:val="left"/>
        <w:rPr>
          <w:rFonts w:ascii="Times New Roman" w:hAnsi="Times New Roman"/>
          <w:sz w:val="20"/>
        </w:rPr>
      </w:pPr>
      <w:r>
        <w:rPr>
          <w:rFonts w:ascii="Times New Roman" w:hAnsi="Times New Roman"/>
          <w:sz w:val="20"/>
        </w:rPr>
        <w:t xml:space="preserve">(d) No later than the last day of February of each year, projected consolidated financial statements of Borrower Representative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Representative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any ERISA Event shall occur that individually, or together with any other ERISA Event that has occurred, could reasonably be expected to have a Material Adverse Effect, a certificate of the chief executive officer or chief financial officer of the Borrower Representative setting forth details as to such occurrence and the action, if any, which the Borrower or applicable member of the ERISA Group is required or proposes to take;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 </w:t>
      </w:r>
    </w:p>
    <w:p>
      <w:pPr>
        <w:pStyle w:val="TextBody"/>
        <w:bidi w:val="0"/>
        <w:spacing w:before="240" w:after="0"/>
        <w:jc w:val="left"/>
        <w:rPr>
          <w:rFonts w:ascii="Times New Roman" w:hAnsi="Times New Roman"/>
          <w:sz w:val="20"/>
        </w:rPr>
      </w:pPr>
      <w:r>
        <w:rPr>
          <w:rFonts w:ascii="Times New Roman" w:hAnsi="Times New Roman"/>
          <w:sz w:val="20"/>
        </w:rPr>
        <w:t>(g)</w:t>
      </w:r>
      <w:r>
        <w:rPr>
          <w:rFonts w:ascii="Times New Roman" w:hAnsi="Times New Roman"/>
          <w:strike/>
          <w:color w:val="FF0000"/>
          <w:sz w:val="20"/>
        </w:rPr>
        <w:t xml:space="preserve"> A copy of any amendment to the agreement of limited partnership or other organizational</w:t>
      </w:r>
      <w:r>
        <w:rPr>
          <w:rFonts w:ascii="Times New Roman" w:hAnsi="Times New Roman"/>
          <w:sz w:val="20"/>
        </w:rPr>
        <w:t xml:space="preserve"> </w:t>
      </w:r>
      <w:r>
        <w:rPr>
          <w:rFonts w:ascii="Times New Roman" w:hAnsi="Times New Roman"/>
          <w:strike/>
          <w:color w:val="FF0000"/>
          <w:sz w:val="20"/>
        </w:rPr>
        <w:t>documents of the Borrower Representative within fifteen (15) Business Days after the effectiveness thereof, other than an amendment to such agreement of limited partnership to reflect issuances of</w:t>
      </w:r>
      <w:r>
        <w:rPr>
          <w:rFonts w:ascii="Times New Roman" w:hAnsi="Times New Roman"/>
          <w:sz w:val="20"/>
        </w:rPr>
        <w:t xml:space="preserve"> </w:t>
      </w:r>
      <w:r>
        <w:rPr>
          <w:rFonts w:ascii="Times New Roman" w:hAnsi="Times New Roman"/>
          <w:strike/>
          <w:color w:val="FF0000"/>
          <w:sz w:val="20"/>
        </w:rPr>
        <w:t>additional interests in the Borrower Representative as authorized by such agreement;</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Prompt notice of </w:t>
      </w:r>
      <w:r>
        <w:rPr>
          <w:rFonts w:ascii="Times New Roman" w:hAnsi="Times New Roman"/>
          <w:strike/>
          <w:color w:val="FF0000"/>
          <w:sz w:val="20"/>
        </w:rPr>
        <w:t>(i) any change in the chief executive officer, chief financial officer or chief operating officer of the Borrower, any Subsidiary or any other Loan Party, or (ii) </w:t>
      </w:r>
      <w:r>
        <w:rPr>
          <w:rFonts w:ascii="Times New Roman" w:hAnsi="Times New Roman"/>
          <w:sz w:val="20"/>
        </w:rPr>
        <w:t xml:space="preserve">any change in the business, assets, liabilities, financial condition or results of operations of the Borrower, any Subsidiary or any other Loan Party which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(i) Promptly upon a Responsible Officer of the Borrower obtaining knowledge thereof, prompt notice of the occurrence of any Default or Event of Default</w:t>
      </w:r>
      <w:r>
        <w:rPr>
          <w:rFonts w:ascii="Times New Roman" w:hAnsi="Times New Roman"/>
          <w:strike/>
          <w:color w:val="FF0000"/>
          <w:sz w:val="20"/>
        </w:rPr>
        <w:t xml:space="preserve"> or any event which constitutes or</w:t>
      </w:r>
      <w:r>
        <w:rPr>
          <w:rFonts w:ascii="Times New Roman" w:hAnsi="Times New Roman"/>
          <w:sz w:val="20"/>
        </w:rPr>
        <w:t xml:space="preserve"> </w:t>
      </w:r>
      <w:r>
        <w:rPr>
          <w:rFonts w:ascii="Times New Roman" w:hAnsi="Times New Roman"/>
          <w:strike/>
          <w:color w:val="FF0000"/>
          <w:sz w:val="20"/>
        </w:rPr>
        <w:t>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Prompt notice of any order, judgment or decree not covered by insurance in excess of $25,000,000 having been entered against any Loan Party or any other Subsidiary or any of their respective properties or assets; </w:t>
      </w:r>
    </w:p>
    <w:p>
      <w:pPr>
        <w:pStyle w:val="TextBody"/>
        <w:bidi w:val="0"/>
        <w:spacing w:before="240" w:after="0"/>
        <w:jc w:val="left"/>
        <w:rPr>
          <w:rFonts w:ascii="Times New Roman" w:hAnsi="Times New Roman"/>
          <w:sz w:val="20"/>
        </w:rPr>
      </w:pPr>
      <w:r>
        <w:rPr>
          <w:rFonts w:ascii="Times New Roman" w:hAnsi="Times New Roman"/>
          <w:sz w:val="20"/>
        </w:rPr>
        <w:t>(k) 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Promptly upon the request of the Administrative Agent, evidence of the Borrower’s calculation of the Ownership Share with respect to a Subsidiary or an Unconsolidated Affiliate, such evidence to be in form and detail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Promptly, upon any change in the Borrower Representative’s Credit Rating, a certificate stating that the Borrower Representative’s Credit Rating has changed and the new Credit Rating that is in effect; </w:t>
      </w:r>
    </w:p>
    <w:p>
      <w:pPr>
        <w:pStyle w:val="TextBody"/>
        <w:bidi w:val="0"/>
        <w:spacing w:before="240" w:after="0"/>
        <w:jc w:val="left"/>
        <w:rPr>
          <w:rFonts w:ascii="Times New Roman" w:hAnsi="Times New Roman"/>
          <w:sz w:val="20"/>
        </w:rPr>
      </w:pPr>
      <w:r>
        <w:rPr>
          <w:rFonts w:ascii="Times New Roman" w:hAnsi="Times New Roman"/>
          <w:sz w:val="20"/>
        </w:rPr>
        <w:t xml:space="preserve">(o) 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(p)</w:t>
      </w:r>
      <w:r>
        <w:rPr>
          <w:rFonts w:ascii="Times New Roman" w:hAnsi="Times New Roman"/>
          <w:strike/>
          <w:color w:val="FF0000"/>
          <w:sz w:val="20"/>
        </w:rPr>
        <w:t xml:space="preserve"> Prompt notice of the sale, transfer or other disposition of any material assets of the Borrower, any Subsidiary or any other Loan Party to any Person other than the Borrower, any Subsidiary or any other Loan Party</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Promptly upon the request of the Administrative Agent, the Derivatives Termination Value in respect of any Specified Derivatives Contract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 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(t) Promptly, upon any change in the tax identification number of the Borrower Representative, and in any event within ten (10) Business Days of a Responsible Officer of the Borrower obtaining knowledge thereof, evidence of such new tax identification number issued by the appropriate Governmental Authority in form and substance satisfactory to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8.5. Electronic Delivery of Certain Information. </w:t>
      </w:r>
    </w:p>
    <w:p>
      <w:pPr>
        <w:pStyle w:val="TextBody"/>
        <w:bidi w:val="0"/>
        <w:spacing w:before="120" w:after="0"/>
        <w:jc w:val="left"/>
        <w:rPr>
          <w:rFonts w:ascii="Times New Roman" w:hAnsi="Times New Roman"/>
          <w:sz w:val="20"/>
        </w:rPr>
      </w:pPr>
      <w:r>
        <w:rPr>
          <w:rFonts w:ascii="Times New Roman" w:hAnsi="Times New Roman"/>
          <w:sz w:val="20"/>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Representative) provided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TextBody"/>
        <w:bidi w:val="0"/>
        <w:spacing w:before="240" w:after="0"/>
        <w:jc w:val="left"/>
        <w:rPr>
          <w:rFonts w:ascii="Times New Roman" w:hAnsi="Times New Roman"/>
          <w:sz w:val="20"/>
        </w:rPr>
      </w:pPr>
      <w:r>
        <w:rPr>
          <w:rFonts w:ascii="Times New Roman" w:hAnsi="Times New Roman"/>
          <w:sz w:val="20"/>
        </w:rPr>
        <w:t xml:space="preserve">(b) Documents required to be delivered pursuant to Article II. may be delivered electronically to a website provided for such purpose by the Administrative Agent pursuant to the procedures provided to the Borrower Representative by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8.6. Public/Private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cooperate with the Administrative Agent in connection with the publication of certain materials and/or information provided by or on behalf of the Borrower to the Administrative Agent and the Lenders (collectively, “Information Materials”) pursuant to this Article and the Borrower will designate Information Materials (a) that are either available to the public or not material with respect to the Borrower Representative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8.7. USA Patriot Act Notice;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comply with the following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Maximum Leverage Ratio</w:t>
      </w:r>
      <w:r>
        <w:rPr>
          <w:rFonts w:ascii="Times New Roman" w:hAnsi="Times New Roman"/>
          <w:sz w:val="20"/>
        </w:rPr>
        <w:t>. The Borrower shall not permit the ratio of (i) Total Indebtedness to (ii) Total Asset Value to exceed 0.60 to 1.00 at any time; provided, however, that if such ratio is greater than 0.60 to 1.00 but is not greater than 0.65 to 1.00, then the Borrower shall be deemed to be in compliance with this Section 9.1.(b) so long as (a) the Borrower Representative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r>
        <w:rPr>
          <w:rFonts w:ascii="Times New Roman" w:hAnsi="Times New Roman"/>
          <w:color w:val="0000FF"/>
          <w:sz w:val="20"/>
          <w:u w:val="single"/>
          <w:bdr w:val="double" w:sz="2" w:space="1" w:color="000000"/>
        </w:rPr>
        <w:t xml:space="preserve"> For purposes of calculating this ratio, (A) Total Indebtedness shall be adjusted by deducting therefrom an amount equal to the lesser of (x) unrestricted cash and Cash Equivalents of the Borrower Representative and its Subsidiaries as of the date of determination in excess of $35,000,000 and (y) the amount of Total Indebtedness that matures on or before the date that is 24 months from the date of the calculation and (B) Total Asset Value shall be adjusted by deducting therefrom the amount by which Total Indebtedness is adjusted under the immediately preceding clause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Fixed Charge Coverage Ratio</w:t>
      </w:r>
      <w:r>
        <w:rPr>
          <w:rFonts w:ascii="Times New Roman" w:hAnsi="Times New Roman"/>
          <w:sz w:val="20"/>
        </w:rPr>
        <w:t xml:space="preserve">. The Borrower shall not permit the ratio of (i) Adjusted EBITDA for the period of four consecutive fiscal quarters most recently ended to (ii) Fixed Charges for such period, to be less than 1.50 to 1.00 as of the last day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Secured Indebtedness Ratio</w:t>
      </w:r>
      <w:r>
        <w:rPr>
          <w:rFonts w:ascii="Times New Roman" w:hAnsi="Times New Roman"/>
          <w:sz w:val="20"/>
        </w:rPr>
        <w:t>. The Borrower shall not permit the ratio of (i) Secured Indebtedness of the Borrower Representative and its Subsidiaries determined on a consolidated basis to (ii) Total Asset Value to exceed 0.35 to 1.00 at any time.</w:t>
      </w:r>
      <w:r>
        <w:rPr>
          <w:rFonts w:ascii="Times New Roman" w:hAnsi="Times New Roman"/>
          <w:color w:val="0000FF"/>
          <w:sz w:val="20"/>
          <w:u w:val="single"/>
          <w:bdr w:val="double" w:sz="2" w:space="1" w:color="000000"/>
        </w:rPr>
        <w:t xml:space="preserve"> For purposes of calculating this ratio, (A) Secured Indebtedness shall be adjusted by deducting therefrom an amount equal to the lesser of (x) unrestricted cash and Cash Equivalents of the Borrower Representative and its Subsidiaries as of the date of determination in excess of $35,000,000 excluding any portion thereof that is deducted from Unsecured Indebtedness in determining the Maximum Unencumbered Leverage Ratio pursuant to Section 9.1(e) as of such date and (y) the amount of Secured Indebtedness that matures on or before the date that is 24 months from the date of the calculation and (B) Total Asset Value shall be adjusted by deducting therefrom the amount by which Total Asset Value is adjusted under clause (B) of Section 9.1.(b).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Maximum Unencumbered Leverage Ratio</w:t>
      </w:r>
      <w:r>
        <w:rPr>
          <w:rFonts w:ascii="Times New Roman" w:hAnsi="Times New Roman"/>
          <w:sz w:val="20"/>
        </w:rPr>
        <w:t xml:space="preserve">. The Borrower shall not permit the ratio of (i) Unsecured Indebtedness of the Borrower Representative and its Subsidiaries determined on a consolidated basis to (ii) Unencumbered Asset Value, to exceed 0.60 to 1.00 at any time; </w:t>
      </w:r>
      <w:r>
        <w:rPr>
          <w:rFonts w:ascii="Times New Roman" w:hAnsi="Times New Roman"/>
          <w:sz w:val="20"/>
          <w:u w:val="single"/>
        </w:rPr>
        <w:t>provided, however</w:t>
      </w:r>
      <w:r>
        <w:rPr>
          <w:rFonts w:ascii="Times New Roman" w:hAnsi="Times New Roman"/>
          <w:sz w:val="20"/>
        </w:rPr>
        <w:t xml:space="preserve">, that if such ratio is greater than 0.60 to 1.00 but is not greater than 0.65 to 1.00, then the Borrower shall be deemed to be in compliance with this Section 9.1.(e) so long as (a) the Borrower Representative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r>
        <w:rPr>
          <w:rFonts w:ascii="Times New Roman" w:hAnsi="Times New Roman"/>
          <w:color w:val="0000FF"/>
          <w:sz w:val="20"/>
          <w:u w:val="single"/>
          <w:bdr w:val="double" w:sz="2" w:space="1" w:color="000000"/>
        </w:rPr>
        <w:t xml:space="preserve"> For purposes of calculating this ratio, (A) Unsecured Indebtedness shall be adjusted by deducting therefrom an amount equal to the lesser of (x) unrestricted cash and Cash Equivalents of the Borrower Representative and its Subsidiaries as of the date of determination in excess of $35,000,000 excluding any portion thereof that is deducted from Secured Indebtedness in determining the Maximum Secured Indebtedness Ratio pursuant to Section 9.1.(d) as of such date and (y) the amount of Unsecured Indebtedness that matures on or before the date that is 24 months from the date of the calculation and (B) Unencumbered Asset Value shall be adjusted by deducting therefrom the amount by which Total Asset Value is adjusted under clause (B) of Section 9.1.(b). </w:t>
      </w:r>
    </w:p>
    <w:p>
      <w:pPr>
        <w:pStyle w:val="TextBody"/>
        <w:bidi w:val="0"/>
        <w:spacing w:before="240" w:after="0"/>
        <w:jc w:val="left"/>
        <w:rPr>
          <w:rFonts w:ascii="Times New Roman" w:hAnsi="Times New Roman"/>
          <w:sz w:val="20"/>
        </w:rPr>
      </w:pPr>
      <w:r>
        <w:rPr>
          <w:rFonts w:ascii="Times New Roman" w:hAnsi="Times New Roman"/>
          <w:sz w:val="20"/>
        </w:rPr>
        <w:t xml:space="preserve">(f)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(g)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(h)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 and Other Restricted Payments</w:t>
      </w:r>
      <w:r>
        <w:rPr>
          <w:rFonts w:ascii="Times New Roman" w:hAnsi="Times New Roman"/>
          <w:sz w:val="20"/>
        </w:rPr>
        <w:t xml:space="preserve">. The Borrower Representative shall not, and shall not permit any of its Subsidiaries to, declare or make any Restricted Payment </w:t>
      </w:r>
      <w:r>
        <w:rPr>
          <w:rFonts w:ascii="Times New Roman" w:hAnsi="Times New Roman"/>
          <w:strike/>
          <w:color w:val="FF0000"/>
          <w:sz w:val="20"/>
        </w:rPr>
        <w:t>if an Event of Default shall have occurred and is continuing; except that the Borrower Representative may, subject to the immediately following sentence, (i) </w:t>
      </w:r>
      <w:r>
        <w:rPr>
          <w:rFonts w:ascii="Times New Roman" w:hAnsi="Times New Roman"/>
          <w:strike/>
          <w:color w:val="008000"/>
          <w:sz w:val="20"/>
        </w:rPr>
        <w:t>declare and make cash distributions to its partners during any fiscal year in an aggregate amount not to exceed the minimum amount necessary for the Parent to maintain its status as a REIT and (ii)</w:t>
      </w:r>
      <w:r>
        <w:rPr>
          <w:rFonts w:ascii="Times New Roman" w:hAnsi="Times New Roman"/>
          <w:strike/>
          <w:color w:val="FF0000"/>
          <w:sz w:val="20"/>
        </w:rPr>
        <w:t> 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w:t>
      </w:r>
      <w:r>
        <w:rPr>
          <w:rFonts w:ascii="Times New Roman" w:hAnsi="Times New Roman"/>
          <w:sz w:val="20"/>
        </w:rPr>
        <w:t xml:space="preserve"> if an Event of Default specified in Section 10.1.(a), Section 10.1.(e) or Section 10.1.(f) shall have occurred and is continuing, or if as a result of the occurrence of any other Event of Default any of the Obligations have been accelerated pursuant to Section  10.2.(a)</w:t>
      </w:r>
      <w:r>
        <w:rPr>
          <w:rFonts w:ascii="Times New Roman" w:hAnsi="Times New Roman"/>
          <w:strike/>
          <w:color w:val="FF0000"/>
          <w:sz w:val="20"/>
        </w:rPr>
        <w:t>,</w:t>
      </w:r>
      <w:r>
        <w:rPr>
          <w:rFonts w:ascii="Times New Roman" w:hAnsi="Times New Roman"/>
          <w:color w:val="0000FF"/>
          <w:sz w:val="20"/>
          <w:u w:val="single"/>
          <w:bdr w:val="double" w:sz="2" w:space="1" w:color="000000"/>
        </w:rPr>
        <w:t>; except that (i)</w:t>
      </w:r>
      <w:r>
        <w:rPr>
          <w:rFonts w:ascii="Times New Roman" w:hAnsi="Times New Roman"/>
          <w:sz w:val="20"/>
        </w:rPr>
        <w:t xml:space="preserve"> the Borrower </w:t>
      </w:r>
      <w:r>
        <w:rPr>
          <w:rFonts w:ascii="Times New Roman" w:hAnsi="Times New Roman"/>
          <w:strike/>
          <w:color w:val="FF0000"/>
          <w:sz w:val="20"/>
        </w:rPr>
        <w:t xml:space="preserve">shall not, and shall not permit </w:t>
      </w:r>
      <w:r>
        <w:rPr>
          <w:rFonts w:ascii="Times New Roman" w:hAnsi="Times New Roman"/>
          <w:color w:val="0000FF"/>
          <w:sz w:val="20"/>
          <w:u w:val="single"/>
          <w:bdr w:val="double" w:sz="2" w:space="1" w:color="000000"/>
        </w:rPr>
        <w:t xml:space="preserve">Representative may </w:t>
      </w:r>
      <w:r>
        <w:rPr>
          <w:rFonts w:ascii="Times New Roman" w:hAnsi="Times New Roman"/>
          <w:color w:val="008000"/>
          <w:sz w:val="20"/>
          <w:u w:val="single"/>
          <w:bdr w:val="double" w:sz="2" w:space="1" w:color="000000"/>
        </w:rPr>
        <w:t>declare and make cash distributions to its partners during any fiscal year in an aggregate amount not to exceed the minimum amount necessary for the Parent to maintain its status as a REIT and (ii) </w:t>
      </w:r>
      <w:r>
        <w:rPr>
          <w:rFonts w:ascii="Times New Roman" w:hAnsi="Times New Roman"/>
          <w:sz w:val="20"/>
        </w:rPr>
        <w:t xml:space="preserve">any Subsidiary </w:t>
      </w:r>
      <w:r>
        <w:rPr>
          <w:rFonts w:ascii="Times New Roman" w:hAnsi="Times New Roman"/>
          <w:strike/>
          <w:color w:val="FF0000"/>
          <w:sz w:val="20"/>
        </w:rPr>
        <w:t>to,</w:t>
      </w:r>
      <w:r>
        <w:rPr>
          <w:rFonts w:ascii="Times New Roman" w:hAnsi="Times New Roman"/>
          <w:color w:val="0000FF"/>
          <w:sz w:val="20"/>
          <w:u w:val="single"/>
          <w:bdr w:val="double" w:sz="2" w:space="1" w:color="000000"/>
        </w:rPr>
        <w:t>may</w:t>
      </w:r>
      <w:r>
        <w:rPr>
          <w:rFonts w:ascii="Times New Roman" w:hAnsi="Times New Roman"/>
          <w:sz w:val="20"/>
        </w:rPr>
        <w:t xml:space="preserve"> make </w:t>
      </w:r>
      <w:r>
        <w:rPr>
          <w:rFonts w:ascii="Times New Roman" w:hAnsi="Times New Roman"/>
          <w:strike/>
          <w:color w:val="FF0000"/>
          <w:sz w:val="20"/>
        </w:rPr>
        <w:t xml:space="preserve">any </w:t>
      </w:r>
      <w:r>
        <w:rPr>
          <w:rFonts w:ascii="Times New Roman" w:hAnsi="Times New Roman"/>
          <w:sz w:val="20"/>
        </w:rPr>
        <w:t xml:space="preserve">Restricted </w:t>
      </w:r>
      <w:r>
        <w:rPr>
          <w:rFonts w:ascii="Times New Roman" w:hAnsi="Times New Roman"/>
          <w:strike/>
          <w:color w:val="FF0000"/>
          <w:sz w:val="20"/>
        </w:rPr>
        <w:t>Payment to any Person other than</w:t>
      </w:r>
      <w:r>
        <w:rPr>
          <w:rFonts w:ascii="Times New Roman" w:hAnsi="Times New Roman"/>
          <w:color w:val="0000FF"/>
          <w:sz w:val="20"/>
          <w:u w:val="single"/>
          <w:bdr w:val="double" w:sz="2" w:space="1" w:color="000000"/>
        </w:rPr>
        <w:t>Payments</w:t>
      </w:r>
      <w:r>
        <w:rPr>
          <w:rFonts w:ascii="Times New Roman" w:hAnsi="Times New Roman"/>
          <w:sz w:val="20"/>
        </w:rPr>
        <w:t xml:space="preserve"> to the Borrower Representative or any </w:t>
      </w:r>
      <w:r>
        <w:rPr>
          <w:rFonts w:ascii="Times New Roman" w:hAnsi="Times New Roman"/>
          <w:color w:val="0000FF"/>
          <w:sz w:val="20"/>
          <w:u w:val="single"/>
          <w:bdr w:val="double" w:sz="2" w:space="1" w:color="000000"/>
        </w:rPr>
        <w:t xml:space="preserve">other </w:t>
      </w:r>
      <w:r>
        <w:rPr>
          <w:rFonts w:ascii="Times New Roman" w:hAnsi="Times New Roman"/>
          <w:sz w:val="20"/>
        </w:rPr>
        <w:t xml:space="preserve">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9.3. Liens; Negative Pledges.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Representative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9.4. Restrictions on Intercompany Transfers.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9.5. Merger, Consolidation, Sales of Assets and Other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 </w:t>
      </w:r>
    </w:p>
    <w:p>
      <w:pPr>
        <w:pStyle w:val="TextBody"/>
        <w:bidi w:val="0"/>
        <w:spacing w:before="120" w:after="0"/>
        <w:jc w:val="left"/>
        <w:rPr>
          <w:rFonts w:ascii="Times New Roman" w:hAnsi="Times New Roman"/>
          <w:sz w:val="20"/>
        </w:rPr>
      </w:pPr>
      <w:r>
        <w:rPr>
          <w:rFonts w:ascii="Times New Roman" w:hAnsi="Times New Roman"/>
          <w:sz w:val="20"/>
        </w:rPr>
        <w:t xml:space="preserve">(i) any of the actions described in the immediately preceding clauses (a), (b) and (c) may be taken with respect to any Subsidiary or any other Loan Party (other than a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the other Loan Parties and the other Subsidiaries may lease and sublease their respective assets, as lessor or sublessor (as the case may be), in the ordinary course of their business; </w:t>
      </w:r>
    </w:p>
    <w:p>
      <w:pPr>
        <w:pStyle w:val="TextBody"/>
        <w:bidi w:val="0"/>
        <w:spacing w:before="120" w:after="0"/>
        <w:jc w:val="left"/>
        <w:rPr>
          <w:rFonts w:ascii="Times New Roman" w:hAnsi="Times New Roman"/>
          <w:sz w:val="20"/>
        </w:rPr>
      </w:pPr>
      <w:r>
        <w:rPr>
          <w:rFonts w:ascii="Times New Roman" w:hAnsi="Times New Roman"/>
          <w:sz w:val="20"/>
        </w:rPr>
        <w:t xml:space="preserve">(iii) a Person may merge with and into a Borrower so long as (A) a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a Borrower);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Subsidiary may sell, transfer or dispose of assets (including by merger or liquidation of Subsidiaries) among themselves; and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and each Subsidiary may transfer property as security for Indebtedness to the extent permitted under Section 9.3.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9.6. Plans.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9.7.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other Subsidiary to, change its fiscal year from that in effect as of the Agreement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9.8. Modifications of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9.9. Transactions with Affiliates.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9.10.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9.11. Non-Controlled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any Subsidiary that owns a Non-Controlled Property to own any assets other than another Non-Controlled Property and other nonmaterial assets incidental to the ownership of a Non-Controlled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9.12. Derivatives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“Convertible Notes”)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9.13.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other Loan Party or any other Subsidiary to, use any part of the proceeds of the Loans to (i) purchase or carry, or to reduce or retire or refinance any credit incurred to purchase or carry, any margin stock (within the meaning of Regulation U or Regulation X of the FRB) or (ii) to extend credit to others for the purpose of purchasing or carrying any such margin stock; provided, however, to the extent not otherwise prohibited by this Agreement or the other Loan Documents, the Parent may use proceeds of the Loans to purchase the Parent’s common shares so long as such use will not (x) result in any of the Loans or other Obligations being considered to be “purpose credit” directly or indirectly secured by margin stock within the meaning of Regulation U or Regulation X of the FRB or (y) otherwise cause a violation of Regulation U or Regulation X of the FRB.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9.14. Parent and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Parent is not a Guarantor, (a) the Parent’s assets shall consist solely of Equity Interests in the Borrower Representative or Equity Interests in any Wholly Owned Subsidiaries (including the General Partner) whose assets consist solely of direct or indirect Equity Interests in the Borrower Representative;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Representative within 30 days after Parent’s receipt thereof; and (b) none of the Parent, the General Partner, or any Wholly Owned Subsidiaries of the Parent whose assets consist solely of direct or indirect Equity Interests in the Borrower Representative, shall have any liabilities other than liabilities that would be reflected in consolidated financial statements of the Borrower Representative;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Representative to the Borrower Representative or any Subsidiary of the Borrower Representative,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Section 9.15. Outbound Investment Status.</w:t>
      </w:r>
      <w:r>
        <w:rPr>
          <w:rFonts w:ascii="Times New Roman" w:hAnsi="Times New Roman"/>
          <w:b/>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No Loan Party shall: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be or become a “covered foreign person”, as that term is defined in the Outbound Investment Rules, 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Lenders to be in violation of the Outbound Investment Rules or cause Lenders to be legally prohibited by the Outbound Investment Rules from performing under this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DEFAULT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shall constitute an Event of Default, whatever the reason for such event and whether it shall be voluntary or involuntary or be effected by operation of Applicable Law or pursuant to any judgment or order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 in Payment</w:t>
      </w:r>
      <w:r>
        <w:rPr>
          <w:rFonts w:ascii="Times New Roman" w:hAnsi="Times New Roman"/>
          <w:sz w:val="20"/>
        </w:rPr>
        <w:t xml:space="preserve">.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 </w:t>
      </w:r>
    </w:p>
    <w:p>
      <w:pPr>
        <w:pStyle w:val="TextBody"/>
        <w:bidi w:val="0"/>
        <w:spacing w:before="120" w:after="0"/>
        <w:jc w:val="left"/>
        <w:rPr>
          <w:rFonts w:ascii="Times New Roman" w:hAnsi="Times New Roman"/>
          <w:sz w:val="20"/>
        </w:rPr>
      </w:pPr>
      <w:r>
        <w:rPr>
          <w:rFonts w:ascii="Times New Roman" w:hAnsi="Times New Roman"/>
          <w:sz w:val="20"/>
        </w:rPr>
        <w:t xml:space="preserve">(ii)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Misrepresentations</w:t>
      </w:r>
      <w:r>
        <w:rPr>
          <w:rFonts w:ascii="Times New Roman" w:hAnsi="Times New Roman"/>
          <w:sz w:val="20"/>
        </w:rPr>
        <w:t xml:space="preserve">.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Indebtedness Cross-Default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hAnsi="Times New Roman"/>
          <w:b/>
          <w:sz w:val="20"/>
        </w:rPr>
        <w:t>Material Indebtedness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(iii) 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(iv) Any Loan Party shall fail to pay when due and payable amounts in excess of $125,000,000 in the aggregate owing in respect of any Derivatives Contracts; or </w:t>
      </w:r>
    </w:p>
    <w:p>
      <w:pPr>
        <w:pStyle w:val="TextBody"/>
        <w:bidi w:val="0"/>
        <w:spacing w:before="120" w:after="0"/>
        <w:jc w:val="left"/>
        <w:rPr>
          <w:rFonts w:ascii="Times New Roman" w:hAnsi="Times New Roman"/>
          <w:sz w:val="20"/>
        </w:rPr>
      </w:pPr>
      <w:r>
        <w:rPr>
          <w:rFonts w:ascii="Times New Roman" w:hAnsi="Times New Roman"/>
          <w:sz w:val="20"/>
        </w:rPr>
        <w:t xml:space="preserve">(v) An “Event of Default” under and as defined in the Revolver Credit Agreement (as 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Voluntary Bankruptcy Proceeding</w:t>
      </w:r>
      <w:r>
        <w:rPr>
          <w:rFonts w:ascii="Times New Roman" w:hAnsi="Times New Roman"/>
          <w:sz w:val="20"/>
        </w:rPr>
        <w:t xml:space="preserve">. The Borrower, any other Loan Party, the Parent, the General Partner,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Involuntary Bankruptcy Proceeding</w:t>
      </w:r>
      <w:r>
        <w:rPr>
          <w:rFonts w:ascii="Times New Roman" w:hAnsi="Times New Roman"/>
          <w:sz w:val="20"/>
        </w:rPr>
        <w:t xml:space="preserve">.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Revocation of Loan Documents</w:t>
      </w:r>
      <w:r>
        <w:rPr>
          <w:rFonts w:ascii="Times New Roman" w:hAnsi="Times New Roman"/>
          <w:sz w:val="20"/>
        </w:rPr>
        <w:t xml:space="preserve">.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w:t>
      </w:r>
      <w:r>
        <w:rPr>
          <w:rFonts w:ascii="Times New Roman" w:hAnsi="Times New Roman"/>
          <w:sz w:val="20"/>
        </w:rPr>
        <w:t xml:space="preserve">.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Attachment</w:t>
      </w:r>
      <w:r>
        <w:rPr>
          <w:rFonts w:ascii="Times New Roman" w:hAnsi="Times New Roman"/>
          <w:sz w:val="20"/>
        </w:rPr>
        <w:t xml:space="preserve">.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ERISA Event shall have occurred that results or could reasonably be expected to result in liability to any member of the ERISA Group aggregating in excess of $125,000,000; or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exceeds the “fair market value of plan assets” for such Plans by more than $125,000,000, all as determined, and with such terms defined, in accordance with FASB ASC 715.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Loan Documents</w:t>
      </w:r>
      <w:r>
        <w:rPr>
          <w:rFonts w:ascii="Times New Roman" w:hAnsi="Times New Roman"/>
          <w:sz w:val="20"/>
        </w:rPr>
        <w:t xml:space="preserve">. An Event of Default (as defined therein) shall occur under any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Control/Change in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Representative or (z) the Parent ceases to, directly or indirectly, have the power to exercise management and control of the Borrower Representative; or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 </w:t>
      </w:r>
    </w:p>
    <w:p>
      <w:pPr>
        <w:pStyle w:val="TextBody"/>
        <w:bidi w:val="0"/>
        <w:spacing w:before="120" w:after="0"/>
        <w:jc w:val="left"/>
        <w:rPr>
          <w:rFonts w:ascii="Times New Roman" w:hAnsi="Times New Roman"/>
          <w:sz w:val="20"/>
        </w:rPr>
      </w:pPr>
      <w:r>
        <w:rPr>
          <w:rFonts w:ascii="Times New Roman" w:hAnsi="Times New Roman"/>
          <w:sz w:val="20"/>
        </w:rPr>
        <w:t xml:space="preserve">(iii) Any Person other than the General Partner, the Parent or any Wholly Owned Subsidiary of the Parent shall become the general partner of the Borrower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(iv) The Parent shall cease to be the sole member of the General Partner; or </w:t>
      </w:r>
    </w:p>
    <w:p>
      <w:pPr>
        <w:pStyle w:val="TextBody"/>
        <w:bidi w:val="0"/>
        <w:spacing w:before="120" w:after="0"/>
        <w:jc w:val="left"/>
        <w:rPr>
          <w:rFonts w:ascii="Times New Roman" w:hAnsi="Times New Roman"/>
          <w:sz w:val="20"/>
        </w:rPr>
      </w:pPr>
      <w:r>
        <w:rPr>
          <w:rFonts w:ascii="Times New Roman" w:hAnsi="Times New Roman"/>
          <w:sz w:val="20"/>
        </w:rPr>
        <w:t xml:space="preserve">(v) So long as FRIT San Jose is a Borrower hereunder, FRIT San Jose ceases to be a Wholly Owned Subsidiary of the Borrower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Remedies Upon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Acceleration; Termination of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w:t>
      </w:r>
      <w:r>
        <w:rPr>
          <w:rFonts w:ascii="Times New Roman" w:hAnsi="Times New Roman"/>
          <w:sz w:val="20"/>
        </w:rPr>
        <w:t xml:space="preserve">. Upon the occurrence of an Event of Default specified in Sections 10.1.(e) or 10.1.(f),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if any are then outstanding, shall all immediately and automatically terminate.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Optional</w:t>
      </w:r>
      <w:r>
        <w:rPr>
          <w:rFonts w:ascii="Times New Roman" w:hAnsi="Times New Roman"/>
          <w:sz w:val="20"/>
        </w:rPr>
        <w:t xml:space="preserve">. If any other Event of Default shall exist, the Administrative Agent may, and at the direction of the Requisite Lenders shall: (1) declare (A) the principal of, and accrued interest on, the Loans and the Notes at the time outstanding and (B)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if any are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Loan Documents</w:t>
      </w:r>
      <w:r>
        <w:rPr>
          <w:rFonts w:ascii="Times New Roman" w:hAnsi="Times New Roman"/>
          <w:sz w:val="20"/>
        </w:rPr>
        <w:t xml:space="preserve">. The Requisite Lenders may direct the Administrative Agent to, and the Administrative Agent if so directed shall, exercise any and all of its rights under any and all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w:t>
      </w:r>
      <w:r>
        <w:rPr>
          <w:rFonts w:ascii="Times New Roman" w:hAnsi="Times New Roman"/>
          <w:sz w:val="20"/>
        </w:rPr>
        <w:t xml:space="preserve">. The Requisite Lenders may direct the Administrative Agent to, and the Administrative Agent if so directed shall, exercise all other rights and remedies it may have under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Appointment of Receiver</w:t>
      </w:r>
      <w:r>
        <w:rPr>
          <w:rFonts w:ascii="Times New Roman" w:hAnsi="Times New Roman"/>
          <w:sz w:val="20"/>
        </w:rPr>
        <w:t xml:space="preserve">.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Specified Derivatives Contract Remedies</w:t>
      </w:r>
      <w:r>
        <w:rPr>
          <w:rFonts w:ascii="Times New Roman" w:hAnsi="Times New Roman"/>
          <w:sz w:val="20"/>
        </w:rPr>
        <w:t xml:space="preserve">.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10.3. Remedies Upon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Default specified in Section 10.1.(f), the Commitments, if any are then outstanding, shall immediately and automatically terminate.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Marshaling; Payments Set Aside.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10.5. Allocation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 </w:t>
      </w:r>
    </w:p>
    <w:p>
      <w:pPr>
        <w:pStyle w:val="TextBody"/>
        <w:bidi w:val="0"/>
        <w:spacing w:before="120" w:after="0"/>
        <w:jc w:val="left"/>
        <w:rPr>
          <w:rFonts w:ascii="Times New Roman" w:hAnsi="Times New Roman"/>
          <w:sz w:val="20"/>
        </w:rPr>
      </w:pPr>
      <w:r>
        <w:rPr>
          <w:rFonts w:ascii="Times New Roman" w:hAnsi="Times New Roman"/>
          <w:sz w:val="20"/>
        </w:rPr>
        <w:t xml:space="preserve">(a) amounts due to the Administrative Agent and the Lenders in respect of expenses due under Section 12.2. until paid in full, and then Fees; </w:t>
      </w:r>
    </w:p>
    <w:p>
      <w:pPr>
        <w:pStyle w:val="TextBody"/>
        <w:bidi w:val="0"/>
        <w:spacing w:before="120" w:after="0"/>
        <w:jc w:val="left"/>
        <w:rPr>
          <w:rFonts w:ascii="Times New Roman" w:hAnsi="Times New Roman"/>
          <w:sz w:val="20"/>
        </w:rPr>
      </w:pPr>
      <w:r>
        <w:rPr>
          <w:rFonts w:ascii="Times New Roman" w:hAnsi="Times New Roman"/>
          <w:sz w:val="20"/>
        </w:rPr>
        <w:t xml:space="preserve">(b) payments of interest on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(c) payments of principal of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(d) amounts due to the Administrative Agent and the Lenders pursuant to Sections 11.6. and 12.10.; </w:t>
      </w:r>
    </w:p>
    <w:p>
      <w:pPr>
        <w:pStyle w:val="TextBody"/>
        <w:bidi w:val="0"/>
        <w:spacing w:before="120" w:after="0"/>
        <w:jc w:val="left"/>
        <w:rPr>
          <w:rFonts w:ascii="Times New Roman" w:hAnsi="Times New Roman"/>
          <w:sz w:val="20"/>
        </w:rPr>
      </w:pPr>
      <w:r>
        <w:rPr>
          <w:rFonts w:ascii="Times New Roman" w:hAnsi="Times New Roman"/>
          <w:sz w:val="20"/>
        </w:rPr>
        <w:t xml:space="preserve">(e) payments of all other Obligations and other amounts due under any of the Loan Documents to be applied for the ratable benefit of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(f) any amount remaining after application as provided above, shall be paid to the Borrower or whomever else may be legally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10.6.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10.7. Rescission of Acceleration by Requisite Lenders.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10.8. Performance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10.9. Rights Cumulative.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Enforcement by Administrative Agent</w:t>
      </w:r>
      <w:r>
        <w:rPr>
          <w:rFonts w:ascii="Times New Roman" w:hAnsi="Times New Roman"/>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Appointment and Authorization. </w:t>
      </w:r>
    </w:p>
    <w:p>
      <w:pPr>
        <w:pStyle w:val="TextBody"/>
        <w:bidi w:val="0"/>
        <w:spacing w:before="120" w:after="0"/>
        <w:jc w:val="left"/>
        <w:rPr>
          <w:rFonts w:ascii="Times New Roman" w:hAnsi="Times New Roman"/>
          <w:sz w:val="20"/>
        </w:rPr>
      </w:pPr>
      <w:r>
        <w:rPr>
          <w:rFonts w:ascii="Times New Roman" w:hAnsi="Times New Roman"/>
          <w:sz w:val="20"/>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11.2. PNC Bank as Lender. </w:t>
      </w:r>
    </w:p>
    <w:p>
      <w:pPr>
        <w:pStyle w:val="TextBody"/>
        <w:bidi w:val="0"/>
        <w:spacing w:before="120" w:after="0"/>
        <w:jc w:val="left"/>
        <w:rPr>
          <w:rFonts w:ascii="Times New Roman" w:hAnsi="Times New Roman"/>
          <w:sz w:val="20"/>
        </w:rPr>
      </w:pPr>
      <w:r>
        <w:rPr>
          <w:rFonts w:ascii="Times New Roman" w:hAnsi="Times New Roman"/>
          <w:sz w:val="20"/>
        </w:rPr>
        <w:t xml:space="preserve">PNC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PNC Bank in each case in its individual capacity. PNC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PNC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Approvals of Lenders. </w:t>
      </w:r>
    </w:p>
    <w:p>
      <w:pPr>
        <w:pStyle w:val="TextBody"/>
        <w:bidi w:val="0"/>
        <w:spacing w:before="120" w:after="0"/>
        <w:jc w:val="left"/>
        <w:rPr>
          <w:rFonts w:ascii="Times New Roman" w:hAnsi="Times New Roman"/>
          <w:sz w:val="20"/>
        </w:rPr>
      </w:pPr>
      <w:r>
        <w:rPr>
          <w:rFonts w:ascii="Times New Roman" w:hAnsi="Times New Roman"/>
          <w:sz w:val="20"/>
        </w:rPr>
        <w:t xml:space="preserve">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11.4. Notice of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11.5. Administrative Agent’s Reliance.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11.6. Indemnification of Administrative Agent. </w:t>
      </w:r>
    </w:p>
    <w:p>
      <w:pPr>
        <w:pStyle w:val="TextBody"/>
        <w:bidi w:val="0"/>
        <w:spacing w:before="120" w:after="0"/>
        <w:jc w:val="left"/>
        <w:rPr>
          <w:rFonts w:ascii="Times New Roman" w:hAnsi="Times New Roman"/>
          <w:sz w:val="20"/>
        </w:rPr>
      </w:pPr>
      <w:r>
        <w:rPr>
          <w:rFonts w:ascii="Times New Roman" w:hAnsi="Times New Roman"/>
          <w:sz w:val="20"/>
        </w:rPr>
        <w:t>Each Lender agrees to indemnify the Administrative Agent (to the extent not reimbursed by the Borrower and without limiting the obligation of the Borrower to do so) pro rata in accordance with such Lender’s respective pro rata share (determined based on the respective unpaid principal amounts of the Loans plus the amount of the Commitment (if any) held by them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Times New Roman" w:hAnsi="Times New Roman"/>
          <w:b/>
          <w:sz w:val="20"/>
        </w:rPr>
        <w:t>Indemnifiable Amounts</w:t>
      </w:r>
      <w:r>
        <w:rPr>
          <w:rFonts w:ascii="Times New Roman" w:hAnsi="Times New Roman"/>
          <w:sz w:val="20"/>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11.7. Lender Credit Decision, Etc. </w:t>
      </w:r>
    </w:p>
    <w:p>
      <w:pPr>
        <w:pStyle w:val="TextBody"/>
        <w:bidi w:val="0"/>
        <w:spacing w:before="120" w:after="0"/>
        <w:jc w:val="left"/>
        <w:rPr>
          <w:rFonts w:ascii="Times New Roman" w:hAnsi="Times New Roman"/>
          <w:sz w:val="20"/>
        </w:rPr>
      </w:pPr>
      <w:r>
        <w:rPr>
          <w:rFonts w:ascii="Times New Roman" w:hAnsi="Times New Roman"/>
          <w:sz w:val="20"/>
        </w:rPr>
        <w:t xml:space="preserve">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11.8. Successor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11.9. Titled Agents. </w:t>
      </w:r>
    </w:p>
    <w:p>
      <w:pPr>
        <w:pStyle w:val="TextBody"/>
        <w:bidi w:val="0"/>
        <w:spacing w:before="120" w:after="0"/>
        <w:jc w:val="left"/>
        <w:rPr>
          <w:rFonts w:ascii="Times New Roman" w:hAnsi="Times New Roman"/>
          <w:sz w:val="20"/>
        </w:rPr>
      </w:pPr>
      <w:r>
        <w:rPr>
          <w:rFonts w:ascii="Times New Roman" w:hAnsi="Times New Roman"/>
          <w:sz w:val="20"/>
        </w:rPr>
        <w:t>The Arrangers and Co-Syndication Agents (the “</w:t>
      </w:r>
      <w:r>
        <w:rPr>
          <w:rFonts w:ascii="Times New Roman" w:hAnsi="Times New Roman"/>
          <w:b/>
          <w:sz w:val="20"/>
        </w:rPr>
        <w:t>Titled Agents</w:t>
      </w:r>
      <w:r>
        <w:rPr>
          <w:rFonts w:ascii="Times New Roman" w:hAnsi="Times New Roman"/>
          <w:sz w:val="20"/>
        </w:rPr>
        <w:t xml:space="preserve">”)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11.10. Erroneous Payments. </w:t>
      </w:r>
    </w:p>
    <w:p>
      <w:pPr>
        <w:pStyle w:val="TextBody"/>
        <w:bidi w:val="0"/>
        <w:spacing w:before="120" w:after="0"/>
        <w:jc w:val="left"/>
        <w:rPr>
          <w:rFonts w:ascii="Times New Roman" w:hAnsi="Times New Roman"/>
          <w:sz w:val="20"/>
        </w:rPr>
      </w:pPr>
      <w:r>
        <w:rPr>
          <w:rFonts w:ascii="Times New Roman" w:hAnsi="Times New Roman"/>
          <w:sz w:val="20"/>
        </w:rPr>
        <w:t>(a) Each Lender, each other Specified Derivatives Provider and any other party hereto hereby severally agrees that if (i) the Administrative Agent notifies (which such notice shall be conclusive absent manifest error) such Lender or any other Specified Derivatives Provider or any other Person that has received funds from the Administrative Agent or any of its Affiliates, either for its own account or on behalf of a Lender or other Specified Derivatives Provider (each such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sz w:val="20"/>
          <w:u w:val="single"/>
        </w:rPr>
        <w:t>Section 11.10(a),</w:t>
      </w:r>
      <w:r>
        <w:rPr>
          <w:rFonts w:ascii="Times New Roman" w:hAnsi="Times New Roman"/>
          <w:sz w:val="20"/>
        </w:rPr>
        <w:t xml:space="preserve">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then, in each case, such Payment Recipient is deemed to have knowledge of such error at the time of its receipt of such Erroneous Payment; </w:t>
      </w:r>
      <w:r>
        <w:rPr>
          <w:rFonts w:ascii="Times New Roman" w:hAnsi="Times New Roman"/>
          <w:sz w:val="20"/>
          <w:u w:val="single"/>
        </w:rPr>
        <w:t>provided</w:t>
      </w:r>
      <w:r>
        <w:rPr>
          <w:rFonts w:ascii="Times New Roman" w:hAnsi="Times New Roman"/>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immediately preceding clause (a), each Payment Recipient agrees that, in the case of clause (a)(ii) above, it shall promptly notify the Administrative Agent in writing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hAnsi="Times New Roman"/>
          <w:sz w:val="20"/>
          <w:u w:val="single"/>
        </w:rPr>
        <w:t>Erroneous Payment Return Deficiency</w:t>
      </w:r>
      <w:r>
        <w:rPr>
          <w:rFonts w:ascii="Times New Roman" w:hAnsi="Times New Roman"/>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hAnsi="Times New Roman"/>
          <w:sz w:val="20"/>
          <w:u w:val="single"/>
        </w:rPr>
        <w:t>Erroneous Payment Impacted Class</w:t>
      </w:r>
      <w:r>
        <w:rPr>
          <w:rFonts w:ascii="Times New Roman" w:hAnsi="Times New Roman"/>
          <w:sz w:val="20"/>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w:t>
      </w:r>
      <w:r>
        <w:rPr>
          <w:rFonts w:ascii="Times New Roman" w:hAnsi="Times New Roman"/>
          <w:sz w:val="20"/>
          <w:u w:val="single"/>
        </w:rPr>
        <w:t>Erroneous Payment Deficiency Assignment</w:t>
      </w:r>
      <w:r>
        <w:rPr>
          <w:rFonts w:ascii="Times New Roman" w:hAnsi="Times New Roman"/>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sz w:val="20"/>
          <w:u w:val="single"/>
        </w:rPr>
        <w:t>Section 12.6</w:t>
      </w:r>
      <w:r>
        <w:rPr>
          <w:rFonts w:ascii="Times New Roman" w:hAnsi="Times New Roman"/>
          <w:sz w:val="20"/>
        </w:rPr>
        <w:t xml:space="preserve"> and (3) the Administrative Agent may reflect such assignments in the Register without further consent or action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hAnsi="Times New Roman"/>
          <w:sz w:val="20"/>
          <w:u w:val="single"/>
        </w:rPr>
        <w:t>Section 11.10</w:t>
      </w:r>
      <w:r>
        <w:rPr>
          <w:rFonts w:ascii="Times New Roman" w:hAnsi="Times New Roman"/>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p>
    <w:p>
      <w:pPr>
        <w:pStyle w:val="TextBody"/>
        <w:bidi w:val="0"/>
        <w:spacing w:before="240" w:after="0"/>
        <w:jc w:val="left"/>
        <w:rPr>
          <w:rFonts w:ascii="Times New Roman" w:hAnsi="Times New Roman"/>
          <w:sz w:val="20"/>
        </w:rPr>
      </w:pPr>
      <w:r>
        <w:rPr>
          <w:rFonts w:ascii="Times New Roman" w:hAnsi="Times New Roman"/>
          <w:sz w:val="20"/>
        </w:rPr>
        <w:t xml:space="preserve">(f) Each party’s obligations under this </w:t>
      </w:r>
      <w:r>
        <w:rPr>
          <w:rFonts w:ascii="Times New Roman" w:hAnsi="Times New Roman"/>
          <w:sz w:val="20"/>
          <w:u w:val="single"/>
        </w:rPr>
        <w:t>Section 11.10</w:t>
      </w:r>
      <w:r>
        <w:rPr>
          <w:rFonts w:ascii="Times New Roman" w:hAnsi="Times New Roman"/>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11.10</w:t>
      </w:r>
      <w:r>
        <w:rPr>
          <w:rFonts w:ascii="Times New Roman" w:hAnsi="Times New Roman"/>
          <w:sz w:val="20"/>
        </w:rPr>
        <w:t xml:space="preserve"> will constitute a waiver or release of any claim of the Administrative Agent hereunder arising from any Payment Recipient’s receipt of an Erroneous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- 98 -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12.1. Notices.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herein (including without limitation as provided in Section 8.5.), communications provided for hereunder shall be in writing and shall be mailed, sent via electronic mail, or delivered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any Borrower: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Chief Accounting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 (301) 998-8143 </w:t>
      </w:r>
    </w:p>
    <w:p>
      <w:pPr>
        <w:pStyle w:val="TextBody"/>
        <w:bidi w:val="0"/>
        <w:spacing w:before="0" w:after="0"/>
        <w:jc w:val="left"/>
        <w:rPr>
          <w:rFonts w:ascii="Times New Roman" w:hAnsi="Times New Roman"/>
          <w:sz w:val="20"/>
        </w:rPr>
      </w:pPr>
      <w:r>
        <w:rPr>
          <w:rFonts w:ascii="Times New Roman" w:hAnsi="Times New Roman"/>
          <w:sz w:val="20"/>
        </w:rPr>
        <w:t xml:space="preserve">Email: msolis@federalrealty.com </w:t>
      </w:r>
    </w:p>
    <w:p>
      <w:pPr>
        <w:pStyle w:val="TextBody"/>
        <w:bidi w:val="0"/>
        <w:spacing w:before="240" w:after="0"/>
        <w:jc w:val="left"/>
        <w:rPr>
          <w:rFonts w:ascii="Times New Roman" w:hAnsi="Times New Roman"/>
          <w:sz w:val="20"/>
        </w:rPr>
      </w:pPr>
      <w:r>
        <w:rPr>
          <w:rFonts w:ascii="Times New Roman" w:hAnsi="Times New Roman"/>
          <w:sz w:val="20"/>
        </w:rPr>
        <w:t xml:space="preserve">and for all notices (other than notices solely under Article II), with copies to: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 (301) 998-8100 </w:t>
      </w:r>
    </w:p>
    <w:p>
      <w:pPr>
        <w:pStyle w:val="TextBody"/>
        <w:bidi w:val="0"/>
        <w:spacing w:before="0" w:after="0"/>
        <w:jc w:val="left"/>
        <w:rPr>
          <w:rFonts w:ascii="Times New Roman" w:hAnsi="Times New Roman"/>
          <w:sz w:val="20"/>
        </w:rPr>
      </w:pPr>
      <w:r>
        <w:rPr>
          <w:rFonts w:ascii="Times New Roman" w:hAnsi="Times New Roman"/>
          <w:sz w:val="20"/>
        </w:rPr>
        <w:t xml:space="preserve">Email: dbecker@federalrealty.com and legal@federalrealty.com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Pillsbury Winthrop Shaw Pittman LLP </w:t>
      </w:r>
    </w:p>
    <w:p>
      <w:pPr>
        <w:pStyle w:val="TextBody"/>
        <w:bidi w:val="0"/>
        <w:spacing w:before="0" w:after="0"/>
        <w:jc w:val="left"/>
        <w:rPr>
          <w:rFonts w:ascii="Times New Roman" w:hAnsi="Times New Roman"/>
          <w:sz w:val="20"/>
        </w:rPr>
      </w:pPr>
      <w:r>
        <w:rPr>
          <w:rFonts w:ascii="Times New Roman" w:hAnsi="Times New Roman"/>
          <w:sz w:val="20"/>
        </w:rPr>
        <w:t xml:space="preserve">1200 Seventeenth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Attn: Justin J. Bintrim, Esq. </w:t>
      </w:r>
    </w:p>
    <w:p>
      <w:pPr>
        <w:pStyle w:val="TextBody"/>
        <w:bidi w:val="0"/>
        <w:spacing w:before="0" w:after="0"/>
        <w:jc w:val="left"/>
        <w:rPr>
          <w:rFonts w:ascii="Times New Roman" w:hAnsi="Times New Roman"/>
          <w:sz w:val="20"/>
        </w:rPr>
      </w:pPr>
      <w:r>
        <w:rPr>
          <w:rFonts w:ascii="Times New Roman" w:hAnsi="Times New Roman"/>
          <w:sz w:val="20"/>
        </w:rPr>
        <w:t xml:space="preserve">Telephone: (202) 663-8364 </w:t>
      </w:r>
    </w:p>
    <w:p>
      <w:pPr>
        <w:pStyle w:val="TextBody"/>
        <w:bidi w:val="0"/>
        <w:spacing w:before="0" w:after="0"/>
        <w:jc w:val="left"/>
        <w:rPr>
          <w:rFonts w:ascii="Times New Roman" w:hAnsi="Times New Roman"/>
          <w:sz w:val="20"/>
        </w:rPr>
      </w:pPr>
      <w:r>
        <w:rPr>
          <w:rFonts w:ascii="Times New Roman" w:hAnsi="Times New Roman"/>
          <w:sz w:val="20"/>
        </w:rPr>
        <w:t xml:space="preserve">Email: justin.bintrim@pillsburylaw.com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PNC Real Estate </w:t>
      </w:r>
    </w:p>
    <w:p>
      <w:pPr>
        <w:pStyle w:val="TextBody"/>
        <w:bidi w:val="0"/>
        <w:spacing w:before="0" w:after="0"/>
        <w:jc w:val="left"/>
        <w:rPr>
          <w:rFonts w:ascii="Times New Roman" w:hAnsi="Times New Roman"/>
          <w:sz w:val="20"/>
        </w:rPr>
      </w:pPr>
      <w:r>
        <w:rPr>
          <w:rFonts w:ascii="Times New Roman" w:hAnsi="Times New Roman"/>
          <w:sz w:val="20"/>
        </w:rPr>
        <w:t xml:space="preserve">1 N Franklin St, 27th Floor </w:t>
      </w:r>
    </w:p>
    <w:p>
      <w:pPr>
        <w:pStyle w:val="TextBody"/>
        <w:bidi w:val="0"/>
        <w:spacing w:before="0" w:after="0"/>
        <w:jc w:val="left"/>
        <w:rPr>
          <w:rFonts w:ascii="Times New Roman" w:hAnsi="Times New Roman"/>
          <w:sz w:val="20"/>
        </w:rPr>
      </w:pPr>
      <w:r>
        <w:rPr>
          <w:rFonts w:ascii="Times New Roman" w:hAnsi="Times New Roman"/>
          <w:sz w:val="20"/>
        </w:rPr>
        <w:t xml:space="preserve">Mail-Stop: D1-Y806-27-1 </w:t>
      </w:r>
    </w:p>
    <w:p>
      <w:pPr>
        <w:pStyle w:val="TextBody"/>
        <w:bidi w:val="0"/>
        <w:spacing w:before="0" w:after="0"/>
        <w:jc w:val="left"/>
        <w:rPr>
          <w:rFonts w:ascii="Times New Roman" w:hAnsi="Times New Roman"/>
          <w:sz w:val="20"/>
        </w:rPr>
      </w:pPr>
      <w:r>
        <w:rPr>
          <w:rFonts w:ascii="Times New Roman" w:hAnsi="Times New Roman"/>
          <w:sz w:val="20"/>
        </w:rPr>
        <w:t xml:space="preserve">Chicago, IL 60606 </w:t>
      </w:r>
    </w:p>
    <w:p>
      <w:pPr>
        <w:pStyle w:val="TextBody"/>
        <w:bidi w:val="0"/>
        <w:spacing w:before="0" w:after="0"/>
        <w:jc w:val="left"/>
        <w:rPr>
          <w:rFonts w:ascii="Times New Roman" w:hAnsi="Times New Roman"/>
          <w:sz w:val="20"/>
        </w:rPr>
      </w:pPr>
      <w:r>
        <w:rPr>
          <w:rFonts w:ascii="Times New Roman" w:hAnsi="Times New Roman"/>
          <w:sz w:val="20"/>
        </w:rPr>
        <w:t xml:space="preserve">Attn: Nicole Steinmetz </w:t>
      </w:r>
    </w:p>
    <w:p>
      <w:pPr>
        <w:pStyle w:val="TextBody"/>
        <w:bidi w:val="0"/>
        <w:spacing w:before="0" w:after="0"/>
        <w:jc w:val="left"/>
        <w:rPr>
          <w:rFonts w:ascii="Times New Roman" w:hAnsi="Times New Roman"/>
          <w:sz w:val="20"/>
        </w:rPr>
      </w:pPr>
      <w:r>
        <w:rPr>
          <w:rFonts w:ascii="Times New Roman" w:hAnsi="Times New Roman"/>
          <w:sz w:val="20"/>
        </w:rPr>
        <w:t xml:space="preserve">Telephone: (412)807-6375 </w:t>
      </w:r>
    </w:p>
    <w:p>
      <w:pPr>
        <w:pStyle w:val="TextBody"/>
        <w:bidi w:val="0"/>
        <w:spacing w:before="0" w:after="0"/>
        <w:jc w:val="left"/>
        <w:rPr>
          <w:rFonts w:ascii="Times New Roman" w:hAnsi="Times New Roman"/>
          <w:sz w:val="20"/>
        </w:rPr>
      </w:pPr>
      <w:r>
        <w:rPr>
          <w:rFonts w:ascii="Times New Roman" w:hAnsi="Times New Roman"/>
          <w:sz w:val="20"/>
        </w:rPr>
        <w:t xml:space="preserve">Email: nicole.steinmetz@pnc.com and shari.reams@pnc.com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Alston &amp; Bird LLP </w:t>
      </w:r>
    </w:p>
    <w:p>
      <w:pPr>
        <w:pStyle w:val="TextBody"/>
        <w:bidi w:val="0"/>
        <w:spacing w:before="0" w:after="0"/>
        <w:jc w:val="left"/>
        <w:rPr>
          <w:rFonts w:ascii="Times New Roman" w:hAnsi="Times New Roman"/>
          <w:sz w:val="20"/>
        </w:rPr>
      </w:pPr>
      <w:r>
        <w:rPr>
          <w:rFonts w:ascii="Times New Roman" w:hAnsi="Times New Roman"/>
          <w:sz w:val="20"/>
        </w:rPr>
        <w:t xml:space="preserve">1201 West Peachtree Street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30309 </w:t>
      </w:r>
    </w:p>
    <w:p>
      <w:pPr>
        <w:pStyle w:val="TextBody"/>
        <w:bidi w:val="0"/>
        <w:spacing w:before="0" w:after="0"/>
        <w:jc w:val="left"/>
        <w:rPr>
          <w:rFonts w:ascii="Times New Roman" w:hAnsi="Times New Roman"/>
          <w:sz w:val="20"/>
        </w:rPr>
      </w:pPr>
      <w:r>
        <w:rPr>
          <w:rFonts w:ascii="Times New Roman" w:hAnsi="Times New Roman"/>
          <w:sz w:val="20"/>
        </w:rPr>
        <w:t xml:space="preserve">Attn: Deanna L. Kashdan, Esq. </w:t>
      </w:r>
    </w:p>
    <w:p>
      <w:pPr>
        <w:pStyle w:val="TextBody"/>
        <w:bidi w:val="0"/>
        <w:spacing w:before="0" w:after="0"/>
        <w:jc w:val="left"/>
        <w:rPr>
          <w:rFonts w:ascii="Times New Roman" w:hAnsi="Times New Roman"/>
          <w:sz w:val="20"/>
        </w:rPr>
      </w:pPr>
      <w:r>
        <w:rPr>
          <w:rFonts w:ascii="Times New Roman" w:hAnsi="Times New Roman"/>
          <w:sz w:val="20"/>
        </w:rPr>
        <w:t xml:space="preserve">Telephone: (404) 881-7782 </w:t>
      </w:r>
    </w:p>
    <w:p>
      <w:pPr>
        <w:pStyle w:val="TextBody"/>
        <w:bidi w:val="0"/>
        <w:spacing w:before="0" w:after="0"/>
        <w:jc w:val="left"/>
        <w:rPr>
          <w:rFonts w:ascii="Times New Roman" w:hAnsi="Times New Roman"/>
          <w:sz w:val="20"/>
        </w:rPr>
      </w:pPr>
      <w:r>
        <w:rPr>
          <w:rFonts w:ascii="Times New Roman" w:hAnsi="Times New Roman"/>
          <w:sz w:val="20"/>
        </w:rPr>
        <w:t xml:space="preserve">Email: deanna.kashdan@alston.com </w:t>
      </w:r>
    </w:p>
    <w:p>
      <w:pPr>
        <w:pStyle w:val="TextBody"/>
        <w:bidi w:val="0"/>
        <w:spacing w:before="120" w:after="0"/>
        <w:jc w:val="left"/>
        <w:rPr>
          <w:rFonts w:ascii="Times New Roman" w:hAnsi="Times New Roman"/>
          <w:sz w:val="20"/>
        </w:rPr>
      </w:pPr>
      <w:r>
        <w:rPr>
          <w:rFonts w:ascii="Times New Roman" w:hAnsi="Times New Roman"/>
          <w:sz w:val="20"/>
        </w:rPr>
        <w:t xml:space="preserve">If to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To such Lender’s address or electronic mail address as set forth in the applicable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 Expenses.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12.3. Stamp, Intangible and Recording Taxes.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12.4. Setoff.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12.5. Litigation; Jurisdiction; Other Matters; Waivers.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ACKNOWLEDGES THAT ANY DISPUTE OR CONTROVERSY BETWEEN OR AMONG ANY 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ANY BORROWER, THE ADMINISTRATIVE AGENT OR ANY OF THE LENDERS OF ANY KIND OR NATURE RELATING TO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THAT, NOTWITHSTANDING THE PARTIES’ CHOICE OF VENUE SET FORTH IN </w:t>
      </w:r>
      <w:r>
        <w:rPr>
          <w:rFonts w:ascii="Times New Roman" w:hAnsi="Times New Roman"/>
          <w:sz w:val="20"/>
          <w:u w:val="single"/>
        </w:rPr>
        <w:t>SECTION 12.5.(b)</w:t>
      </w:r>
      <w:r>
        <w:rPr>
          <w:rFonts w:ascii="Times New Roman" w:hAnsi="Times New Roman"/>
          <w:sz w:val="20"/>
        </w:rPr>
        <w:t xml:space="preserve"> ABOVE, ANY LEGAL PROCEEDING IS FILED IN A COURT OF THE STATE OF CALIFORNIA (THE “</w:t>
      </w:r>
      <w:r>
        <w:rPr>
          <w:rFonts w:ascii="Times New Roman" w:hAnsi="Times New Roman"/>
          <w:sz w:val="20"/>
          <w:u w:val="single"/>
        </w:rPr>
        <w:t>COURT</w:t>
      </w:r>
      <w:r>
        <w:rPr>
          <w:rFonts w:ascii="Times New Roman" w:hAnsi="Times New Roman"/>
          <w:sz w:val="20"/>
        </w:rPr>
        <w:t>”) BY OR AGAINST ANY PARTY HERETO IN CONNECTION WITH ANY CLAIM AND THE WAIVER SET FORTH IN</w:t>
      </w:r>
      <w:r>
        <w:rPr>
          <w:rFonts w:ascii="Times New Roman" w:hAnsi="Times New Roman"/>
          <w:sz w:val="20"/>
          <w:u w:val="single"/>
        </w:rPr>
        <w:t xml:space="preserve"> SECTION 12.5.(a)</w:t>
      </w:r>
      <w:r>
        <w:rPr>
          <w:rFonts w:ascii="Times New Roman" w:hAnsi="Times New Roman"/>
          <w:sz w:val="20"/>
        </w:rPr>
        <w:t xml:space="preserve"> ABOVE IS NOT ENFORCEABLE IN SUCH PROCEEDING (AND EACH PARTY TO SUCH ACTION DOES NOT SUBSEQUENTLY EFFECTIVELY WAIVE UNDER CALIFORNIA LAW ITS RIGHT TO A TRIAL BY JURY),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PERMITTED BY APPLICABLE LAW, 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AND ANY SUCH EXERCISE OR OPPOSITION DOES NOT WAIVE THE RIGHT OF ANY PARTY TO PARTICIPATE IN A REFERENCE PROCEEDING PURSUANT TO THIS AGREEMENT WITH RESPECT TO ANY OTHER MATTER. </w:t>
      </w:r>
    </w:p>
    <w:p>
      <w:pPr>
        <w:pStyle w:val="TextBody"/>
        <w:bidi w:val="0"/>
        <w:spacing w:before="120" w:after="0"/>
        <w:jc w:val="left"/>
        <w:rPr>
          <w:rFonts w:ascii="Times New Roman" w:hAnsi="Times New Roman"/>
          <w:sz w:val="20"/>
        </w:rPr>
      </w:pPr>
      <w:r>
        <w:rPr>
          <w:rFonts w:ascii="Times New Roman" w:hAnsi="Times New Roman"/>
          <w:sz w:val="20"/>
        </w:rPr>
        <w:t xml:space="preserve">(iii) 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 </w:t>
      </w:r>
    </w:p>
    <w:p>
      <w:pPr>
        <w:pStyle w:val="TextBody"/>
        <w:bidi w:val="0"/>
        <w:spacing w:before="120" w:after="0"/>
        <w:jc w:val="left"/>
        <w:rPr>
          <w:rFonts w:ascii="Times New Roman" w:hAnsi="Times New Roman"/>
          <w:sz w:val="20"/>
        </w:rPr>
      </w:pPr>
      <w:r>
        <w:rPr>
          <w:rFonts w:ascii="Times New Roman" w:hAnsi="Times New Roman"/>
          <w:sz w:val="20"/>
        </w:rPr>
        <w:t xml:space="preserve">(iv) 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 </w:t>
      </w:r>
    </w:p>
    <w:p>
      <w:pPr>
        <w:pStyle w:val="TextBody"/>
        <w:bidi w:val="0"/>
        <w:spacing w:before="120" w:after="0"/>
        <w:jc w:val="left"/>
        <w:rPr>
          <w:rFonts w:ascii="Times New Roman" w:hAnsi="Times New Roman"/>
          <w:sz w:val="20"/>
        </w:rPr>
      </w:pPr>
      <w:r>
        <w:rPr>
          <w:rFonts w:ascii="Times New Roman" w:hAnsi="Times New Roman"/>
          <w:sz w:val="20"/>
        </w:rPr>
        <w:t xml:space="preserve">(vi) 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 </w:t>
      </w:r>
    </w:p>
    <w:p>
      <w:pPr>
        <w:pStyle w:val="TextBody"/>
        <w:bidi w:val="0"/>
        <w:spacing w:before="120" w:after="0"/>
        <w:jc w:val="left"/>
        <w:rPr>
          <w:rFonts w:ascii="Times New Roman" w:hAnsi="Times New Roman"/>
          <w:sz w:val="20"/>
        </w:rPr>
      </w:pPr>
      <w:r>
        <w:rPr>
          <w:rFonts w:ascii="Times New Roman" w:hAnsi="Times New Roman"/>
          <w:sz w:val="20"/>
        </w:rPr>
        <w:t xml:space="preserve">(vii) 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(viii) NEITHER THE INCLUSION OF THIS SECTION 12.5., NOR ANY REFERENCE TO CALIFORNIA LAW CONTAINED HEREIN SHALL BE DEEMED TO AFFECT OR LIMIT IN ANY WAY THE PARTIES’ CHOICE OF NEW YORK LAW OR VENUE.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12.6.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an assigning Lender’s Commitment and/or the Loans at the time owing to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the immediately preceding subsection (A), the aggregate amount of the Commitment and/or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or the outstanding principal balance of the Loan held by such assigning Lender, as applicable, would be less than $5,000,000, then such assigning Lender shall assign the entire amount of its Commitment or the Loans, as applicable, at the time owing to it unless the Administrative Agent and Borrower agree otherwise.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clause (i)(B) of this subsection (b)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a Commitment and/or a Loan if such assignment is to a Person that is not already a Lender holding a Loan, an Affiliate of such a Lender or an Approved Fund with respect to such a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 Notes</w:t>
      </w:r>
      <w:r>
        <w:rPr>
          <w:rFonts w:ascii="Times New Roman" w:hAnsi="Times New Roman"/>
          <w:sz w:val="20"/>
        </w:rPr>
        <w:t xml:space="preserve">.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Borrower</w:t>
      </w:r>
      <w:r>
        <w:rPr>
          <w:rFonts w:ascii="Times New Roman" w:hAnsi="Times New Roman"/>
          <w:sz w:val="20"/>
        </w:rPr>
        <w:t xml:space="preserve">. No such assignment shall be made to a Defaulting Lender, any Borrower or any of the Borrower’s Affiliates or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Assignments by Specified Derivatives Provider</w:t>
      </w:r>
      <w:r>
        <w:rPr>
          <w:rFonts w:ascii="Times New Roman" w:hAnsi="Times New Roman"/>
          <w:sz w:val="20"/>
        </w:rPr>
        <w:t xml:space="preserve">.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the principal amounts of the Loans owing to, each Lender pursuant to the terms hereof from time to time (the “</w:t>
      </w:r>
      <w:r>
        <w:rPr>
          <w:rFonts w:ascii="Times New Roman" w:hAnsi="Times New Roman"/>
          <w:b/>
          <w:sz w:val="20"/>
        </w:rPr>
        <w:t>Register</w:t>
      </w:r>
      <w:r>
        <w:rPr>
          <w:rFonts w:ascii="Times New Roman" w:hAnsi="Times New Roman"/>
          <w:sz w:val="20"/>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b/>
          <w:sz w:val="20"/>
        </w:rPr>
        <w:t>Participant Register</w:t>
      </w:r>
      <w:r>
        <w:rPr>
          <w:rFonts w:ascii="Times New Roman" w:hAnsi="Times New Roman"/>
          <w:sz w:val="20"/>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a Defaulting Lender or a Borrower or any of a Borrower’s Affiliates or Subsidiaries) (each,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and/or Loans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Registration</w:t>
      </w:r>
      <w:r>
        <w:rPr>
          <w:rFonts w:ascii="Times New Roman" w:hAnsi="Times New Roman"/>
          <w:sz w:val="20"/>
        </w:rPr>
        <w:t xml:space="preserve">.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12.7.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Subject to the immediately following subsection (c), any term of this Agreement or of any other Loan Document relating solely and directly to the rights or obligations of a certain Class of Lenders, and not any other Lenders, may be amended, and the performance or observance by the Borrower or any other Loan Party or any Subsidiary of any such terms may be waived (either generally or in a particular instance and either retroactively or prospectively) with, but only with, the written consent of the Requisite Term A Loan Lenders or the Requisite Term B Loan Lenders, as applicable (and, in the case of an amendment to any Loan Document, the written consent of each Loan Party a party thereto).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Consent of Lenders Directly Affected</w:t>
      </w:r>
      <w:r>
        <w:rPr>
          <w:rFonts w:ascii="Times New Roman" w:hAnsi="Times New Roman"/>
          <w:sz w:val="20"/>
        </w:rPr>
        <w:t xml:space="preserve">. In addition to the foregoing requirements, no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increase, extend or reinstate the Commitment of any Lender or subject a Lender to any additional obligations without the written consent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principal of, or interest that has accrued or the rates of interest that will be charged on the outstanding principal amount of, any Loans or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amount of any Fees payable hereunder without the written consent of each Lender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modify the definition of “Maturity Date”</w:t>
      </w:r>
      <w:r>
        <w:rPr>
          <w:rFonts w:ascii="Times New Roman" w:hAnsi="Times New Roman"/>
          <w:color w:val="0000FF"/>
          <w:sz w:val="20"/>
          <w:u w:val="single"/>
          <w:bdr w:val="double" w:sz="2" w:space="1" w:color="000000"/>
        </w:rPr>
        <w:t xml:space="preserve">or otherwise extend the Commitments of such Lenders </w:t>
      </w:r>
      <w:r>
        <w:rPr>
          <w:rFonts w:ascii="Times New Roman" w:hAnsi="Times New Roman"/>
          <w:sz w:val="20"/>
        </w:rPr>
        <w:t>(except</w:t>
      </w:r>
      <w:r>
        <w:rPr>
          <w:rFonts w:ascii="Times New Roman" w:hAnsi="Times New Roman"/>
          <w:color w:val="0000FF"/>
          <w:sz w:val="20"/>
          <w:u w:val="single"/>
          <w:bdr w:val="double" w:sz="2" w:space="1" w:color="000000"/>
        </w:rPr>
        <w:t>, in each case,</w:t>
      </w:r>
      <w:r>
        <w:rPr>
          <w:rFonts w:ascii="Times New Roman" w:hAnsi="Times New Roman"/>
          <w:sz w:val="20"/>
        </w:rPr>
        <w:t xml:space="preserve"> in accordance with Section 2.13.) or otherwise postpone any date fixed for any payment of principal of, or interest on, any Loans or for the payment of Fees or any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modify the definitions “Availability Period” or “Availability Termination Date” without the written consent of each Term B Loan Lender; </w:t>
      </w:r>
    </w:p>
    <w:p>
      <w:pPr>
        <w:pStyle w:val="TextBody"/>
        <w:bidi w:val="0"/>
        <w:spacing w:before="120" w:after="0"/>
        <w:jc w:val="left"/>
        <w:rPr>
          <w:rFonts w:ascii="Times New Roman" w:hAnsi="Times New Roman"/>
          <w:sz w:val="20"/>
        </w:rPr>
      </w:pPr>
      <w:r>
        <w:rPr>
          <w:rFonts w:ascii="Times New Roman" w:hAnsi="Times New Roman"/>
          <w:sz w:val="20"/>
        </w:rPr>
        <w:t xml:space="preserve">(vi) modify the definition of “Commitment Percentage” or amend or otherwise modify the provisions of Section 3.2., Section 3.3. or Section 10.5.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 amend this Section or amend the definitions of the terms used in this Agreement or the other Loan Documents insofar as such definitions affect the substance of this Section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(viii) modify the definition of the term “Requisite Lenders” or modify in any other manner the number or percentage of the Lenders required to make any determinations or waive any rights hereunder or to modify any provision hereof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(ix)(i) modify the definition of the term “Requisite Term A Loan Lenders” or modify in any other manner the number or percentage of the Term A Loan Lenders required to make any determinations or waive any rights hereunder or to modify any provision hereof without the written consent of each Term A Loan Lender or (ii) modify the definition of the term “Requisite Term B Loan Lenders” or modify in any other manner the number or percentage of the Term B Loan Lenders required to make any determinations or waive any rights hereunder or to modify any provision hereof without the written consent of each Term B Loan Lender; </w:t>
      </w:r>
    </w:p>
    <w:p>
      <w:pPr>
        <w:pStyle w:val="TextBody"/>
        <w:bidi w:val="0"/>
        <w:spacing w:before="120" w:after="0"/>
        <w:jc w:val="left"/>
        <w:rPr>
          <w:rFonts w:ascii="Times New Roman" w:hAnsi="Times New Roman"/>
          <w:sz w:val="20"/>
        </w:rPr>
      </w:pPr>
      <w:r>
        <w:rPr>
          <w:rFonts w:ascii="Times New Roman" w:hAnsi="Times New Roman"/>
          <w:sz w:val="20"/>
        </w:rPr>
        <w:t>(x) release any Guarantor from its obligations under the Guaranty except as contemplated by Section 7.14.(c) without the written consent of each Lender;</w:t>
      </w:r>
      <w:r>
        <w:rPr>
          <w:rFonts w:ascii="Times New Roman" w:hAnsi="Times New Roman"/>
          <w:strike/>
          <w:color w:val="FF0000"/>
          <w:sz w:val="20"/>
        </w:rPr>
        <w:t xml:space="preserve">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(xi) waive a Default or Event of Default under Section 10.1.(a), except as provided in Section 10.7. without the written consent of each Lender directly affected thereby</w:t>
      </w:r>
      <w:r>
        <w:rPr>
          <w:rFonts w:ascii="Times New Roman" w:hAnsi="Times New Roman"/>
          <w:strike/>
          <w:color w:val="FF0000"/>
          <w:sz w:val="20"/>
        </w:rPr>
        <w:t>.</w:t>
      </w:r>
      <w:r>
        <w:rPr>
          <w:rFonts w:ascii="Times New Roman" w:hAnsi="Times New Roman"/>
          <w:color w:val="0000FF"/>
          <w:sz w:val="20"/>
          <w:u w:val="single"/>
          <w:bdr w:val="double" w:sz="2" w:space="1" w:color="000000"/>
        </w:rPr>
        <w: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(xii)</w:t>
      </w:r>
      <w:r>
        <w:rPr>
          <w:rFonts w:ascii="Times New Roman" w:hAnsi="Times New Roman"/>
          <w:sz w:val="20"/>
        </w:rPr>
        <w:t xml:space="preserve"> </w:t>
      </w:r>
      <w:r>
        <w:rPr>
          <w:rFonts w:ascii="Times New Roman" w:hAnsi="Times New Roman"/>
          <w:color w:val="0000FF"/>
          <w:sz w:val="20"/>
          <w:u w:val="single"/>
          <w:bdr w:val="double" w:sz="2" w:space="1" w:color="000000"/>
        </w:rPr>
        <w:t>subordinate, or have the effect of subordinating, the Obligations hereunder to any other Indebtedness or other obligation, respectively, in any manner that materially and adversely affects such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Administrative Agent’s Duties, Etc</w:t>
      </w:r>
      <w:r>
        <w:rPr>
          <w:rFonts w:ascii="Times New Roman" w:hAnsi="Times New Roman"/>
          <w:sz w:val="20"/>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12.8. Nonliability of Administrative Agent and Lenders. </w:t>
      </w:r>
    </w:p>
    <w:p>
      <w:pPr>
        <w:pStyle w:val="TextBody"/>
        <w:bidi w:val="0"/>
        <w:spacing w:before="120" w:after="0"/>
        <w:jc w:val="left"/>
        <w:rPr>
          <w:rFonts w:ascii="Times New Roman" w:hAnsi="Times New Roman"/>
          <w:sz w:val="20"/>
        </w:rPr>
      </w:pPr>
      <w:r>
        <w:rPr>
          <w:rFonts w:ascii="Times New Roman" w:hAnsi="Times New Roman"/>
          <w:sz w:val="20"/>
        </w:rPr>
        <w:t xml:space="preserve">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 in limitation of the foregoing,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Titled Agent, the Administrative Agent or any Lender is intended to be or has been created in respect of the transactions contemplated hereby or by the other Loan Documents, irrespective of whether any Titled Agent, the Administrative Agent or any Lender has advised or is advising the Borrower or any Subsidiary on other matters, (ii) the arranging and other services regarding this Agreement provided by the Titled Agents, the Administrative Agent and the Lenders are arm’s-length commercial transactions between the Borrower and its Affiliates, on the one hand, and the Titled Agents, the Administrative Agent and the Lenders, on the other hand, (iii) the Borrower has consulted its own legal, accounting, regulatory and tax advisors to the extent that it has deemed appropriate and (iv) the Borrower is capable of evaluating, understanding and accepting, the terms, risks and conditions of the transactions contemplated hereby and by the other Loan Documents; and (b) (i) the Titled Agents,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Titled Agents, the Administrative Agent and the Lenders has any obligation to the Borrower or any of its Affiliates with respect to the transactions contemplated hereby except those obligations expressly set forth herein and in the other Loan Documents; and (iii) the Titled Agents, the Administrative Agent and the Lenders and their respective Affiliates may be engaged, for their own accounts or the accounts of customers, in a broad range of transactions that involve interests that differ from those of the Borrower and its Affiliates, and none of the Titled Agents, the Administrative Agent and the Lenders has any obligation to disclose any of such interests to the Borrower or its Affiliates. To the fullest extent permitted by Law, the Borrower hereby waives and releases any claims that it may have against any of the Titled Agents, the Administrative Agent and the Lenders with respect to any breach or alleged breach of agency or fiduciary duty in connection with any aspect of any transaction contemplated hereby.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12.9.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sound banking practice, 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or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r>
        <w:rPr>
          <w:rFonts w:ascii="Times New Roman" w:hAnsi="Times New Roman"/>
          <w:color w:val="0000FF"/>
          <w:sz w:val="20"/>
          <w:u w:val="single"/>
          <w:bdr w:val="double" w:sz="2" w:space="1" w:color="000000"/>
        </w:rPr>
        <w:t xml:space="preserve"> For the avoidance of doubt, nothing herein prohibits any individual from communicating or disclosing information regarding suspected violation of laws, rules or regulations to a governmental, regulatory or self-regulatory authority without any notification to any Person.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Indemnification. </w:t>
      </w:r>
    </w:p>
    <w:p>
      <w:pPr>
        <w:pStyle w:val="TextBody"/>
        <w:bidi w:val="0"/>
        <w:spacing w:before="120" w:after="0"/>
        <w:jc w:val="left"/>
        <w:rPr>
          <w:rFonts w:ascii="Times New Roman" w:hAnsi="Times New Roman"/>
          <w:sz w:val="20"/>
        </w:rPr>
      </w:pPr>
      <w:r>
        <w:rPr>
          <w:rFonts w:ascii="Times New Roman" w:hAnsi="Times New Roman"/>
          <w:sz w:val="20"/>
        </w:rPr>
        <w:t>(a) 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Times New Roman" w:hAnsi="Times New Roman"/>
          <w:b/>
          <w:sz w:val="20"/>
        </w:rPr>
        <w:t>Indemnified Party</w:t>
      </w:r>
      <w:r>
        <w:rPr>
          <w:rFonts w:ascii="Times New Roman" w:hAnsi="Times New Roman"/>
          <w:sz w:val="20"/>
        </w:rPr>
        <w:t>”) from and against any and all of the following (collectively, the “</w:t>
      </w:r>
      <w:r>
        <w:rPr>
          <w:rFonts w:ascii="Times New Roman" w:hAnsi="Times New Roman"/>
          <w:b/>
          <w:sz w:val="20"/>
        </w:rPr>
        <w:t>Indemnified Costs</w:t>
      </w:r>
      <w:r>
        <w:rPr>
          <w:rFonts w:ascii="Times New Roman" w:hAnsi="Times New Roman"/>
          <w:sz w:val="20"/>
        </w:rPr>
        <w:t xml:space="preserve">”):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connection with, arising out of, or by reason of, any suit, cause of action, claim, arbitration, investigation or settlement, consent decree or other proceeding (the foregoing referred to herein as an “</w:t>
      </w:r>
      <w:r>
        <w:rPr>
          <w:rFonts w:ascii="Times New Roman" w:hAnsi="Times New Roman"/>
          <w:b/>
          <w:sz w:val="20"/>
        </w:rPr>
        <w:t>Indemnity Proceeding</w:t>
      </w:r>
      <w:r>
        <w:rPr>
          <w:rFonts w:ascii="Times New Roman" w:hAnsi="Times New Roman"/>
          <w:sz w:val="20"/>
        </w:rPr>
        <w:t xml:space="preserve">”)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indemnification shall apply to any Indemnity Proceeding arising during the pendency of any bankruptcy proceeding filed by or against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 If and to the extent that the obligations of the Borrower under this Section are unenforceable for any reason, the Borrower hereby agrees to make the maximum contribution to the payment and satisfaction of such obligations which is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12.10. to “Lender” or “Lenders” shall be deemed to include such Persons (and their Affiliates) in their capacity as Specified Derivatives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Termination; Survival.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12.12. Severability of Provisions.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APPLICABLE TO CONTRACTS EXECUTED, AND TO BE FULLY PERFORMED, IN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12.14. Counterparts; Integration; Effectiveness.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5.1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Obligations with Respect to Loan Parties.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Independence of Covenants. </w:t>
      </w:r>
    </w:p>
    <w:p>
      <w:pPr>
        <w:pStyle w:val="TextBody"/>
        <w:bidi w:val="0"/>
        <w:spacing w:before="120" w:after="0"/>
        <w:jc w:val="left"/>
        <w:rPr>
          <w:rFonts w:ascii="Times New Roman" w:hAnsi="Times New Roman"/>
          <w:sz w:val="20"/>
        </w:rPr>
      </w:pPr>
      <w:r>
        <w:rPr>
          <w:rFonts w:ascii="Times New Roman" w:hAnsi="Times New Roman"/>
          <w:sz w:val="20"/>
        </w:rPr>
        <w:t xml:space="preserve">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12.17.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12.18. Entire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12.19. Construction.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12.20. Headings. </w:t>
      </w:r>
    </w:p>
    <w:p>
      <w:pPr>
        <w:pStyle w:val="TextBody"/>
        <w:bidi w:val="0"/>
        <w:spacing w:before="120" w:after="0"/>
        <w:jc w:val="left"/>
        <w:rPr>
          <w:rFonts w:ascii="Times New Roman" w:hAnsi="Times New Roman"/>
          <w:sz w:val="20"/>
        </w:rPr>
      </w:pPr>
      <w:r>
        <w:rPr>
          <w:rFonts w:ascii="Times New Roman" w:hAnsi="Times New Roman"/>
          <w:sz w:val="20"/>
        </w:rPr>
        <w:t xml:space="preserve">The paragraph and section headings in this Agreement are provided for convenience of reference only and shall not affect its construction or interpretation.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12.21. Limitation of Liability of Trustees, Etc.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12.22. Acknowledgement and Consent to Bail-In of EEA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12.23. Electronic Signatures. </w:t>
      </w:r>
    </w:p>
    <w:p>
      <w:pPr>
        <w:pStyle w:val="TextBody"/>
        <w:bidi w:val="0"/>
        <w:spacing w:before="120" w:after="0"/>
        <w:jc w:val="left"/>
        <w:rPr>
          <w:rFonts w:ascii="Times New Roman" w:hAnsi="Times New Roman"/>
          <w:sz w:val="20"/>
        </w:rPr>
      </w:pPr>
      <w:r>
        <w:rPr>
          <w:rFonts w:ascii="Times New Roman" w:hAnsi="Times New Roman"/>
          <w:sz w:val="20"/>
        </w:rPr>
        <w:t xml:space="preserve">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12.24. Acknowledgement Regarding Any Supported QFCs. </w:t>
      </w:r>
    </w:p>
    <w:p>
      <w:pPr>
        <w:pStyle w:val="TextBody"/>
        <w:bidi w:val="0"/>
        <w:spacing w:before="120" w:after="0"/>
        <w:jc w:val="left"/>
        <w:rPr>
          <w:rFonts w:ascii="Times New Roman" w:hAnsi="Times New Roman"/>
          <w:sz w:val="20"/>
        </w:rPr>
      </w:pPr>
      <w:r>
        <w:rPr>
          <w:rFonts w:ascii="Times New Roman" w:hAnsi="Times New Roman"/>
          <w:sz w:val="20"/>
        </w:rPr>
        <w:t>To the extent that the Loan Documents provide support, through a guarantee or otherwise, for a Derivatives Contract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12.25. Release of FRIT San Jose as a Borrower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either (a) FRIT San Jose is no longer (or, upon the effectiveness of an applicable release, will no longer be) a Wholly Owned Subsidiary of the Borrower Representative or (b) FRIT San Jose has sold (or, upon the effectiveness of an applicable release, will sell) the Property known as Santana Row, the Borrower Representative may request in writing that the Administrative Agent release, and upon receipt of such request the Administrative Agent shall release, FRIT San Jose as a Borrower hereunder so long as: (i) no Default or Event of Default shall then be in existence or would occur as a result of such release, (ii) the Borrower Representative delivers a Compliance Certificate dated the date of the requested release demonstrating that, both before and after giving effect to such release, the Borrower Representative will be in compliance with the covenants contained in Section 9.1.; and (iii) the Administrative Agent shall have received such written request at least ten (10) Business Days (or such shorter period as may be acceptable to the Administrative Agent) prior to the requested date of release indicating whether the condition in clause (a) or clause (b) above has (or shall have, upon the effectiveness of an applicable release) occurred. Delivery by the Borrower Representative to the Administrative Agent of any such request shall constitute a representation by the Borrower Representative that the matters set forth in the preceding sentence (both as of the date of the giving of such request and as of the date of the effectiveness of such request) are true and correct with respect to such request. From and after any such release of FRIT San Jose as a Borrower, references to the “Borrower” in any Loan Document shall be deemed to refer to the Borrower Representative only and not FRIT San Jose.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12.26. Effect of Amendment and Restatement.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Existing Credit Agreement</w:t>
      </w:r>
      <w:r>
        <w:rPr>
          <w:rFonts w:ascii="Times New Roman" w:hAnsi="Times New Roman"/>
          <w:sz w:val="20"/>
        </w:rPr>
        <w:t xml:space="preserve">. Upon satisfaction of the conditions precedent set forth in Sections 5.1. and 5.2. of this Agreement, this Agreement and the other Loan Documents shall exclusively control and govern the mutual rights and obligations of the parties hereto with respect to the Existing Credit Agreement, and the Existing Credit Agreement shall be superseded in all respects, in each case, on a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NOVATION</w:t>
      </w:r>
      <w:r>
        <w:rPr>
          <w:rFonts w:ascii="Times New Roman" w:hAnsi="Times New Roman"/>
          <w:sz w:val="20"/>
        </w:rPr>
        <w:t xml:space="preserve">. THE PARTIES HERETO HAVE ENTERED INTO THIS AGREEMENT SOLELY TO AMEND AND RESTATE THE TERMS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 </w:t>
      </w:r>
    </w:p>
    <w:p>
      <w:pPr>
        <w:pStyle w:val="TextBody"/>
        <w:bidi w:val="0"/>
        <w:spacing w:before="240" w:after="0"/>
        <w:jc w:val="center"/>
        <w:rPr>
          <w:rFonts w:ascii="Times New Roman" w:hAnsi="Times New Roman"/>
          <w:sz w:val="20"/>
        </w:rPr>
      </w:pPr>
      <w:r>
        <w:rPr>
          <w:rFonts w:ascii="Times New Roman" w:hAnsi="Times New Roman"/>
          <w:sz w:val="20"/>
        </w:rPr>
        <w:t>[Signatures</w:t>
      </w:r>
      <w:r>
        <w:rPr>
          <w:rFonts w:ascii="Times New Roman" w:hAnsi="Times New Roman"/>
          <w:strike/>
          <w:color w:val="FF0000"/>
          <w:sz w:val="20"/>
        </w:rPr>
        <w:t xml:space="preserve"> On Following Pages</w:t>
      </w:r>
      <w:r>
        <w:rPr>
          <w:rFonts w:ascii="Times New Roman" w:hAnsi="Times New Roman"/>
          <w:color w:val="0000FF"/>
          <w:sz w:val="20"/>
          <w:u w:val="single"/>
          <w:bdr w:val="double" w:sz="2" w:space="1" w:color="000000"/>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- 118 - </w:t>
      </w:r>
    </w:p>
    <w:p>
      <w:pPr>
        <w:pStyle w:val="TextBody"/>
        <w:bidi w:val="0"/>
        <w:spacing w:before="0" w:after="0"/>
        <w:jc w:val="right"/>
        <w:rPr>
          <w:rFonts w:ascii="Times New Roman" w:hAnsi="Times New Roman"/>
          <w:b/>
          <w:sz w:val="20"/>
        </w:rPr>
      </w:pPr>
      <w:bookmarkStart w:id="6" w:name="d105267dex103.htm"/>
      <w:bookmarkStart w:id="7" w:name="ksd105267dex103"/>
      <w:bookmarkEnd w:id="6"/>
      <w:bookmarkEnd w:id="7"/>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FIRST AMENDMENT TO TERM LOAN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TERM LOAN AGREEMENT (this “</w:t>
      </w:r>
      <w:r>
        <w:rPr>
          <w:rFonts w:ascii="Times New Roman" w:hAnsi="Times New Roman"/>
          <w:sz w:val="20"/>
          <w:u w:val="single"/>
        </w:rPr>
        <w:t>Amendment</w:t>
      </w:r>
      <w:r>
        <w:rPr>
          <w:rFonts w:ascii="Times New Roman" w:hAnsi="Times New Roman"/>
          <w:sz w:val="20"/>
        </w:rPr>
        <w:t>”) dated as of April 14, 2026 (the “</w:t>
      </w:r>
      <w:r>
        <w:rPr>
          <w:rFonts w:ascii="Times New Roman" w:hAnsi="Times New Roman"/>
          <w:sz w:val="20"/>
          <w:u w:val="single"/>
        </w:rPr>
        <w:t>First Amendment Date</w:t>
      </w:r>
      <w:r>
        <w:rPr>
          <w:rFonts w:ascii="Times New Roman" w:hAnsi="Times New Roman"/>
          <w:sz w:val="20"/>
        </w:rPr>
        <w:t>”), by and among FEDERAL REALTY OP LP, a Delaware limited partnership (the “</w:t>
      </w:r>
      <w:r>
        <w:rPr>
          <w:rFonts w:ascii="Times New Roman" w:hAnsi="Times New Roman"/>
          <w:sz w:val="20"/>
          <w:u w:val="single"/>
        </w:rPr>
        <w:t>Borrower</w:t>
      </w:r>
      <w:r>
        <w:rPr>
          <w:rFonts w:ascii="Times New Roman" w:hAnsi="Times New Roman"/>
          <w:sz w:val="20"/>
        </w:rPr>
        <w:t>”), each of the Lenders party hereto, and TRUIST BANK, as Administrative Agent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Borrower, the Lenders, the Administrative Agent and certain other parties have entered into that certain Term Loan Agreement dated as of November 17, 2025 (as amended and in effect immediately prior to the effectiveness of this Amendment, the “</w:t>
      </w:r>
      <w:r>
        <w:rPr>
          <w:rFonts w:ascii="Times New Roman" w:hAnsi="Times New Roman"/>
          <w:sz w:val="20"/>
          <w:u w:val="single"/>
        </w:rPr>
        <w:t>Term Loan Agreement</w:t>
      </w:r>
      <w:r>
        <w:rPr>
          <w:rFonts w:ascii="Times New Roman" w:hAnsi="Times New Roman"/>
          <w:sz w:val="20"/>
        </w:rPr>
        <w:t xml:space="preserve">”; unless otherwise defined herein, capitalized terms shall have the respective meanings assigned to such terms in the Term Loan Agreement), pursuant to which certain of the Lenders made certain credit extensions to the Borrower upon the terms and conditions set forth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has requested that the Lenders and the Administrative Agent amend certain provisions of the Term Loan Agreement on the terms and conditions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Specific Amendments to the Term Loan Agreement</w:t>
      </w:r>
      <w:r>
        <w:rPr>
          <w:rFonts w:ascii="Times New Roman" w:hAnsi="Times New Roman"/>
          <w:sz w:val="20"/>
        </w:rPr>
        <w:t xml:space="preserve">. As of the First Amendment Date, the parties hereto agree that the Term Loan Agreement shall be amended as follows: </w:t>
      </w:r>
    </w:p>
    <w:p>
      <w:pPr>
        <w:pStyle w:val="TextBody"/>
        <w:bidi w:val="0"/>
        <w:spacing w:before="120" w:after="0"/>
        <w:jc w:val="left"/>
        <w:rPr>
          <w:rFonts w:ascii="Times New Roman" w:hAnsi="Times New Roman"/>
          <w:sz w:val="20"/>
        </w:rPr>
      </w:pPr>
      <w:r>
        <w:rPr>
          <w:rFonts w:ascii="Times New Roman" w:hAnsi="Times New Roman"/>
          <w:sz w:val="20"/>
        </w:rPr>
        <w:t>(a) The Term Loan Agreement is amended to delete the stricken text (indicated textually in the same manner as the following example:</w:t>
      </w:r>
      <w:r>
        <w:rPr>
          <w:rFonts w:ascii="Times New Roman" w:hAnsi="Times New Roman"/>
          <w:strike/>
          <w:color w:val="FF0000"/>
          <w:sz w:val="20"/>
        </w:rPr>
        <w:t xml:space="preserve"> stricken text</w:t>
      </w:r>
      <w:r>
        <w:rPr>
          <w:rFonts w:ascii="Times New Roman" w:hAnsi="Times New Roman"/>
          <w:sz w:val="20"/>
        </w:rPr>
        <w:t xml:space="preserve">) and to add the underlined text (indicated textually in the same manner as the following example: </w:t>
      </w:r>
      <w:r>
        <w:rPr>
          <w:rFonts w:ascii="Times New Roman" w:hAnsi="Times New Roman"/>
          <w:color w:val="0000FF"/>
          <w:sz w:val="20"/>
          <w:u w:val="single"/>
          <w:bdr w:val="double" w:sz="2" w:space="1" w:color="000000"/>
        </w:rPr>
        <w:t>underlined text</w:t>
      </w:r>
      <w:r>
        <w:rPr>
          <w:rFonts w:ascii="Times New Roman" w:hAnsi="Times New Roman"/>
          <w:sz w:val="20"/>
        </w:rPr>
        <w:t xml:space="preserve">) as set forth in </w:t>
      </w:r>
      <w:r>
        <w:rPr>
          <w:rFonts w:ascii="Times New Roman" w:hAnsi="Times New Roman"/>
          <w:sz w:val="20"/>
          <w:u w:val="single"/>
        </w:rPr>
        <w:t>Annex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Conditions Precedent</w:t>
      </w:r>
      <w:r>
        <w:rPr>
          <w:rFonts w:ascii="Times New Roman" w:hAnsi="Times New Roman"/>
          <w:sz w:val="20"/>
        </w:rPr>
        <w:t xml:space="preserve">. The effectiveness of this Amendment is subject to receipt by the Administrative Agent of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a counterpart of this Amendment duly executed by the Borrower,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(b) a Compliance Certificate calculated on a pro forma basis for the Borrower’s fiscal quarter ending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(c) evidence that all fees, expenses and reimbursement amounts due and payable by the Borrower to the Administrative Agent hereunder or under the Term Loan Agreement, including without limitation, (i) the costs and expenses set forth in Section 6 hereto, and (ii) the reasonable fees and expenses of counsel to the Administrative Agent have been paid; and </w:t>
      </w:r>
    </w:p>
    <w:p>
      <w:pPr>
        <w:pStyle w:val="TextBody"/>
        <w:bidi w:val="0"/>
        <w:spacing w:before="240" w:after="0"/>
        <w:jc w:val="left"/>
        <w:rPr>
          <w:rFonts w:ascii="Times New Roman" w:hAnsi="Times New Roman"/>
          <w:sz w:val="20"/>
        </w:rPr>
      </w:pPr>
      <w:r>
        <w:rPr>
          <w:rFonts w:ascii="Times New Roman" w:hAnsi="Times New Roman"/>
          <w:sz w:val="20"/>
        </w:rPr>
        <w:t xml:space="preserve">(d) such other documents, agreements and instruments as the Administrative Agent or any Lender through the Administrative Agent, may reasonably request prior to the First Amendment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w:t>
      </w:r>
      <w:r>
        <w:rPr>
          <w:rFonts w:ascii="Times New Roman" w:hAnsi="Times New Roman"/>
          <w:sz w:val="20"/>
        </w:rPr>
        <w:t xml:space="preserve">. The Borrower represents and warrants to the Administrative Agent and the Lenders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execute and deliver this Amendment and to perform its obligations hereunder and under the Term Loan Agreement, as amended by this Amendment, in accordance with their respective terms and to consummate the transactions contemplated hereby and thereby. This Amendment has been duly executed and delivered by the duly authorized officers of the Borrower, and each of this Amendment and the Term Loan Agreement, as amended by this Amendment,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Binding Effect</w:t>
      </w:r>
      <w:r>
        <w:rPr>
          <w:rFonts w:ascii="Times New Roman" w:hAnsi="Times New Roman"/>
          <w:sz w:val="20"/>
        </w:rPr>
        <w:t xml:space="preserve">. This Amendment and the Term Loan Agreement as amended by this Amendment constitute valid and binding agreements of the Borrower, enforceable against the Borrower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Default</w:t>
      </w:r>
      <w:r>
        <w:rPr>
          <w:rFonts w:ascii="Times New Roman" w:hAnsi="Times New Roman"/>
          <w:sz w:val="20"/>
        </w:rPr>
        <w:t xml:space="preserve">. No Default or Event of Default has occurred and is continuing as of the date hereof nor will exist immediately after giving effect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Material Adverse Change</w:t>
      </w:r>
      <w:r>
        <w:rPr>
          <w:rFonts w:ascii="Times New Roman" w:hAnsi="Times New Roman"/>
          <w:sz w:val="20"/>
        </w:rPr>
        <w:t xml:space="preserve">. Since December 31, 2025,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Reaffirmation of Representations</w:t>
      </w:r>
      <w:r>
        <w:rPr>
          <w:rFonts w:ascii="Times New Roman" w:hAnsi="Times New Roman"/>
          <w:sz w:val="20"/>
        </w:rPr>
        <w:t xml:space="preserve">. The Borrower hereby repeats and reaffirms all representations and warranties made or deemed made by the Borrower to the Administrative Agent and the Lenders in the Term Loan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References</w:t>
      </w:r>
      <w:r>
        <w:rPr>
          <w:rFonts w:ascii="Times New Roman" w:hAnsi="Times New Roman"/>
          <w:sz w:val="20"/>
        </w:rPr>
        <w:t xml:space="preserve">. Each reference to the Term Loan Agreement in any of the Loan Documents shall be deemed to be a reference to the Term Loan Agreement as amended by this Amendment. This Amendment is a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Costs and Expenses</w:t>
      </w:r>
      <w:r>
        <w:rPr>
          <w:rFonts w:ascii="Times New Roman" w:hAnsi="Times New Roman"/>
          <w:sz w:val="20"/>
        </w:rPr>
        <w:t xml:space="preserve">.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Benefits</w:t>
      </w:r>
      <w:r>
        <w:rPr>
          <w:rFonts w:ascii="Times New Roman" w:hAnsi="Times New Roman"/>
          <w:sz w:val="20"/>
        </w:rPr>
        <w:t xml:space="preserve">. This Amendment shall be binding upon and shall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AMENDMENT SHALL BE GOVERNED BY, AND CONSTRUED IN ACCORDANCE WITH, THE LAWS OF THE STATE OF NEW YORK APPLICABLE TO CONTRACTS EXECUTED, AND TO BE FULLY PERFORMED, IN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addition, except to the extent otherwise set forth herein, Sections 12.5 (</w:t>
      </w:r>
      <w:r>
        <w:rPr>
          <w:rFonts w:ascii="Times New Roman" w:hAnsi="Times New Roman"/>
          <w:i/>
          <w:sz w:val="20"/>
        </w:rPr>
        <w:t>Litigation; Jurisdiction; Other Matters; Waivers</w:t>
      </w:r>
      <w:r>
        <w:rPr>
          <w:rFonts w:ascii="Times New Roman" w:hAnsi="Times New Roman"/>
          <w:sz w:val="20"/>
        </w:rPr>
        <w:t>), 12.12 (</w:t>
      </w:r>
      <w:r>
        <w:rPr>
          <w:rFonts w:ascii="Times New Roman" w:hAnsi="Times New Roman"/>
          <w:i/>
          <w:sz w:val="20"/>
        </w:rPr>
        <w:t>Severability of Provisions</w:t>
      </w:r>
      <w:r>
        <w:rPr>
          <w:rFonts w:ascii="Times New Roman" w:hAnsi="Times New Roman"/>
          <w:sz w:val="20"/>
        </w:rPr>
        <w:t>), 12.14 (</w:t>
      </w:r>
      <w:r>
        <w:rPr>
          <w:rFonts w:ascii="Times New Roman" w:hAnsi="Times New Roman"/>
          <w:i/>
          <w:sz w:val="20"/>
        </w:rPr>
        <w:t>Counterparts; Integration; Effectiveness</w:t>
      </w:r>
      <w:r>
        <w:rPr>
          <w:rFonts w:ascii="Times New Roman" w:hAnsi="Times New Roman"/>
          <w:sz w:val="20"/>
        </w:rPr>
        <w:t>) and 12.18 (</w:t>
      </w:r>
      <w:r>
        <w:rPr>
          <w:rFonts w:ascii="Times New Roman" w:hAnsi="Times New Roman"/>
          <w:i/>
          <w:sz w:val="20"/>
        </w:rPr>
        <w:t>Entire Agreement</w:t>
      </w:r>
      <w:r>
        <w:rPr>
          <w:rFonts w:ascii="Times New Roman" w:hAnsi="Times New Roman"/>
          <w:sz w:val="20"/>
        </w:rPr>
        <w:t xml:space="preserve">) of the Term Loan Agreement are hereby incorporated herein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9.</w:t>
      </w:r>
      <w:r>
        <w:rPr>
          <w:rFonts w:ascii="Times New Roman" w:hAnsi="Times New Roman"/>
          <w:sz w:val="20"/>
          <w:u w:val="single"/>
        </w:rPr>
        <w:t xml:space="preserve"> Effect; Ratification</w:t>
      </w:r>
      <w:r>
        <w:rPr>
          <w:rFonts w:ascii="Times New Roman" w:hAnsi="Times New Roman"/>
          <w:sz w:val="20"/>
        </w:rPr>
        <w:t xml:space="preserve">. Except as expressly herein amended, the terms and conditions of the Term Loan Agreement and the other Loan Documents remain in full force and effect. The amendments contained herein shall be deemed to have prospective application from and after the First Amendment Date only. The Term Loan Agreement is hereby ratified and confirmed in all respects. Nothing in this Amendment shall limit, impair or constitute a waiver of the rights, powers or remedies available to the Administrative Agent or the Lenders under the Term Loan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Section 11.</w:t>
      </w:r>
      <w:r>
        <w:rPr>
          <w:rFonts w:ascii="Times New Roman" w:hAnsi="Times New Roman"/>
          <w:sz w:val="20"/>
          <w:u w:val="single"/>
        </w:rPr>
        <w:t xml:space="preserve"> Counterparts</w:t>
      </w:r>
      <w:r>
        <w:rPr>
          <w:rFonts w:ascii="Times New Roman" w:hAnsi="Times New Roman"/>
          <w:sz w:val="20"/>
        </w:rPr>
        <w:t xml:space="preserve">. This Amendment may be executed in any number of counterparts, each of which shall be deemed to be an original and shall be binding upon all parties, their successors and assigns.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First Amendment to Term Loan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9"/>
        <w:gridCol w:w="60"/>
        <w:gridCol w:w="3373"/>
      </w:tblGrid>
      <w:tr>
        <w:trPr/>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FEDERAL REALTY OP LP</w:t>
            </w:r>
          </w:p>
        </w:tc>
      </w:tr>
      <w:tr>
        <w:trPr>
          <w:trHeight w:val="240" w:hRule="atLeast"/>
        </w:trPr>
        <w:tc>
          <w:tcPr>
            <w:tcW w:w="649"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r>
      <w:tr>
        <w:trPr/>
        <w:tc>
          <w:tcPr>
            <w:tcW w:w="6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3" w:type="dxa"/>
            <w:tcBorders>
              <w:bottom w:val="single" w:sz="2" w:space="0" w:color="000000"/>
            </w:tcBorders>
            <w:tcMar>
              <w:bottom w:w="28" w:type="dxa"/>
            </w:tcMar>
          </w:tcPr>
          <w:p>
            <w:pPr>
              <w:pStyle w:val="TableContents"/>
              <w:bidi w:val="0"/>
              <w:spacing w:before="0" w:after="283"/>
              <w:jc w:val="left"/>
              <w:rPr/>
            </w:pPr>
            <w:r>
              <w:rPr/>
              <w:t>/s/ Dawn M. Becker</w:t>
            </w:r>
          </w:p>
        </w:tc>
      </w:tr>
      <w:tr>
        <w:trPr/>
        <w:tc>
          <w:tcPr>
            <w:tcW w:w="64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left"/>
              <w:rPr/>
            </w:pPr>
            <w:r>
              <w:rPr/>
              <w:t>Dawn M. Becker</w:t>
            </w:r>
          </w:p>
        </w:tc>
      </w:tr>
      <w:tr>
        <w:trPr/>
        <w:tc>
          <w:tcPr>
            <w:tcW w:w="64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3" w:type="dxa"/>
            <w:tcBorders/>
          </w:tcPr>
          <w:p>
            <w:pPr>
              <w:pStyle w:val="TableContents"/>
              <w:bidi w:val="0"/>
              <w:spacing w:before="0" w:after="283"/>
              <w:jc w:val="left"/>
              <w:rPr/>
            </w:pPr>
            <w:r>
              <w:rPr/>
              <w:t>Executive Vice President-Corporate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First Amendment to Term Loan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TRUIST BANK, as Administrative Agent and as a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Trudy Wilson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Trudy Wilson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First Amendment to Term Loan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Cheryl Sneor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Cheryl Sneor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First Amendment to Term Loan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Federal Realty OP LP]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a Lender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DeMagistris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Donna DeMagistris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1"/>
        <w:gridCol w:w="121"/>
        <w:gridCol w:w="3003"/>
        <w:gridCol w:w="121"/>
        <w:gridCol w:w="3079"/>
      </w:tblGrid>
      <w:tr>
        <w:trPr/>
        <w:tc>
          <w:tcPr>
            <w:tcW w:w="38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r>
      <w:tr>
        <w:trPr/>
        <w:tc>
          <w:tcPr>
            <w:tcW w:w="3881" w:type="dxa"/>
            <w:tcBorders/>
          </w:tcPr>
          <w:p>
            <w:pPr>
              <w:pStyle w:val="TableContents"/>
              <w:bidi w:val="0"/>
              <w:spacing w:before="0" w:after="283"/>
              <w:jc w:val="left"/>
              <w:rPr/>
            </w:pPr>
            <w:r>
              <w:rPr/>
              <w:drawing>
                <wp:inline distT="0" distB="0" distL="0" distR="0">
                  <wp:extent cx="1628775"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8775" cy="48577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00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079" w:type="dxa"/>
            <w:tcBorders/>
          </w:tcPr>
          <w:p>
            <w:pPr>
              <w:pStyle w:val="TableContents"/>
              <w:bidi w:val="0"/>
              <w:spacing w:before="0" w:after="0"/>
              <w:jc w:val="right"/>
              <w:rPr>
                <w:rFonts w:ascii="Times New Roman" w:hAnsi="Times New Roman"/>
                <w:sz w:val="20"/>
              </w:rPr>
            </w:pPr>
            <w:r>
              <w:rPr>
                <w:rFonts w:ascii="Times New Roman" w:hAnsi="Times New Roman"/>
                <w:sz w:val="20"/>
              </w:rPr>
              <w:t>Deal CUSIP Number: 3137LVAA3</w:t>
            </w:r>
          </w:p>
          <w:p>
            <w:pPr>
              <w:pStyle w:val="TableContents"/>
              <w:bidi w:val="0"/>
              <w:spacing w:before="0" w:after="20"/>
              <w:jc w:val="right"/>
              <w:rPr>
                <w:rFonts w:ascii="Times New Roman" w:hAnsi="Times New Roman"/>
                <w:sz w:val="20"/>
              </w:rPr>
            </w:pPr>
            <w:r>
              <w:rPr>
                <w:rFonts w:ascii="Times New Roman" w:hAnsi="Times New Roman"/>
                <w:sz w:val="20"/>
              </w:rPr>
              <w:t>Loan CUSIP Number: 3137LVAB1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November 17, 2025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FEDERAL REALTY OP LP,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THE FINANCIAL INSTITUTIONS PARTY HERETO </w:t>
      </w:r>
    </w:p>
    <w:p>
      <w:pPr>
        <w:pStyle w:val="TextBody"/>
        <w:bidi w:val="0"/>
        <w:spacing w:before="0" w:after="0"/>
        <w:jc w:val="center"/>
        <w:rPr>
          <w:rFonts w:ascii="Times New Roman" w:hAnsi="Times New Roman"/>
          <w:sz w:val="20"/>
        </w:rPr>
      </w:pPr>
      <w:r>
        <w:rPr>
          <w:rFonts w:ascii="Times New Roman" w:hAnsi="Times New Roman"/>
          <w:sz w:val="20"/>
        </w:rPr>
        <w:t xml:space="preserve">AND THEIR PERMITTED ASSIGNEES UNDER SECTION 12.6., </w:t>
      </w:r>
    </w:p>
    <w:p>
      <w:pPr>
        <w:pStyle w:val="TextBody"/>
        <w:bidi w:val="0"/>
        <w:spacing w:before="0" w:after="0"/>
        <w:jc w:val="center"/>
        <w:rPr/>
      </w:pPr>
      <w:r>
        <w:rPr/>
        <w:t>               </w:t>
      </w: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TRUIST BANK, </w:t>
      </w:r>
    </w:p>
    <w:p>
      <w:pPr>
        <w:pStyle w:val="TextBody"/>
        <w:bidi w:val="0"/>
        <w:spacing w:before="240" w:after="0"/>
        <w:jc w:val="center"/>
        <w:rPr/>
      </w:pPr>
      <w:r>
        <w:rPr/>
        <w:t>                   </w:t>
      </w: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BANK OF AMERICA, N.A. and MIZUHO BANK LTD., </w:t>
      </w:r>
    </w:p>
    <w:p>
      <w:pPr>
        <w:pStyle w:val="TextBody"/>
        <w:bidi w:val="0"/>
        <w:spacing w:before="0" w:after="0"/>
        <w:jc w:val="center"/>
        <w:rPr/>
      </w:pPr>
      <w:r>
        <w:rPr/>
        <w:t>                       </w:t>
      </w:r>
      <w:r>
        <w:rPr>
          <w:rFonts w:ascii="Times New Roman" w:hAnsi="Times New Roman"/>
          <w:sz w:val="20"/>
        </w:rPr>
        <w:t xml:space="preserve">as Co-Syndication Agents, </w:t>
      </w:r>
    </w:p>
    <w:p>
      <w:pPr>
        <w:pStyle w:val="TextBody"/>
        <w:bidi w:val="0"/>
        <w:spacing w:before="240" w:after="0"/>
        <w:jc w:val="center"/>
        <w:rPr>
          <w:rFonts w:ascii="Times New Roman" w:hAnsi="Times New Roman"/>
          <w:sz w:val="20"/>
        </w:rPr>
      </w:pPr>
      <w:r>
        <w:rPr>
          <w:rFonts w:ascii="Times New Roman" w:hAnsi="Times New Roman"/>
          <w:sz w:val="20"/>
        </w:rPr>
        <w:t xml:space="preserve">TRUIST SECURITIES, INC., BOFA SECURITIES, INC. and MIZUHO BANK LTD., </w:t>
      </w:r>
    </w:p>
    <w:p>
      <w:pPr>
        <w:pStyle w:val="TextBody"/>
        <w:bidi w:val="0"/>
        <w:spacing w:before="0" w:after="0"/>
        <w:jc w:val="center"/>
        <w:rPr/>
      </w:pPr>
      <w:r>
        <w:rPr/>
        <w:t>                   </w:t>
      </w:r>
      <w:r>
        <w:rPr>
          <w:rFonts w:ascii="Times New Roman" w:hAnsi="Times New Roman"/>
          <w:sz w:val="20"/>
        </w:rPr>
        <w:t xml:space="preserve">as Joint Lead Arrangers </w:t>
      </w:r>
    </w:p>
    <w:p>
      <w:pPr>
        <w:pStyle w:val="TextBody"/>
        <w:bidi w:val="0"/>
        <w:spacing w:before="240" w:after="0"/>
        <w:jc w:val="center"/>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center"/>
        <w:rPr/>
      </w:pPr>
      <w:r>
        <w:rPr/>
        <w:t>                   </w:t>
      </w:r>
      <w:r>
        <w:rPr>
          <w:rFonts w:ascii="Times New Roman" w:hAnsi="Times New Roman"/>
          <w:sz w:val="20"/>
        </w:rPr>
        <w:t xml:space="preserve">and Sole Book Manager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2"/>
        <w:gridCol w:w="116"/>
        <w:gridCol w:w="7779"/>
        <w:gridCol w:w="144"/>
        <w:gridCol w:w="60"/>
        <w:gridCol w:w="501"/>
        <w:gridCol w:w="63"/>
      </w:tblGrid>
      <w:tr>
        <w:trPr/>
        <w:tc>
          <w:tcPr>
            <w:tcW w:w="1542"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77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283"/>
              <w:jc w:val="left"/>
              <w:rPr/>
            </w:pPr>
            <w:r>
              <w:rPr/>
              <w:t>Article I. Definitions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Definitions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General; References to Eastern Time</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32</w:t>
            </w:r>
            <w:r>
              <w:rPr>
                <w:color w:val="0000FF"/>
                <w:u w:val="single"/>
                <w:bdr w:val="double" w:sz="2" w:space="1" w:color="000000"/>
              </w:rPr>
              <w:t>34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Financial Attributes of Non-Wholly Owned Subsidiaries and Calculation of Financial Covenants in Certain Circumstances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33</w:t>
            </w:r>
            <w:r>
              <w:rPr>
                <w:color w:val="0000FF"/>
                <w:u w:val="single"/>
                <w:bdr w:val="double" w:sz="2" w:space="1" w:color="000000"/>
              </w:rPr>
              <w:t>35</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Rates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33</w:t>
            </w:r>
            <w:r>
              <w:rPr>
                <w:color w:val="0000FF"/>
                <w:u w:val="single"/>
                <w:bdr w:val="double" w:sz="2" w:space="1" w:color="000000"/>
              </w:rPr>
              <w:t>35</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Divisions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33</w:t>
            </w:r>
            <w:r>
              <w:rPr>
                <w:color w:val="0000FF"/>
                <w:u w:val="single"/>
                <w:bdr w:val="double" w:sz="2" w:space="1" w:color="000000"/>
              </w:rPr>
              <w:t>36</w:t>
            </w:r>
          </w:p>
        </w:tc>
        <w:tc>
          <w:tcPr>
            <w:tcW w:w="63" w:type="dxa"/>
            <w:tcBorders/>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283"/>
              <w:jc w:val="left"/>
              <w:rPr/>
            </w:pPr>
            <w:r>
              <w:rPr/>
              <w:t>Article II. Credit Facility</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34</w:t>
            </w:r>
            <w:r>
              <w:rPr>
                <w:color w:val="0000FF"/>
                <w:u w:val="single"/>
                <w:bdr w:val="double" w:sz="2" w:space="1" w:color="000000"/>
              </w:rPr>
              <w:t>36</w:t>
            </w:r>
          </w:p>
        </w:tc>
        <w:tc>
          <w:tcPr>
            <w:tcW w:w="63" w:type="dxa"/>
            <w:tcBorders/>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34</w:t>
            </w:r>
            <w:r>
              <w:rPr>
                <w:color w:val="0000FF"/>
                <w:u w:val="single"/>
                <w:bdr w:val="double" w:sz="2" w:space="1" w:color="000000"/>
              </w:rPr>
              <w:t>36</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35</w:t>
            </w:r>
            <w:r>
              <w:rPr>
                <w:color w:val="0000FF"/>
                <w:u w:val="single"/>
                <w:bdr w:val="double" w:sz="2" w:space="1" w:color="000000"/>
              </w:rPr>
              <w:t>37</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35</w:t>
            </w:r>
            <w:r>
              <w:rPr>
                <w:color w:val="0000FF"/>
                <w:u w:val="single"/>
                <w:bdr w:val="double" w:sz="2" w:space="1" w:color="000000"/>
              </w:rPr>
              <w:t>37</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35</w:t>
            </w:r>
            <w:r>
              <w:rPr>
                <w:color w:val="0000FF"/>
                <w:u w:val="single"/>
                <w:bdr w:val="double" w:sz="2" w:space="1" w:color="000000"/>
              </w:rPr>
              <w:t>37</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Rates and Payment of Interest on 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35</w:t>
            </w:r>
            <w:r>
              <w:rPr>
                <w:color w:val="0000FF"/>
                <w:u w:val="single"/>
                <w:bdr w:val="double" w:sz="2" w:space="1" w:color="000000"/>
              </w:rPr>
              <w:t>37</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Number of Interest Periods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36</w:t>
            </w:r>
            <w:r>
              <w:rPr>
                <w:color w:val="0000FF"/>
                <w:u w:val="single"/>
                <w:bdr w:val="double" w:sz="2" w:space="1" w:color="000000"/>
              </w:rPr>
              <w:t>39</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Repayment of 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37</w:t>
            </w:r>
            <w:r>
              <w:rPr>
                <w:color w:val="0000FF"/>
                <w:u w:val="single"/>
                <w:bdr w:val="double" w:sz="2" w:space="1" w:color="000000"/>
              </w:rPr>
              <w:t>39</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Optional Prepayments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37</w:t>
            </w:r>
            <w:r>
              <w:rPr>
                <w:color w:val="0000FF"/>
                <w:u w:val="single"/>
                <w:bdr w:val="double" w:sz="2" w:space="1" w:color="000000"/>
              </w:rPr>
              <w:t>39</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Continuation</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37</w:t>
            </w:r>
            <w:r>
              <w:rPr>
                <w:color w:val="0000FF"/>
                <w:u w:val="single"/>
                <w:bdr w:val="double" w:sz="2" w:space="1" w:color="000000"/>
              </w:rPr>
              <w:t>39</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Conversion</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37</w:t>
            </w:r>
            <w:r>
              <w:rPr>
                <w:color w:val="0000FF"/>
                <w:u w:val="single"/>
                <w:bdr w:val="double" w:sz="2" w:space="1" w:color="000000"/>
              </w:rPr>
              <w:t>40</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Notes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38</w:t>
            </w:r>
            <w:r>
              <w:rPr>
                <w:color w:val="0000FF"/>
                <w:u w:val="single"/>
                <w:bdr w:val="double" w:sz="2" w:space="1" w:color="000000"/>
              </w:rPr>
              <w:t>40</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Voluntary Reductions of the Commitments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38</w:t>
            </w:r>
            <w:r>
              <w:rPr>
                <w:color w:val="0000FF"/>
                <w:u w:val="single"/>
                <w:bdr w:val="double" w:sz="2" w:space="1" w:color="000000"/>
              </w:rPr>
              <w:t>41</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39</w:t>
            </w:r>
            <w:r>
              <w:rPr>
                <w:color w:val="0000FF"/>
                <w:u w:val="single"/>
                <w:bdr w:val="double" w:sz="2" w:space="1" w:color="000000"/>
              </w:rPr>
              <w:t>41</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Additional Term 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39</w:t>
            </w:r>
            <w:r>
              <w:rPr>
                <w:color w:val="0000FF"/>
                <w:u w:val="single"/>
                <w:bdr w:val="double" w:sz="2" w:space="1" w:color="000000"/>
              </w:rPr>
              <w:t>41</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42</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[Intentionally Omitted]</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42</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Funds Transfer Disbursements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42</w:t>
            </w:r>
          </w:p>
        </w:tc>
        <w:tc>
          <w:tcPr>
            <w:tcW w:w="63" w:type="dxa"/>
            <w:tcBorders/>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283"/>
              <w:jc w:val="left"/>
              <w:rPr/>
            </w:pPr>
            <w:r>
              <w:rPr/>
              <w:t>Article III. Payments, Fees and Other General Provisions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42</w:t>
            </w:r>
          </w:p>
        </w:tc>
        <w:tc>
          <w:tcPr>
            <w:tcW w:w="63" w:type="dxa"/>
            <w:tcBorders/>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Payments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42</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Pro Rata Treatment</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40</w:t>
            </w:r>
            <w:r>
              <w:rPr>
                <w:color w:val="0000FF"/>
                <w:u w:val="single"/>
                <w:bdr w:val="double" w:sz="2" w:space="1" w:color="000000"/>
              </w:rPr>
              <w:t>43</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Sharing of Payments, Etc.</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41</w:t>
            </w:r>
            <w:r>
              <w:rPr>
                <w:color w:val="0000FF"/>
                <w:u w:val="single"/>
                <w:bdr w:val="double" w:sz="2" w:space="1" w:color="000000"/>
              </w:rPr>
              <w:t>43</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Several Obligations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41</w:t>
            </w:r>
            <w:r>
              <w:rPr>
                <w:color w:val="0000FF"/>
                <w:u w:val="single"/>
                <w:bdr w:val="double" w:sz="2" w:space="1" w:color="000000"/>
              </w:rPr>
              <w:t>43</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Fees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41</w:t>
            </w:r>
            <w:r>
              <w:rPr>
                <w:color w:val="0000FF"/>
                <w:u w:val="single"/>
                <w:bdr w:val="double" w:sz="2" w:space="1" w:color="000000"/>
              </w:rPr>
              <w:t>44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Computations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42</w:t>
            </w:r>
            <w:r>
              <w:rPr>
                <w:color w:val="0000FF"/>
                <w:u w:val="single"/>
                <w:bdr w:val="double" w:sz="2" w:space="1" w:color="000000"/>
              </w:rPr>
              <w:t>44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Usury</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42</w:t>
            </w:r>
            <w:r>
              <w:rPr>
                <w:color w:val="0000FF"/>
                <w:u w:val="single"/>
                <w:bdr w:val="double" w:sz="2" w:space="1" w:color="000000"/>
              </w:rPr>
              <w:t>44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Statements of Account</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42</w:t>
            </w:r>
            <w:r>
              <w:rPr>
                <w:color w:val="0000FF"/>
                <w:u w:val="single"/>
                <w:bdr w:val="double" w:sz="2" w:space="1" w:color="000000"/>
              </w:rPr>
              <w:t>45</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Defaulting Lenders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43</w:t>
            </w:r>
            <w:r>
              <w:rPr>
                <w:color w:val="0000FF"/>
                <w:u w:val="single"/>
                <w:bdr w:val="double" w:sz="2" w:space="1" w:color="000000"/>
              </w:rPr>
              <w:t>45</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Taxes; Foreign Lenders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44</w:t>
            </w:r>
            <w:r>
              <w:rPr>
                <w:color w:val="0000FF"/>
                <w:u w:val="single"/>
                <w:bdr w:val="double" w:sz="2" w:space="1" w:color="000000"/>
              </w:rPr>
              <w:t>46</w:t>
            </w:r>
          </w:p>
        </w:tc>
        <w:tc>
          <w:tcPr>
            <w:tcW w:w="63" w:type="dxa"/>
            <w:tcBorders/>
          </w:tcPr>
          <w:p>
            <w:pPr>
              <w:pStyle w:val="TableContents"/>
              <w:bidi w:val="0"/>
              <w:spacing w:before="0" w:after="283"/>
              <w:jc w:val="left"/>
              <w:rPr/>
            </w:pPr>
            <w:r>
              <w:rPr/>
              <w:t> </w:t>
            </w:r>
          </w:p>
        </w:tc>
      </w:tr>
      <w:tr>
        <w:trPr>
          <w:trHeight w:val="120" w:hRule="atLeast"/>
        </w:trPr>
        <w:tc>
          <w:tcPr>
            <w:tcW w:w="9437" w:type="dxa"/>
            <w:gridSpan w:val="3"/>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437" w:type="dxa"/>
            <w:gridSpan w:val="3"/>
            <w:tcBorders/>
          </w:tcPr>
          <w:p>
            <w:pPr>
              <w:pStyle w:val="TableContents"/>
              <w:bidi w:val="0"/>
              <w:spacing w:before="0" w:after="283"/>
              <w:jc w:val="left"/>
              <w:rPr/>
            </w:pPr>
            <w:r>
              <w:rPr/>
              <w:t>Article IV. Yield Protection, Etc.</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47</w:t>
            </w:r>
            <w:r>
              <w:rPr>
                <w:color w:val="0000FF"/>
                <w:u w:val="single"/>
                <w:bdr w:val="double" w:sz="2" w:space="1" w:color="000000"/>
              </w:rPr>
              <w:t>50</w:t>
            </w:r>
          </w:p>
        </w:tc>
        <w:tc>
          <w:tcPr>
            <w:tcW w:w="63" w:type="dxa"/>
            <w:tcBorders/>
          </w:tcPr>
          <w:p>
            <w:pPr>
              <w:pStyle w:val="TableContents"/>
              <w:bidi w:val="0"/>
              <w:spacing w:before="0" w:after="283"/>
              <w:jc w:val="left"/>
              <w:rPr/>
            </w:pPr>
            <w:r>
              <w:rPr/>
              <w:t> </w:t>
            </w:r>
          </w:p>
        </w:tc>
      </w:tr>
      <w:tr>
        <w:trPr>
          <w:trHeight w:val="120" w:hRule="atLeast"/>
        </w:trPr>
        <w:tc>
          <w:tcPr>
            <w:tcW w:w="1542" w:type="dxa"/>
            <w:tcBorders/>
            <w:vAlign w:val="center"/>
          </w:tcPr>
          <w:p>
            <w:pPr>
              <w:pStyle w:val="TableContents"/>
              <w:bidi w:val="0"/>
              <w:spacing w:before="0" w:after="283"/>
              <w:jc w:val="left"/>
              <w:rPr>
                <w:sz w:val="4"/>
                <w:szCs w:val="4"/>
              </w:rPr>
            </w:pPr>
            <w:r>
              <w:rPr>
                <w:sz w:val="4"/>
                <w:szCs w:val="4"/>
              </w:rPr>
            </w:r>
          </w:p>
        </w:tc>
        <w:tc>
          <w:tcPr>
            <w:tcW w:w="7895"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Additional Costs; Capital Adequacy</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47</w:t>
            </w:r>
            <w:r>
              <w:rPr>
                <w:color w:val="0000FF"/>
                <w:u w:val="single"/>
                <w:bdr w:val="double" w:sz="2" w:space="1" w:color="000000"/>
              </w:rPr>
              <w:t>50</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Inability to Determine Interest Rates; Alternative Rate of Interest</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49</w:t>
            </w:r>
            <w:r>
              <w:rPr>
                <w:color w:val="0000FF"/>
                <w:u w:val="single"/>
                <w:bdr w:val="double" w:sz="2" w:space="1" w:color="000000"/>
              </w:rPr>
              <w:t>51</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Illegality</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51</w:t>
            </w:r>
            <w:r>
              <w:rPr>
                <w:color w:val="0000FF"/>
                <w:u w:val="single"/>
                <w:bdr w:val="double" w:sz="2" w:space="1" w:color="000000"/>
              </w:rPr>
              <w:t>53</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Compensation</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51</w:t>
            </w:r>
            <w:r>
              <w:rPr>
                <w:color w:val="0000FF"/>
                <w:u w:val="single"/>
                <w:bdr w:val="double" w:sz="2" w:space="1" w:color="000000"/>
              </w:rPr>
              <w:t>53</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Treatment of Affected 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51</w:t>
            </w:r>
            <w:r>
              <w:rPr>
                <w:color w:val="0000FF"/>
                <w:u w:val="single"/>
                <w:bdr w:val="double" w:sz="2" w:space="1" w:color="000000"/>
              </w:rPr>
              <w:t>54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Affected Lenders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52</w:t>
            </w:r>
            <w:r>
              <w:rPr>
                <w:color w:val="0000FF"/>
                <w:u w:val="single"/>
                <w:bdr w:val="double" w:sz="2" w:space="1" w:color="000000"/>
              </w:rPr>
              <w:t>54</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Change of Lending Office</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53</w:t>
            </w:r>
            <w:r>
              <w:rPr>
                <w:color w:val="0000FF"/>
                <w:u w:val="single"/>
                <w:bdr w:val="double" w:sz="2" w:space="1" w:color="000000"/>
              </w:rPr>
              <w:t>55</w:t>
            </w:r>
          </w:p>
        </w:tc>
        <w:tc>
          <w:tcPr>
            <w:tcW w:w="63" w:type="dxa"/>
            <w:tcBorders/>
          </w:tcPr>
          <w:p>
            <w:pPr>
              <w:pStyle w:val="TableContents"/>
              <w:bidi w:val="0"/>
              <w:spacing w:before="0" w:after="283"/>
              <w:jc w:val="left"/>
              <w:rPr/>
            </w:pPr>
            <w:r>
              <w:rPr/>
              <w:t> </w:t>
            </w:r>
          </w:p>
        </w:tc>
      </w:tr>
      <w:tr>
        <w:trPr/>
        <w:tc>
          <w:tcPr>
            <w:tcW w:w="1542"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16" w:type="dxa"/>
            <w:tcBorders/>
            <w:vAlign w:val="bottom"/>
          </w:tcPr>
          <w:p>
            <w:pPr>
              <w:pStyle w:val="TableContents"/>
              <w:bidi w:val="0"/>
              <w:spacing w:before="0" w:after="283"/>
              <w:jc w:val="left"/>
              <w:rPr/>
            </w:pPr>
            <w:r>
              <w:rPr/>
              <w:t> </w:t>
            </w:r>
          </w:p>
        </w:tc>
        <w:tc>
          <w:tcPr>
            <w:tcW w:w="7779" w:type="dxa"/>
            <w:tcBorders/>
          </w:tcPr>
          <w:p>
            <w:pPr>
              <w:pStyle w:val="TableContents"/>
              <w:bidi w:val="0"/>
              <w:spacing w:before="0" w:after="283"/>
              <w:jc w:val="left"/>
              <w:rPr/>
            </w:pPr>
            <w:r>
              <w:rPr/>
              <w:t>Assumptions Concerning Funding of SOFR Loans</w:t>
            </w:r>
          </w:p>
        </w:tc>
        <w:tc>
          <w:tcPr>
            <w:tcW w:w="14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1" w:type="dxa"/>
            <w:tcBorders/>
          </w:tcPr>
          <w:p>
            <w:pPr>
              <w:pStyle w:val="TableContents"/>
              <w:bidi w:val="0"/>
              <w:spacing w:before="0" w:after="283"/>
              <w:jc w:val="right"/>
              <w:rPr/>
            </w:pPr>
            <w:r>
              <w:rPr>
                <w:strike/>
                <w:color w:val="FF0000"/>
              </w:rPr>
              <w:t>53</w:t>
            </w:r>
            <w:r>
              <w:rPr>
                <w:color w:val="0000FF"/>
                <w:u w:val="single"/>
                <w:bdr w:val="double" w:sz="2" w:space="1" w:color="000000"/>
              </w:rPr>
              <w:t>55</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0"/>
        <w:gridCol w:w="117"/>
        <w:gridCol w:w="7765"/>
        <w:gridCol w:w="147"/>
        <w:gridCol w:w="60"/>
        <w:gridCol w:w="512"/>
        <w:gridCol w:w="64"/>
      </w:tblGrid>
      <w:tr>
        <w:trPr/>
        <w:tc>
          <w:tcPr>
            <w:tcW w:w="1540"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76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283"/>
              <w:jc w:val="left"/>
              <w:rPr/>
            </w:pPr>
            <w:r>
              <w:rPr/>
              <w:t>Article V. Conditions Precedent</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53</w:t>
            </w:r>
            <w:r>
              <w:rPr>
                <w:color w:val="0000FF"/>
                <w:u w:val="single"/>
                <w:bdr w:val="double" w:sz="2" w:space="1" w:color="000000"/>
              </w:rPr>
              <w:t>55</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Initial Conditions Precedent</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53</w:t>
            </w:r>
            <w:r>
              <w:rPr>
                <w:color w:val="0000FF"/>
                <w:u w:val="single"/>
                <w:bdr w:val="double" w:sz="2" w:space="1" w:color="000000"/>
              </w:rPr>
              <w:t>55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Conditions Precedent to All Loans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55</w:t>
            </w:r>
            <w:r>
              <w:rPr>
                <w:color w:val="0000FF"/>
                <w:u w:val="single"/>
                <w:bdr w:val="double" w:sz="2" w:space="1" w:color="000000"/>
              </w:rPr>
              <w:t>57</w:t>
            </w:r>
          </w:p>
        </w:tc>
        <w:tc>
          <w:tcPr>
            <w:tcW w:w="64" w:type="dxa"/>
            <w:tcBorders/>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283"/>
              <w:jc w:val="left"/>
              <w:rPr/>
            </w:pPr>
            <w:r>
              <w:rPr/>
              <w:t>Article VI. Representations and Warranties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55</w:t>
            </w:r>
            <w:r>
              <w:rPr>
                <w:color w:val="0000FF"/>
                <w:u w:val="single"/>
                <w:bdr w:val="double" w:sz="2" w:space="1" w:color="000000"/>
              </w:rPr>
              <w:t>58</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Representations and Warranties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55</w:t>
            </w:r>
            <w:r>
              <w:rPr>
                <w:color w:val="0000FF"/>
                <w:u w:val="single"/>
                <w:bdr w:val="double" w:sz="2" w:space="1" w:color="000000"/>
              </w:rPr>
              <w:t>58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Survival of Representations and Warranties, Etc.</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62</w:t>
            </w:r>
            <w:r>
              <w:rPr>
                <w:color w:val="0000FF"/>
                <w:u w:val="single"/>
                <w:bdr w:val="double" w:sz="2" w:space="1" w:color="000000"/>
              </w:rPr>
              <w:t>64</w:t>
            </w:r>
          </w:p>
        </w:tc>
        <w:tc>
          <w:tcPr>
            <w:tcW w:w="64" w:type="dxa"/>
            <w:tcBorders/>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283"/>
              <w:jc w:val="left"/>
              <w:rPr/>
            </w:pPr>
            <w:r>
              <w:rPr/>
              <w:t>Article VII. Affirmative Covenants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62</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Preservation of Existence and Similar Matters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62</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 xml:space="preserve">Compliance with Applicable Law </w:t>
            </w:r>
            <w:r>
              <w:rPr>
                <w:strike/>
                <w:color w:val="FF0000"/>
              </w:rPr>
              <w:t>and Material Contracts.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63</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Maintenance of Property</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63</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Conduct of Business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63</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Insurance</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63</w:t>
            </w:r>
            <w:r>
              <w:rPr>
                <w:color w:val="0000FF"/>
                <w:u w:val="single"/>
                <w:bdr w:val="double" w:sz="2" w:space="1" w:color="000000"/>
              </w:rPr>
              <w:t>65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Payment of Taxes and Claims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63</w:t>
            </w:r>
            <w:r>
              <w:rPr>
                <w:color w:val="0000FF"/>
                <w:u w:val="single"/>
                <w:bdr w:val="double" w:sz="2" w:space="1" w:color="000000"/>
              </w:rPr>
              <w:t>66</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Books and Records; Inspections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64</w:t>
            </w:r>
            <w:r>
              <w:rPr>
                <w:color w:val="0000FF"/>
                <w:u w:val="single"/>
                <w:bdr w:val="double" w:sz="2" w:space="1" w:color="000000"/>
              </w:rPr>
              <w:t>66</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Use of Proceeds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64</w:t>
            </w:r>
            <w:r>
              <w:rPr>
                <w:color w:val="0000FF"/>
                <w:u w:val="single"/>
                <w:bdr w:val="double" w:sz="2" w:space="1" w:color="000000"/>
              </w:rPr>
              <w:t>67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Environmental Matters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64</w:t>
            </w:r>
            <w:r>
              <w:rPr>
                <w:color w:val="0000FF"/>
                <w:u w:val="single"/>
                <w:bdr w:val="double" w:sz="2" w:space="1" w:color="000000"/>
              </w:rPr>
              <w:t>67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Further Assurances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64</w:t>
            </w:r>
            <w:r>
              <w:rPr>
                <w:color w:val="0000FF"/>
                <w:u w:val="single"/>
                <w:bdr w:val="double" w:sz="2" w:space="1" w:color="000000"/>
              </w:rPr>
              <w:t>67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Compliance with Anti-Corruption Laws; Beneficial Ownership Regulation, Anti-Money Laundering Laws and Sanctions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65</w:t>
            </w:r>
            <w:r>
              <w:rPr>
                <w:color w:val="0000FF"/>
                <w:u w:val="single"/>
                <w:bdr w:val="double" w:sz="2" w:space="1" w:color="000000"/>
              </w:rPr>
              <w:t>67</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REIT Status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65</w:t>
            </w:r>
            <w:r>
              <w:rPr>
                <w:color w:val="0000FF"/>
                <w:u w:val="single"/>
                <w:bdr w:val="double" w:sz="2" w:space="1" w:color="000000"/>
              </w:rPr>
              <w:t>68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Exchange Listing</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65</w:t>
            </w:r>
            <w:r>
              <w:rPr>
                <w:color w:val="0000FF"/>
                <w:u w:val="single"/>
                <w:bdr w:val="double" w:sz="2" w:space="1" w:color="000000"/>
              </w:rPr>
              <w:t>68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Guarantors</w:t>
            </w:r>
            <w:r>
              <w:rPr>
                <w:color w:val="0000FF"/>
                <w:u w:val="single"/>
                <w:bdr w:val="double" w:sz="2" w:space="1" w:color="000000"/>
              </w:rPr>
              <w:t>; Assets Included in Unencumbered Asset Value.</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65</w:t>
            </w:r>
            <w:r>
              <w:rPr>
                <w:color w:val="0000FF"/>
                <w:u w:val="single"/>
                <w:bdr w:val="double" w:sz="2" w:space="1" w:color="000000"/>
              </w:rPr>
              <w:t>68</w:t>
            </w:r>
          </w:p>
        </w:tc>
        <w:tc>
          <w:tcPr>
            <w:tcW w:w="64" w:type="dxa"/>
            <w:tcBorders/>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283"/>
              <w:jc w:val="left"/>
              <w:rPr/>
            </w:pPr>
            <w:r>
              <w:rPr/>
              <w:t>Article VIII. Information</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66</w:t>
            </w:r>
            <w:r>
              <w:rPr>
                <w:color w:val="0000FF"/>
                <w:u w:val="single"/>
                <w:bdr w:val="double" w:sz="2" w:space="1" w:color="000000"/>
              </w:rPr>
              <w:t>69</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Quarterly Financial Statements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66</w:t>
            </w:r>
            <w:r>
              <w:rPr>
                <w:color w:val="0000FF"/>
                <w:u w:val="single"/>
                <w:bdr w:val="double" w:sz="2" w:space="1" w:color="000000"/>
              </w:rPr>
              <w:t>69</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Year-End Statements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66</w:t>
            </w:r>
            <w:r>
              <w:rPr>
                <w:color w:val="0000FF"/>
                <w:u w:val="single"/>
                <w:bdr w:val="double" w:sz="2" w:space="1" w:color="000000"/>
              </w:rPr>
              <w:t>69</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Compliance Certificate</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67</w:t>
            </w:r>
            <w:r>
              <w:rPr>
                <w:color w:val="0000FF"/>
                <w:u w:val="single"/>
                <w:bdr w:val="double" w:sz="2" w:space="1" w:color="000000"/>
              </w:rPr>
              <w:t>70</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Other Information</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67</w:t>
            </w:r>
            <w:r>
              <w:rPr>
                <w:color w:val="0000FF"/>
                <w:u w:val="single"/>
                <w:bdr w:val="double" w:sz="2" w:space="1" w:color="000000"/>
              </w:rPr>
              <w:t>70</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Electronic Delivery of Certain Information</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69</w:t>
            </w:r>
            <w:r>
              <w:rPr>
                <w:color w:val="0000FF"/>
                <w:u w:val="single"/>
                <w:bdr w:val="double" w:sz="2" w:space="1" w:color="000000"/>
              </w:rPr>
              <w:t>73</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Public/Private Information</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70</w:t>
            </w:r>
            <w:r>
              <w:rPr>
                <w:color w:val="0000FF"/>
                <w:u w:val="single"/>
                <w:bdr w:val="double" w:sz="2" w:space="1" w:color="000000"/>
              </w:rPr>
              <w:t>73</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USA Patriot Act Notice; Compliance</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70</w:t>
            </w:r>
            <w:r>
              <w:rPr>
                <w:color w:val="0000FF"/>
                <w:u w:val="single"/>
                <w:bdr w:val="double" w:sz="2" w:space="1" w:color="000000"/>
              </w:rPr>
              <w:t>74</w:t>
            </w:r>
          </w:p>
        </w:tc>
        <w:tc>
          <w:tcPr>
            <w:tcW w:w="64" w:type="dxa"/>
            <w:tcBorders/>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283"/>
              <w:jc w:val="left"/>
              <w:rPr/>
            </w:pPr>
            <w:r>
              <w:rPr/>
              <w:t>Article IX. Negative Covenants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71</w:t>
            </w:r>
            <w:r>
              <w:rPr>
                <w:color w:val="0000FF"/>
                <w:u w:val="single"/>
                <w:bdr w:val="double" w:sz="2" w:space="1" w:color="000000"/>
              </w:rPr>
              <w:t>74</w:t>
            </w:r>
          </w:p>
        </w:tc>
        <w:tc>
          <w:tcPr>
            <w:tcW w:w="64" w:type="dxa"/>
            <w:tcBorders/>
          </w:tcPr>
          <w:p>
            <w:pPr>
              <w:pStyle w:val="TableContents"/>
              <w:bidi w:val="0"/>
              <w:spacing w:before="0" w:after="283"/>
              <w:jc w:val="left"/>
              <w:rPr/>
            </w:pPr>
            <w:r>
              <w:rPr/>
              <w:t> </w:t>
            </w:r>
          </w:p>
        </w:tc>
      </w:tr>
      <w:tr>
        <w:trPr>
          <w:trHeight w:val="120" w:hRule="atLeast"/>
        </w:trPr>
        <w:tc>
          <w:tcPr>
            <w:tcW w:w="1540" w:type="dxa"/>
            <w:tcBorders/>
            <w:vAlign w:val="center"/>
          </w:tcPr>
          <w:p>
            <w:pPr>
              <w:pStyle w:val="TableContents"/>
              <w:bidi w:val="0"/>
              <w:spacing w:before="0" w:after="283"/>
              <w:jc w:val="left"/>
              <w:rPr>
                <w:sz w:val="4"/>
                <w:szCs w:val="4"/>
              </w:rPr>
            </w:pPr>
            <w:r>
              <w:rPr>
                <w:sz w:val="4"/>
                <w:szCs w:val="4"/>
              </w:rPr>
            </w:r>
          </w:p>
        </w:tc>
        <w:tc>
          <w:tcPr>
            <w:tcW w:w="7882"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Financial Covenants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71</w:t>
            </w:r>
            <w:r>
              <w:rPr>
                <w:color w:val="0000FF"/>
                <w:u w:val="single"/>
                <w:bdr w:val="double" w:sz="2" w:space="1" w:color="000000"/>
              </w:rPr>
              <w:t>74</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[Intentionally Omitted]</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72</w:t>
            </w:r>
            <w:r>
              <w:rPr>
                <w:color w:val="0000FF"/>
                <w:u w:val="single"/>
                <w:bdr w:val="double" w:sz="2" w:space="1" w:color="000000"/>
              </w:rPr>
              <w:t>75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Liens; Negative Pledges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72</w:t>
            </w:r>
            <w:r>
              <w:rPr>
                <w:color w:val="0000FF"/>
                <w:u w:val="single"/>
                <w:bdr w:val="double" w:sz="2" w:space="1" w:color="000000"/>
              </w:rPr>
              <w:t>75</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Restrictions on Intercompany Transfers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72</w:t>
            </w:r>
            <w:r>
              <w:rPr>
                <w:color w:val="0000FF"/>
                <w:u w:val="single"/>
                <w:bdr w:val="double" w:sz="2" w:space="1" w:color="000000"/>
              </w:rPr>
              <w:t>76</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Merger, Consolidation, Sales of Assets and Other Arrangements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73</w:t>
            </w:r>
            <w:r>
              <w:rPr>
                <w:color w:val="0000FF"/>
                <w:u w:val="single"/>
                <w:bdr w:val="double" w:sz="2" w:space="1" w:color="000000"/>
              </w:rPr>
              <w:t>76</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Plans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74</w:t>
            </w:r>
            <w:r>
              <w:rPr>
                <w:color w:val="0000FF"/>
                <w:u w:val="single"/>
                <w:bdr w:val="double" w:sz="2" w:space="1" w:color="000000"/>
              </w:rPr>
              <w:t>77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Fiscal Year</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74</w:t>
            </w:r>
            <w:r>
              <w:rPr>
                <w:color w:val="0000FF"/>
                <w:u w:val="single"/>
                <w:bdr w:val="double" w:sz="2" w:space="1" w:color="000000"/>
              </w:rPr>
              <w:t>77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Modifications of Organizational Documents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74</w:t>
            </w:r>
            <w:r>
              <w:rPr>
                <w:color w:val="0000FF"/>
                <w:u w:val="single"/>
                <w:bdr w:val="double" w:sz="2" w:space="1" w:color="000000"/>
              </w:rPr>
              <w:t>77</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Transactions with Affiliates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74</w:t>
            </w:r>
            <w:r>
              <w:rPr>
                <w:color w:val="0000FF"/>
                <w:u w:val="single"/>
                <w:bdr w:val="double" w:sz="2" w:space="1" w:color="000000"/>
              </w:rPr>
              <w:t>78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Environmental Matters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74</w:t>
            </w:r>
            <w:r>
              <w:rPr>
                <w:color w:val="0000FF"/>
                <w:u w:val="single"/>
                <w:bdr w:val="double" w:sz="2" w:space="1" w:color="000000"/>
              </w:rPr>
              <w:t>78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Non-Controlled Properties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75</w:t>
            </w:r>
            <w:r>
              <w:rPr>
                <w:color w:val="0000FF"/>
                <w:u w:val="single"/>
                <w:bdr w:val="double" w:sz="2" w:space="1" w:color="000000"/>
              </w:rPr>
              <w:t>78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Derivatives Contracts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75</w:t>
            </w:r>
            <w:r>
              <w:rPr>
                <w:color w:val="0000FF"/>
                <w:u w:val="single"/>
                <w:bdr w:val="double" w:sz="2" w:space="1" w:color="000000"/>
              </w:rPr>
              <w:t>78</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Use of Proceeds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75</w:t>
            </w:r>
            <w:r>
              <w:rPr>
                <w:color w:val="0000FF"/>
                <w:u w:val="single"/>
                <w:bdr w:val="double" w:sz="2" w:space="1" w:color="000000"/>
              </w:rPr>
              <w:t>79</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pPr>
            <w:r>
              <w:rPr/>
              <w:t>Parent and General Partner</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pPr>
            <w:r>
              <w:rPr>
                <w:strike/>
                <w:color w:val="FF0000"/>
              </w:rPr>
              <w:t>75</w:t>
            </w:r>
            <w:r>
              <w:rPr>
                <w:color w:val="0000FF"/>
                <w:u w:val="single"/>
                <w:bdr w:val="double" w:sz="2" w:space="1" w:color="000000"/>
              </w:rPr>
              <w:t>79</w:t>
            </w:r>
          </w:p>
        </w:tc>
        <w:tc>
          <w:tcPr>
            <w:tcW w:w="64" w:type="dxa"/>
            <w:tcBorders/>
          </w:tcPr>
          <w:p>
            <w:pPr>
              <w:pStyle w:val="TableContents"/>
              <w:bidi w:val="0"/>
              <w:spacing w:before="0" w:after="283"/>
              <w:jc w:val="left"/>
              <w:rPr/>
            </w:pPr>
            <w:r>
              <w:rPr/>
              <w:t> </w:t>
            </w:r>
          </w:p>
        </w:tc>
      </w:tr>
      <w:tr>
        <w:trPr/>
        <w:tc>
          <w:tcPr>
            <w:tcW w:w="154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9.15.</w:t>
            </w:r>
          </w:p>
        </w:tc>
        <w:tc>
          <w:tcPr>
            <w:tcW w:w="117" w:type="dxa"/>
            <w:tcBorders/>
            <w:vAlign w:val="bottom"/>
          </w:tcPr>
          <w:p>
            <w:pPr>
              <w:pStyle w:val="TableContents"/>
              <w:bidi w:val="0"/>
              <w:spacing w:before="0" w:after="283"/>
              <w:jc w:val="left"/>
              <w:rPr/>
            </w:pPr>
            <w:r>
              <w:rPr/>
              <w:t> </w:t>
            </w:r>
          </w:p>
        </w:tc>
        <w:tc>
          <w:tcPr>
            <w:tcW w:w="776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Outbound Investment Status</w:t>
            </w:r>
          </w:p>
        </w:tc>
        <w:tc>
          <w:tcPr>
            <w:tcW w:w="14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2" w:type="dxa"/>
            <w:tcBorders/>
          </w:tcPr>
          <w:p>
            <w:pPr>
              <w:pStyle w:val="TableContents"/>
              <w:bidi w:val="0"/>
              <w:spacing w:before="0" w:after="283"/>
              <w:jc w:val="right"/>
              <w:rPr>
                <w:color w:val="0000FF"/>
                <w:u w:val="single"/>
                <w:bdr w:val="double" w:sz="2" w:space="1" w:color="000000"/>
              </w:rPr>
            </w:pPr>
            <w:r>
              <w:rPr>
                <w:color w:val="0000FF"/>
                <w:u w:val="single"/>
                <w:bdr w:val="double" w:sz="2" w:space="1" w:color="000000"/>
              </w:rPr>
              <w:t>80</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78"/>
        <w:gridCol w:w="110"/>
        <w:gridCol w:w="7418"/>
        <w:gridCol w:w="136"/>
        <w:gridCol w:w="60"/>
        <w:gridCol w:w="740"/>
        <w:gridCol w:w="63"/>
      </w:tblGrid>
      <w:tr>
        <w:trPr/>
        <w:tc>
          <w:tcPr>
            <w:tcW w:w="167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4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06" w:type="dxa"/>
            <w:gridSpan w:val="3"/>
            <w:tcBorders/>
          </w:tcPr>
          <w:p>
            <w:pPr>
              <w:pStyle w:val="TableContents"/>
              <w:bidi w:val="0"/>
              <w:spacing w:before="0" w:after="283"/>
              <w:jc w:val="left"/>
              <w:rPr/>
            </w:pPr>
            <w:r>
              <w:rPr/>
              <w:t>Article X.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76</w:t>
            </w:r>
            <w:r>
              <w:rPr>
                <w:color w:val="0000FF"/>
                <w:u w:val="single"/>
                <w:bdr w:val="double" w:sz="2" w:space="1" w:color="000000"/>
              </w:rPr>
              <w:t>80</w:t>
            </w:r>
          </w:p>
        </w:tc>
        <w:tc>
          <w:tcPr>
            <w:tcW w:w="63" w:type="dxa"/>
            <w:tcBorders/>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999"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Events of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76</w:t>
            </w:r>
            <w:r>
              <w:rPr>
                <w:color w:val="0000FF"/>
                <w:u w:val="single"/>
                <w:bdr w:val="double" w:sz="2" w:space="1" w:color="000000"/>
              </w:rPr>
              <w:t>80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Remedies Upon Event of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80</w:t>
            </w:r>
            <w:r>
              <w:rPr>
                <w:color w:val="0000FF"/>
                <w:u w:val="single"/>
                <w:bdr w:val="double" w:sz="2" w:space="1" w:color="000000"/>
              </w:rPr>
              <w:t>84</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Remedies Upon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81</w:t>
            </w:r>
            <w:r>
              <w:rPr>
                <w:color w:val="0000FF"/>
                <w:u w:val="single"/>
                <w:bdr w:val="double" w:sz="2" w:space="1" w:color="000000"/>
              </w:rPr>
              <w:t>85</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Marshaling; Payments Set Aside</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81</w:t>
            </w:r>
            <w:r>
              <w:rPr>
                <w:color w:val="0000FF"/>
                <w:u w:val="single"/>
                <w:bdr w:val="double" w:sz="2" w:space="1" w:color="000000"/>
              </w:rPr>
              <w:t>85</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Allocation of Proceeds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81</w:t>
            </w:r>
            <w:r>
              <w:rPr>
                <w:color w:val="0000FF"/>
                <w:u w:val="single"/>
                <w:bdr w:val="double" w:sz="2" w:space="1" w:color="000000"/>
              </w:rPr>
              <w:t>85</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[Intentionally Omitted]</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82</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Rescission of Acceleration by Requisite Lenders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82</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Performance by Administrative Agent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82</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Rights Cumulative</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82</w:t>
            </w:r>
            <w:r>
              <w:rPr>
                <w:color w:val="0000FF"/>
                <w:u w:val="single"/>
                <w:bdr w:val="double" w:sz="2" w:space="1" w:color="000000"/>
              </w:rPr>
              <w:t>86</w:t>
            </w:r>
          </w:p>
        </w:tc>
        <w:tc>
          <w:tcPr>
            <w:tcW w:w="63" w:type="dxa"/>
            <w:tcBorders/>
          </w:tcPr>
          <w:p>
            <w:pPr>
              <w:pStyle w:val="TableContents"/>
              <w:bidi w:val="0"/>
              <w:spacing w:before="0" w:after="283"/>
              <w:jc w:val="left"/>
              <w:rPr/>
            </w:pPr>
            <w:r>
              <w:rPr/>
              <w:t> </w:t>
            </w:r>
          </w:p>
        </w:tc>
      </w:tr>
      <w:tr>
        <w:trPr>
          <w:trHeight w:val="120" w:hRule="atLeast"/>
        </w:trPr>
        <w:tc>
          <w:tcPr>
            <w:tcW w:w="9206" w:type="dxa"/>
            <w:gridSpan w:val="3"/>
            <w:tcBorders/>
            <w:vAlign w:val="center"/>
          </w:tcPr>
          <w:p>
            <w:pPr>
              <w:pStyle w:val="TableContents"/>
              <w:bidi w:val="0"/>
              <w:spacing w:before="0" w:after="283"/>
              <w:jc w:val="left"/>
              <w:rPr>
                <w:sz w:val="4"/>
                <w:szCs w:val="4"/>
              </w:rPr>
            </w:pPr>
            <w:r>
              <w:rPr>
                <w:sz w:val="4"/>
                <w:szCs w:val="4"/>
              </w:rPr>
            </w:r>
          </w:p>
        </w:tc>
        <w:tc>
          <w:tcPr>
            <w:tcW w:w="999" w:type="dxa"/>
            <w:gridSpan w:val="4"/>
            <w:tcBorders/>
            <w:vAlign w:val="center"/>
          </w:tcPr>
          <w:p>
            <w:pPr>
              <w:pStyle w:val="TableContents"/>
              <w:bidi w:val="0"/>
              <w:spacing w:before="0" w:after="283"/>
              <w:jc w:val="left"/>
              <w:rPr>
                <w:sz w:val="4"/>
                <w:szCs w:val="4"/>
              </w:rPr>
            </w:pPr>
            <w:r>
              <w:rPr>
                <w:sz w:val="4"/>
                <w:szCs w:val="4"/>
              </w:rPr>
            </w:r>
          </w:p>
        </w:tc>
      </w:tr>
      <w:tr>
        <w:trPr/>
        <w:tc>
          <w:tcPr>
            <w:tcW w:w="9206" w:type="dxa"/>
            <w:gridSpan w:val="3"/>
            <w:tcBorders/>
          </w:tcPr>
          <w:p>
            <w:pPr>
              <w:pStyle w:val="TableContents"/>
              <w:bidi w:val="0"/>
              <w:spacing w:before="0" w:after="283"/>
              <w:jc w:val="left"/>
              <w:rPr/>
            </w:pPr>
            <w:r>
              <w:rPr/>
              <w:t>Article XI. The Administrative Agent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83</w:t>
            </w:r>
            <w:r>
              <w:rPr>
                <w:color w:val="0000FF"/>
                <w:u w:val="single"/>
                <w:bdr w:val="double" w:sz="2" w:space="1" w:color="000000"/>
              </w:rPr>
              <w:t>87</w:t>
            </w:r>
          </w:p>
        </w:tc>
        <w:tc>
          <w:tcPr>
            <w:tcW w:w="63" w:type="dxa"/>
            <w:tcBorders/>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999"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Appointment and Authorization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83</w:t>
            </w:r>
            <w:r>
              <w:rPr>
                <w:color w:val="0000FF"/>
                <w:u w:val="single"/>
                <w:bdr w:val="double" w:sz="2" w:space="1" w:color="000000"/>
              </w:rPr>
              <w:t>87</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Truist Bank as Lender</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84</w:t>
            </w:r>
            <w:r>
              <w:rPr>
                <w:color w:val="0000FF"/>
                <w:u w:val="single"/>
                <w:bdr w:val="double" w:sz="2" w:space="1" w:color="000000"/>
              </w:rPr>
              <w:t>88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Approvals of Lenders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84</w:t>
            </w:r>
            <w:r>
              <w:rPr>
                <w:color w:val="0000FF"/>
                <w:u w:val="single"/>
                <w:bdr w:val="double" w:sz="2" w:space="1" w:color="000000"/>
              </w:rPr>
              <w:t>88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Notice of Events of Default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84</w:t>
            </w:r>
            <w:r>
              <w:rPr>
                <w:color w:val="0000FF"/>
                <w:u w:val="single"/>
                <w:bdr w:val="double" w:sz="2" w:space="1" w:color="000000"/>
              </w:rPr>
              <w:t>88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Administrative Agent’s Reliance</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85</w:t>
            </w:r>
            <w:r>
              <w:rPr>
                <w:color w:val="0000FF"/>
                <w:u w:val="single"/>
                <w:bdr w:val="double" w:sz="2" w:space="1" w:color="000000"/>
              </w:rPr>
              <w:t>89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Indemnification of Administrative Agent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85</w:t>
            </w:r>
            <w:r>
              <w:rPr>
                <w:color w:val="0000FF"/>
                <w:u w:val="single"/>
                <w:bdr w:val="double" w:sz="2" w:space="1" w:color="000000"/>
              </w:rPr>
              <w:t>89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Lender Credit Decision, Etc.</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86</w:t>
            </w:r>
            <w:r>
              <w:rPr>
                <w:color w:val="0000FF"/>
                <w:u w:val="single"/>
                <w:bdr w:val="double" w:sz="2" w:space="1" w:color="000000"/>
              </w:rPr>
              <w:t>90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11.8.</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Successor Administrative Agent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87</w:t>
            </w:r>
            <w:r>
              <w:rPr>
                <w:color w:val="0000FF"/>
                <w:u w:val="single"/>
                <w:bdr w:val="double" w:sz="2" w:space="1" w:color="000000"/>
              </w:rPr>
              <w:t>91</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11.9.</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Titled Agents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87</w:t>
            </w:r>
            <w:r>
              <w:rPr>
                <w:color w:val="0000FF"/>
                <w:u w:val="single"/>
                <w:bdr w:val="double" w:sz="2" w:space="1" w:color="000000"/>
              </w:rPr>
              <w:t>91</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Erroneous Payments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88</w:t>
            </w:r>
            <w:r>
              <w:rPr>
                <w:color w:val="0000FF"/>
                <w:u w:val="single"/>
                <w:bdr w:val="double" w:sz="2" w:space="1" w:color="000000"/>
              </w:rPr>
              <w:t>92</w:t>
            </w:r>
          </w:p>
        </w:tc>
        <w:tc>
          <w:tcPr>
            <w:tcW w:w="63" w:type="dxa"/>
            <w:tcBorders/>
          </w:tcPr>
          <w:p>
            <w:pPr>
              <w:pStyle w:val="TableContents"/>
              <w:bidi w:val="0"/>
              <w:spacing w:before="0" w:after="283"/>
              <w:jc w:val="left"/>
              <w:rPr/>
            </w:pPr>
            <w:r>
              <w:rPr/>
              <w:t> </w:t>
            </w:r>
          </w:p>
        </w:tc>
      </w:tr>
      <w:tr>
        <w:trPr>
          <w:trHeight w:val="120" w:hRule="atLeast"/>
        </w:trPr>
        <w:tc>
          <w:tcPr>
            <w:tcW w:w="9206" w:type="dxa"/>
            <w:gridSpan w:val="3"/>
            <w:tcBorders/>
            <w:vAlign w:val="center"/>
          </w:tcPr>
          <w:p>
            <w:pPr>
              <w:pStyle w:val="TableContents"/>
              <w:bidi w:val="0"/>
              <w:spacing w:before="0" w:after="283"/>
              <w:jc w:val="left"/>
              <w:rPr>
                <w:sz w:val="4"/>
                <w:szCs w:val="4"/>
              </w:rPr>
            </w:pPr>
            <w:r>
              <w:rPr>
                <w:sz w:val="4"/>
                <w:szCs w:val="4"/>
              </w:rPr>
            </w:r>
          </w:p>
        </w:tc>
        <w:tc>
          <w:tcPr>
            <w:tcW w:w="999" w:type="dxa"/>
            <w:gridSpan w:val="4"/>
            <w:tcBorders/>
            <w:vAlign w:val="center"/>
          </w:tcPr>
          <w:p>
            <w:pPr>
              <w:pStyle w:val="TableContents"/>
              <w:bidi w:val="0"/>
              <w:spacing w:before="0" w:after="283"/>
              <w:jc w:val="left"/>
              <w:rPr>
                <w:sz w:val="4"/>
                <w:szCs w:val="4"/>
              </w:rPr>
            </w:pPr>
            <w:r>
              <w:rPr>
                <w:sz w:val="4"/>
                <w:szCs w:val="4"/>
              </w:rPr>
            </w:r>
          </w:p>
        </w:tc>
      </w:tr>
      <w:tr>
        <w:trPr/>
        <w:tc>
          <w:tcPr>
            <w:tcW w:w="9206" w:type="dxa"/>
            <w:gridSpan w:val="3"/>
            <w:tcBorders/>
          </w:tcPr>
          <w:p>
            <w:pPr>
              <w:pStyle w:val="TableContents"/>
              <w:bidi w:val="0"/>
              <w:spacing w:before="0" w:after="283"/>
              <w:jc w:val="left"/>
              <w:rPr/>
            </w:pPr>
            <w:r>
              <w:rPr/>
              <w:t>Article XII. Miscellaneous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89</w:t>
            </w:r>
            <w:r>
              <w:rPr>
                <w:color w:val="0000FF"/>
                <w:u w:val="single"/>
                <w:bdr w:val="double" w:sz="2" w:space="1" w:color="000000"/>
              </w:rPr>
              <w:t>93</w:t>
            </w:r>
          </w:p>
        </w:tc>
        <w:tc>
          <w:tcPr>
            <w:tcW w:w="63" w:type="dxa"/>
            <w:tcBorders/>
          </w:tcPr>
          <w:p>
            <w:pPr>
              <w:pStyle w:val="TableContents"/>
              <w:bidi w:val="0"/>
              <w:spacing w:before="0" w:after="283"/>
              <w:jc w:val="left"/>
              <w:rPr/>
            </w:pPr>
            <w:r>
              <w:rPr/>
              <w:t> </w:t>
            </w:r>
          </w:p>
        </w:tc>
      </w:tr>
      <w:tr>
        <w:trPr>
          <w:trHeight w:val="120" w:hRule="atLeast"/>
        </w:trPr>
        <w:tc>
          <w:tcPr>
            <w:tcW w:w="1678" w:type="dxa"/>
            <w:tcBorders/>
            <w:vAlign w:val="center"/>
          </w:tcPr>
          <w:p>
            <w:pPr>
              <w:pStyle w:val="TableContents"/>
              <w:bidi w:val="0"/>
              <w:spacing w:before="0" w:after="283"/>
              <w:jc w:val="left"/>
              <w:rPr>
                <w:sz w:val="4"/>
                <w:szCs w:val="4"/>
              </w:rPr>
            </w:pPr>
            <w:r>
              <w:rPr>
                <w:sz w:val="4"/>
                <w:szCs w:val="4"/>
              </w:rPr>
            </w:r>
          </w:p>
        </w:tc>
        <w:tc>
          <w:tcPr>
            <w:tcW w:w="7528" w:type="dxa"/>
            <w:gridSpan w:val="2"/>
            <w:tcBorders/>
            <w:vAlign w:val="center"/>
          </w:tcPr>
          <w:p>
            <w:pPr>
              <w:pStyle w:val="TableContents"/>
              <w:bidi w:val="0"/>
              <w:spacing w:before="0" w:after="283"/>
              <w:jc w:val="left"/>
              <w:rPr>
                <w:sz w:val="4"/>
                <w:szCs w:val="4"/>
              </w:rPr>
            </w:pPr>
            <w:r>
              <w:rPr>
                <w:sz w:val="4"/>
                <w:szCs w:val="4"/>
              </w:rPr>
            </w:r>
          </w:p>
        </w:tc>
        <w:tc>
          <w:tcPr>
            <w:tcW w:w="999" w:type="dxa"/>
            <w:gridSpan w:val="4"/>
            <w:tcBorders/>
            <w:vAlign w:val="center"/>
          </w:tcPr>
          <w:p>
            <w:pPr>
              <w:pStyle w:val="TableContents"/>
              <w:bidi w:val="0"/>
              <w:spacing w:before="0" w:after="283"/>
              <w:jc w:val="left"/>
              <w:rPr>
                <w:sz w:val="4"/>
                <w:szCs w:val="4"/>
              </w:rPr>
            </w:pPr>
            <w:r>
              <w:rPr>
                <w:sz w:val="4"/>
                <w:szCs w:val="4"/>
              </w:rPr>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89</w:t>
            </w:r>
            <w:r>
              <w:rPr>
                <w:color w:val="0000FF"/>
                <w:u w:val="single"/>
                <w:bdr w:val="double" w:sz="2" w:space="1" w:color="000000"/>
              </w:rPr>
              <w:t>93</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Expenses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91</w:t>
            </w:r>
            <w:r>
              <w:rPr>
                <w:color w:val="0000FF"/>
                <w:u w:val="single"/>
                <w:bdr w:val="double" w:sz="2" w:space="1" w:color="000000"/>
              </w:rPr>
              <w:t>95</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Stamp, Intangible and Recording Taxes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92</w:t>
            </w:r>
            <w:r>
              <w:rPr>
                <w:color w:val="0000FF"/>
                <w:u w:val="single"/>
                <w:bdr w:val="double" w:sz="2" w:space="1" w:color="000000"/>
              </w:rPr>
              <w:t>96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Setoff</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92</w:t>
            </w:r>
            <w:r>
              <w:rPr>
                <w:color w:val="0000FF"/>
                <w:u w:val="single"/>
                <w:bdr w:val="double" w:sz="2" w:space="1" w:color="000000"/>
              </w:rPr>
              <w:t>96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Litigation; Jurisdiction; Other Matters; Waivers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93</w:t>
            </w:r>
            <w:r>
              <w:rPr>
                <w:color w:val="0000FF"/>
                <w:u w:val="single"/>
                <w:bdr w:val="double" w:sz="2" w:space="1" w:color="000000"/>
              </w:rPr>
              <w:t>97</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Successors and Assigns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95</w:t>
            </w:r>
            <w:r>
              <w:rPr>
                <w:color w:val="0000FF"/>
                <w:u w:val="single"/>
                <w:bdr w:val="double" w:sz="2" w:space="1" w:color="000000"/>
              </w:rPr>
              <w:t>99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12.7.</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Amendments and Waivers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99</w:t>
            </w:r>
            <w:r>
              <w:rPr>
                <w:color w:val="0000FF"/>
                <w:u w:val="single"/>
                <w:bdr w:val="double" w:sz="2" w:space="1" w:color="000000"/>
              </w:rPr>
              <w:t>103</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12.8.</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Nonliability of Administrative Agent and Lenders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100</w:t>
            </w:r>
            <w:r>
              <w:rPr>
                <w:color w:val="0000FF"/>
                <w:u w:val="single"/>
                <w:bdr w:val="double" w:sz="2" w:space="1" w:color="000000"/>
              </w:rPr>
              <w:t>104</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12.9.</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100</w:t>
            </w:r>
            <w:r>
              <w:rPr>
                <w:color w:val="0000FF"/>
                <w:u w:val="single"/>
                <w:bdr w:val="double" w:sz="2" w:space="1" w:color="000000"/>
              </w:rPr>
              <w:t>105</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Indemnification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101</w:t>
            </w:r>
            <w:r>
              <w:rPr>
                <w:color w:val="0000FF"/>
                <w:u w:val="single"/>
                <w:bdr w:val="double" w:sz="2" w:space="1" w:color="000000"/>
              </w:rPr>
              <w:t>106</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Termination; Survival</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103</w:t>
            </w:r>
            <w:r>
              <w:rPr>
                <w:color w:val="0000FF"/>
                <w:u w:val="single"/>
                <w:bdr w:val="double" w:sz="2" w:space="1" w:color="000000"/>
              </w:rPr>
              <w:t>108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Severability of Provisions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103</w:t>
            </w:r>
            <w:r>
              <w:rPr>
                <w:color w:val="0000FF"/>
                <w:u w:val="single"/>
                <w:bdr w:val="double" w:sz="2" w:space="1" w:color="000000"/>
              </w:rPr>
              <w:t>108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GOVERNING LAW</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104</w:t>
            </w:r>
            <w:r>
              <w:rPr>
                <w:color w:val="0000FF"/>
                <w:u w:val="single"/>
                <w:bdr w:val="double" w:sz="2" w:space="1" w:color="000000"/>
              </w:rPr>
              <w:t>108</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Counterparts; Integration; Effectiveness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104</w:t>
            </w:r>
            <w:r>
              <w:rPr>
                <w:color w:val="0000FF"/>
                <w:u w:val="single"/>
                <w:bdr w:val="double" w:sz="2" w:space="1" w:color="000000"/>
              </w:rPr>
              <w:t>109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Obligations with Respect to Loan Parties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104</w:t>
            </w:r>
            <w:r>
              <w:rPr>
                <w:color w:val="0000FF"/>
                <w:u w:val="single"/>
                <w:bdr w:val="double" w:sz="2" w:space="1" w:color="000000"/>
              </w:rPr>
              <w:t>109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Independence of Covenants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104</w:t>
            </w:r>
            <w:r>
              <w:rPr>
                <w:color w:val="0000FF"/>
                <w:u w:val="single"/>
                <w:bdr w:val="double" w:sz="2" w:space="1" w:color="000000"/>
              </w:rPr>
              <w:t>109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12.17.</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Limitation of Liability</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104</w:t>
            </w:r>
            <w:r>
              <w:rPr>
                <w:color w:val="0000FF"/>
                <w:u w:val="single"/>
                <w:bdr w:val="double" w:sz="2" w:space="1" w:color="000000"/>
              </w:rPr>
              <w:t>109</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12.18.</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Entire Agreement</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12.19.</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Construction</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12.20.</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Headings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12.21.</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Limitation of Liability of Trustees, Etc.</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12.22.</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Acknowledgement and Consent to Bail-In of EEA Financial Institutions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105</w:t>
            </w:r>
            <w:r>
              <w:rPr>
                <w:color w:val="0000FF"/>
                <w:u w:val="single"/>
                <w:bdr w:val="double" w:sz="2" w:space="1" w:color="000000"/>
              </w:rPr>
              <w:t>110</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12.23.</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Electronic Signatures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106</w:t>
            </w:r>
            <w:r>
              <w:rPr>
                <w:color w:val="0000FF"/>
                <w:u w:val="single"/>
                <w:bdr w:val="double" w:sz="2" w:space="1" w:color="000000"/>
              </w:rPr>
              <w:t>111</w:t>
            </w:r>
          </w:p>
        </w:tc>
        <w:tc>
          <w:tcPr>
            <w:tcW w:w="63" w:type="dxa"/>
            <w:tcBorders/>
          </w:tcPr>
          <w:p>
            <w:pPr>
              <w:pStyle w:val="TableContents"/>
              <w:bidi w:val="0"/>
              <w:spacing w:before="0" w:after="283"/>
              <w:jc w:val="left"/>
              <w:rPr/>
            </w:pPr>
            <w:r>
              <w:rPr/>
              <w:t> </w:t>
            </w:r>
          </w:p>
        </w:tc>
      </w:tr>
      <w:tr>
        <w:trPr/>
        <w:tc>
          <w:tcPr>
            <w:tcW w:w="167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12.24.</w:t>
            </w:r>
          </w:p>
        </w:tc>
        <w:tc>
          <w:tcPr>
            <w:tcW w:w="110" w:type="dxa"/>
            <w:tcBorders/>
            <w:vAlign w:val="bottom"/>
          </w:tcPr>
          <w:p>
            <w:pPr>
              <w:pStyle w:val="TableContents"/>
              <w:bidi w:val="0"/>
              <w:spacing w:before="0" w:after="283"/>
              <w:jc w:val="left"/>
              <w:rPr/>
            </w:pPr>
            <w:r>
              <w:rPr/>
              <w:t> </w:t>
            </w:r>
          </w:p>
        </w:tc>
        <w:tc>
          <w:tcPr>
            <w:tcW w:w="7418" w:type="dxa"/>
            <w:tcBorders/>
          </w:tcPr>
          <w:p>
            <w:pPr>
              <w:pStyle w:val="TableContents"/>
              <w:bidi w:val="0"/>
              <w:spacing w:before="0" w:after="283"/>
              <w:jc w:val="left"/>
              <w:rPr/>
            </w:pPr>
            <w:r>
              <w:rPr/>
              <w:t>Acknowledgement Regarding Any Supported QFCs</w:t>
            </w:r>
          </w:p>
        </w:tc>
        <w:tc>
          <w:tcPr>
            <w:tcW w:w="13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740" w:type="dxa"/>
            <w:tcBorders/>
          </w:tcPr>
          <w:p>
            <w:pPr>
              <w:pStyle w:val="TableContents"/>
              <w:bidi w:val="0"/>
              <w:spacing w:before="0" w:after="283"/>
              <w:jc w:val="right"/>
              <w:rPr/>
            </w:pPr>
            <w:r>
              <w:rPr>
                <w:strike/>
                <w:color w:val="FF0000"/>
              </w:rPr>
              <w:t>106</w:t>
            </w:r>
            <w:r>
              <w:rPr>
                <w:color w:val="0000FF"/>
                <w:u w:val="single"/>
                <w:bdr w:val="double" w:sz="2" w:space="1" w:color="000000"/>
              </w:rPr>
              <w:t>111</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1"/>
        <w:gridCol w:w="120"/>
        <w:gridCol w:w="8304"/>
      </w:tblGrid>
      <w:tr>
        <w:trPr/>
        <w:tc>
          <w:tcPr>
            <w:tcW w:w="17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04" w:type="dxa"/>
            <w:tcBorders/>
            <w:vAlign w:val="center"/>
          </w:tcPr>
          <w:p>
            <w:pPr>
              <w:pStyle w:val="TableContents"/>
              <w:bidi w:val="0"/>
              <w:spacing w:before="0" w:after="283"/>
              <w:jc w:val="left"/>
              <w:rPr>
                <w:sz w:val="4"/>
                <w:szCs w:val="4"/>
              </w:rPr>
            </w:pPr>
            <w:r>
              <w:rPr>
                <w:sz w:val="4"/>
                <w:szCs w:val="4"/>
              </w:rPr>
            </w:r>
          </w:p>
        </w:tc>
      </w:tr>
      <w:tr>
        <w:trPr/>
        <w:tc>
          <w:tcPr>
            <w:tcW w:w="1781" w:type="dxa"/>
            <w:tcBorders/>
          </w:tcPr>
          <w:p>
            <w:pPr>
              <w:pStyle w:val="TableContents"/>
              <w:bidi w:val="0"/>
              <w:spacing w:before="0" w:after="283"/>
              <w:jc w:val="left"/>
              <w:rPr/>
            </w:pPr>
            <w:r>
              <w:rPr/>
              <w:t>SCHEDULE I</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Commitments and Loans</w:t>
            </w:r>
          </w:p>
        </w:tc>
      </w:tr>
      <w:tr>
        <w:trPr/>
        <w:tc>
          <w:tcPr>
            <w:tcW w:w="1781" w:type="dxa"/>
            <w:tcBorders/>
          </w:tcPr>
          <w:p>
            <w:pPr>
              <w:pStyle w:val="TableContents"/>
              <w:bidi w:val="0"/>
              <w:spacing w:before="0" w:after="283"/>
              <w:jc w:val="left"/>
              <w:rPr/>
            </w:pPr>
            <w:r>
              <w:rPr/>
              <w:t>SCHEDULE 1.1.(a)</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List of Loan Parties</w:t>
            </w:r>
          </w:p>
        </w:tc>
      </w:tr>
      <w:tr>
        <w:trPr/>
        <w:tc>
          <w:tcPr>
            <w:tcW w:w="1781" w:type="dxa"/>
            <w:tcBorders/>
          </w:tcPr>
          <w:p>
            <w:pPr>
              <w:pStyle w:val="TableContents"/>
              <w:bidi w:val="0"/>
              <w:spacing w:before="0" w:after="283"/>
              <w:jc w:val="left"/>
              <w:rPr/>
            </w:pPr>
            <w:r>
              <w:rPr/>
              <w:t>SCHEDULE 6.1.(b)</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Ownership Structure</w:t>
            </w:r>
          </w:p>
        </w:tc>
      </w:tr>
      <w:tr>
        <w:trPr/>
        <w:tc>
          <w:tcPr>
            <w:tcW w:w="1781" w:type="dxa"/>
            <w:tcBorders/>
          </w:tcPr>
          <w:p>
            <w:pPr>
              <w:pStyle w:val="TableContents"/>
              <w:bidi w:val="0"/>
              <w:spacing w:before="0" w:after="283"/>
              <w:jc w:val="left"/>
              <w:rPr/>
            </w:pPr>
            <w:r>
              <w:rPr/>
              <w:t>SCHEDULE 6.1.(f)</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Properties</w:t>
            </w:r>
          </w:p>
        </w:tc>
      </w:tr>
      <w:tr>
        <w:trPr/>
        <w:tc>
          <w:tcPr>
            <w:tcW w:w="1781" w:type="dxa"/>
            <w:tcBorders/>
          </w:tcPr>
          <w:p>
            <w:pPr>
              <w:pStyle w:val="TableContents"/>
              <w:bidi w:val="0"/>
              <w:spacing w:before="0" w:after="283"/>
              <w:jc w:val="left"/>
              <w:rPr/>
            </w:pPr>
            <w:r>
              <w:rPr/>
              <w:t>SCHEDULE 6.1.(g)</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Indebtedness and Guaranties</w:t>
            </w:r>
          </w:p>
        </w:tc>
      </w:tr>
      <w:tr>
        <w:trPr/>
        <w:tc>
          <w:tcPr>
            <w:tcW w:w="1781" w:type="dxa"/>
            <w:tcBorders/>
          </w:tcPr>
          <w:p>
            <w:pPr>
              <w:pStyle w:val="TableContents"/>
              <w:bidi w:val="0"/>
              <w:spacing w:before="0" w:after="283"/>
              <w:jc w:val="left"/>
              <w:rPr/>
            </w:pPr>
            <w:r>
              <w:rPr/>
              <w:t>SCHEDULE 6.1.(i)</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Litigation</w:t>
            </w:r>
          </w:p>
        </w:tc>
      </w:tr>
      <w:tr>
        <w:trPr/>
        <w:tc>
          <w:tcPr>
            <w:tcW w:w="1781" w:type="dxa"/>
            <w:tcBorders/>
          </w:tcPr>
          <w:p>
            <w:pPr>
              <w:pStyle w:val="TableContents"/>
              <w:bidi w:val="0"/>
              <w:spacing w:before="0" w:after="283"/>
              <w:jc w:val="left"/>
              <w:rPr/>
            </w:pPr>
            <w:r>
              <w:rPr/>
              <w:t>SCHEDULE 6.1.(z)</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Unencumbered Assets</w:t>
            </w:r>
          </w:p>
        </w:tc>
      </w:tr>
      <w:tr>
        <w:trPr>
          <w:trHeight w:val="120" w:hRule="atLeast"/>
        </w:trPr>
        <w:tc>
          <w:tcPr>
            <w:tcW w:w="1781"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r>
      <w:tr>
        <w:trPr/>
        <w:tc>
          <w:tcPr>
            <w:tcW w:w="1781"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Assignment and Assumption Agreement</w:t>
            </w:r>
          </w:p>
        </w:tc>
      </w:tr>
      <w:tr>
        <w:trPr/>
        <w:tc>
          <w:tcPr>
            <w:tcW w:w="1781"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Guaranty</w:t>
            </w:r>
          </w:p>
        </w:tc>
      </w:tr>
      <w:tr>
        <w:trPr/>
        <w:tc>
          <w:tcPr>
            <w:tcW w:w="1781"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Notice of Borrowing</w:t>
            </w:r>
          </w:p>
        </w:tc>
      </w:tr>
      <w:tr>
        <w:trPr/>
        <w:tc>
          <w:tcPr>
            <w:tcW w:w="1781"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Notice of Continuation</w:t>
            </w:r>
          </w:p>
        </w:tc>
      </w:tr>
      <w:tr>
        <w:trPr/>
        <w:tc>
          <w:tcPr>
            <w:tcW w:w="1781"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Notice of Conversion</w:t>
            </w:r>
          </w:p>
        </w:tc>
      </w:tr>
      <w:tr>
        <w:trPr/>
        <w:tc>
          <w:tcPr>
            <w:tcW w:w="1781" w:type="dxa"/>
            <w:tcBorders/>
          </w:tcPr>
          <w:p>
            <w:pPr>
              <w:pStyle w:val="TableContents"/>
              <w:bidi w:val="0"/>
              <w:spacing w:before="0" w:after="283"/>
              <w:jc w:val="left"/>
              <w:rPr/>
            </w:pPr>
            <w:r>
              <w:rPr/>
              <w:t>EXHIBIT F</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Note</w:t>
            </w:r>
          </w:p>
        </w:tc>
      </w:tr>
      <w:tr>
        <w:trPr/>
        <w:tc>
          <w:tcPr>
            <w:tcW w:w="1781" w:type="dxa"/>
            <w:tcBorders/>
          </w:tcPr>
          <w:p>
            <w:pPr>
              <w:pStyle w:val="TableContents"/>
              <w:bidi w:val="0"/>
              <w:spacing w:before="0" w:after="283"/>
              <w:jc w:val="left"/>
              <w:rPr/>
            </w:pPr>
            <w:r>
              <w:rPr/>
              <w:t>EXHIBIT G</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Reserved</w:t>
            </w:r>
          </w:p>
        </w:tc>
      </w:tr>
      <w:tr>
        <w:trPr/>
        <w:tc>
          <w:tcPr>
            <w:tcW w:w="1781" w:type="dxa"/>
            <w:tcBorders/>
          </w:tcPr>
          <w:p>
            <w:pPr>
              <w:pStyle w:val="TableContents"/>
              <w:bidi w:val="0"/>
              <w:spacing w:before="0" w:after="283"/>
              <w:jc w:val="left"/>
              <w:rPr/>
            </w:pPr>
            <w:r>
              <w:rPr/>
              <w:t>EXHIBIT H</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Opinion of Counsel</w:t>
            </w:r>
          </w:p>
        </w:tc>
      </w:tr>
      <w:tr>
        <w:trPr/>
        <w:tc>
          <w:tcPr>
            <w:tcW w:w="1781" w:type="dxa"/>
            <w:tcBorders/>
          </w:tcPr>
          <w:p>
            <w:pPr>
              <w:pStyle w:val="TableContents"/>
              <w:bidi w:val="0"/>
              <w:spacing w:before="0" w:after="283"/>
              <w:jc w:val="left"/>
              <w:rPr/>
            </w:pPr>
            <w:r>
              <w:rPr/>
              <w:t>EXHIBIT I</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Compliance Certificate</w:t>
            </w:r>
          </w:p>
        </w:tc>
      </w:tr>
      <w:tr>
        <w:trPr/>
        <w:tc>
          <w:tcPr>
            <w:tcW w:w="1781" w:type="dxa"/>
            <w:tcBorders/>
          </w:tcPr>
          <w:p>
            <w:pPr>
              <w:pStyle w:val="TableContents"/>
              <w:bidi w:val="0"/>
              <w:spacing w:before="0" w:after="283"/>
              <w:jc w:val="left"/>
              <w:rPr/>
            </w:pPr>
            <w:r>
              <w:rPr/>
              <w:t>EXHIBIT J-1</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U.S. Tax Compliance Certificates</w:t>
            </w:r>
          </w:p>
        </w:tc>
      </w:tr>
      <w:tr>
        <w:trPr/>
        <w:tc>
          <w:tcPr>
            <w:tcW w:w="1781" w:type="dxa"/>
            <w:tcBorders/>
          </w:tcPr>
          <w:p>
            <w:pPr>
              <w:pStyle w:val="TableContents"/>
              <w:bidi w:val="0"/>
              <w:spacing w:before="0" w:after="283"/>
              <w:jc w:val="left"/>
              <w:rPr/>
            </w:pPr>
            <w:r>
              <w:rPr/>
              <w:t>EXHIBIT J-2</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U.S. Tax Compliance Certificates</w:t>
            </w:r>
          </w:p>
        </w:tc>
      </w:tr>
      <w:tr>
        <w:trPr/>
        <w:tc>
          <w:tcPr>
            <w:tcW w:w="1781" w:type="dxa"/>
            <w:tcBorders/>
          </w:tcPr>
          <w:p>
            <w:pPr>
              <w:pStyle w:val="TableContents"/>
              <w:bidi w:val="0"/>
              <w:spacing w:before="0" w:after="283"/>
              <w:jc w:val="left"/>
              <w:rPr/>
            </w:pPr>
            <w:r>
              <w:rPr/>
              <w:t>EXHIBIT J-3</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U.S. Tax Compliance Certificates</w:t>
            </w:r>
          </w:p>
        </w:tc>
      </w:tr>
      <w:tr>
        <w:trPr/>
        <w:tc>
          <w:tcPr>
            <w:tcW w:w="1781" w:type="dxa"/>
            <w:tcBorders/>
          </w:tcPr>
          <w:p>
            <w:pPr>
              <w:pStyle w:val="TableContents"/>
              <w:bidi w:val="0"/>
              <w:spacing w:before="0" w:after="283"/>
              <w:jc w:val="left"/>
              <w:rPr/>
            </w:pPr>
            <w:r>
              <w:rPr/>
              <w:t>EXHIBIT J-4</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U.S. Tax Compliance Certificates</w:t>
            </w:r>
          </w:p>
        </w:tc>
      </w:tr>
      <w:tr>
        <w:trPr/>
        <w:tc>
          <w:tcPr>
            <w:tcW w:w="1781" w:type="dxa"/>
            <w:tcBorders/>
          </w:tcPr>
          <w:p>
            <w:pPr>
              <w:pStyle w:val="TableContents"/>
              <w:bidi w:val="0"/>
              <w:spacing w:before="0" w:after="283"/>
              <w:jc w:val="left"/>
              <w:rPr/>
            </w:pPr>
            <w:r>
              <w:rPr/>
              <w:t>EXHIBIT K</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Reserved</w:t>
            </w:r>
          </w:p>
        </w:tc>
      </w:tr>
      <w:tr>
        <w:trPr/>
        <w:tc>
          <w:tcPr>
            <w:tcW w:w="1781" w:type="dxa"/>
            <w:tcBorders/>
          </w:tcPr>
          <w:p>
            <w:pPr>
              <w:pStyle w:val="TableContents"/>
              <w:bidi w:val="0"/>
              <w:spacing w:before="0" w:after="283"/>
              <w:jc w:val="left"/>
              <w:rPr/>
            </w:pPr>
            <w:r>
              <w:rPr/>
              <w:t>EXHIBIT L</w:t>
            </w:r>
          </w:p>
        </w:tc>
        <w:tc>
          <w:tcPr>
            <w:tcW w:w="120" w:type="dxa"/>
            <w:tcBorders/>
            <w:vAlign w:val="bottom"/>
          </w:tcPr>
          <w:p>
            <w:pPr>
              <w:pStyle w:val="TableContents"/>
              <w:bidi w:val="0"/>
              <w:spacing w:before="0" w:after="283"/>
              <w:jc w:val="left"/>
              <w:rPr/>
            </w:pPr>
            <w:r>
              <w:rPr/>
              <w:t>  </w:t>
            </w:r>
          </w:p>
        </w:tc>
        <w:tc>
          <w:tcPr>
            <w:tcW w:w="8304" w:type="dxa"/>
            <w:tcBorders/>
          </w:tcPr>
          <w:p>
            <w:pPr>
              <w:pStyle w:val="TableContents"/>
              <w:bidi w:val="0"/>
              <w:spacing w:before="0" w:after="283"/>
              <w:jc w:val="left"/>
              <w:rPr/>
            </w:pPr>
            <w:r>
              <w:rPr/>
              <w:t>Form of Parent/General Partner Guaranty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TERM LOAN AGREEMENT (this “</w:t>
      </w:r>
      <w:r>
        <w:rPr>
          <w:rFonts w:ascii="Times New Roman" w:hAnsi="Times New Roman"/>
          <w:b/>
          <w:sz w:val="20"/>
        </w:rPr>
        <w:t>Agreement</w:t>
      </w:r>
      <w:r>
        <w:rPr>
          <w:rFonts w:ascii="Times New Roman" w:hAnsi="Times New Roman"/>
          <w:sz w:val="20"/>
        </w:rPr>
        <w:t>”) dated as of November 17, 2025, by and among FEDERAL REALTY OP LP, a Delaware limited partnership (the “</w:t>
      </w:r>
      <w:r>
        <w:rPr>
          <w:rFonts w:ascii="Times New Roman" w:hAnsi="Times New Roman"/>
          <w:b/>
          <w:sz w:val="20"/>
        </w:rPr>
        <w:t>Borrower</w:t>
      </w:r>
      <w:r>
        <w:rPr>
          <w:rFonts w:ascii="Times New Roman" w:hAnsi="Times New Roman"/>
          <w:sz w:val="20"/>
        </w:rPr>
        <w:t>”), each of the financial institutions initially a signatory hereto together with their successors and permitted assignees under Section 12.6. (the “</w:t>
      </w:r>
      <w:r>
        <w:rPr>
          <w:rFonts w:ascii="Times New Roman" w:hAnsi="Times New Roman"/>
          <w:b/>
          <w:sz w:val="20"/>
        </w:rPr>
        <w:t>Lenders</w:t>
      </w:r>
      <w:r>
        <w:rPr>
          <w:rFonts w:ascii="Times New Roman" w:hAnsi="Times New Roman"/>
          <w:sz w:val="20"/>
        </w:rPr>
        <w:t>”), TRUIST BANK, as Administrative Agent (together with its successors and permitted assigns, the “</w:t>
      </w:r>
      <w:r>
        <w:rPr>
          <w:rFonts w:ascii="Times New Roman" w:hAnsi="Times New Roman"/>
          <w:b/>
          <w:sz w:val="20"/>
        </w:rPr>
        <w:t>Administrative Agent</w:t>
      </w:r>
      <w:r>
        <w:rPr>
          <w:rFonts w:ascii="Times New Roman" w:hAnsi="Times New Roman"/>
          <w:sz w:val="20"/>
        </w:rPr>
        <w:t>”), each of BANK OF AMERICA, N.A. and MIZUHO BANK LTD., as Co-Syndication Agents (the “</w:t>
      </w:r>
      <w:r>
        <w:rPr>
          <w:rFonts w:ascii="Times New Roman" w:hAnsi="Times New Roman"/>
          <w:b/>
          <w:sz w:val="20"/>
        </w:rPr>
        <w:t>Co-Syndication Agents</w:t>
      </w:r>
      <w:r>
        <w:rPr>
          <w:rFonts w:ascii="Times New Roman" w:hAnsi="Times New Roman"/>
          <w:sz w:val="20"/>
        </w:rPr>
        <w:t>”), each of TRUIST SECURITIES, INC., BOFA SECURITIES, INC., and MIZUHO BANK LTD., as Joint Lead Arrangers (in such capacities, the “</w:t>
      </w:r>
      <w:r>
        <w:rPr>
          <w:rFonts w:ascii="Times New Roman" w:hAnsi="Times New Roman"/>
          <w:b/>
          <w:sz w:val="20"/>
        </w:rPr>
        <w:t>Arrangers</w:t>
      </w:r>
      <w:r>
        <w:rPr>
          <w:rFonts w:ascii="Times New Roman" w:hAnsi="Times New Roman"/>
          <w:sz w:val="20"/>
        </w:rPr>
        <w:t>”) and TRUIST SECURITIES, INC., as Sole Book Manager (in such capacity, the “</w:t>
      </w:r>
      <w:r>
        <w:rPr>
          <w:rFonts w:ascii="Times New Roman" w:hAnsi="Times New Roman"/>
          <w:b/>
          <w:sz w:val="20"/>
        </w:rPr>
        <w:t>Book Runner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Lenders desire to make available to the Borrower a delayed draw term loan facility in the aggregate principal amount of up to $250,000,000, on the terms and conditions contained herein;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by the parties hereto,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DEFINITIONS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Definitions.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terms defined elsewhere herein, the following terms shall have the following meanings for the purposes of this Agreement: </w:t>
      </w:r>
    </w:p>
    <w:p>
      <w:pPr>
        <w:pStyle w:val="TextBody"/>
        <w:bidi w:val="0"/>
        <w:spacing w:before="120" w:after="0"/>
        <w:jc w:val="left"/>
        <w:rPr/>
      </w:pPr>
      <w:r>
        <w:rPr/>
        <w:t>“</w:t>
      </w:r>
      <w:r>
        <w:rPr>
          <w:rFonts w:ascii="Times New Roman" w:hAnsi="Times New Roman"/>
          <w:b/>
          <w:sz w:val="20"/>
        </w:rPr>
        <w:t>Accession Agreement</w:t>
      </w:r>
      <w:r>
        <w:rPr>
          <w:rFonts w:ascii="Times New Roman" w:hAnsi="Times New Roman"/>
          <w:sz w:val="20"/>
        </w:rPr>
        <w:t xml:space="preserve">” means an Accession Agreement substantially in the form of Annex I to the Guaranty. </w:t>
      </w:r>
    </w:p>
    <w:p>
      <w:pPr>
        <w:pStyle w:val="TextBody"/>
        <w:bidi w:val="0"/>
        <w:spacing w:before="240" w:after="0"/>
        <w:jc w:val="left"/>
        <w:rPr/>
      </w:pPr>
      <w:r>
        <w:rPr/>
        <w:t>“</w:t>
      </w:r>
      <w:r>
        <w:rPr>
          <w:rFonts w:ascii="Times New Roman" w:hAnsi="Times New Roman"/>
          <w:b/>
          <w:sz w:val="20"/>
        </w:rPr>
        <w:t>Additional Costs</w:t>
      </w:r>
      <w:r>
        <w:rPr>
          <w:rFonts w:ascii="Times New Roman" w:hAnsi="Times New Roman"/>
          <w:sz w:val="20"/>
        </w:rPr>
        <w:t xml:space="preserve">” has the meaning given that term in Section 4.1.(b). </w:t>
      </w:r>
    </w:p>
    <w:p>
      <w:pPr>
        <w:pStyle w:val="TextBody"/>
        <w:bidi w:val="0"/>
        <w:spacing w:before="240" w:after="0"/>
        <w:jc w:val="left"/>
        <w:rPr/>
      </w:pPr>
      <w:r>
        <w:rPr/>
        <w:t>“</w:t>
      </w:r>
      <w:r>
        <w:rPr>
          <w:rFonts w:ascii="Times New Roman" w:hAnsi="Times New Roman"/>
          <w:b/>
          <w:sz w:val="20"/>
        </w:rPr>
        <w:t>Additional Loan</w:t>
      </w:r>
      <w:r>
        <w:rPr>
          <w:rFonts w:ascii="Times New Roman" w:hAnsi="Times New Roman"/>
          <w:sz w:val="20"/>
        </w:rPr>
        <w:t xml:space="preserve">” has the meaning given that term in Section 2.14. </w:t>
      </w:r>
    </w:p>
    <w:p>
      <w:pPr>
        <w:pStyle w:val="TextBody"/>
        <w:bidi w:val="0"/>
        <w:spacing w:before="240" w:after="0"/>
        <w:jc w:val="left"/>
        <w:rPr/>
      </w:pPr>
      <w:r>
        <w:rPr/>
        <w:t>“</w:t>
      </w:r>
      <w:r>
        <w:rPr>
          <w:rFonts w:ascii="Times New Roman" w:hAnsi="Times New Roman"/>
          <w:b/>
          <w:sz w:val="20"/>
        </w:rPr>
        <w:t>Adjusted EBITDA</w:t>
      </w:r>
      <w:r>
        <w:rPr>
          <w:rFonts w:ascii="Times New Roman" w:hAnsi="Times New Roman"/>
          <w:sz w:val="20"/>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Times New Roman" w:hAnsi="Times New Roman"/>
          <w:sz w:val="20"/>
          <w:u w:val="single"/>
        </w:rPr>
        <w:t>minus</w:t>
      </w:r>
      <w:r>
        <w:rPr>
          <w:rFonts w:ascii="Times New Roman" w:hAnsi="Times New Roman"/>
          <w:sz w:val="20"/>
        </w:rPr>
        <w:t xml:space="preserve"> (b) Capital Reserves. </w:t>
      </w:r>
    </w:p>
    <w:p>
      <w:pPr>
        <w:pStyle w:val="TextBody"/>
        <w:bidi w:val="0"/>
        <w:spacing w:before="240" w:after="0"/>
        <w:jc w:val="left"/>
        <w:rPr/>
      </w:pPr>
      <w:r>
        <w:rPr/>
        <w:t>“</w:t>
      </w:r>
      <w:r>
        <w:rPr>
          <w:rFonts w:ascii="Times New Roman" w:hAnsi="Times New Roman"/>
          <w:b/>
          <w:sz w:val="20"/>
        </w:rPr>
        <w:t>Adjusted Total Asset Value</w:t>
      </w:r>
      <w:r>
        <w:rPr>
          <w:rFonts w:ascii="Times New Roman" w:hAnsi="Times New Roman"/>
          <w:sz w:val="20"/>
        </w:rPr>
        <w:t xml:space="preserve">” means Total Asset Value determined exclusive of assets that are owned by Excluded Subsidiaries and Unconsolidated Affiliates.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means Truist Bank as contractual representative of the Lenders under this Agreement, or any successor Administrative Agent appointed pursuant to Section 11.8.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the Administrative Questionnaire completed by each Lender and delivered to the Administrative Agent in a form supplied by the Administrative Agent to the Lenders from time to time.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Agreement Date</w:t>
      </w:r>
      <w:r>
        <w:rPr>
          <w:rFonts w:ascii="Times New Roman" w:hAnsi="Times New Roman"/>
          <w:sz w:val="20"/>
        </w:rPr>
        <w:t xml:space="preserve">” means the date as of which this Agreement is dated.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the Parent, the General Partner, the Borrower or their respective Subsidiaries from time to time concerning or relating to bribery or corruption, including, without limitation, the United States Foreign Corrupt Practices Act of 1977 and the rules and regulations thereunder and the U.K. Bribery Act 2010 and the rules and regulations thereunder. </w:t>
      </w:r>
    </w:p>
    <w:p>
      <w:pPr>
        <w:pStyle w:val="TextBody"/>
        <w:bidi w:val="0"/>
        <w:spacing w:before="240" w:after="0"/>
        <w:jc w:val="left"/>
        <w:rPr/>
      </w:pPr>
      <w:r>
        <w:rPr/>
        <w:t>“</w:t>
      </w:r>
      <w:r>
        <w:rPr>
          <w:rFonts w:ascii="Times New Roman" w:hAnsi="Times New Roman"/>
          <w:b/>
          <w:sz w:val="20"/>
        </w:rPr>
        <w:t>Anti-Money Laundering Laws</w:t>
      </w:r>
      <w:r>
        <w:rPr>
          <w:rFonts w:ascii="Times New Roman" w:hAnsi="Times New Roman"/>
          <w:sz w:val="20"/>
        </w:rPr>
        <w:t xml:space="preserve">”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w:t>
      </w:r>
    </w:p>
    <w:p>
      <w:pPr>
        <w:pStyle w:val="TextBody"/>
        <w:bidi w:val="0"/>
        <w:spacing w:before="240" w:after="0"/>
        <w:jc w:val="left"/>
        <w:rPr/>
      </w:pPr>
      <w:r>
        <w:rPr/>
        <w:t>“</w:t>
      </w:r>
      <w:r>
        <w:rPr>
          <w:rFonts w:ascii="Times New Roman" w:hAnsi="Times New Roman"/>
          <w:b/>
          <w:sz w:val="20"/>
        </w:rPr>
        <w:t>Applicable Margin</w:t>
      </w:r>
      <w:r>
        <w:rPr>
          <w:rFonts w:ascii="Times New Roman" w:hAnsi="Times New Roman"/>
          <w:sz w:val="20"/>
        </w:rPr>
        <w:t>” means the percentage rate set forth in the table below corresponding to the level (each a “</w:t>
      </w:r>
      <w:r>
        <w:rPr>
          <w:rFonts w:ascii="Times New Roman" w:hAnsi="Times New Roman"/>
          <w:b/>
          <w:sz w:val="20"/>
        </w:rPr>
        <w:t>Level</w:t>
      </w:r>
      <w:r>
        <w:rPr>
          <w:rFonts w:ascii="Times New Roman" w:hAnsi="Times New Roman"/>
          <w:sz w:val="20"/>
        </w:rPr>
        <w:t xml:space="preserve">”) into which the Borrower’s Credit Rating then falls. As of the Agreement Date, the Applicable Margin is determined based on Level 3.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w:t>
      </w:r>
      <w:r>
        <w:rPr>
          <w:rFonts w:ascii="Times New Roman" w:hAnsi="Times New Roman"/>
          <w:strike/>
          <w:color w:val="FF0000"/>
          <w:sz w:val="20"/>
        </w:rPr>
        <w:t xml:space="preserve">two </w:t>
      </w:r>
      <w:r>
        <w:rPr>
          <w:rFonts w:ascii="Times New Roman" w:hAnsi="Times New Roman"/>
          <w:sz w:val="20"/>
        </w:rPr>
        <w:t xml:space="preserve">Credit Ratings </w:t>
      </w:r>
      <w:r>
        <w:rPr>
          <w:rFonts w:ascii="Times New Roman" w:hAnsi="Times New Roman"/>
          <w:color w:val="0000FF"/>
          <w:sz w:val="20"/>
          <w:u w:val="single"/>
          <w:bdr w:val="double" w:sz="2" w:space="1" w:color="000000"/>
        </w:rPr>
        <w:t xml:space="preserve">from each of S&amp;P, Fitch and Moody’s </w:t>
      </w:r>
      <w:r>
        <w:rPr>
          <w:rFonts w:ascii="Times New Roman" w:hAnsi="Times New Roman"/>
          <w:sz w:val="20"/>
        </w:rPr>
        <w:t>that are not equivalent</w:t>
      </w:r>
      <w:r>
        <w:rPr>
          <w:rFonts w:ascii="Times New Roman" w:hAnsi="Times New Roman"/>
          <w:strike/>
          <w:color w:val="FF0000"/>
          <w:sz w:val="20"/>
        </w:rPr>
        <w:t xml:space="preserve">, </w:t>
      </w:r>
      <w:r>
        <w:rPr>
          <w:rFonts w:ascii="Times New Roman" w:hAnsi="Times New Roman"/>
          <w:strike/>
          <w:color w:val="008000"/>
          <w:sz w:val="20"/>
        </w:rPr>
        <w:t xml:space="preserve">the Applicable Margin shall be determined based on the Level </w:t>
      </w:r>
      <w:r>
        <w:rPr>
          <w:rFonts w:ascii="Times New Roman" w:hAnsi="Times New Roman"/>
          <w:strike/>
          <w:color w:val="FF0000"/>
          <w:sz w:val="20"/>
        </w:rPr>
        <w:t>corresponding to the higher of such two Credit Ratings unless</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the difference </w:t>
      </w:r>
      <w:r>
        <w:rPr>
          <w:rFonts w:ascii="Times New Roman" w:hAnsi="Times New Roman"/>
          <w:strike/>
          <w:color w:val="FF0000"/>
          <w:sz w:val="20"/>
        </w:rPr>
        <w:t>in</w:t>
      </w:r>
      <w:r>
        <w:rPr>
          <w:rFonts w:ascii="Times New Roman" w:hAnsi="Times New Roman"/>
          <w:color w:val="0000FF"/>
          <w:sz w:val="20"/>
          <w:u w:val="single"/>
          <w:bdr w:val="double" w:sz="2" w:space="1" w:color="000000"/>
        </w:rPr>
        <w:t>between</w:t>
      </w:r>
      <w:r>
        <w:rPr>
          <w:rFonts w:ascii="Times New Roman" w:hAnsi="Times New Roman"/>
          <w:sz w:val="20"/>
        </w:rPr>
        <w:t xml:space="preserve"> the </w:t>
      </w:r>
      <w:r>
        <w:rPr>
          <w:rFonts w:ascii="Times New Roman" w:hAnsi="Times New Roman"/>
          <w:color w:val="0000FF"/>
          <w:sz w:val="20"/>
          <w:u w:val="single"/>
          <w:bdr w:val="double" w:sz="2" w:space="1" w:color="000000"/>
        </w:rPr>
        <w:t xml:space="preserve">highest and lowest of such </w:t>
      </w:r>
      <w:r>
        <w:rPr>
          <w:rFonts w:ascii="Times New Roman" w:hAnsi="Times New Roman"/>
          <w:sz w:val="20"/>
        </w:rPr>
        <w:t xml:space="preserve">Credit Ratings is </w:t>
      </w:r>
      <w:r>
        <w:rPr>
          <w:rFonts w:ascii="Times New Roman" w:hAnsi="Times New Roman"/>
          <w:strike/>
          <w:color w:val="FF0000"/>
          <w:sz w:val="20"/>
        </w:rPr>
        <w:t>greater than one ratings level</w:t>
      </w:r>
      <w:r>
        <w:rPr>
          <w:rFonts w:ascii="Times New Roman" w:hAnsi="Times New Roman"/>
          <w:strike/>
          <w:color w:val="008000"/>
          <w:sz w:val="20"/>
        </w:rPr>
        <w:t xml:space="preserve">, in which case the Applicable Margin shall be determined </w:t>
      </w:r>
      <w:r>
        <w:rPr>
          <w:rFonts w:ascii="Times New Roman" w:hAnsi="Times New Roman"/>
          <w:strike/>
          <w:color w:val="FF0000"/>
          <w:sz w:val="20"/>
        </w:rPr>
        <w:t>by reference to the ratings level immediately below the higher of the two Credit Ratings. During any period for which the Borrower has received a Credit Rating from only one Rating Agency</w:t>
      </w:r>
      <w:r>
        <w:rPr>
          <w:rFonts w:ascii="Times New Roman" w:hAnsi="Times New Roman"/>
          <w:color w:val="0000FF"/>
          <w:sz w:val="20"/>
          <w:u w:val="single"/>
          <w:bdr w:val="double" w:sz="2" w:space="1" w:color="000000"/>
        </w:rPr>
        <w:t>(i) one Level</w:t>
      </w:r>
      <w:r>
        <w:rPr>
          <w:rFonts w:ascii="Times New Roman" w:hAnsi="Times New Roman"/>
          <w:sz w:val="20"/>
        </w:rPr>
        <w:t xml:space="preserve">, then the Applicable Margin shall be determined based on </w:t>
      </w:r>
      <w:r>
        <w:rPr>
          <w:rFonts w:ascii="Times New Roman" w:hAnsi="Times New Roman"/>
          <w:color w:val="0000FF"/>
          <w:sz w:val="20"/>
          <w:u w:val="single"/>
          <w:bdr w:val="double" w:sz="2" w:space="1" w:color="000000"/>
        </w:rPr>
        <w:t>the highest of such Credit Ratings or (ii) two or more Levels, then the Applicable Margin shall be determined based on the average of the two highest Credit Ratings (unless the average is not a recognized Level</w:t>
      </w:r>
      <w:r>
        <w:rPr>
          <w:rFonts w:ascii="Times New Roman" w:hAnsi="Times New Roman"/>
          <w:color w:val="008000"/>
          <w:sz w:val="20"/>
          <w:u w:val="single"/>
          <w:bdr w:val="double" w:sz="2" w:space="1" w:color="000000"/>
        </w:rPr>
        <w:t>, in which case the Applicable Margin shall be determined</w:t>
      </w:r>
      <w:r>
        <w:rPr>
          <w:rFonts w:ascii="Times New Roman" w:hAnsi="Times New Roman"/>
          <w:color w:val="0000FF"/>
          <w:sz w:val="20"/>
          <w:u w:val="single"/>
          <w:bdr w:val="double" w:sz="2" w:space="1" w:color="000000"/>
        </w:rPr>
        <w:t xml:space="preserve"> based on the second highest Credit Rating). During any period that the Borrower has received only two Credit Ratings from any of S&amp;P, Fitch and Moody’s that are not equivalent and the difference between such Credit Ratings is (x) one Level, then the Applicable Margin shall be determined based on the higher of such Credit Ratings or (y) two or more Levels, then </w:t>
      </w:r>
      <w:r>
        <w:rPr>
          <w:rFonts w:ascii="Times New Roman" w:hAnsi="Times New Roman"/>
          <w:color w:val="008000"/>
          <w:sz w:val="20"/>
          <w:u w:val="single"/>
          <w:bdr w:val="double" w:sz="2" w:space="1" w:color="000000"/>
        </w:rPr>
        <w:t xml:space="preserve">the Applicable Margin shall be determined based on the Level </w:t>
      </w:r>
      <w:r>
        <w:rPr>
          <w:rFonts w:ascii="Times New Roman" w:hAnsi="Times New Roman"/>
          <w:color w:val="0000FF"/>
          <w:sz w:val="20"/>
          <w:u w:val="single"/>
          <w:bdr w:val="double" w:sz="2" w:space="1" w:color="000000"/>
        </w:rPr>
        <w:t xml:space="preserve">that would be applicable if the rating was one higher than the lower of the two applicable Credit Ratings received. During any period that the Borrower has only received one Credit Rating, then the Applicable Margin shall be based upon </w:t>
      </w:r>
      <w:r>
        <w:rPr>
          <w:rFonts w:ascii="Times New Roman" w:hAnsi="Times New Roman"/>
          <w:sz w:val="20"/>
        </w:rPr>
        <w:t xml:space="preserve">such Credit Rating. During any period that the Borrower has not received a Credit Rating from any Rating Agency, the Applicable Margin shall be determined based on Level 6. The provisions of this definition shall be subject to Section 2.5.(c).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9350" w:type="dxa"/>
        <w:jc w:val="center"/>
        <w:tblInd w:w="0" w:type="dxa"/>
        <w:tblLayout w:type="fixed"/>
        <w:tblCellMar>
          <w:top w:w="0" w:type="dxa"/>
          <w:left w:w="0" w:type="dxa"/>
          <w:bottom w:w="0" w:type="dxa"/>
          <w:right w:w="0" w:type="dxa"/>
        </w:tblCellMar>
      </w:tblPr>
      <w:tblGrid>
        <w:gridCol w:w="410"/>
        <w:gridCol w:w="120"/>
        <w:gridCol w:w="3740"/>
        <w:gridCol w:w="120"/>
        <w:gridCol w:w="2300"/>
        <w:gridCol w:w="60"/>
        <w:gridCol w:w="2600"/>
      </w:tblGrid>
      <w:tr>
        <w:trPr/>
        <w:tc>
          <w:tcPr>
            <w:tcW w:w="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Level</w:t>
            </w:r>
          </w:p>
        </w:tc>
        <w:tc>
          <w:tcPr>
            <w:tcW w:w="120" w:type="dxa"/>
            <w:tcBorders/>
            <w:vAlign w:val="bottom"/>
          </w:tcPr>
          <w:p>
            <w:pPr>
              <w:pStyle w:val="TableContents"/>
              <w:bidi w:val="0"/>
              <w:spacing w:before="0" w:after="283"/>
              <w:jc w:val="left"/>
              <w:rPr/>
            </w:pPr>
            <w:r>
              <w:rPr/>
              <w:t>  </w:t>
            </w:r>
          </w:p>
        </w:tc>
        <w:tc>
          <w:tcPr>
            <w:tcW w:w="37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Borrower’s Credit Rating</w:t>
              <w:br/>
              <w:t>(S&amp;P/Moody’s or equivalent)</w:t>
            </w:r>
          </w:p>
        </w:tc>
        <w:tc>
          <w:tcPr>
            <w:tcW w:w="120" w:type="dxa"/>
            <w:tcBorders/>
            <w:vAlign w:val="bottom"/>
          </w:tcPr>
          <w:p>
            <w:pPr>
              <w:pStyle w:val="TableContents"/>
              <w:bidi w:val="0"/>
              <w:spacing w:before="0" w:after="283"/>
              <w:jc w:val="left"/>
              <w:rPr/>
            </w:pPr>
            <w:r>
              <w:rPr/>
              <w:t>  </w:t>
            </w:r>
          </w:p>
        </w:tc>
        <w:tc>
          <w:tcPr>
            <w:tcW w:w="2300" w:type="dxa"/>
            <w:tcBorders>
              <w:bottom w:val="single" w:sz="8" w:space="0" w:color="000000"/>
            </w:tcBorders>
            <w:tcMar>
              <w:bottom w:w="28" w:type="dxa"/>
            </w:tcMar>
            <w:vAlign w:val="bottom"/>
          </w:tcPr>
          <w:p>
            <w:pPr>
              <w:pStyle w:val="TableContents"/>
              <w:bidi w:val="0"/>
              <w:spacing w:before="0" w:after="283"/>
              <w:jc w:val="center"/>
              <w:rPr>
                <w:b/>
              </w:rPr>
            </w:pPr>
            <w:r>
              <w:rPr>
                <w:b/>
              </w:rPr>
              <w:t>Applicable Margin for</w:t>
              <w:br/>
              <w:t>all SOFR Loans</w:t>
            </w:r>
          </w:p>
        </w:tc>
        <w:tc>
          <w:tcPr>
            <w:tcW w:w="60" w:type="dxa"/>
            <w:tcBorders/>
            <w:vAlign w:val="bottom"/>
          </w:tcPr>
          <w:p>
            <w:pPr>
              <w:pStyle w:val="TableContents"/>
              <w:bidi w:val="0"/>
              <w:spacing w:before="0" w:after="283"/>
              <w:jc w:val="left"/>
              <w:rPr/>
            </w:pPr>
            <w:r>
              <w:rPr/>
              <w:t> </w:t>
            </w:r>
          </w:p>
        </w:tc>
        <w:tc>
          <w:tcPr>
            <w:tcW w:w="2600" w:type="dxa"/>
            <w:tcBorders>
              <w:bottom w:val="single" w:sz="8" w:space="0" w:color="000000"/>
            </w:tcBorders>
            <w:tcMar>
              <w:bottom w:w="28" w:type="dxa"/>
            </w:tcMar>
            <w:vAlign w:val="bottom"/>
          </w:tcPr>
          <w:p>
            <w:pPr>
              <w:pStyle w:val="TableContents"/>
              <w:bidi w:val="0"/>
              <w:spacing w:before="0" w:after="283"/>
              <w:jc w:val="center"/>
              <w:rPr>
                <w:b/>
              </w:rPr>
            </w:pPr>
            <w:r>
              <w:rPr>
                <w:b/>
              </w:rPr>
              <w:t>Applicable Margin for all</w:t>
              <w:br/>
              <w:t>Base Rate Loans</w:t>
            </w:r>
          </w:p>
        </w:tc>
      </w:tr>
      <w:tr>
        <w:trPr/>
        <w:tc>
          <w:tcPr>
            <w:tcW w:w="410" w:type="dxa"/>
            <w:tcBorders/>
            <w:shd w:fill="CCEEFF" w:val="clear"/>
          </w:tcPr>
          <w:p>
            <w:pPr>
              <w:pStyle w:val="TableContents"/>
              <w:bidi w:val="0"/>
              <w:spacing w:before="0" w:after="283"/>
              <w:jc w:val="left"/>
              <w:rPr/>
            </w:pPr>
            <w:r>
              <w:rPr/>
              <w:t>1</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A/A2(or equivalent) or better</w:t>
            </w:r>
          </w:p>
        </w:tc>
        <w:tc>
          <w:tcPr>
            <w:tcW w:w="120"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center"/>
              <w:rPr/>
            </w:pPr>
            <w:r>
              <w:rPr/>
              <w:t>0.750%</w:t>
            </w:r>
          </w:p>
        </w:tc>
        <w:tc>
          <w:tcPr>
            <w:tcW w:w="60"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center"/>
              <w:rPr/>
            </w:pPr>
            <w:r>
              <w:rPr/>
              <w:t>0.000%</w:t>
            </w:r>
          </w:p>
        </w:tc>
      </w:tr>
      <w:tr>
        <w:trPr/>
        <w:tc>
          <w:tcPr>
            <w:tcW w:w="410" w:type="dxa"/>
            <w:tcBorders/>
          </w:tcPr>
          <w:p>
            <w:pPr>
              <w:pStyle w:val="TableContents"/>
              <w:bidi w:val="0"/>
              <w:spacing w:before="0" w:after="283"/>
              <w:jc w:val="left"/>
              <w:rPr/>
            </w:pPr>
            <w:r>
              <w:rPr/>
              <w:t>2</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A-/A3 (or equivalent)</w:t>
            </w:r>
          </w:p>
        </w:tc>
        <w:tc>
          <w:tcPr>
            <w:tcW w:w="12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center"/>
              <w:rPr/>
            </w:pPr>
            <w:r>
              <w:rPr/>
              <w:t>0.800%</w:t>
            </w:r>
          </w:p>
        </w:tc>
        <w:tc>
          <w:tcPr>
            <w:tcW w:w="60"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center"/>
              <w:rPr/>
            </w:pPr>
            <w:r>
              <w:rPr/>
              <w:t>0.000%</w:t>
            </w:r>
          </w:p>
        </w:tc>
      </w:tr>
      <w:tr>
        <w:trPr/>
        <w:tc>
          <w:tcPr>
            <w:tcW w:w="410" w:type="dxa"/>
            <w:tcBorders/>
            <w:shd w:fill="CCEEFF" w:val="clear"/>
          </w:tcPr>
          <w:p>
            <w:pPr>
              <w:pStyle w:val="TableContents"/>
              <w:bidi w:val="0"/>
              <w:spacing w:before="0" w:after="283"/>
              <w:jc w:val="left"/>
              <w:rPr/>
            </w:pPr>
            <w:r>
              <w:rPr/>
              <w:t>3</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BBB+/Baa1 (or equivalent)</w:t>
            </w:r>
          </w:p>
        </w:tc>
        <w:tc>
          <w:tcPr>
            <w:tcW w:w="120"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center"/>
              <w:rPr/>
            </w:pPr>
            <w:r>
              <w:rPr/>
              <w:t>0.850%</w:t>
            </w:r>
          </w:p>
        </w:tc>
        <w:tc>
          <w:tcPr>
            <w:tcW w:w="60"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center"/>
              <w:rPr/>
            </w:pPr>
            <w:r>
              <w:rPr/>
              <w:t>0.000%</w:t>
            </w:r>
          </w:p>
        </w:tc>
      </w:tr>
      <w:tr>
        <w:trPr/>
        <w:tc>
          <w:tcPr>
            <w:tcW w:w="410" w:type="dxa"/>
            <w:tcBorders/>
          </w:tcPr>
          <w:p>
            <w:pPr>
              <w:pStyle w:val="TableContents"/>
              <w:bidi w:val="0"/>
              <w:spacing w:before="0" w:after="283"/>
              <w:jc w:val="left"/>
              <w:rPr/>
            </w:pPr>
            <w:r>
              <w:rPr/>
              <w:t>4</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BBB/Baa2 (or equivalent)</w:t>
            </w:r>
          </w:p>
        </w:tc>
        <w:tc>
          <w:tcPr>
            <w:tcW w:w="12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center"/>
              <w:rPr/>
            </w:pPr>
            <w:r>
              <w:rPr/>
              <w:t>0.950%</w:t>
            </w:r>
          </w:p>
        </w:tc>
        <w:tc>
          <w:tcPr>
            <w:tcW w:w="60"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center"/>
              <w:rPr/>
            </w:pPr>
            <w:r>
              <w:rPr/>
              <w:t>0.000%</w:t>
            </w:r>
          </w:p>
        </w:tc>
      </w:tr>
      <w:tr>
        <w:trPr/>
        <w:tc>
          <w:tcPr>
            <w:tcW w:w="410" w:type="dxa"/>
            <w:tcBorders/>
            <w:shd w:fill="CCEEFF" w:val="clear"/>
          </w:tcPr>
          <w:p>
            <w:pPr>
              <w:pStyle w:val="TableContents"/>
              <w:bidi w:val="0"/>
              <w:spacing w:before="0" w:after="283"/>
              <w:jc w:val="left"/>
              <w:rPr/>
            </w:pPr>
            <w:r>
              <w:rPr/>
              <w:t>5</w:t>
            </w:r>
          </w:p>
        </w:tc>
        <w:tc>
          <w:tcPr>
            <w:tcW w:w="120" w:type="dxa"/>
            <w:tcBorders/>
            <w:shd w:fill="CCEEFF" w:val="clear"/>
            <w:vAlign w:val="bottom"/>
          </w:tcPr>
          <w:p>
            <w:pPr>
              <w:pStyle w:val="TableContents"/>
              <w:bidi w:val="0"/>
              <w:spacing w:before="0" w:after="283"/>
              <w:jc w:val="left"/>
              <w:rPr/>
            </w:pPr>
            <w:r>
              <w:rPr/>
              <w:t>  </w:t>
            </w:r>
          </w:p>
        </w:tc>
        <w:tc>
          <w:tcPr>
            <w:tcW w:w="3740" w:type="dxa"/>
            <w:tcBorders/>
            <w:shd w:fill="CCEEFF" w:val="clear"/>
            <w:vAlign w:val="bottom"/>
          </w:tcPr>
          <w:p>
            <w:pPr>
              <w:pStyle w:val="TableContents"/>
              <w:bidi w:val="0"/>
              <w:spacing w:before="0" w:after="283"/>
              <w:jc w:val="left"/>
              <w:rPr/>
            </w:pPr>
            <w:r>
              <w:rPr/>
              <w:t>BBB-/Baa3 (or equivalent)</w:t>
            </w:r>
          </w:p>
        </w:tc>
        <w:tc>
          <w:tcPr>
            <w:tcW w:w="120" w:type="dxa"/>
            <w:tcBorders/>
            <w:shd w:fill="CCEEFF" w:val="clear"/>
            <w:vAlign w:val="bottom"/>
          </w:tcPr>
          <w:p>
            <w:pPr>
              <w:pStyle w:val="TableContents"/>
              <w:bidi w:val="0"/>
              <w:spacing w:before="0" w:after="283"/>
              <w:jc w:val="left"/>
              <w:rPr/>
            </w:pPr>
            <w:r>
              <w:rPr/>
              <w:t>  </w:t>
            </w:r>
          </w:p>
        </w:tc>
        <w:tc>
          <w:tcPr>
            <w:tcW w:w="2300" w:type="dxa"/>
            <w:tcBorders/>
            <w:shd w:fill="CCEEFF" w:val="clear"/>
            <w:vAlign w:val="bottom"/>
          </w:tcPr>
          <w:p>
            <w:pPr>
              <w:pStyle w:val="TableContents"/>
              <w:bidi w:val="0"/>
              <w:spacing w:before="0" w:after="283"/>
              <w:jc w:val="center"/>
              <w:rPr/>
            </w:pPr>
            <w:r>
              <w:rPr/>
              <w:t>1.200%</w:t>
            </w:r>
          </w:p>
        </w:tc>
        <w:tc>
          <w:tcPr>
            <w:tcW w:w="60"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center"/>
              <w:rPr/>
            </w:pPr>
            <w:r>
              <w:rPr/>
              <w:t>0.200%</w:t>
            </w:r>
          </w:p>
        </w:tc>
      </w:tr>
      <w:tr>
        <w:trPr/>
        <w:tc>
          <w:tcPr>
            <w:tcW w:w="410" w:type="dxa"/>
            <w:tcBorders/>
          </w:tcPr>
          <w:p>
            <w:pPr>
              <w:pStyle w:val="TableContents"/>
              <w:bidi w:val="0"/>
              <w:spacing w:before="0" w:after="283"/>
              <w:jc w:val="left"/>
              <w:rPr/>
            </w:pPr>
            <w:r>
              <w:rPr/>
              <w:t>6</w:t>
            </w:r>
          </w:p>
        </w:tc>
        <w:tc>
          <w:tcPr>
            <w:tcW w:w="120" w:type="dxa"/>
            <w:tcBorders/>
            <w:vAlign w:val="bottom"/>
          </w:tcPr>
          <w:p>
            <w:pPr>
              <w:pStyle w:val="TableContents"/>
              <w:bidi w:val="0"/>
              <w:spacing w:before="0" w:after="283"/>
              <w:jc w:val="left"/>
              <w:rPr/>
            </w:pPr>
            <w:r>
              <w:rPr/>
              <w:t>  </w:t>
            </w:r>
          </w:p>
        </w:tc>
        <w:tc>
          <w:tcPr>
            <w:tcW w:w="3740" w:type="dxa"/>
            <w:tcBorders/>
            <w:vAlign w:val="bottom"/>
          </w:tcPr>
          <w:p>
            <w:pPr>
              <w:pStyle w:val="TableContents"/>
              <w:bidi w:val="0"/>
              <w:spacing w:before="0" w:after="283"/>
              <w:jc w:val="left"/>
              <w:rPr/>
            </w:pPr>
            <w:r>
              <w:rPr/>
              <w:t>Lower than BBB-/Baa3 (or equivalent)</w:t>
            </w:r>
          </w:p>
        </w:tc>
        <w:tc>
          <w:tcPr>
            <w:tcW w:w="120" w:type="dxa"/>
            <w:tcBorders/>
            <w:vAlign w:val="bottom"/>
          </w:tcPr>
          <w:p>
            <w:pPr>
              <w:pStyle w:val="TableContents"/>
              <w:bidi w:val="0"/>
              <w:spacing w:before="0" w:after="283"/>
              <w:jc w:val="left"/>
              <w:rPr/>
            </w:pPr>
            <w:r>
              <w:rPr/>
              <w:t>  </w:t>
            </w:r>
          </w:p>
        </w:tc>
        <w:tc>
          <w:tcPr>
            <w:tcW w:w="2300" w:type="dxa"/>
            <w:tcBorders/>
            <w:vAlign w:val="bottom"/>
          </w:tcPr>
          <w:p>
            <w:pPr>
              <w:pStyle w:val="TableContents"/>
              <w:bidi w:val="0"/>
              <w:spacing w:before="0" w:after="283"/>
              <w:jc w:val="center"/>
              <w:rPr/>
            </w:pPr>
            <w:r>
              <w:rPr/>
              <w:t>1.600%</w:t>
            </w:r>
          </w:p>
        </w:tc>
        <w:tc>
          <w:tcPr>
            <w:tcW w:w="60"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center"/>
              <w:rPr/>
            </w:pPr>
            <w:r>
              <w:rPr/>
              <w:t>0.600%</w:t>
            </w:r>
          </w:p>
        </w:tc>
      </w:tr>
    </w:tbl>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means any Fund that is administered or managed by (a) a Lender, (b) an Affiliate of a Lender, or (c) an entity or an Affiliate of any entity that administers or manages a Lender. </w:t>
      </w:r>
    </w:p>
    <w:p>
      <w:pPr>
        <w:pStyle w:val="TextBody"/>
        <w:bidi w:val="0"/>
        <w:spacing w:before="240" w:after="0"/>
        <w:jc w:val="left"/>
        <w:rPr/>
      </w:pPr>
      <w:r>
        <w:rPr/>
        <w:t>“</w:t>
      </w:r>
      <w:r>
        <w:rPr>
          <w:rFonts w:ascii="Times New Roman" w:hAnsi="Times New Roman"/>
          <w:b/>
          <w:sz w:val="20"/>
        </w:rPr>
        <w:t>Arranger</w:t>
      </w:r>
      <w:r>
        <w:rPr>
          <w:rFonts w:ascii="Times New Roman" w:hAnsi="Times New Roman"/>
          <w:sz w:val="20"/>
        </w:rPr>
        <w:t xml:space="preserve">” has the meaning set forth in the introductory paragraph hereof and shall include each Arranger’s successors and permitted assigns. </w:t>
      </w:r>
    </w:p>
    <w:p>
      <w:pPr>
        <w:pStyle w:val="TextBody"/>
        <w:bidi w:val="0"/>
        <w:spacing w:before="240" w:after="0"/>
        <w:jc w:val="left"/>
        <w:rPr/>
      </w:pPr>
      <w:r>
        <w:rPr/>
        <w:t>“</w:t>
      </w:r>
      <w:r>
        <w:rPr>
          <w:rFonts w:ascii="Times New Roman" w:hAnsi="Times New Roman"/>
          <w:b/>
          <w:sz w:val="20"/>
        </w:rPr>
        <w:t>Assignment and Assumption</w:t>
      </w:r>
      <w:r>
        <w:rPr>
          <w:rFonts w:ascii="Times New Roman" w:hAnsi="Times New Roman"/>
          <w:sz w:val="20"/>
        </w:rPr>
        <w:t xml:space="preserve">” means an Assignment and Assumption Agreement among a Lender, an Eligible Assignee and the Administrative Agent, substantially in the form of Exhibit A. </w:t>
      </w:r>
    </w:p>
    <w:p>
      <w:pPr>
        <w:pStyle w:val="TextBody"/>
        <w:bidi w:val="0"/>
        <w:spacing w:before="240" w:after="0"/>
        <w:jc w:val="left"/>
        <w:rPr/>
      </w:pPr>
      <w:r>
        <w:rPr/>
        <w:t>“</w:t>
      </w:r>
      <w:r>
        <w:rPr>
          <w:rFonts w:ascii="Times New Roman" w:hAnsi="Times New Roman"/>
          <w:b/>
          <w:sz w:val="20"/>
        </w:rPr>
        <w:t>Availability Period</w:t>
      </w:r>
      <w:r>
        <w:rPr>
          <w:rFonts w:ascii="Times New Roman" w:hAnsi="Times New Roman"/>
          <w:sz w:val="20"/>
        </w:rPr>
        <w:t xml:space="preserve">” means the period from and including the Effective Date to but excluding the Availability Termination Date. </w:t>
      </w:r>
    </w:p>
    <w:p>
      <w:pPr>
        <w:pStyle w:val="TextBody"/>
        <w:bidi w:val="0"/>
        <w:spacing w:before="240" w:after="0"/>
        <w:jc w:val="left"/>
        <w:rPr/>
      </w:pPr>
      <w:r>
        <w:rPr/>
        <w:t>“</w:t>
      </w:r>
      <w:r>
        <w:rPr>
          <w:rFonts w:ascii="Times New Roman" w:hAnsi="Times New Roman"/>
          <w:b/>
          <w:sz w:val="20"/>
        </w:rPr>
        <w:t>Availability Termination Date</w:t>
      </w:r>
      <w:r>
        <w:rPr>
          <w:rFonts w:ascii="Times New Roman" w:hAnsi="Times New Roman"/>
          <w:sz w:val="20"/>
        </w:rPr>
        <w:t xml:space="preserve">” means the first to occur of (a) August 17, 2026 and (b) the date on which the Commitments are terminated or reduced to zero in accordance herewith.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means, as of any date of determination and with respect to any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4.2.(b)(iv). </w:t>
      </w:r>
    </w:p>
    <w:p>
      <w:pPr>
        <w:pStyle w:val="TextBody"/>
        <w:bidi w:val="0"/>
        <w:spacing w:before="240" w:after="0"/>
        <w:jc w:val="left"/>
        <w:rPr/>
      </w:pPr>
      <w:r>
        <w:rPr/>
        <w:t>“</w:t>
      </w:r>
      <w:r>
        <w:rPr>
          <w:rFonts w:ascii="Times New Roman" w:hAnsi="Times New Roman"/>
          <w:b/>
          <w:sz w:val="20"/>
        </w:rPr>
        <w:t>Azalea JV</w:t>
      </w:r>
      <w:r>
        <w:rPr>
          <w:rFonts w:ascii="Times New Roman" w:hAnsi="Times New Roman"/>
          <w:sz w:val="20"/>
        </w:rPr>
        <w:t xml:space="preserve">” means Azalea Joint Venture, LLC. </w:t>
      </w:r>
    </w:p>
    <w:p>
      <w:pPr>
        <w:pStyle w:val="TextBody"/>
        <w:bidi w:val="0"/>
        <w:spacing w:before="240" w:after="0"/>
        <w:jc w:val="left"/>
        <w:rPr/>
      </w:pPr>
      <w:r>
        <w:rPr/>
        <w:t>“</w:t>
      </w:r>
      <w:r>
        <w:rPr>
          <w:rFonts w:ascii="Times New Roman" w:hAnsi="Times New Roman"/>
          <w:b/>
          <w:sz w:val="20"/>
        </w:rPr>
        <w:t>Azalea Term Loan Agreement</w:t>
      </w:r>
      <w:r>
        <w:rPr>
          <w:rFonts w:ascii="Times New Roman" w:hAnsi="Times New Roman"/>
          <w:sz w:val="20"/>
        </w:rPr>
        <w:t xml:space="preserve">” means that certain Term Loan Agreement, dated as of October 30, 2025, by and among the Borrower, Azalea, the financial institutions party thereto as “Lenders,” Truist Bank, as administrative agent thereunder, and the other parties thereto.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Bankruptcy Code</w:t>
      </w:r>
      <w:r>
        <w:rPr>
          <w:rFonts w:ascii="Times New Roman" w:hAnsi="Times New Roman"/>
          <w:sz w:val="20"/>
        </w:rPr>
        <w:t xml:space="preserve">” means the Bankruptcy Code of 1978, as amended. </w:t>
      </w:r>
    </w:p>
    <w:p>
      <w:pPr>
        <w:pStyle w:val="TextBody"/>
        <w:bidi w:val="0"/>
        <w:spacing w:before="240" w:after="0"/>
        <w:jc w:val="left"/>
        <w:rPr/>
      </w:pPr>
      <w:r>
        <w:rPr/>
        <w:t>“</w:t>
      </w:r>
      <w:r>
        <w:rPr>
          <w:rFonts w:ascii="Times New Roman" w:hAnsi="Times New Roman"/>
          <w:b/>
          <w:sz w:val="20"/>
        </w:rPr>
        <w:t>Base Rate</w:t>
      </w:r>
      <w:r>
        <w:rPr>
          <w:rFonts w:ascii="Times New Roman" w:hAnsi="Times New Roman"/>
          <w:sz w:val="20"/>
        </w:rPr>
        <w:t xml:space="preserve">” means, at any time, the highest of (a) the Prime Rate, (b) the Federal Funds Rate plus 0.50% and (c) Term SOFR for a one-month tenor in effect on such day plus 1.00%; each change in the Base Rate shall take effect simultaneously with the corresponding change or changes in the Prime Rate, the Federal Funds Rate or Term SOFR, as applicable (provided that clause (c) shall not be applicable during any period in which Term SOFR is unavailable or unascertainable). Notwithstanding the foregoing, in no event shall the Base Rate be less than 1.00%.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any portion of a Loan bearing interest at a rate based on the Base Rate. </w:t>
      </w:r>
    </w:p>
    <w:p>
      <w:pPr>
        <w:pStyle w:val="TextBody"/>
        <w:bidi w:val="0"/>
        <w:spacing w:before="240" w:after="0"/>
        <w:jc w:val="left"/>
        <w:rPr/>
      </w:pPr>
      <w:r>
        <w:rPr/>
        <w:t>“</w:t>
      </w:r>
      <w:r>
        <w:rPr>
          <w:rFonts w:ascii="Times New Roman" w:hAnsi="Times New Roman"/>
          <w:b/>
          <w:sz w:val="20"/>
        </w:rPr>
        <w:t>Base Rate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pPr>
      <w:r>
        <w:rPr/>
        <w:t>“</w:t>
      </w:r>
      <w:r>
        <w:rPr>
          <w:rFonts w:ascii="Times New Roman" w:hAnsi="Times New Roman"/>
          <w:b/>
          <w:sz w:val="20"/>
        </w:rPr>
        <w:t>Benchmark</w:t>
      </w:r>
      <w:r>
        <w:rPr>
          <w:rFonts w:ascii="Times New Roman" w:hAnsi="Times New Roman"/>
          <w:sz w:val="20"/>
        </w:rPr>
        <w:t xml:space="preserve">” means, initially, Daily Simple SOFR or Term SOFR, as applicable; </w:t>
      </w:r>
      <w:r>
        <w:rPr>
          <w:rFonts w:ascii="Times New Roman" w:hAnsi="Times New Roman"/>
          <w:sz w:val="20"/>
          <w:u w:val="single"/>
        </w:rPr>
        <w:t>provided</w:t>
      </w:r>
      <w:r>
        <w:rPr>
          <w:rFonts w:ascii="Times New Roman" w:hAnsi="Times New Roman"/>
          <w:sz w:val="20"/>
        </w:rPr>
        <w:t xml:space="preserve"> that if a Benchmark Transition Event has occurred with respect to Daily Simple SOFR or Term SOFR, as applicable, or the applicable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4.2.(b)(i)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Benchmark Replacement</w:t>
      </w:r>
      <w:r>
        <w:rPr>
          <w:rFonts w:ascii="Times New Roman" w:hAnsi="Times New Roman"/>
          <w:sz w:val="20"/>
        </w:rPr>
        <w:t xml:space="preserve">” 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of interest as a replacement to such then-current Benchmark for Dollar-denominated syndicated credit facilities and (b) the Benchmark Replacement Adjustment; provided that, if such Benchmark Replacement as so determined would be less than the Floor, such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Replacement Date</w:t>
      </w:r>
      <w:r>
        <w:rPr>
          <w:rFonts w:ascii="Times New Roman" w:hAnsi="Times New Roman"/>
          <w:sz w:val="20"/>
        </w:rPr>
        <w:t xml:space="preserve">” means the earlier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(if applicable) of such Benchmark (or such component thereof) continues to be provided on such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Event</w:t>
      </w:r>
      <w:r>
        <w:rPr>
          <w:rFonts w:ascii="Times New Roman" w:hAnsi="Times New Roman"/>
          <w:sz w:val="20"/>
        </w:rPr>
        <w:t xml:space="preserve">” means the occurrence of one or more of the following events with respect to any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(if applicable) of such Benchmark (or such component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Start Date</w:t>
      </w:r>
      <w:r>
        <w:rPr>
          <w:rFonts w:ascii="Times New Roman" w:hAnsi="Times New Roman"/>
          <w:sz w:val="20"/>
        </w:rPr>
        <w:t xml:space="preserv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w:t>
      </w:r>
    </w:p>
    <w:p>
      <w:pPr>
        <w:pStyle w:val="TextBody"/>
        <w:bidi w:val="0"/>
        <w:spacing w:before="240" w:after="0"/>
        <w:jc w:val="left"/>
        <w:rPr/>
      </w:pPr>
      <w:r>
        <w:rPr/>
        <w:t>“</w:t>
      </w:r>
      <w:r>
        <w:rPr>
          <w:rFonts w:ascii="Times New Roman" w:hAnsi="Times New Roman"/>
          <w:b/>
          <w:sz w:val="20"/>
        </w:rPr>
        <w:t>Benchmark Unavailability Period</w:t>
      </w:r>
      <w:r>
        <w:rPr>
          <w:rFonts w:ascii="Times New Roman" w:hAnsi="Times New Roman"/>
          <w:sz w:val="20"/>
        </w:rPr>
        <w:t xml:space="preserve">” means, with respect to any then-current Benchmark,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and (y) ending at the time that a Benchmark Replacement has replaced such Benchmark for all purposes hereunder and under any Loan Document in accordance with </w:t>
      </w:r>
      <w:r>
        <w:rPr>
          <w:rFonts w:ascii="Times New Roman" w:hAnsi="Times New Roman"/>
          <w:sz w:val="20"/>
          <w:u w:val="single"/>
        </w:rPr>
        <w:t>Section 4.2.(b)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Beneficial Ownership Certification</w:t>
      </w:r>
      <w:r>
        <w:rPr>
          <w:rFonts w:ascii="Times New Roman" w:hAnsi="Times New Roman"/>
          <w:sz w:val="20"/>
        </w:rPr>
        <w:t xml:space="preserve">” means a certificate in substantially the form of Exhibit K (as amended or modified by the Administrative Agent from time to time in its sole discretion), certifying, among other things, the beneficial ownership as required by the Beneficial Ownership Regulation. </w:t>
      </w:r>
    </w:p>
    <w:p>
      <w:pPr>
        <w:pStyle w:val="TextBody"/>
        <w:bidi w:val="0"/>
        <w:spacing w:before="240" w:after="0"/>
        <w:jc w:val="left"/>
        <w:rPr/>
      </w:pPr>
      <w:r>
        <w:rPr/>
        <w:t>“</w:t>
      </w:r>
      <w:r>
        <w:rPr>
          <w:rFonts w:ascii="Times New Roman" w:hAnsi="Times New Roman"/>
          <w:b/>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sz w:val="20"/>
        </w:rPr>
        <w:t>Benefit Arrangement</w:t>
      </w:r>
      <w:r>
        <w:rPr>
          <w:rFonts w:ascii="Times New Roman" w:hAnsi="Times New Roman"/>
          <w:sz w:val="20"/>
        </w:rPr>
        <w:t xml:space="preserve">” means at any time an employee benefit plan within the meaning of Section 3(3) of ERISA which is not a Plan or a Multiemployer Plan and which is maintained or otherwise contributed to by any member of the ERISA Group. </w:t>
      </w:r>
    </w:p>
    <w:p>
      <w:pPr>
        <w:pStyle w:val="TextBody"/>
        <w:bidi w:val="0"/>
        <w:spacing w:before="240" w:after="0"/>
        <w:jc w:val="left"/>
        <w:rPr/>
      </w:pPr>
      <w:r>
        <w:rPr/>
        <w:t>“</w:t>
      </w:r>
      <w:r>
        <w:rPr>
          <w:rFonts w:ascii="Times New Roman" w:hAnsi="Times New Roman"/>
          <w:b/>
          <w:sz w:val="20"/>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b/>
          <w:sz w:val="20"/>
        </w:rPr>
        <w:t>Book Runner</w:t>
      </w:r>
      <w:r>
        <w:rPr>
          <w:rFonts w:ascii="Times New Roman" w:hAnsi="Times New Roman"/>
          <w:sz w:val="20"/>
        </w:rPr>
        <w:t xml:space="preserve">” has the meaning set forth in the introductory paragraph hereof and shall include the Book Runner’s successors and permitted assigns.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has the meaning set forth in the introductory paragraph hereof and shall include the Borrower’s respective successors and permitted assigns. </w:t>
      </w:r>
    </w:p>
    <w:p>
      <w:pPr>
        <w:pStyle w:val="TextBody"/>
        <w:bidi w:val="0"/>
        <w:spacing w:before="240" w:after="0"/>
        <w:jc w:val="left"/>
        <w:rPr/>
      </w:pPr>
      <w:r>
        <w:rPr/>
        <w:t>“</w:t>
      </w:r>
      <w:r>
        <w:rPr>
          <w:rFonts w:ascii="Times New Roman" w:hAnsi="Times New Roman"/>
          <w:b/>
          <w:sz w:val="20"/>
        </w:rPr>
        <w:t>Borrower Information</w:t>
      </w:r>
      <w:r>
        <w:rPr>
          <w:rFonts w:ascii="Times New Roman" w:hAnsi="Times New Roman"/>
          <w:sz w:val="20"/>
        </w:rPr>
        <w:t xml:space="preserve">” has the meaning given that term in Section 2.5.(c).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(a) is not a Saturday, Sunday or other day on which the Federal Reserve Bank of New York is closed and (b) is not a day on which commercial banks in Atlanta, Georgia are closed. </w:t>
      </w:r>
    </w:p>
    <w:p>
      <w:pPr>
        <w:pStyle w:val="TextBody"/>
        <w:bidi w:val="0"/>
        <w:spacing w:before="240" w:after="0"/>
        <w:jc w:val="left"/>
        <w:rPr/>
      </w:pPr>
      <w:r>
        <w:rPr/>
        <w:t>“</w:t>
      </w:r>
      <w:r>
        <w:rPr>
          <w:rFonts w:ascii="Times New Roman" w:hAnsi="Times New Roman"/>
          <w:b/>
          <w:sz w:val="20"/>
        </w:rPr>
        <w:t>Capital Reserves</w:t>
      </w:r>
      <w:r>
        <w:rPr>
          <w:rFonts w:ascii="Times New Roman" w:hAnsi="Times New Roman"/>
          <w:sz w:val="20"/>
        </w:rPr>
        <w:t xml:space="preserve">” means, for any period and with respect to any: (i) portion of a Property developed with improvements utilized for the retail sale of goods or services, office space or other use (other than residential apartments and Hotel Properties), an amount equal to (a) $0.15 per square foot times,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(ii) Multifamily Property or any portion of a Property developed with improvements utilized as residential apartments (other than Properties having less than 20 residential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units), an amount equal to (a) $200 per apartment unit in such Multifamily Property </w:t>
      </w:r>
      <w:r>
        <w:rPr>
          <w:rFonts w:ascii="Times New Roman" w:hAnsi="Times New Roman"/>
          <w:sz w:val="20"/>
          <w:u w:val="single"/>
        </w:rPr>
        <w:t>times,</w:t>
      </w:r>
      <w:r>
        <w:rPr>
          <w:rFonts w:ascii="Times New Roman" w:hAnsi="Times New Roman"/>
          <w:sz w:val="20"/>
        </w:rPr>
        <w:t xml:space="preserve"> (b) a fraction, the numerator of which is the number of days in such period and the denominator of which is 365 or (iii) Hotel Property an amount equal to the greater of (a) 4.0% of total gross revenues for such Property for such period and (b) the aggregate amount of reserves in respect to furniture, fixtures and equipment required under any Property Management Agreement or Franchise Agreement applicable to such Property for such period. If the term Capital Reserves is used without reference to any specific Property, then the amount shall be determined on an aggregate basis with respect to all Office Properties, Retail Properties, Multifamily Properties and Hotel Properties of the Borrower and its Subsidiaries and a proportionate share of all Office Properties, Retail Properties, Multifamily Properties and Hotel Properties of all Unconsolidated Affiliates. </w:t>
      </w:r>
    </w:p>
    <w:p>
      <w:pPr>
        <w:pStyle w:val="TextBody"/>
        <w:bidi w:val="0"/>
        <w:spacing w:before="240" w:after="0"/>
        <w:jc w:val="left"/>
        <w:rPr/>
      </w:pPr>
      <w:r>
        <w:rPr/>
        <w:t>“</w:t>
      </w:r>
      <w:r>
        <w:rPr>
          <w:rFonts w:ascii="Times New Roman" w:hAnsi="Times New Roman"/>
          <w:b/>
          <w:sz w:val="20"/>
        </w:rPr>
        <w:t>Capitalization Rate</w:t>
      </w:r>
      <w:r>
        <w:rPr>
          <w:rFonts w:ascii="Times New Roman" w:hAnsi="Times New Roman"/>
          <w:sz w:val="20"/>
        </w:rPr>
        <w:t xml:space="preserve">” means 6.00% for all Properties. </w:t>
      </w:r>
    </w:p>
    <w:p>
      <w:pPr>
        <w:pStyle w:val="TextBody"/>
        <w:bidi w:val="0"/>
        <w:spacing w:before="240" w:after="0"/>
        <w:jc w:val="left"/>
        <w:rPr/>
      </w:pPr>
      <w:r>
        <w:rPr/>
        <w:t>“</w:t>
      </w:r>
      <w:r>
        <w:rPr>
          <w:rFonts w:ascii="Times New Roman" w:hAnsi="Times New Roman"/>
          <w:b/>
          <w:sz w:val="20"/>
        </w:rPr>
        <w:t>Capitalized Lease Obligation</w:t>
      </w:r>
      <w:r>
        <w:rPr>
          <w:rFonts w:ascii="Times New Roman" w:hAnsi="Times New Roman"/>
          <w:sz w:val="20"/>
        </w:rPr>
        <w:t xml:space="preserve">”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 </w:t>
      </w:r>
    </w:p>
    <w:p>
      <w:pPr>
        <w:pStyle w:val="TextBody"/>
        <w:bidi w:val="0"/>
        <w:spacing w:before="240" w:after="0"/>
        <w:jc w:val="left"/>
        <w:rPr/>
      </w:pPr>
      <w:r>
        <w:rPr/>
        <w:t>“</w:t>
      </w:r>
      <w:r>
        <w:rPr>
          <w:rFonts w:ascii="Times New Roman" w:hAnsi="Times New Roman"/>
          <w:b/>
          <w:sz w:val="20"/>
        </w:rPr>
        <w:t>Commitment</w:t>
      </w:r>
      <w:r>
        <w:rPr>
          <w:rFonts w:ascii="Times New Roman" w:hAnsi="Times New Roman"/>
          <w:sz w:val="20"/>
        </w:rPr>
        <w:t xml:space="preserve">” means, as to a Lender, such Lender’s obligation to make Loans pursuant to Section 2.1(a), in an amount up to, but not exceeding, the amount set forth for such Lender on </w:t>
      </w:r>
      <w:r>
        <w:rPr>
          <w:rFonts w:ascii="Times New Roman" w:hAnsi="Times New Roman"/>
          <w:sz w:val="20"/>
          <w:u w:val="single"/>
        </w:rPr>
        <w:t>Schedule I</w:t>
      </w:r>
      <w:r>
        <w:rPr>
          <w:rFonts w:ascii="Times New Roman" w:hAnsi="Times New Roman"/>
          <w:sz w:val="20"/>
        </w:rPr>
        <w:t xml:space="preserve"> as such Lender’s “Loan Amount” or as set forth in any applicable Assignment and Assumption, as the same may be reduced from time to time pursuant to Section 2.12. or increased or reduced as appropriate to reflect any assignments to or by such Lender effected in accordance with Section 12.6. The aggregate amount of Commitments as of the Effective Date is $250,000,000. </w:t>
      </w:r>
    </w:p>
    <w:p>
      <w:pPr>
        <w:pStyle w:val="TextBody"/>
        <w:bidi w:val="0"/>
        <w:spacing w:before="240" w:after="0"/>
        <w:jc w:val="left"/>
        <w:rPr/>
      </w:pPr>
      <w:r>
        <w:rPr/>
        <w:t>“</w:t>
      </w:r>
      <w:r>
        <w:rPr>
          <w:rFonts w:ascii="Times New Roman" w:hAnsi="Times New Roman"/>
          <w:b/>
          <w:sz w:val="20"/>
        </w:rPr>
        <w:t>Commitment Percentage</w:t>
      </w:r>
      <w:r>
        <w:rPr>
          <w:rFonts w:ascii="Times New Roman" w:hAnsi="Times New Roman"/>
          <w:sz w:val="20"/>
        </w:rPr>
        <w:t xml:space="preserve">” means, with respect to a Lender, the ratio, expressed as a percentage, of (a) the amount of such Lender’s Commitment to (b) the aggregate amount of the Commitments of all Lenders; provided, however, that if at the time of determination the Commitments have been terminated or been reduced to zero, the “Commitment Percentage” of each Lender shall be the “Commitment Percentage” of such Lender in effect immediately prior to such termination or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Commodity Exchange Act</w:t>
      </w:r>
      <w:r>
        <w:rPr>
          <w:rFonts w:ascii="Times New Roman" w:hAnsi="Times New Roman"/>
          <w:sz w:val="20"/>
        </w:rPr>
        <w:t xml:space="preserve">” means the Commodity Exchange Act (7 U.S.C. §1 et seq.), as amended from time to time, and any successor statute. </w:t>
      </w:r>
    </w:p>
    <w:p>
      <w:pPr>
        <w:pStyle w:val="TextBody"/>
        <w:bidi w:val="0"/>
        <w:spacing w:before="240" w:after="0"/>
        <w:jc w:val="left"/>
        <w:rPr/>
      </w:pPr>
      <w:r>
        <w:rPr/>
        <w:t>“</w:t>
      </w:r>
      <w:r>
        <w:rPr>
          <w:rFonts w:ascii="Times New Roman" w:hAnsi="Times New Roman"/>
          <w:b/>
          <w:sz w:val="20"/>
        </w:rPr>
        <w:t>Compliance Certificate</w:t>
      </w:r>
      <w:r>
        <w:rPr>
          <w:rFonts w:ascii="Times New Roman" w:hAnsi="Times New Roman"/>
          <w:sz w:val="20"/>
        </w:rPr>
        <w:t xml:space="preserve">” has the meaning given that term in Section 8.3.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xml:space="preserve">”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sz w:val="20"/>
          <w:u w:val="single"/>
        </w:rPr>
        <w:t>Section 4.4</w:t>
      </w:r>
      <w:r>
        <w:rPr>
          <w:rFonts w:ascii="Times New Roman" w:hAnsi="Times New Roman"/>
          <w:sz w:val="20"/>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Continue</w:t>
      </w:r>
      <w:r>
        <w:rPr>
          <w:rFonts w:ascii="Times New Roman" w:hAnsi="Times New Roman"/>
          <w:sz w:val="20"/>
        </w:rPr>
        <w:t>”, “</w:t>
      </w:r>
      <w:r>
        <w:rPr>
          <w:rFonts w:ascii="Times New Roman" w:hAnsi="Times New Roman"/>
          <w:b/>
          <w:sz w:val="20"/>
        </w:rPr>
        <w:t>Continuation</w:t>
      </w:r>
      <w:r>
        <w:rPr>
          <w:rFonts w:ascii="Times New Roman" w:hAnsi="Times New Roman"/>
          <w:sz w:val="20"/>
        </w:rPr>
        <w:t>” and “</w:t>
      </w:r>
      <w:r>
        <w:rPr>
          <w:rFonts w:ascii="Times New Roman" w:hAnsi="Times New Roman"/>
          <w:b/>
          <w:sz w:val="20"/>
        </w:rPr>
        <w:t>Continued</w:t>
      </w:r>
      <w:r>
        <w:rPr>
          <w:rFonts w:ascii="Times New Roman" w:hAnsi="Times New Roman"/>
          <w:sz w:val="20"/>
        </w:rPr>
        <w:t xml:space="preserve">” each refers to the continuation of a SOFR Loan from one Interest Period to another Interest Period pursuant to Section 2.9. </w:t>
      </w:r>
    </w:p>
    <w:p>
      <w:pPr>
        <w:pStyle w:val="TextBody"/>
        <w:bidi w:val="0"/>
        <w:spacing w:before="240" w:after="0"/>
        <w:jc w:val="left"/>
        <w:rPr/>
      </w:pPr>
      <w:r>
        <w:rPr/>
        <w:t>“</w:t>
      </w:r>
      <w:r>
        <w:rPr>
          <w:rFonts w:ascii="Times New Roman" w:hAnsi="Times New Roman"/>
          <w:b/>
          <w:sz w:val="20"/>
        </w:rPr>
        <w:t>Construction-in-Process”</w:t>
      </w:r>
      <w:r>
        <w:rPr>
          <w:rFonts w:ascii="Times New Roman" w:hAnsi="Times New Roman"/>
          <w:sz w:val="20"/>
        </w:rPr>
        <w:t xml:space="preserve">means cash expenditures for land and improvements (including indirect costs internally allocated and development costs) in accordance with GAAP on all Development Properties.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pPr>
      <w:r>
        <w:rPr/>
        <w:t>“</w:t>
      </w:r>
      <w:r>
        <w:rPr>
          <w:rFonts w:ascii="Times New Roman" w:hAnsi="Times New Roman"/>
          <w:b/>
          <w:sz w:val="20"/>
        </w:rPr>
        <w:t>Controlled Property</w:t>
      </w:r>
      <w:r>
        <w:rPr>
          <w:rFonts w:ascii="Times New Roman" w:hAnsi="Times New Roman"/>
          <w:sz w:val="20"/>
        </w:rPr>
        <w:t xml:space="preserve">”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 </w:t>
      </w:r>
    </w:p>
    <w:p>
      <w:pPr>
        <w:pStyle w:val="TextBody"/>
        <w:bidi w:val="0"/>
        <w:spacing w:before="240" w:after="0"/>
        <w:jc w:val="left"/>
        <w:rPr/>
      </w:pPr>
      <w:r>
        <w:rPr/>
        <w:t>“</w:t>
      </w:r>
      <w:r>
        <w:rPr>
          <w:rFonts w:ascii="Times New Roman" w:hAnsi="Times New Roman"/>
          <w:b/>
          <w:sz w:val="20"/>
        </w:rPr>
        <w:t>Convert</w:t>
      </w:r>
      <w:r>
        <w:rPr>
          <w:rFonts w:ascii="Times New Roman" w:hAnsi="Times New Roman"/>
          <w:sz w:val="20"/>
        </w:rPr>
        <w:t>”, “</w:t>
      </w:r>
      <w:r>
        <w:rPr>
          <w:rFonts w:ascii="Times New Roman" w:hAnsi="Times New Roman"/>
          <w:b/>
          <w:sz w:val="20"/>
        </w:rPr>
        <w:t>Conversion</w:t>
      </w:r>
      <w:r>
        <w:rPr>
          <w:rFonts w:ascii="Times New Roman" w:hAnsi="Times New Roman"/>
          <w:sz w:val="20"/>
        </w:rPr>
        <w:t>” and “</w:t>
      </w:r>
      <w:r>
        <w:rPr>
          <w:rFonts w:ascii="Times New Roman" w:hAnsi="Times New Roman"/>
          <w:b/>
          <w:sz w:val="20"/>
        </w:rPr>
        <w:t>Converted</w:t>
      </w:r>
      <w:r>
        <w:rPr>
          <w:rFonts w:ascii="Times New Roman" w:hAnsi="Times New Roman"/>
          <w:sz w:val="20"/>
        </w:rPr>
        <w:t xml:space="preserve">” each refers to the conversion of a Loan of one Type into a Loan of another Type pursuant to Section 2.10. </w:t>
      </w:r>
    </w:p>
    <w:p>
      <w:pPr>
        <w:pStyle w:val="TextBody"/>
        <w:bidi w:val="0"/>
        <w:spacing w:before="240" w:after="0"/>
        <w:jc w:val="left"/>
        <w:rPr/>
      </w:pPr>
      <w:r>
        <w:rPr/>
        <w:t>“</w:t>
      </w:r>
      <w:r>
        <w:rPr>
          <w:rFonts w:ascii="Times New Roman" w:hAnsi="Times New Roman"/>
          <w:b/>
          <w:sz w:val="20"/>
        </w:rPr>
        <w:t>Convertible Notes</w:t>
      </w:r>
      <w:r>
        <w:rPr>
          <w:rFonts w:ascii="Times New Roman" w:hAnsi="Times New Roman"/>
          <w:sz w:val="20"/>
        </w:rPr>
        <w:t xml:space="preserve">” has the meaning given that term in Section 9.12. </w:t>
      </w:r>
    </w:p>
    <w:p>
      <w:pPr>
        <w:pStyle w:val="TextBody"/>
        <w:bidi w:val="0"/>
        <w:spacing w:before="240" w:after="0"/>
        <w:jc w:val="left"/>
        <w:rPr/>
      </w:pPr>
      <w:r>
        <w:rPr/>
        <w:t>“</w:t>
      </w:r>
      <w:r>
        <w:rPr>
          <w:rFonts w:ascii="Times New Roman" w:hAnsi="Times New Roman"/>
          <w:b/>
          <w:sz w:val="20"/>
        </w:rPr>
        <w:t>Covered Entity”</w:t>
      </w:r>
      <w:r>
        <w:rPr>
          <w:rFonts w:ascii="Times New Roman" w:hAnsi="Times New Roman"/>
          <w:sz w:val="20"/>
        </w:rPr>
        <w:t xml:space="preserve">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Covered Party</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Credit Event</w:t>
      </w:r>
      <w:r>
        <w:rPr>
          <w:rFonts w:ascii="Times New Roman" w:hAnsi="Times New Roman"/>
          <w:sz w:val="20"/>
        </w:rPr>
        <w:t xml:space="preserve">” means any of the following: (a) the making (or deemed making) of any Loan, (b) the Conversion of a Base Rate Loan into a SOFR Loan and (c) the Continuation of a SOFR Loan. </w:t>
      </w:r>
    </w:p>
    <w:p>
      <w:pPr>
        <w:pStyle w:val="TextBody"/>
        <w:bidi w:val="0"/>
        <w:spacing w:before="240" w:after="0"/>
        <w:jc w:val="left"/>
        <w:rPr/>
      </w:pPr>
      <w:r>
        <w:rPr/>
        <w:t>“</w:t>
      </w:r>
      <w:r>
        <w:rPr>
          <w:rFonts w:ascii="Times New Roman" w:hAnsi="Times New Roman"/>
          <w:b/>
          <w:sz w:val="20"/>
        </w:rPr>
        <w:t>Credit Rating</w:t>
      </w:r>
      <w:r>
        <w:rPr>
          <w:rFonts w:ascii="Times New Roman" w:hAnsi="Times New Roman"/>
          <w:sz w:val="20"/>
        </w:rPr>
        <w:t xml:space="preserve">” means the rating assigned by a Rating Agency to the senior unsecured long term Indebtedness of a Person.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means, for any day (a “</w:t>
      </w:r>
      <w:r>
        <w:rPr>
          <w:rFonts w:ascii="Times New Roman" w:hAnsi="Times New Roman"/>
          <w:sz w:val="20"/>
          <w:u w:val="single"/>
        </w:rPr>
        <w:t>Simple SOFR Rate Day</w:t>
      </w:r>
      <w:r>
        <w:rPr>
          <w:rFonts w:ascii="Times New Roman" w:hAnsi="Times New Roman"/>
          <w:sz w:val="20"/>
        </w:rPr>
        <w:t>”), a rate per annum equal to the greater of (a) SOFR for the day (such day, a “</w:t>
      </w:r>
      <w:r>
        <w:rPr>
          <w:rFonts w:ascii="Times New Roman" w:hAnsi="Times New Roman"/>
          <w:sz w:val="20"/>
          <w:u w:val="single"/>
        </w:rPr>
        <w:t>Simple SOFR Determination Day</w:t>
      </w:r>
      <w:r>
        <w:rPr>
          <w:rFonts w:ascii="Times New Roman" w:hAnsi="Times New Roman"/>
          <w:sz w:val="20"/>
        </w:rPr>
        <w:t xml:space="preserve">”)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w:t>
      </w:r>
      <w:r>
        <w:rPr>
          <w:rFonts w:ascii="Times New Roman" w:hAnsi="Times New Roman"/>
          <w:sz w:val="20"/>
          <w:u w:val="single"/>
        </w:rPr>
        <w:t>provided</w:t>
      </w:r>
      <w:r>
        <w:rPr>
          <w:rFonts w:ascii="Times New Roman" w:hAnsi="Times New Roman"/>
          <w:sz w:val="20"/>
        </w:rPr>
        <w:t xml:space="preserve"> that if by 5:00 p.m. on the second (2nd) U.S. Government Securities Business Day immediately following any Simple SOFR Determination Day, SOFR in respect of such Simple SOFR Determination Day has not been published on the SOFR Administrator’s Website and a Benchmark Replacement Date with respect to Daily Simple SOFR has not occurred, then SOFR for such Simple SOFR Determination Day will be SOFR as published in respect of the first preceding U.S. Government Securities Business Day for which such SOFR was published on the SOFR Administrator’s Website; </w:t>
      </w:r>
      <w:r>
        <w:rPr>
          <w:rFonts w:ascii="Times New Roman" w:hAnsi="Times New Roman"/>
          <w:sz w:val="20"/>
          <w:u w:val="single"/>
        </w:rPr>
        <w:t>provided further</w:t>
      </w:r>
      <w:r>
        <w:rPr>
          <w:rFonts w:ascii="Times New Roman" w:hAnsi="Times New Roman"/>
          <w:sz w:val="20"/>
        </w:rPr>
        <w:t xml:space="preserve"> that SOFR as determined pursuant to this proviso shall be utilized for purposes of calculation of Daily Simple SOFR for no more than three (3) consecutive Simple SOFR Rate Days and (b) the Floor. Any change in Daily Simple SOFR due to a change in SOFR shall be effective from and including the effective date of such change in SOFR without notice to the Borrower. </w:t>
      </w:r>
    </w:p>
    <w:p>
      <w:pPr>
        <w:pStyle w:val="TextBody"/>
        <w:bidi w:val="0"/>
        <w:spacing w:before="240" w:after="0"/>
        <w:jc w:val="left"/>
        <w:rPr/>
      </w:pPr>
      <w:r>
        <w:rPr/>
        <w:t>“</w:t>
      </w:r>
      <w:r>
        <w:rPr>
          <w:rFonts w:ascii="Times New Roman" w:hAnsi="Times New Roman"/>
          <w:b/>
          <w:sz w:val="20"/>
        </w:rPr>
        <w:t>Daily Simple SOFR Loan</w:t>
      </w:r>
      <w:r>
        <w:rPr>
          <w:rFonts w:ascii="Times New Roman" w:hAnsi="Times New Roman"/>
          <w:sz w:val="20"/>
        </w:rPr>
        <w:t xml:space="preserve">” means any Loan bearing interest at a rate based on Daily Simple SOFR. </w:t>
      </w:r>
    </w:p>
    <w:p>
      <w:pPr>
        <w:pStyle w:val="TextBody"/>
        <w:bidi w:val="0"/>
        <w:spacing w:before="240" w:after="0"/>
        <w:jc w:val="left"/>
        <w:rPr/>
      </w:pPr>
      <w:r>
        <w:rPr/>
        <w:t>“</w:t>
      </w:r>
      <w:r>
        <w:rPr>
          <w:rFonts w:ascii="Times New Roman" w:hAnsi="Times New Roman"/>
          <w:b/>
          <w:sz w:val="20"/>
        </w:rPr>
        <w:t>Debtor Relief Laws</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of the events specified in Section 10.1., whether or not there has been satisfied any requirement for the giving of notice, the lapse of time, or both.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subject to Section 3.9.(d), any Lender that (a) has failed to (i) fund all or any portion of its Loan within 2 Business Days of the date such Loan was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3.9.(d)) upon delivery of written notice of such determination to the Borrower and each Lender.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sz w:val="20"/>
        </w:rPr>
        <w:t>Derivatives Contract</w:t>
      </w:r>
      <w:r>
        <w:rPr>
          <w:rFonts w:ascii="Times New Roman" w:hAnsi="Times New Roman"/>
          <w:sz w:val="20"/>
        </w:rPr>
        <w:t xml:space="preserve">”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 </w:t>
      </w:r>
    </w:p>
    <w:p>
      <w:pPr>
        <w:pStyle w:val="TextBody"/>
        <w:bidi w:val="0"/>
        <w:spacing w:before="240" w:after="0"/>
        <w:jc w:val="left"/>
        <w:rPr/>
      </w:pPr>
      <w:r>
        <w:rPr/>
        <w:t>“</w:t>
      </w:r>
      <w:r>
        <w:rPr>
          <w:rFonts w:ascii="Times New Roman" w:hAnsi="Times New Roman"/>
          <w:b/>
          <w:sz w:val="20"/>
        </w:rPr>
        <w:t>Derivatives Support Document</w:t>
      </w:r>
      <w:r>
        <w:rPr>
          <w:rFonts w:ascii="Times New Roman" w:hAnsi="Times New Roman"/>
          <w:sz w:val="20"/>
        </w:rPr>
        <w:t xml:space="preserve">”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Derivatives Termination Value</w:t>
      </w:r>
      <w:r>
        <w:rPr>
          <w:rFonts w:ascii="Times New Roman" w:hAnsi="Times New Roman"/>
          <w:sz w:val="20"/>
        </w:rPr>
        <w:t xml:space="preserve">”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 </w:t>
      </w:r>
    </w:p>
    <w:p>
      <w:pPr>
        <w:pStyle w:val="TextBody"/>
        <w:bidi w:val="0"/>
        <w:spacing w:before="240" w:after="0"/>
        <w:jc w:val="left"/>
        <w:rPr/>
      </w:pPr>
      <w:r>
        <w:rPr/>
        <w:t>“</w:t>
      </w:r>
      <w:r>
        <w:rPr>
          <w:rFonts w:ascii="Times New Roman" w:hAnsi="Times New Roman"/>
          <w:b/>
          <w:sz w:val="20"/>
        </w:rPr>
        <w:t>Development Property</w:t>
      </w:r>
      <w:r>
        <w:rPr>
          <w:rFonts w:ascii="Times New Roman" w:hAnsi="Times New Roman"/>
          <w:sz w:val="20"/>
        </w:rPr>
        <w:t xml:space="preserve">”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 (a) the date that is six months past substantial completion of such Property and (b) achieving an Occupancy Rate of 85.0% and (y) in the case of a Hotel Property, the date that is 12 months past substantial completion of such Property.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of America. </w:t>
      </w:r>
    </w:p>
    <w:p>
      <w:pPr>
        <w:pStyle w:val="TextBody"/>
        <w:bidi w:val="0"/>
        <w:spacing w:before="240" w:after="0"/>
        <w:jc w:val="left"/>
        <w:rPr/>
      </w:pPr>
      <w:r>
        <w:rPr/>
        <w:t>“</w:t>
      </w:r>
      <w:r>
        <w:rPr>
          <w:rFonts w:ascii="Times New Roman" w:hAnsi="Times New Roman"/>
          <w:b/>
          <w:sz w:val="20"/>
        </w:rPr>
        <w:t>EBITDA</w:t>
      </w:r>
      <w:r>
        <w:rPr>
          <w:rFonts w:ascii="Times New Roman" w:hAnsi="Times New Roman"/>
          <w:sz w:val="20"/>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Times New Roman" w:hAnsi="Times New Roman"/>
          <w:sz w:val="20"/>
          <w:u w:val="single"/>
        </w:rPr>
        <w:t>plus</w:t>
      </w:r>
      <w:r>
        <w:rPr>
          <w:rFonts w:ascii="Times New Roman" w:hAnsi="Times New Roman"/>
          <w:sz w:val="20"/>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later of (a) the Agreement Date and (b) the date on which all of the conditions precedent set forth in Section 5.1. shall have been fulfilled or waived by all of the Lenders.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Parent, the General Partner, the Borrower, any of the Parent’s, the General Partner’s or the Borrower’s Affiliates or Subsidiaries or any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Eligible Property</w:t>
      </w:r>
      <w:r>
        <w:rPr>
          <w:rFonts w:ascii="Times New Roman" w:hAnsi="Times New Roman"/>
          <w:sz w:val="20"/>
        </w:rPr>
        <w:t xml:space="preserve">”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 </w:t>
      </w:r>
    </w:p>
    <w:p>
      <w:pPr>
        <w:pStyle w:val="TextBody"/>
        <w:bidi w:val="0"/>
        <w:spacing w:before="240" w:after="0"/>
        <w:jc w:val="left"/>
        <w:rPr/>
      </w:pPr>
      <w:r>
        <w:rPr/>
        <w:t>“</w:t>
      </w:r>
      <w:r>
        <w:rPr>
          <w:rFonts w:ascii="Times New Roman" w:hAnsi="Times New Roman"/>
          <w:b/>
          <w:sz w:val="20"/>
        </w:rPr>
        <w:t>Equity Interest</w:t>
      </w:r>
      <w:r>
        <w:rPr>
          <w:rFonts w:ascii="Times New Roman" w:hAnsi="Times New Roman"/>
          <w:sz w:val="20"/>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w:t>
      </w:r>
    </w:p>
    <w:p>
      <w:pPr>
        <w:pStyle w:val="TextBody"/>
        <w:bidi w:val="0"/>
        <w:spacing w:before="240" w:after="0"/>
        <w:jc w:val="left"/>
        <w:rPr/>
      </w:pPr>
      <w:r>
        <w:rPr/>
        <w:t>“</w:t>
      </w:r>
      <w:r>
        <w:rPr>
          <w:rFonts w:ascii="Times New Roman" w:hAnsi="Times New Roman"/>
          <w:b/>
          <w:sz w:val="20"/>
        </w:rPr>
        <w:t>Equity Issuance</w:t>
      </w:r>
      <w:r>
        <w:rPr>
          <w:rFonts w:ascii="Times New Roman" w:hAnsi="Times New Roman"/>
          <w:sz w:val="20"/>
        </w:rPr>
        <w:t xml:space="preserve">”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in effect from time to time.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 </w:t>
      </w:r>
    </w:p>
    <w:p>
      <w:pPr>
        <w:pStyle w:val="TextBody"/>
        <w:bidi w:val="0"/>
        <w:spacing w:before="240" w:after="0"/>
        <w:jc w:val="left"/>
        <w:rPr/>
      </w:pPr>
      <w:r>
        <w:rPr/>
        <w:t>“</w:t>
      </w:r>
      <w:r>
        <w:rPr>
          <w:rFonts w:ascii="Times New Roman" w:hAnsi="Times New Roman"/>
          <w:b/>
          <w:sz w:val="20"/>
        </w:rPr>
        <w:t>ERISA Group</w:t>
      </w:r>
      <w:r>
        <w:rPr>
          <w:rFonts w:ascii="Times New Roman" w:hAnsi="Times New Roman"/>
          <w:sz w:val="20"/>
        </w:rPr>
        <w:t xml:space="preserve">”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 </w:t>
      </w:r>
    </w:p>
    <w:p>
      <w:pPr>
        <w:pStyle w:val="TextBody"/>
        <w:bidi w:val="0"/>
        <w:spacing w:before="240" w:after="0"/>
        <w:jc w:val="left"/>
        <w:rPr/>
      </w:pPr>
      <w:r>
        <w:rPr/>
        <w:t>“</w:t>
      </w:r>
      <w:r>
        <w:rPr>
          <w:rFonts w:ascii="Times New Roman" w:hAnsi="Times New Roman"/>
          <w:b/>
          <w:sz w:val="20"/>
        </w:rPr>
        <w:t>Erroneous Payment</w:t>
      </w:r>
      <w:r>
        <w:rPr>
          <w:rFonts w:ascii="Times New Roman" w:hAnsi="Times New Roman"/>
          <w:sz w:val="20"/>
        </w:rPr>
        <w:t xml:space="preserve">” has the meaning given that term in Section 11.10.(a). </w:t>
      </w:r>
    </w:p>
    <w:p>
      <w:pPr>
        <w:pStyle w:val="TextBody"/>
        <w:bidi w:val="0"/>
        <w:spacing w:before="240" w:after="0"/>
        <w:jc w:val="left"/>
        <w:rPr/>
      </w:pPr>
      <w:r>
        <w:rPr/>
        <w:t>“</w:t>
      </w:r>
      <w:r>
        <w:rPr>
          <w:rFonts w:ascii="Times New Roman" w:hAnsi="Times New Roman"/>
          <w:b/>
          <w:sz w:val="20"/>
        </w:rPr>
        <w:t>Erroneous Payment Deficiency Assignment</w:t>
      </w:r>
      <w:r>
        <w:rPr>
          <w:rFonts w:ascii="Times New Roman" w:hAnsi="Times New Roman"/>
          <w:sz w:val="20"/>
        </w:rPr>
        <w:t xml:space="preserve">” has the meaning given that term in Section 11.10(d). </w:t>
      </w:r>
    </w:p>
    <w:p>
      <w:pPr>
        <w:pStyle w:val="TextBody"/>
        <w:bidi w:val="0"/>
        <w:spacing w:before="240" w:after="0"/>
        <w:jc w:val="left"/>
        <w:rPr/>
      </w:pPr>
      <w:r>
        <w:rPr/>
        <w:t>“</w:t>
      </w:r>
      <w:r>
        <w:rPr>
          <w:rFonts w:ascii="Times New Roman" w:hAnsi="Times New Roman"/>
          <w:b/>
          <w:sz w:val="20"/>
        </w:rPr>
        <w:t>Erroneous Payment Return Deficiency</w:t>
      </w:r>
      <w:r>
        <w:rPr>
          <w:rFonts w:ascii="Times New Roman" w:hAnsi="Times New Roman"/>
          <w:sz w:val="20"/>
        </w:rPr>
        <w:t xml:space="preserve">” has the meaning given that term in Section 11.10(d).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means any of the events specified in Section 10.1., provided that any requirement for notice or lapse of time or any other condition has been satisfied.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means any Subsidiary (a) </w:t>
      </w:r>
      <w:r>
        <w:rPr>
          <w:rFonts w:ascii="Times New Roman" w:hAnsi="Times New Roman"/>
          <w:strike/>
          <w:color w:val="FF0000"/>
          <w:sz w:val="20"/>
        </w:rPr>
        <w:t>holding</w:t>
      </w:r>
      <w:r>
        <w:rPr>
          <w:rFonts w:ascii="Times New Roman" w:hAnsi="Times New Roman"/>
          <w:color w:val="0000FF"/>
          <w:sz w:val="20"/>
          <w:u w:val="single"/>
          <w:bdr w:val="double" w:sz="2" w:space="1" w:color="000000"/>
        </w:rPr>
        <w:t>that (i) holds</w:t>
      </w:r>
      <w:r>
        <w:rPr>
          <w:rFonts w:ascii="Times New Roman" w:hAnsi="Times New Roman"/>
          <w:sz w:val="20"/>
        </w:rPr>
        <w:t xml:space="preserve"> title to assets that are or are to become collateral for any Secured Indebtedness of such Subsidiary and (</w:t>
      </w:r>
      <w:r>
        <w:rPr>
          <w:rFonts w:ascii="Times New Roman" w:hAnsi="Times New Roman"/>
          <w:strike/>
          <w:color w:val="FF0000"/>
          <w:sz w:val="20"/>
        </w:rPr>
        <w:t>b</w:t>
      </w:r>
      <w:r>
        <w:rPr>
          <w:rFonts w:ascii="Times New Roman" w:hAnsi="Times New Roman"/>
          <w:color w:val="0000FF"/>
          <w:sz w:val="20"/>
          <w:u w:val="single"/>
          <w:bdr w:val="double" w:sz="2" w:space="1" w:color="000000"/>
        </w:rPr>
        <w:t>ii</w:t>
      </w:r>
      <w:r>
        <w:rPr>
          <w:rFonts w:ascii="Times New Roman" w:hAnsi="Times New Roman"/>
          <w:sz w:val="20"/>
        </w:rPr>
        <w:t xml:space="preserve">) </w:t>
      </w:r>
      <w:r>
        <w:rPr>
          <w:rFonts w:ascii="Times New Roman" w:hAnsi="Times New Roman"/>
          <w:strike/>
          <w:color w:val="FF0000"/>
          <w:sz w:val="20"/>
        </w:rPr>
        <w:t xml:space="preserve">that </w:t>
      </w:r>
      <w:r>
        <w:rPr>
          <w:rFonts w:ascii="Times New Roman" w:hAnsi="Times New Roman"/>
          <w:sz w:val="20"/>
        </w:rPr>
        <w:t>is prohibited from Guarantying the Indebtedness of any other Person pursuant to (</w:t>
      </w:r>
      <w:r>
        <w:rPr>
          <w:rFonts w:ascii="Times New Roman" w:hAnsi="Times New Roman"/>
          <w:strike/>
          <w:color w:val="FF0000"/>
          <w:sz w:val="20"/>
        </w:rPr>
        <w:t>i</w:t>
      </w:r>
      <w:r>
        <w:rPr>
          <w:rFonts w:ascii="Times New Roman" w:hAnsi="Times New Roman"/>
          <w:color w:val="0000FF"/>
          <w:sz w:val="20"/>
          <w:u w:val="single"/>
          <w:bdr w:val="double" w:sz="2" w:space="1" w:color="000000"/>
        </w:rPr>
        <w:t>x</w:t>
      </w:r>
      <w:r>
        <w:rPr>
          <w:rFonts w:ascii="Times New Roman" w:hAnsi="Times New Roman"/>
          <w:sz w:val="20"/>
        </w:rPr>
        <w:t>) any document, instrument, or agreement evidencing such Secured Indebtedness or (</w:t>
      </w:r>
      <w:r>
        <w:rPr>
          <w:rFonts w:ascii="Times New Roman" w:hAnsi="Times New Roman"/>
          <w:strike/>
          <w:color w:val="FF0000"/>
          <w:sz w:val="20"/>
        </w:rPr>
        <w:t>ii</w:t>
      </w:r>
      <w:r>
        <w:rPr>
          <w:rFonts w:ascii="Times New Roman" w:hAnsi="Times New Roman"/>
          <w:color w:val="0000FF"/>
          <w:sz w:val="20"/>
          <w:u w:val="single"/>
          <w:bdr w:val="double" w:sz="2" w:space="1" w:color="000000"/>
        </w:rPr>
        <w:t>y</w:t>
      </w:r>
      <w:r>
        <w:rPr>
          <w:rFonts w:ascii="Times New Roman" w:hAnsi="Times New Roman"/>
          <w:sz w:val="20"/>
        </w:rPr>
        <w:t xml:space="preserve">) a provision of such Subsidiary’s organizational documents </w:t>
      </w:r>
      <w:r>
        <w:rPr>
          <w:rFonts w:ascii="Times New Roman" w:hAnsi="Times New Roman"/>
          <w:color w:val="0000FF"/>
          <w:sz w:val="20"/>
          <w:u w:val="single"/>
          <w:bdr w:val="double" w:sz="2" w:space="1" w:color="000000"/>
        </w:rPr>
        <w:t xml:space="preserve">(or the organizational documents of another Subsidiary that directly or indirectly owns a majority of the Equity Interests of such Subsidiary) </w:t>
      </w:r>
      <w:r>
        <w:rPr>
          <w:rFonts w:ascii="Times New Roman" w:hAnsi="Times New Roman"/>
          <w:sz w:val="20"/>
        </w:rPr>
        <w:t xml:space="preserve">which provision was included in such </w:t>
      </w:r>
      <w:r>
        <w:rPr>
          <w:rFonts w:ascii="Times New Roman" w:hAnsi="Times New Roman"/>
          <w:strike/>
          <w:color w:val="FF0000"/>
          <w:sz w:val="20"/>
        </w:rPr>
        <w:t>Subsidiary’s</w:t>
      </w:r>
      <w:r>
        <w:rPr>
          <w:rFonts w:ascii="Times New Roman" w:hAnsi="Times New Roman"/>
          <w:sz w:val="20"/>
        </w:rPr>
        <w:t xml:space="preserve"> organizational documents as a condition to the extension of such Secured Indebtedness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(b) (i) that is not a Wholly Owned Subsidiary, (ii) that does not directly or indirectly own any asset </w:t>
      </w:r>
      <w:r>
        <w:rPr>
          <w:rFonts w:ascii="Times New Roman" w:hAnsi="Times New Roman"/>
          <w:color w:val="008000"/>
          <w:sz w:val="20"/>
          <w:u w:val="single"/>
          <w:bdr w:val="double" w:sz="2" w:space="1" w:color="000000"/>
        </w:rPr>
        <w:t>included in the calculation of Unencumbered Asset Value and (</w:t>
      </w:r>
      <w:r>
        <w:rPr>
          <w:rFonts w:ascii="Times New Roman" w:hAnsi="Times New Roman"/>
          <w:color w:val="0000FF"/>
          <w:sz w:val="20"/>
          <w:u w:val="single"/>
          <w:bdr w:val="double" w:sz="2" w:space="1" w:color="000000"/>
        </w:rPr>
        <w:t xml:space="preserve">iii) whose organizational documents (or the organizational documents of another Subsidiary that directly or indirectly owns a majority of the Equity Interests of such Subsidiary) include provisions which restrict such Subsidiary from (w) granting Liens in its assets, (x) paying distributions to, or repaying Indebtedness owed to, </w:t>
      </w:r>
      <w:r>
        <w:rPr>
          <w:rFonts w:ascii="Times New Roman" w:hAnsi="Times New Roman"/>
          <w:color w:val="008000"/>
          <w:sz w:val="20"/>
          <w:u w:val="single"/>
          <w:bdr w:val="double" w:sz="2" w:space="1" w:color="000000"/>
        </w:rPr>
        <w:t>the Borrower or any Subsidiary</w:t>
      </w:r>
      <w:r>
        <w:rPr>
          <w:rFonts w:ascii="Times New Roman" w:hAnsi="Times New Roman"/>
          <w:sz w:val="20"/>
        </w:rPr>
        <w:t xml:space="preserve">, </w:t>
      </w:r>
      <w:r>
        <w:rPr>
          <w:rFonts w:ascii="Times New Roman" w:hAnsi="Times New Roman"/>
          <w:color w:val="0000FF"/>
          <w:sz w:val="20"/>
          <w:u w:val="single"/>
          <w:bdr w:val="double" w:sz="2" w:space="1" w:color="000000"/>
        </w:rPr>
        <w:t>(y) making loans or advances to the Borrower or any Subsidiary or (z) transferring property or assets to Borrower or any Subsidiary; provided that, in each case described in this clause (b)(iii), such provisions were not included in the applicable organizational documents for the purpose of making such Subsidiary an Excluded Subsidiary.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 </w:t>
      </w:r>
    </w:p>
    <w:p>
      <w:pPr>
        <w:pStyle w:val="TextBody"/>
        <w:bidi w:val="0"/>
        <w:spacing w:before="240" w:after="0"/>
        <w:jc w:val="left"/>
        <w:rPr/>
      </w:pPr>
      <w:r>
        <w:rPr/>
        <w:t>“</w:t>
      </w:r>
      <w:r>
        <w:rPr>
          <w:rFonts w:ascii="Times New Roman" w:hAnsi="Times New Roman"/>
          <w:b/>
          <w:sz w:val="20"/>
        </w:rPr>
        <w:t>Fair Market Value</w:t>
      </w:r>
      <w:r>
        <w:rPr>
          <w:rFonts w:ascii="Times New Roman" w:hAnsi="Times New Roman"/>
          <w:sz w:val="20"/>
        </w:rPr>
        <w:t xml:space="preserve">”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Parent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 </w:t>
      </w:r>
    </w:p>
    <w:p>
      <w:pPr>
        <w:pStyle w:val="TextBody"/>
        <w:bidi w:val="0"/>
        <w:spacing w:before="240" w:after="0"/>
        <w:jc w:val="left"/>
        <w:rPr/>
      </w:pPr>
      <w:r>
        <w:rPr/>
        <w:t>“</w:t>
      </w:r>
      <w:r>
        <w:rPr>
          <w:rFonts w:ascii="Times New Roman" w:hAnsi="Times New Roman"/>
          <w:b/>
          <w:sz w:val="20"/>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the Floor, such rate shall be deemed to be the Floor for purposes of this Agreement.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means, collectively, (i) that certain fee letter dated the Agreement Date, by and among the Borrower, Truist Bank and Truist Securities, Inc., and (ii) any other fee letter entered into with respect to this Agreement by and between the Borrower and an Arranger. </w:t>
      </w:r>
    </w:p>
    <w:p>
      <w:pPr>
        <w:pStyle w:val="TextBody"/>
        <w:bidi w:val="0"/>
        <w:spacing w:before="240" w:after="0"/>
        <w:jc w:val="left"/>
        <w:rPr/>
      </w:pPr>
      <w:r>
        <w:rPr/>
        <w:t>“</w:t>
      </w:r>
      <w:r>
        <w:rPr>
          <w:rFonts w:ascii="Times New Roman" w:hAnsi="Times New Roman"/>
          <w:b/>
          <w:sz w:val="20"/>
        </w:rPr>
        <w:t>Fees</w:t>
      </w:r>
      <w:r>
        <w:rPr>
          <w:rFonts w:ascii="Times New Roman" w:hAnsi="Times New Roman"/>
          <w:sz w:val="20"/>
        </w:rPr>
        <w:t xml:space="preserve">” means the fees and commissions provided for or referred to in Section 3.5. and any other fees payable by the Borrower hereunder, under any other Loan Document or under the Fee Letter.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Fitch</w:t>
      </w:r>
      <w:r>
        <w:rPr>
          <w:rFonts w:ascii="Times New Roman" w:hAnsi="Times New Roman"/>
          <w:color w:val="0000FF"/>
          <w:sz w:val="20"/>
          <w:u w:val="single"/>
          <w:bdr w:val="double" w:sz="2" w:space="1" w:color="000000"/>
        </w:rPr>
        <w:t>” means Fitch Ratings Inc. and its successors.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First Amendment Date</w:t>
      </w:r>
      <w:r>
        <w:rPr>
          <w:rFonts w:ascii="Times New Roman" w:hAnsi="Times New Roman"/>
          <w:color w:val="0000FF"/>
          <w:sz w:val="20"/>
          <w:u w:val="single"/>
          <w:bdr w:val="double" w:sz="2" w:space="1" w:color="000000"/>
        </w:rPr>
        <w:t>” means April 14, 2026.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Fixed Charges</w:t>
      </w:r>
      <w:r>
        <w:rPr>
          <w:rFonts w:ascii="Times New Roman" w:hAnsi="Times New Roman"/>
          <w:sz w:val="20"/>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Borrower’s Ownership Share of the amounts (other than inter-company amounts) set forth in clauses (a) through (c) above with respect to Unconsolidated Affiliates of the Borrower shall be included in determinations of Fixed Charges. </w:t>
      </w:r>
    </w:p>
    <w:p>
      <w:pPr>
        <w:pStyle w:val="TextBody"/>
        <w:bidi w:val="0"/>
        <w:spacing w:before="240" w:after="0"/>
        <w:jc w:val="left"/>
        <w:rPr/>
      </w:pPr>
      <w:r>
        <w:rPr/>
        <w:t>“</w:t>
      </w:r>
      <w:r>
        <w:rPr>
          <w:rFonts w:ascii="Times New Roman" w:hAnsi="Times New Roman"/>
          <w:b/>
          <w:sz w:val="20"/>
        </w:rPr>
        <w:t>Floor</w:t>
      </w:r>
      <w:r>
        <w:rPr>
          <w:rFonts w:ascii="Times New Roman" w:hAnsi="Times New Roman"/>
          <w:sz w:val="20"/>
        </w:rPr>
        <w:t xml:space="preserve">” means a rate of interest equal to 0.00%. </w:t>
      </w:r>
    </w:p>
    <w:p>
      <w:pPr>
        <w:pStyle w:val="TextBody"/>
        <w:bidi w:val="0"/>
        <w:spacing w:before="240" w:after="0"/>
        <w:jc w:val="left"/>
        <w:rPr/>
      </w:pPr>
      <w:r>
        <w:rPr/>
        <w:t>“</w:t>
      </w:r>
      <w:r>
        <w:rPr>
          <w:rFonts w:ascii="Times New Roman" w:hAnsi="Times New Roman"/>
          <w:b/>
          <w:sz w:val="20"/>
        </w:rPr>
        <w:t>Foreign Lender</w:t>
      </w:r>
      <w:r>
        <w:rPr>
          <w:rFonts w:ascii="Times New Roman" w:hAnsi="Times New Roman"/>
          <w:sz w:val="20"/>
        </w:rPr>
        <w:t xml:space="preserve">” means (a) if the Borrower is a U.S. Person, a Lender that is not a U.S. Person, and (b) if the Borrower is not a U.S. Person, a Lender that is resident or organized under the laws of a jurisdiction other than that in which the Borrower is resident for tax purposes. </w:t>
      </w:r>
    </w:p>
    <w:p>
      <w:pPr>
        <w:pStyle w:val="TextBody"/>
        <w:bidi w:val="0"/>
        <w:spacing w:before="240" w:after="0"/>
        <w:jc w:val="left"/>
        <w:rPr/>
      </w:pPr>
      <w:r>
        <w:rPr/>
        <w:t>“</w:t>
      </w:r>
      <w:r>
        <w:rPr>
          <w:rFonts w:ascii="Times New Roman" w:hAnsi="Times New Roman"/>
          <w:b/>
          <w:sz w:val="20"/>
        </w:rPr>
        <w:t>Franchise Agreement</w:t>
      </w:r>
      <w:r>
        <w:rPr>
          <w:rFonts w:ascii="Times New Roman" w:hAnsi="Times New Roman"/>
          <w:sz w:val="20"/>
        </w:rPr>
        <w:t xml:space="preserve">” means an agreement permitting the use of the applicable hotel brand name, hotel system trademarks, trade names and any related rights in connection with the ownership or operation of a Property. </w:t>
      </w:r>
    </w:p>
    <w:p>
      <w:pPr>
        <w:pStyle w:val="TextBody"/>
        <w:bidi w:val="0"/>
        <w:spacing w:before="240" w:after="0"/>
        <w:jc w:val="left"/>
        <w:rPr/>
      </w:pPr>
      <w:r>
        <w:rPr/>
        <w:t>“</w:t>
      </w:r>
      <w:r>
        <w:rPr>
          <w:rFonts w:ascii="Times New Roman" w:hAnsi="Times New Roman"/>
          <w:b/>
          <w:sz w:val="20"/>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FRIT San Jose</w:t>
      </w:r>
      <w:r>
        <w:rPr>
          <w:rFonts w:ascii="Times New Roman" w:hAnsi="Times New Roman"/>
          <w:sz w:val="20"/>
        </w:rPr>
        <w:t xml:space="preserve">” means FRIT San Jose Town and Country Village, LLC.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Funds From Operations</w:t>
      </w:r>
      <w:r>
        <w:rPr>
          <w:rFonts w:ascii="Times New Roman" w:hAnsi="Times New Roman"/>
          <w:sz w:val="20"/>
        </w:rPr>
        <w:t xml:space="preserve">”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Partner</w:t>
      </w:r>
      <w:r>
        <w:rPr>
          <w:rFonts w:ascii="Times New Roman" w:hAnsi="Times New Roman"/>
          <w:sz w:val="20"/>
        </w:rPr>
        <w:t xml:space="preserve">” means Federal Realty GP LLC, a limited liability company formed under the laws of the State of Delaware.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means all authorizations, consents, approvals, licenses and exemptions of, registrations and filings with, and reports to, all Governmental Authorities.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 </w:t>
      </w:r>
    </w:p>
    <w:p>
      <w:pPr>
        <w:pStyle w:val="TextBody"/>
        <w:bidi w:val="0"/>
        <w:spacing w:before="240" w:after="0"/>
        <w:jc w:val="left"/>
        <w:rPr/>
      </w:pPr>
      <w:r>
        <w:rPr/>
        <w:t>“</w:t>
      </w:r>
      <w:r>
        <w:rPr>
          <w:rFonts w:ascii="Times New Roman" w:hAnsi="Times New Roman"/>
          <w:b/>
          <w:sz w:val="20"/>
        </w:rPr>
        <w:t>Ground Lease</w:t>
      </w:r>
      <w:r>
        <w:rPr>
          <w:rFonts w:ascii="Times New Roman" w:hAnsi="Times New Roman"/>
          <w:sz w:val="20"/>
        </w:rPr>
        <w:t xml:space="preserve">”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means any Person that guarantees all or a portion of the Obligations including, at all times after delivery of the Parent/General Partner Guaranty (if ever), the Parent and, at all times after delivery of the Parent/General Partner Guaranty (if ever),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Guaranty</w:t>
      </w:r>
      <w:r>
        <w:rPr>
          <w:rFonts w:ascii="Times New Roman" w:hAnsi="Times New Roman"/>
          <w:sz w:val="20"/>
        </w:rPr>
        <w:t>”, “</w:t>
      </w:r>
      <w:r>
        <w:rPr>
          <w:rFonts w:ascii="Times New Roman" w:hAnsi="Times New Roman"/>
          <w:b/>
          <w:sz w:val="20"/>
        </w:rPr>
        <w:t>Guaranteed</w:t>
      </w:r>
      <w:r>
        <w:rPr>
          <w:rFonts w:ascii="Times New Roman" w:hAnsi="Times New Roman"/>
          <w:sz w:val="20"/>
        </w:rPr>
        <w:t>”, “</w:t>
      </w:r>
      <w:r>
        <w:rPr>
          <w:rFonts w:ascii="Times New Roman" w:hAnsi="Times New Roman"/>
          <w:b/>
          <w:sz w:val="20"/>
        </w:rPr>
        <w:t>Guarantying</w:t>
      </w:r>
      <w:r>
        <w:rPr>
          <w:rFonts w:ascii="Times New Roman" w:hAnsi="Times New Roman"/>
          <w:sz w:val="20"/>
        </w:rPr>
        <w:t>” or to “</w:t>
      </w:r>
      <w:r>
        <w:rPr>
          <w:rFonts w:ascii="Times New Roman" w:hAnsi="Times New Roman"/>
          <w:b/>
          <w:sz w:val="20"/>
        </w:rPr>
        <w:t>Guarantee</w:t>
      </w:r>
      <w:r>
        <w:rPr>
          <w:rFonts w:ascii="Times New Roman" w:hAnsi="Times New Roman"/>
          <w:sz w:val="20"/>
        </w:rPr>
        <w:t xml:space="preserve">”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B.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 </w:t>
      </w:r>
    </w:p>
    <w:p>
      <w:pPr>
        <w:pStyle w:val="TextBody"/>
        <w:bidi w:val="0"/>
        <w:spacing w:before="240" w:after="0"/>
        <w:jc w:val="left"/>
        <w:rPr/>
      </w:pPr>
      <w:r>
        <w:rPr/>
        <w:t>“</w:t>
      </w:r>
      <w:r>
        <w:rPr>
          <w:rFonts w:ascii="Times New Roman" w:hAnsi="Times New Roman"/>
          <w:b/>
          <w:sz w:val="20"/>
        </w:rPr>
        <w:t>Hotel Property</w:t>
      </w:r>
      <w:r>
        <w:rPr>
          <w:rFonts w:ascii="Times New Roman" w:hAnsi="Times New Roman"/>
          <w:sz w:val="20"/>
        </w:rPr>
        <w:t xml:space="preserve">” means any Property, the improvements on which are operated as a hotel, inn or the providing of lodging or leisure services, together with any incidental improvements on such Property operated in connection with such hotel, inn, lodging or leisure facility.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shall constitute Indebtedness of the Borrower.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given that term in Section 6.1.(s). </w:t>
      </w:r>
    </w:p>
    <w:p>
      <w:pPr>
        <w:pStyle w:val="TextBody"/>
        <w:bidi w:val="0"/>
        <w:spacing w:before="240" w:after="0"/>
        <w:jc w:val="left"/>
        <w:rPr/>
      </w:pPr>
      <w:r>
        <w:rPr/>
        <w:t>“</w:t>
      </w:r>
      <w:r>
        <w:rPr>
          <w:rFonts w:ascii="Times New Roman" w:hAnsi="Times New Roman"/>
          <w:b/>
          <w:sz w:val="20"/>
        </w:rPr>
        <w:t>Interest Expense</w:t>
      </w:r>
      <w:r>
        <w:rPr>
          <w:rFonts w:ascii="Times New Roman" w:hAnsi="Times New Roman"/>
          <w:sz w:val="20"/>
        </w:rPr>
        <w:t xml:space="preserve">”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with respect to each Term SOFR Loan, each period commencing on the date such Term SOFR Loan is made, or in the case of the Continuation of a Term SOFR Loan the last day of the preceding Interest Period for such Loan, and ending on the numerically corresponding day in the first, third or sixth calendar month thereafter (or such shorter period as acceptable to the Lenders),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if any Interest Period would otherwise end after the Maturity Date, such Interest Period shall end on the Maturity Date; (ii) each Interest Period that would otherwise end on a day which is not a Business Day shall end on the immediately following Business Day (or, if such immediately following Business Day falls in the next calendar month, on the immediately preceding Business Day); and (iii) no tenor that has been removed from this definition pursuant to this Agreement shall be available for specification in any Notice of Borrowing, Notice of Continuation or Notice of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Internal Revenue 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Credit Rating of BBB-/Baa3 (or the equivalent) or higher from a Rating Agency.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means each financial institution from time to time party hereto as a “Lender”, together with its respective successors and permitted assigns; provided, however, that the term “Lender” except as otherwise expressly provided herein, shall exclude any Lender (or its Affiliates) in its capacity as a Specified Derivatives Provider. </w:t>
      </w:r>
    </w:p>
    <w:p>
      <w:pPr>
        <w:pStyle w:val="TextBody"/>
        <w:bidi w:val="0"/>
        <w:spacing w:before="240" w:after="0"/>
        <w:jc w:val="left"/>
        <w:rPr/>
      </w:pPr>
      <w:r>
        <w:rPr/>
        <w:t>“</w:t>
      </w:r>
      <w:r>
        <w:rPr>
          <w:rFonts w:ascii="Times New Roman" w:hAnsi="Times New Roman"/>
          <w:b/>
          <w:sz w:val="20"/>
        </w:rPr>
        <w:t>Lending Office</w:t>
      </w:r>
      <w:r>
        <w:rPr>
          <w:rFonts w:ascii="Times New Roman" w:hAnsi="Times New Roman"/>
          <w:sz w:val="20"/>
        </w:rPr>
        <w:t xml:space="preserve">”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 </w:t>
      </w:r>
    </w:p>
    <w:p>
      <w:pPr>
        <w:pStyle w:val="TextBody"/>
        <w:bidi w:val="0"/>
        <w:spacing w:before="240" w:after="0"/>
        <w:jc w:val="left"/>
        <w:rPr/>
      </w:pPr>
      <w:r>
        <w:rPr/>
        <w:t>“</w:t>
      </w:r>
      <w:r>
        <w:rPr>
          <w:rFonts w:ascii="Times New Roman" w:hAnsi="Times New Roman"/>
          <w:b/>
          <w:sz w:val="20"/>
        </w:rPr>
        <w:t>Level</w:t>
      </w:r>
      <w:r>
        <w:rPr>
          <w:rFonts w:ascii="Times New Roman" w:hAnsi="Times New Roman"/>
          <w:sz w:val="20"/>
        </w:rPr>
        <w:t xml:space="preserve">” has the meaning given that term in the definition of the term “Applicable Margin.”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w:t>
      </w:r>
    </w:p>
    <w:p>
      <w:pPr>
        <w:pStyle w:val="TextBody"/>
        <w:bidi w:val="0"/>
        <w:spacing w:before="240" w:after="0"/>
        <w:jc w:val="left"/>
        <w:rPr/>
      </w:pPr>
      <w:r>
        <w:rPr/>
        <w:t>“</w:t>
      </w:r>
      <w:r>
        <w:rPr>
          <w:rFonts w:ascii="Times New Roman" w:hAnsi="Times New Roman"/>
          <w:b/>
          <w:sz w:val="20"/>
        </w:rPr>
        <w:t>Loan</w:t>
      </w:r>
      <w:r>
        <w:rPr>
          <w:rFonts w:ascii="Times New Roman" w:hAnsi="Times New Roman"/>
          <w:sz w:val="20"/>
        </w:rPr>
        <w:t xml:space="preserve">” means a loan made by a Lender as described in Section 2.1.(a) or an Additional Loan made pursuant to Section 2.14.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Document</w:t>
      </w:r>
      <w:r>
        <w:rPr>
          <w:rFonts w:ascii="Times New Roman" w:hAnsi="Times New Roman"/>
          <w:sz w:val="20"/>
        </w:rPr>
        <w:t xml:space="preserve">” means this Agreement, each Note, the Guaranty and each other document or instrument now or hereafter executed and delivered by a Loan Party in connection with, pursuant to or relating to this Agreement (other than the Fee Letter and any Specified Derivatives Contract). </w:t>
      </w:r>
    </w:p>
    <w:p>
      <w:pPr>
        <w:pStyle w:val="TextBody"/>
        <w:bidi w:val="0"/>
        <w:spacing w:before="240" w:after="0"/>
        <w:jc w:val="left"/>
        <w:rPr/>
      </w:pPr>
      <w:r>
        <w:rPr/>
        <w:t>“</w:t>
      </w:r>
      <w:r>
        <w:rPr>
          <w:rFonts w:ascii="Times New Roman" w:hAnsi="Times New Roman"/>
          <w:b/>
          <w:sz w:val="20"/>
        </w:rPr>
        <w:t>Loan Party</w:t>
      </w:r>
      <w:r>
        <w:rPr>
          <w:rFonts w:ascii="Times New Roman" w:hAnsi="Times New Roman"/>
          <w:sz w:val="20"/>
        </w:rPr>
        <w:t xml:space="preserve">” means each of the Borrower and each other Person who guarantees all or a portion of the Obligations. Schedule 1.1.(a) sets forth the Loan Parties in addition to the Borrower as of the Agreement Date. </w:t>
      </w:r>
    </w:p>
    <w:p>
      <w:pPr>
        <w:pStyle w:val="TextBody"/>
        <w:bidi w:val="0"/>
        <w:spacing w:before="240" w:after="0"/>
        <w:jc w:val="left"/>
        <w:rPr/>
      </w:pPr>
      <w:r>
        <w:rPr/>
        <w:t>“</w:t>
      </w:r>
      <w:r>
        <w:rPr>
          <w:rFonts w:ascii="Times New Roman" w:hAnsi="Times New Roman"/>
          <w:b/>
          <w:sz w:val="20"/>
        </w:rPr>
        <w:t>Major Default</w:t>
      </w:r>
      <w:r>
        <w:rPr>
          <w:rFonts w:ascii="Times New Roman" w:hAnsi="Times New Roman"/>
          <w:sz w:val="20"/>
        </w:rPr>
        <w:t xml:space="preserve">” means a Default resulting from the occurrence of any of the events described in Section 10.1.(a), Section 10.1.(e) or Section 10.1.(f). </w:t>
      </w:r>
    </w:p>
    <w:p>
      <w:pPr>
        <w:pStyle w:val="TextBody"/>
        <w:bidi w:val="0"/>
        <w:spacing w:before="240" w:after="0"/>
        <w:jc w:val="left"/>
        <w:rPr/>
      </w:pPr>
      <w:r>
        <w:rPr/>
        <w:t>“</w:t>
      </w:r>
      <w:r>
        <w:rPr>
          <w:rFonts w:ascii="Times New Roman" w:hAnsi="Times New Roman"/>
          <w:b/>
          <w:sz w:val="20"/>
        </w:rPr>
        <w:t>Mandatorily Redeemable Stock</w:t>
      </w:r>
      <w:r>
        <w:rPr>
          <w:rFonts w:ascii="Times New Roman" w:hAnsi="Times New Roman"/>
          <w:sz w:val="20"/>
        </w:rPr>
        <w:t xml:space="preserve">”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(including interests in the Borrower and in “downREIT” Subsidiaries of the Borrower) which is redeemable in exchange for common stock or other equivalent common Equity Interests without the payment of any cash or other consideration); in each case, on or prior to the Maturity Date. For purposes of this definition, Equity Interests in any of the following Subsidiaries which the Borrower or any Subsidiary is obligated to acquire pursuant to currently existing agreements (as in effect on the April 20, 2016) with the holders of such Equity Interest shall not be considered to be Mandatorily Redeemable Stock: Congressional Plaza Associates, LLC; NVI-Avenue, LLC; Shrewsbury Commons LP; Route 35 Shrewsbury Limited Partnership; Sea Girt Limited Partnership; 35 West LLC; and Federal Realty Partners L.P. </w:t>
      </w:r>
    </w:p>
    <w:p>
      <w:pPr>
        <w:pStyle w:val="TextBody"/>
        <w:bidi w:val="0"/>
        <w:spacing w:before="240" w:after="0"/>
        <w:jc w:val="left"/>
        <w:rPr/>
      </w:pPr>
      <w:r>
        <w:rPr/>
        <w:t>“</w:t>
      </w:r>
      <w:r>
        <w:rPr>
          <w:rFonts w:ascii="Times New Roman" w:hAnsi="Times New Roman"/>
          <w:b/>
          <w:sz w:val="20"/>
        </w:rPr>
        <w:t>Material Acquisition</w:t>
      </w:r>
      <w:r>
        <w:rPr>
          <w:rFonts w:ascii="Times New Roman" w:hAnsi="Times New Roman"/>
          <w:sz w:val="20"/>
        </w:rPr>
        <w:t xml:space="preserve">”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materially adverse effect on (a) the business, assets, liabilities, financial condition or results of operations of the Borrower and/or the Parent and their respective Subsidiaries taken as a whole, (b) the ability of the Borrower or any other Loan Party to perform its obligations under any Loan Document to which it is a party, (c) the validity or enforceability of any of the Loan Documents, (d) the rights and remedies of the Lenders and the Administrative Agent under any of the Loan Documents or (e) the timely payment of the principal of or interest on the Loans or other amounts payable in connection therewith. </w:t>
      </w:r>
    </w:p>
    <w:p>
      <w:pPr>
        <w:pStyle w:val="TextBody"/>
        <w:bidi w:val="0"/>
        <w:spacing w:before="240" w:after="0"/>
        <w:jc w:val="left"/>
        <w:rPr/>
      </w:pPr>
      <w:r>
        <w:rPr>
          <w:strike/>
          <w:color w:val="FF0000"/>
        </w:rPr>
        <w:t>“</w:t>
      </w:r>
      <w:r>
        <w:rPr>
          <w:rFonts w:ascii="Times New Roman" w:hAnsi="Times New Roman"/>
          <w:b/>
          <w:strike/>
          <w:color w:val="FF0000"/>
          <w:sz w:val="20"/>
        </w:rPr>
        <w:t>Material Contract</w:t>
      </w:r>
      <w:r>
        <w:rPr>
          <w:rFonts w:ascii="Times New Roman" w:hAnsi="Times New Roman"/>
          <w:strike/>
          <w:color w:val="FF0000"/>
          <w:sz w:val="20"/>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has the meaning given that term in Section 10.1.(d).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means any Subsidiary to which more than 2% of Adjusted Total Asset Value is attributable on an individual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Maturity Date</w:t>
      </w:r>
      <w:r>
        <w:rPr>
          <w:rFonts w:ascii="Times New Roman" w:hAnsi="Times New Roman"/>
          <w:sz w:val="20"/>
        </w:rPr>
        <w:t xml:space="preserve">” means January 31, 2031. </w:t>
      </w:r>
    </w:p>
    <w:p>
      <w:pPr>
        <w:pStyle w:val="TextBody"/>
        <w:bidi w:val="0"/>
        <w:spacing w:before="240" w:after="0"/>
        <w:jc w:val="left"/>
        <w:rPr/>
      </w:pPr>
      <w:r>
        <w:rPr/>
        <w:t>“</w:t>
      </w:r>
      <w:r>
        <w:rPr>
          <w:rFonts w:ascii="Times New Roman" w:hAnsi="Times New Roman"/>
          <w:b/>
          <w:sz w:val="20"/>
        </w:rPr>
        <w:t>Mixed-Use Project</w:t>
      </w:r>
      <w:r>
        <w:rPr>
          <w:rFonts w:ascii="Times New Roman" w:hAnsi="Times New Roman"/>
          <w:sz w:val="20"/>
        </w:rPr>
        <w:t xml:space="preserve">” means any mixed-use project that includes or will include a Retail Property and will also include a Multifamily Property and/or an Office Property.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means a mortgage, deed of trust, deed to secure debt or similar security instrument made by a Person owning an interest in real estate granting a Lien on such interest in real estate as security for the payment of Indebtedness. </w:t>
      </w:r>
    </w:p>
    <w:p>
      <w:pPr>
        <w:pStyle w:val="TextBody"/>
        <w:bidi w:val="0"/>
        <w:spacing w:before="240" w:after="0"/>
        <w:jc w:val="left"/>
        <w:rPr/>
      </w:pPr>
      <w:r>
        <w:rPr/>
        <w:t>“</w:t>
      </w:r>
      <w:r>
        <w:rPr>
          <w:rFonts w:ascii="Times New Roman" w:hAnsi="Times New Roman"/>
          <w:b/>
          <w:sz w:val="20"/>
        </w:rPr>
        <w:t>Mortgage Receivable</w:t>
      </w:r>
      <w:r>
        <w:rPr>
          <w:rFonts w:ascii="Times New Roman" w:hAnsi="Times New Roman"/>
          <w:sz w:val="20"/>
        </w:rPr>
        <w:t xml:space="preserve">”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 </w:t>
      </w:r>
    </w:p>
    <w:p>
      <w:pPr>
        <w:pStyle w:val="TextBody"/>
        <w:bidi w:val="0"/>
        <w:spacing w:before="240" w:after="0"/>
        <w:jc w:val="left"/>
        <w:rPr/>
      </w:pPr>
      <w:r>
        <w:rPr/>
        <w:t>“</w:t>
      </w:r>
      <w:r>
        <w:rPr>
          <w:rFonts w:ascii="Times New Roman" w:hAnsi="Times New Roman"/>
          <w:b/>
          <w:sz w:val="20"/>
        </w:rPr>
        <w:t>Multifamily Property</w:t>
      </w:r>
      <w:r>
        <w:rPr>
          <w:rFonts w:ascii="Times New Roman" w:hAnsi="Times New Roman"/>
          <w:sz w:val="20"/>
        </w:rPr>
        <w:t xml:space="preserve">” means a Property improved with, and from which at least 80% of the rental income is derived from, residential apartments, which may include a Property that is a part of a Mixed-Use Project. </w:t>
      </w:r>
    </w:p>
    <w:p>
      <w:pPr>
        <w:pStyle w:val="TextBody"/>
        <w:bidi w:val="0"/>
        <w:spacing w:before="240" w:after="0"/>
        <w:jc w:val="left"/>
        <w:rPr/>
      </w:pPr>
      <w:r>
        <w:rPr/>
        <w:t>“</w:t>
      </w:r>
      <w:r>
        <w:rPr>
          <w:rFonts w:ascii="Times New Roman" w:hAnsi="Times New Roman"/>
          <w:b/>
          <w:sz w:val="20"/>
        </w:rPr>
        <w:t>Negative Pledge</w:t>
      </w:r>
      <w:r>
        <w:rPr>
          <w:rFonts w:ascii="Times New Roman" w:hAnsi="Times New Roman"/>
          <w:sz w:val="20"/>
        </w:rPr>
        <w:t xml:space="preserve">”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 </w:t>
      </w:r>
    </w:p>
    <w:p>
      <w:pPr>
        <w:pStyle w:val="TextBody"/>
        <w:bidi w:val="0"/>
        <w:spacing w:before="240" w:after="0"/>
        <w:jc w:val="left"/>
        <w:rPr/>
      </w:pPr>
      <w:r>
        <w:rPr/>
        <w:t>“</w:t>
      </w:r>
      <w:r>
        <w:rPr>
          <w:rFonts w:ascii="Times New Roman" w:hAnsi="Times New Roman"/>
          <w:b/>
          <w:sz w:val="20"/>
        </w:rPr>
        <w:t>Net Operating Income</w:t>
      </w:r>
      <w:r>
        <w:rPr>
          <w:rFonts w:ascii="Times New Roman" w:hAnsi="Times New Roman"/>
          <w:sz w:val="20"/>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Times New Roman" w:hAnsi="Times New Roman"/>
          <w:sz w:val="20"/>
          <w:u w:val="single"/>
        </w:rPr>
        <w:t>minus</w:t>
      </w:r>
      <w:r>
        <w:rPr>
          <w:rFonts w:ascii="Times New Roman" w:hAnsi="Times New Roman"/>
          <w:sz w:val="20"/>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Times New Roman" w:hAnsi="Times New Roman"/>
          <w:sz w:val="20"/>
          <w:u w:val="single"/>
        </w:rPr>
        <w:t>minus</w:t>
      </w:r>
      <w:r>
        <w:rPr>
          <w:rFonts w:ascii="Times New Roman" w:hAnsi="Times New Roman"/>
          <w:sz w:val="20"/>
        </w:rPr>
        <w:t xml:space="preserve"> (c) the Capital Reserves for such Property as of the end of such period </w:t>
      </w:r>
      <w:r>
        <w:rPr>
          <w:rFonts w:ascii="Times New Roman" w:hAnsi="Times New Roman"/>
          <w:sz w:val="20"/>
          <w:u w:val="single"/>
        </w:rPr>
        <w:t>minus</w:t>
      </w:r>
      <w:r>
        <w:rPr>
          <w:rFonts w:ascii="Times New Roman" w:hAnsi="Times New Roman"/>
          <w:sz w:val="20"/>
        </w:rPr>
        <w:t xml:space="preserve"> (d) the greater of (i) the actual property management fee paid during such period with respect to such Property and (ii) an imputed management fee in the amount equal to 3.0% of the gross revenues for such Property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Net Proceeds</w:t>
      </w:r>
      <w:r>
        <w:rPr>
          <w:rFonts w:ascii="Times New Roman" w:hAnsi="Times New Roman"/>
          <w:sz w:val="20"/>
        </w:rPr>
        <w:t xml:space="preserve">”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 </w:t>
      </w:r>
    </w:p>
    <w:p>
      <w:pPr>
        <w:pStyle w:val="TextBody"/>
        <w:bidi w:val="0"/>
        <w:spacing w:before="240" w:after="0"/>
        <w:jc w:val="left"/>
        <w:rPr/>
      </w:pPr>
      <w:r>
        <w:rPr/>
        <w:t>“</w:t>
      </w:r>
      <w:r>
        <w:rPr>
          <w:rFonts w:ascii="Times New Roman" w:hAnsi="Times New Roman"/>
          <w:b/>
          <w:sz w:val="20"/>
        </w:rPr>
        <w:t>Non-Controlled Property</w:t>
      </w:r>
      <w:r>
        <w:rPr>
          <w:rFonts w:ascii="Times New Roman" w:hAnsi="Times New Roman"/>
          <w:sz w:val="20"/>
        </w:rPr>
        <w:t xml:space="preserve">” means an Eligible Property owned in fee simple (or leased under a Ground Lease) by (a) an Unconsolidated Affiliate or (b) a Subsidiary that is not a Wholly Owned Subsidiary but which Property does not otherwise qualify as a Controlled Property.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xml:space="preserve">” means a promissory note of the Borrower substantially in the form of Exhibit F, payable to a Lender or its registered assignees in a principal amount equal to the amount of such Lender’s Loans and its Commitment.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means a notice substantially in the form of Exhibit C (or such other form reasonably acceptable to the Administrative Agent and containing the information required in such Exhibit) to be delivered to the Administrative Agent pursuant to Section 2.1.(b) evidencing the Borrower’s request for the borrowing of the Loans. </w:t>
      </w:r>
    </w:p>
    <w:p>
      <w:pPr>
        <w:pStyle w:val="TextBody"/>
        <w:bidi w:val="0"/>
        <w:spacing w:before="240" w:after="0"/>
        <w:jc w:val="left"/>
        <w:rPr/>
      </w:pPr>
      <w:r>
        <w:rPr/>
        <w:t>“</w:t>
      </w:r>
      <w:r>
        <w:rPr>
          <w:rFonts w:ascii="Times New Roman" w:hAnsi="Times New Roman"/>
          <w:b/>
          <w:sz w:val="20"/>
        </w:rPr>
        <w:t>Notice of Continuation</w:t>
      </w:r>
      <w:r>
        <w:rPr>
          <w:rFonts w:ascii="Times New Roman" w:hAnsi="Times New Roman"/>
          <w:sz w:val="20"/>
        </w:rPr>
        <w:t xml:space="preserve">” means a notice substantially in the form of Exhibit D (or such other form reasonably acceptable to the Administrative Agent and containing the information required in such Exhibit) to be delivered to the Administrative Agent pursuant to Section 2.9. evidencing the Borrower’s request for the Continuation of a SOFR Loan.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means a notice substantially in the form of Exhibit E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individually and collectively: (a) the aggregate principal balance of, 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 </w:t>
      </w:r>
    </w:p>
    <w:p>
      <w:pPr>
        <w:pStyle w:val="TextBody"/>
        <w:bidi w:val="0"/>
        <w:spacing w:before="240" w:after="0"/>
        <w:jc w:val="left"/>
        <w:rPr/>
      </w:pPr>
      <w:r>
        <w:rPr/>
        <w:t>“</w:t>
      </w:r>
      <w:r>
        <w:rPr>
          <w:rFonts w:ascii="Times New Roman" w:hAnsi="Times New Roman"/>
          <w:b/>
          <w:sz w:val="20"/>
        </w:rPr>
        <w:t>Occupancy Rate</w:t>
      </w:r>
      <w:r>
        <w:rPr>
          <w:rFonts w:ascii="Times New Roman" w:hAnsi="Times New Roman"/>
          <w:sz w:val="20"/>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Times New Roman" w:hAnsi="Times New Roman"/>
          <w:i/>
          <w:sz w:val="20"/>
        </w:rPr>
        <w:t>provided</w:t>
      </w:r>
      <w:r>
        <w:rPr>
          <w:rFonts w:ascii="Times New Roman" w:hAnsi="Times New Roman"/>
          <w:sz w:val="20"/>
        </w:rPr>
        <w:t xml:space="preserve">,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means the U.S. Department of the Treasury’s Office of Foreign Assets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Office Property</w:t>
      </w:r>
      <w:r>
        <w:rPr>
          <w:rFonts w:ascii="Times New Roman" w:hAnsi="Times New Roman"/>
          <w:sz w:val="20"/>
        </w:rPr>
        <w:t xml:space="preserve">” means a Property improved with a building or buildings the substantial use of which is office space, which may include a Property that is part of a Mixed-Use Project. </w:t>
      </w:r>
    </w:p>
    <w:p>
      <w:pPr>
        <w:pStyle w:val="TextBody"/>
        <w:bidi w:val="0"/>
        <w:spacing w:before="240" w:after="0"/>
        <w:jc w:val="left"/>
        <w:rPr/>
      </w:pPr>
      <w:r>
        <w:rPr/>
        <w:t>“</w:t>
      </w:r>
      <w:r>
        <w:rPr>
          <w:rFonts w:ascii="Times New Roman" w:hAnsi="Times New Roman"/>
          <w:b/>
          <w:sz w:val="20"/>
        </w:rPr>
        <w:t>Off-Balance Sheet Obligations</w:t>
      </w:r>
      <w:r>
        <w:rPr>
          <w:rFonts w:ascii="Times New Roman" w:hAnsi="Times New Roman"/>
          <w:sz w:val="20"/>
        </w:rPr>
        <w:t xml:space="preserve">”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Outbound Investment Rules</w:t>
      </w:r>
      <w:r>
        <w:rPr>
          <w:rFonts w:ascii="Times New Roman" w:hAnsi="Times New Roman"/>
          <w:color w:val="0000FF"/>
          <w:sz w:val="20"/>
          <w:u w:val="single"/>
          <w:bdr w:val="double" w:sz="2" w:space="1" w:color="000000"/>
        </w:rPr>
        <w:t>” means the regulations administered and enforced, together with any related public guidance issued, by the United States Treasury Department under U.S. Executive Order 14105 of August 9, 2023, or any similar law or regulation; as of the First Amendment Date, and as codified at 31 C.F.R. § 850.101 et seq.</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Ownership Share</w:t>
      </w:r>
      <w:r>
        <w:rPr>
          <w:rFonts w:ascii="Times New Roman" w:hAnsi="Times New Roman"/>
          <w:sz w:val="20"/>
        </w:rPr>
        <w:t xml:space="preserv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means Federal Realty Investment Trust, a real estate investment trust formed under the laws of the State of Maryland</w:t>
      </w:r>
      <w:r>
        <w:rPr>
          <w:rFonts w:ascii="Times New Roman" w:hAnsi="Times New Roman"/>
          <w:strike/>
          <w:color w:val="FF0000"/>
          <w:sz w:val="20"/>
        </w:rPr>
        <w:t>, formerly known as FRT Holdco REIT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Parent/General Partner Guaranty</w:t>
      </w:r>
      <w:r>
        <w:rPr>
          <w:rFonts w:ascii="Times New Roman" w:hAnsi="Times New Roman"/>
          <w:sz w:val="20"/>
        </w:rPr>
        <w:t xml:space="preserve">” means the Parent/General Partner Guaranty delivered (if ever) pursuant to Section 7.14. and substantially in the form of Exhibit L.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given that term in Section 12.6.(d).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PATRIOT Act</w:t>
      </w:r>
      <w:r>
        <w:rPr>
          <w:rFonts w:ascii="Times New Roman" w:hAnsi="Times New Roman"/>
          <w:sz w:val="20"/>
        </w:rPr>
        <w:t xml:space="preserve">” means the USA PATRIOT Act (Title III of Pub. L. 107-56 (signed into law October 26, 2001)).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Payment Recipient</w:t>
      </w:r>
      <w:r>
        <w:rPr>
          <w:rFonts w:ascii="Times New Roman" w:hAnsi="Times New Roman"/>
          <w:sz w:val="20"/>
        </w:rPr>
        <w:t xml:space="preserve">” has the meaning given that term in Section 11.10(a).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and any successor agency. </w:t>
      </w:r>
    </w:p>
    <w:p>
      <w:pPr>
        <w:pStyle w:val="TextBody"/>
        <w:bidi w:val="0"/>
        <w:spacing w:before="240" w:after="0"/>
        <w:jc w:val="left"/>
        <w:rPr/>
      </w:pPr>
      <w:r>
        <w:rPr/>
        <w:t>“</w:t>
      </w:r>
      <w:r>
        <w:rPr>
          <w:rFonts w:ascii="Times New Roman" w:hAnsi="Times New Roman"/>
          <w:b/>
          <w:sz w:val="20"/>
        </w:rPr>
        <w:t>Periodic Term SOFR Determination Day</w:t>
      </w:r>
      <w:r>
        <w:rPr>
          <w:rFonts w:ascii="Times New Roman" w:hAnsi="Times New Roman"/>
          <w:sz w:val="20"/>
        </w:rPr>
        <w:t xml:space="preserve">” has the meaning given that term in the definition of the term “Term SOFR”. </w:t>
      </w:r>
    </w:p>
    <w:p>
      <w:pPr>
        <w:pStyle w:val="TextBody"/>
        <w:bidi w:val="0"/>
        <w:spacing w:before="240" w:after="0"/>
        <w:jc w:val="left"/>
        <w:rPr/>
      </w:pPr>
      <w:r>
        <w:rPr/>
        <w:t>“</w:t>
      </w:r>
      <w:r>
        <w:rPr>
          <w:rFonts w:ascii="Times New Roman" w:hAnsi="Times New Roman"/>
          <w:b/>
          <w:sz w:val="20"/>
        </w:rPr>
        <w:t>Permitted Bond Hedge Transaction</w:t>
      </w:r>
      <w:r>
        <w:rPr>
          <w:rFonts w:ascii="Times New Roman" w:hAnsi="Times New Roman"/>
          <w:sz w:val="20"/>
        </w:rPr>
        <w:t xml:space="preserve">” means any call or capped call option (or substantively equivalent derivative transaction) relating to Parent’s common shares (or other securities or property following a merger event, reclassification or other change of the common shares of Parent not prohibited by this Agreement) purchased by the Borrower or Parent in connection with the issuance of any Convertible Notes and settled in common shares of Parent (or such other securities or property), cash or a combination thereof; provided that the purchase price for such Permitted Bond Hedge Transactions, less the proceeds received by Parent from the sale of any related Permitted Warrant Transactions, does not exceed the Net Proceeds received by the Borrower from the issuance of the Convertible Notes in connection with such Permitted Bond Hedge Transactions.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 </w:t>
      </w:r>
    </w:p>
    <w:p>
      <w:pPr>
        <w:pStyle w:val="TextBody"/>
        <w:bidi w:val="0"/>
        <w:spacing w:before="240" w:after="0"/>
        <w:jc w:val="left"/>
        <w:rPr/>
      </w:pPr>
      <w:r>
        <w:rPr/>
        <w:t>“</w:t>
      </w:r>
      <w:r>
        <w:rPr>
          <w:rFonts w:ascii="Times New Roman" w:hAnsi="Times New Roman"/>
          <w:b/>
          <w:sz w:val="20"/>
        </w:rPr>
        <w:t>Permitted Warrant Transaction</w:t>
      </w:r>
      <w:r>
        <w:rPr>
          <w:rFonts w:ascii="Times New Roman" w:hAnsi="Times New Roman"/>
          <w:sz w:val="20"/>
        </w:rPr>
        <w:t xml:space="preserve">” means any call option, warrant or right to purchase (or substantively equivalent derivative transaction) relating to Parent’s common shares (or other securities or property following a merger event, reclassification or other change to the common shares of Parent not prohibited by this Agreement) sold by Parent substantially concurrently with any purchase by the Borrower or Parent of a related Permitted Bond Hedge Transaction and settled in common shares of Parent (or such other securities or property), cash or a combination thereof, and the performance by Parent of its obligations thereunder.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PNC Bank Term Loan Agreement</w:t>
      </w:r>
      <w:r>
        <w:rPr>
          <w:rFonts w:ascii="Times New Roman" w:hAnsi="Times New Roman"/>
          <w:sz w:val="20"/>
        </w:rPr>
        <w:t xml:space="preserve">” means that certain Amended and Restated Term Loan Agreement, dated as of March 20, 2025, by and among the Borrower, FRIT San Jose, the financial institutions party thereto as “Lenders,” PNC Bank, National Association, as administrative agent thereunder, and the other parties thereto. </w:t>
      </w:r>
    </w:p>
    <w:p>
      <w:pPr>
        <w:pStyle w:val="TextBody"/>
        <w:bidi w:val="0"/>
        <w:spacing w:before="240" w:after="0"/>
        <w:jc w:val="left"/>
        <w:rPr/>
      </w:pPr>
      <w:r>
        <w:rPr/>
        <w:t>“</w:t>
      </w:r>
      <w:r>
        <w:rPr>
          <w:rFonts w:ascii="Times New Roman" w:hAnsi="Times New Roman"/>
          <w:b/>
          <w:sz w:val="20"/>
        </w:rPr>
        <w:t>Post-Default Rate</w:t>
      </w:r>
      <w:r>
        <w:rPr>
          <w:rFonts w:ascii="Times New Roman" w:hAnsi="Times New Roman"/>
          <w:sz w:val="20"/>
        </w:rPr>
        <w:t xml:space="preserve">” means, in respect of any principal of any Loan, the rate otherwise applicable </w:t>
      </w:r>
      <w:r>
        <w:rPr>
          <w:rFonts w:ascii="Times New Roman" w:hAnsi="Times New Roman"/>
          <w:sz w:val="20"/>
          <w:u w:val="single"/>
        </w:rPr>
        <w:t>plus</w:t>
      </w:r>
      <w:r>
        <w:rPr>
          <w:rFonts w:ascii="Times New Roman" w:hAnsi="Times New Roman"/>
          <w:sz w:val="20"/>
        </w:rPr>
        <w:t xml:space="preserve"> an additional four percent (4.0%) per annum and with respect to any other Obligation, a rate per annum equal to the Base Rate as in effect from time to time </w:t>
      </w:r>
      <w:r>
        <w:rPr>
          <w:rFonts w:ascii="Times New Roman" w:hAnsi="Times New Roman"/>
          <w:sz w:val="20"/>
          <w:u w:val="single"/>
        </w:rPr>
        <w:t>plus</w:t>
      </w:r>
      <w:r>
        <w:rPr>
          <w:rFonts w:ascii="Times New Roman" w:hAnsi="Times New Roman"/>
          <w:sz w:val="20"/>
        </w:rPr>
        <w:t xml:space="preserve"> the Applicable Margin for Base Rate Loans </w:t>
      </w:r>
      <w:r>
        <w:rPr>
          <w:rFonts w:ascii="Times New Roman" w:hAnsi="Times New Roman"/>
          <w:sz w:val="20"/>
          <w:u w:val="single"/>
        </w:rPr>
        <w:t>plus</w:t>
      </w:r>
      <w:r>
        <w:rPr>
          <w:rFonts w:ascii="Times New Roman" w:hAnsi="Times New Roman"/>
          <w:sz w:val="20"/>
        </w:rPr>
        <w:t xml:space="preserve"> four percent (4.0%). </w:t>
      </w:r>
    </w:p>
    <w:p>
      <w:pPr>
        <w:pStyle w:val="TextBody"/>
        <w:bidi w:val="0"/>
        <w:spacing w:before="240" w:after="0"/>
        <w:jc w:val="left"/>
        <w:rPr/>
      </w:pPr>
      <w:r>
        <w:rPr/>
        <w:t>“</w:t>
      </w:r>
      <w:r>
        <w:rPr>
          <w:rFonts w:ascii="Times New Roman" w:hAnsi="Times New Roman"/>
          <w:b/>
          <w:sz w:val="20"/>
        </w:rPr>
        <w:t>Preferred Dividends</w:t>
      </w:r>
      <w:r>
        <w:rPr>
          <w:rFonts w:ascii="Times New Roman" w:hAnsi="Times New Roman"/>
          <w:sz w:val="20"/>
        </w:rPr>
        <w:t xml:space="preserve">” means, for any period and without duplication, all Restricted Payments paid during such period on Preferred Equity issued by the Borrower, a Subsidiary or an Unconsolidated Affiliate (including any distributions by the Borrower to the General Partner or Parent to make payments with respect to Preferred Equity of the Parent or the General Partner).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 </w:t>
      </w:r>
    </w:p>
    <w:p>
      <w:pPr>
        <w:pStyle w:val="TextBody"/>
        <w:bidi w:val="0"/>
        <w:spacing w:before="240" w:after="0"/>
        <w:jc w:val="left"/>
        <w:rPr/>
      </w:pPr>
      <w:r>
        <w:rPr/>
        <w:t>“</w:t>
      </w:r>
      <w:r>
        <w:rPr>
          <w:rFonts w:ascii="Times New Roman" w:hAnsi="Times New Roman"/>
          <w:b/>
          <w:sz w:val="20"/>
        </w:rPr>
        <w:t>Preferred Equity</w:t>
      </w:r>
      <w:r>
        <w:rPr>
          <w:rFonts w:ascii="Times New Roman" w:hAnsi="Times New Roman"/>
          <w:sz w:val="20"/>
        </w:rPr>
        <w:t xml:space="preserve">” means, with respect to any Person, Equity Interests in such Person which are entitled to preference or priority over any other Equity Interest in such Person in respect of the payment of dividends or distribution of assets upon liquidation or both.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 </w:t>
      </w:r>
    </w:p>
    <w:p>
      <w:pPr>
        <w:pStyle w:val="TextBody"/>
        <w:bidi w:val="0"/>
        <w:spacing w:before="240" w:after="0"/>
        <w:jc w:val="left"/>
        <w:rPr/>
      </w:pPr>
      <w:r>
        <w:rPr/>
        <w:t>“</w:t>
      </w:r>
      <w:r>
        <w:rPr>
          <w:rFonts w:ascii="Times New Roman" w:hAnsi="Times New Roman"/>
          <w:b/>
          <w:sz w:val="20"/>
        </w:rPr>
        <w:t>Principal Office</w:t>
      </w:r>
      <w:r>
        <w:rPr>
          <w:rFonts w:ascii="Times New Roman" w:hAnsi="Times New Roman"/>
          <w:sz w:val="20"/>
        </w:rPr>
        <w:t xml:space="preserve">” means the main banking office of the Administrative Agent located in Atlanta, Georgia, or such other office designated by the Administrative Agent.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any parcel of real property owned or leased (in whole or in part) or operated by the Borrower, any Subsidiary or any Unconsolidated Affiliate of the Borrower and which is located in a state of the United States of America or the District of Columbia. </w:t>
      </w:r>
    </w:p>
    <w:p>
      <w:pPr>
        <w:pStyle w:val="TextBody"/>
        <w:bidi w:val="0"/>
        <w:spacing w:before="240" w:after="0"/>
        <w:jc w:val="left"/>
        <w:rPr/>
      </w:pPr>
      <w:r>
        <w:rPr/>
        <w:t>“</w:t>
      </w:r>
      <w:r>
        <w:rPr>
          <w:rFonts w:ascii="Times New Roman" w:hAnsi="Times New Roman"/>
          <w:b/>
          <w:sz w:val="20"/>
        </w:rPr>
        <w:t>Property Management Agreement</w:t>
      </w:r>
      <w:r>
        <w:rPr>
          <w:rFonts w:ascii="Times New Roman" w:hAnsi="Times New Roman"/>
          <w:sz w:val="20"/>
        </w:rPr>
        <w:t xml:space="preserve">” means an agreement pursuant to which the Borrower or a Subsidiary engages a Person to advise it with respect to the management of an Unencumbered Property or to provide management services with respect to the same. </w:t>
      </w:r>
    </w:p>
    <w:p>
      <w:pPr>
        <w:pStyle w:val="TextBody"/>
        <w:bidi w:val="0"/>
        <w:spacing w:before="240" w:after="0"/>
        <w:jc w:val="left"/>
        <w:rPr/>
      </w:pPr>
      <w:r>
        <w:rPr/>
        <w:t>“</w:t>
      </w:r>
      <w:r>
        <w:rPr>
          <w:rFonts w:ascii="Times New Roman" w:hAnsi="Times New Roman"/>
          <w:b/>
          <w:sz w:val="20"/>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pPr>
      <w:r>
        <w:rPr/>
        <w:t>“</w:t>
      </w:r>
      <w:r>
        <w:rPr>
          <w:rFonts w:ascii="Times New Roman" w:hAnsi="Times New Roman"/>
          <w:b/>
          <w:sz w:val="20"/>
        </w:rPr>
        <w:t>QFC Credit Support</w:t>
      </w:r>
      <w:r>
        <w:rPr>
          <w:rFonts w:ascii="Times New Roman" w:hAnsi="Times New Roman"/>
          <w:sz w:val="20"/>
        </w:rPr>
        <w:t xml:space="preserve">” has the meaning given that term in Section 12.24.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Qualified ECP Guarantor</w:t>
      </w:r>
      <w:r>
        <w:rPr>
          <w:rFonts w:ascii="Times New Roman" w:hAnsi="Times New Roman"/>
          <w:sz w:val="20"/>
        </w:rPr>
        <w:t xml:space="preserve">”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b/>
          <w:color w:val="0000FF"/>
          <w:sz w:val="20"/>
          <w:u w:val="single"/>
          <w:bdr w:val="double" w:sz="2" w:space="1" w:color="000000"/>
        </w:rPr>
        <w:t>Qualified Forward Equity Contract</w:t>
      </w:r>
      <w:r>
        <w:rPr>
          <w:rFonts w:ascii="Times New Roman" w:hAnsi="Times New Roman"/>
          <w:color w:val="0000FF"/>
          <w:sz w:val="20"/>
          <w:u w:val="single"/>
          <w:bdr w:val="double" w:sz="2" w:space="1" w:color="000000"/>
        </w:rPr>
        <w:t xml:space="preserve">” means a forward equity contract with respect to common Equity Interests of the Parent, entered into by the Parent and a Person (other than the Borrower, its Subsidiaries or their respective Affiliates) that has an investment grade rating with a Rating Agency; provided that, Qualified Forward Equity Contract shall exclude each forward equity contract, if any, with respect to which any of the following apply (w) the Parent or the counterparty would not reasonably be expected, for any reason, to be able to fulfill its obligations thereunder prior to the Maturity Date, (x) the Parent does not intend to contribute the net cash proceeds received in connection with any such forward equity contracts to the Borrower or its Subsidiaries, (y) the Borrower Representative’s limited partnership agreement does not require the Parent to contribute such net cash proceeds to the Borrower Representative or (z) the Parent no longer intends to issue common Equity Interests sufficient to realize such net cash proceeds. </w:t>
      </w:r>
    </w:p>
    <w:p>
      <w:pPr>
        <w:pStyle w:val="TextBody"/>
        <w:bidi w:val="0"/>
        <w:spacing w:before="240" w:after="0"/>
        <w:jc w:val="left"/>
        <w:rPr/>
      </w:pPr>
      <w:r>
        <w:rPr/>
        <w:t>“</w:t>
      </w:r>
      <w:r>
        <w:rPr>
          <w:rFonts w:ascii="Times New Roman" w:hAnsi="Times New Roman"/>
          <w:b/>
          <w:sz w:val="20"/>
        </w:rPr>
        <w:t>Qualified Plan</w:t>
      </w:r>
      <w:r>
        <w:rPr>
          <w:rFonts w:ascii="Times New Roman" w:hAnsi="Times New Roman"/>
          <w:sz w:val="20"/>
        </w:rPr>
        <w:t xml:space="preserve">” means a Benefit Arrangement that is intended to be tax-qualified under Section 401(a) of the Internal Revenue Code.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means S&amp;P</w:t>
      </w:r>
      <w:r>
        <w:rPr>
          <w:rFonts w:ascii="Times New Roman" w:hAnsi="Times New Roman"/>
          <w:strike/>
          <w:color w:val="FF0000"/>
          <w:sz w:val="20"/>
        </w:rPr>
        <w:t xml:space="preserve"> or,</w:t>
      </w:r>
      <w:r>
        <w:rPr>
          <w:rFonts w:ascii="Times New Roman" w:hAnsi="Times New Roman"/>
          <w:sz w:val="20"/>
        </w:rPr>
        <w:t xml:space="preserve"> Moody’s</w:t>
      </w:r>
      <w:r>
        <w:rPr>
          <w:rFonts w:ascii="Times New Roman" w:hAnsi="Times New Roman"/>
          <w:color w:val="0000FF"/>
          <w:sz w:val="20"/>
          <w:u w:val="single"/>
          <w:bdr w:val="double" w:sz="2" w:space="1" w:color="000000"/>
        </w:rPr>
        <w:t xml:space="preserve"> or Fitch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(a) the Administrative Agent and (b) any Lender, as applicable. </w:t>
      </w:r>
    </w:p>
    <w:p>
      <w:pPr>
        <w:pStyle w:val="TextBody"/>
        <w:bidi w:val="0"/>
        <w:spacing w:before="240" w:after="0"/>
        <w:jc w:val="left"/>
        <w:rPr/>
      </w:pPr>
      <w:r>
        <w:rPr/>
        <w:t>“</w:t>
      </w:r>
      <w:r>
        <w:rPr>
          <w:rFonts w:ascii="Times New Roman" w:hAnsi="Times New Roman"/>
          <w:b/>
          <w:sz w:val="20"/>
        </w:rPr>
        <w:t>Recourse Indebtedness</w:t>
      </w:r>
      <w:r>
        <w:rPr>
          <w:rFonts w:ascii="Times New Roman" w:hAnsi="Times New Roman"/>
          <w:sz w:val="20"/>
        </w:rPr>
        <w:t xml:space="preserve">”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given that term in Section 12.6.(c). </w:t>
      </w:r>
    </w:p>
    <w:p>
      <w:pPr>
        <w:pStyle w:val="TextBody"/>
        <w:bidi w:val="0"/>
        <w:spacing w:before="240" w:after="0"/>
        <w:jc w:val="left"/>
        <w:rPr/>
      </w:pPr>
      <w:r>
        <w:rPr/>
        <w:t>“</w:t>
      </w:r>
      <w:r>
        <w:rPr>
          <w:rFonts w:ascii="Times New Roman" w:hAnsi="Times New Roman"/>
          <w:b/>
          <w:sz w:val="20"/>
        </w:rPr>
        <w:t>Regulatory Change</w:t>
      </w:r>
      <w:r>
        <w:rPr>
          <w:rFonts w:ascii="Times New Roman" w:hAnsi="Times New Roman"/>
          <w:sz w:val="20"/>
        </w:rPr>
        <w:t xml:space="preserve">” means, with respect to any Lender, any change effective after the Agreement Date in Applicable Law (including without limitation, Regulation D of the FRB)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 </w:t>
      </w:r>
    </w:p>
    <w:p>
      <w:pPr>
        <w:pStyle w:val="TextBody"/>
        <w:bidi w:val="0"/>
        <w:spacing w:before="240" w:after="0"/>
        <w:jc w:val="left"/>
        <w:rPr/>
      </w:pPr>
      <w:r>
        <w:rPr/>
        <w:t>“</w:t>
      </w:r>
      <w:r>
        <w:rPr>
          <w:rFonts w:ascii="Times New Roman" w:hAnsi="Times New Roman"/>
          <w:b/>
          <w:sz w:val="20"/>
        </w:rPr>
        <w:t>REIT</w:t>
      </w:r>
      <w:r>
        <w:rPr>
          <w:rFonts w:ascii="Times New Roman" w:hAnsi="Times New Roman"/>
          <w:sz w:val="20"/>
        </w:rPr>
        <w:t xml:space="preserve">” means a Person qualifying for treatment as a “real estate investment trust” under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Related Parties</w:t>
      </w:r>
      <w:r>
        <w:rPr>
          <w:rFonts w:ascii="Times New Roman" w:hAnsi="Times New Roman"/>
          <w:sz w:val="20"/>
        </w:rPr>
        <w:t xml:space="preserve">” means, with respect to any Person, such Person’s Affiliates and the partners, directors, officers, employees, agents and advisors of such Person and of such Person’s Affiliates.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means the FRB or the Federal Reserve Bank of New York, or a committee officially endorsed or convened by the FRB or the Federal Reserve Bank of New York, or any successor thereto. </w:t>
      </w:r>
    </w:p>
    <w:p>
      <w:pPr>
        <w:pStyle w:val="TextBody"/>
        <w:bidi w:val="0"/>
        <w:spacing w:before="240" w:after="0"/>
        <w:jc w:val="left"/>
        <w:rPr/>
      </w:pPr>
      <w:r>
        <w:rPr/>
        <w:t>“</w:t>
      </w:r>
      <w:r>
        <w:rPr>
          <w:rFonts w:ascii="Times New Roman" w:hAnsi="Times New Roman"/>
          <w:b/>
          <w:sz w:val="20"/>
        </w:rPr>
        <w:t>Requisite Lenders</w:t>
      </w:r>
      <w:r>
        <w:rPr>
          <w:rFonts w:ascii="Times New Roman" w:hAnsi="Times New Roman"/>
          <w:sz w:val="20"/>
        </w:rPr>
        <w:t xml:space="preserve">” means, as of any date, Lenders having more than 50.0% of the sum of (a) the aggregate amount of the Commitments (if any) and (b) the principal amount of the aggregate outstanding Loans; provided that in determining such percentage at any given time, all then existing Defaulting Lenders will be disregarded and excluded; provided, further, that at all times when two or more Lenders (excluding Defaulting Lenders) are party to this Agreement, the term “Requisite Lenders” shall in no event mean less than two unaffiliated Lenders. </w:t>
      </w:r>
    </w:p>
    <w:p>
      <w:pPr>
        <w:pStyle w:val="TextBody"/>
        <w:bidi w:val="0"/>
        <w:spacing w:before="24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with respect to the Borrower or any Subsidiary, the chief executive officer, the chief financial officer, the treasurer or the chief operating officer of the Borrower or such Subsidiary and, solely in the case of the Borrower, the chief accounting officer of the Borrower. </w:t>
      </w:r>
    </w:p>
    <w:p>
      <w:pPr>
        <w:pStyle w:val="TextBody"/>
        <w:bidi w:val="0"/>
        <w:spacing w:before="240" w:after="0"/>
        <w:jc w:val="left"/>
        <w:rPr/>
      </w:pPr>
      <w:r>
        <w:rPr/>
        <w:t>“</w:t>
      </w:r>
      <w:r>
        <w:rPr>
          <w:rFonts w:ascii="Times New Roman" w:hAnsi="Times New Roman"/>
          <w:b/>
          <w:sz w:val="20"/>
        </w:rPr>
        <w:t>Restricted Payment</w:t>
      </w:r>
      <w:r>
        <w:rPr>
          <w:rFonts w:ascii="Times New Roman" w:hAnsi="Times New Roman"/>
          <w:sz w:val="20"/>
        </w:rPr>
        <w:t xml:space="preserve">” means (a) any dividend or other distribution, direct or indirect, on account of any Equity Interest of the Borrower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 </w:t>
      </w:r>
    </w:p>
    <w:p>
      <w:pPr>
        <w:pStyle w:val="TextBody"/>
        <w:bidi w:val="0"/>
        <w:spacing w:before="240" w:after="0"/>
        <w:jc w:val="left"/>
        <w:rPr/>
      </w:pPr>
      <w:r>
        <w:rPr/>
        <w:t>“</w:t>
      </w:r>
      <w:r>
        <w:rPr>
          <w:rFonts w:ascii="Times New Roman" w:hAnsi="Times New Roman"/>
          <w:b/>
          <w:sz w:val="20"/>
        </w:rPr>
        <w:t>Retail Property</w:t>
      </w:r>
      <w:r>
        <w:rPr>
          <w:rFonts w:ascii="Times New Roman" w:hAnsi="Times New Roman"/>
          <w:sz w:val="20"/>
        </w:rPr>
        <w:t xml:space="preserve">” means each Property listed on Part I of Schedule 6.1.(f) hereto as a Retail Property and any other Property, a substantial use of which is the retail sale of goods and services, which may include a Property that is part of a Mixed-Use Project. </w:t>
      </w:r>
    </w:p>
    <w:p>
      <w:pPr>
        <w:pStyle w:val="TextBody"/>
        <w:bidi w:val="0"/>
        <w:spacing w:before="240" w:after="0"/>
        <w:jc w:val="left"/>
        <w:rPr/>
      </w:pPr>
      <w:r>
        <w:rPr/>
        <w:t>“</w:t>
      </w:r>
      <w:r>
        <w:rPr>
          <w:rFonts w:ascii="Times New Roman" w:hAnsi="Times New Roman"/>
          <w:b/>
          <w:sz w:val="20"/>
        </w:rPr>
        <w:t>Revolver Credit Agreement</w:t>
      </w:r>
      <w:r>
        <w:rPr>
          <w:rFonts w:ascii="Times New Roman" w:hAnsi="Times New Roman"/>
          <w:sz w:val="20"/>
        </w:rPr>
        <w:t xml:space="preserve">” means that certain Second Amended and Restated Credit Agreement, dated as October 5, 2022, by and among the Borrower, the financial institutions party thereto as “Lenders”, Wells Fargo Bank, National Association, as administrative agent thereunder, and the other parties thereto.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business unit of Standard &amp; Poor’s Financial Services LLC, and any successor thereto.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at any time, a country, region or territory which is itself the subject or target of any Sanctions (including, without limitation, </w:t>
      </w:r>
      <w:r>
        <w:rPr>
          <w:rFonts w:ascii="Times New Roman" w:hAnsi="Times New Roman"/>
          <w:strike/>
          <w:color w:val="FF0000"/>
          <w:sz w:val="20"/>
        </w:rPr>
        <w:t>at the time of this agreement</w:t>
      </w:r>
      <w:r>
        <w:rPr>
          <w:rFonts w:ascii="Times New Roman" w:hAnsi="Times New Roman"/>
          <w:color w:val="0000FF"/>
          <w:sz w:val="20"/>
          <w:u w:val="single"/>
          <w:bdr w:val="double" w:sz="2" w:space="1" w:color="000000"/>
        </w:rPr>
        <w:t>as of the First Amendment Date</w:t>
      </w:r>
      <w:r>
        <w:rPr>
          <w:rFonts w:ascii="Times New Roman" w:hAnsi="Times New Roman"/>
          <w:sz w:val="20"/>
        </w:rPr>
        <w:t xml:space="preserve">, the Crimea, Zaporizhzhia and Kherson Regions of Ukraine, the so-called Donetsk People’s Republic or Luhansk People’s Republic regions of Ukraine, Cuba, Iran, </w:t>
      </w:r>
      <w:r>
        <w:rPr>
          <w:rFonts w:ascii="Times New Roman" w:hAnsi="Times New Roman"/>
          <w:color w:val="0000FF"/>
          <w:sz w:val="20"/>
          <w:u w:val="single"/>
          <w:bdr w:val="double" w:sz="2" w:space="1" w:color="000000"/>
        </w:rPr>
        <w:t xml:space="preserve">and </w:t>
      </w:r>
      <w:r>
        <w:rPr>
          <w:rFonts w:ascii="Times New Roman" w:hAnsi="Times New Roman"/>
          <w:sz w:val="20"/>
        </w:rPr>
        <w:t>North Korea</w:t>
      </w:r>
      <w:r>
        <w:rPr>
          <w:rFonts w:ascii="Times New Roman" w:hAnsi="Times New Roman"/>
          <w:strike/>
          <w:color w:val="FF0000"/>
          <w:sz w:val="20"/>
        </w:rPr>
        <w:t xml:space="preserve"> and Syria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Sanctioned Person</w:t>
      </w:r>
      <w:r>
        <w:rPr>
          <w:rFonts w:ascii="Times New Roman" w:hAnsi="Times New Roman"/>
          <w:sz w:val="20"/>
        </w:rPr>
        <w:t xml:space="preserve">”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His Majesty’s Treasury, Global Affairs Canada, or other relevant sanctions authority, (b) any Person operating, organized or resident in a Sanctioned Country, (c) any Person owned or controlled by, or acting or purporting to act for or on behalf of, directly or indirectly, any such Person or Persons described in clauses (a) and (b), including a Person that is deemed by OFAC to be a Sanctions target based on the ownership of such legal entity by Sanctioned Person(s) or (d) any Person otherwise a target of Sanctions, including vessels and aircraft, that are designated under any Sanctions program.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any and all economic or financial sanctions, sectoral sanctions, secondary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His Majesty’s Treasury, Canada, or other relevant sanctions authority in any jurisdiction in which (a) the Borrower or any of its Subsidiaries or Affiliates is located or conducts business, (b) in which any of the proceeds of the Extensions of Credit will be used, or (c) from which repayment of the Extensions of Credit will be derived. </w:t>
      </w:r>
    </w:p>
    <w:p>
      <w:pPr>
        <w:pStyle w:val="TextBody"/>
        <w:bidi w:val="0"/>
        <w:spacing w:before="240" w:after="0"/>
        <w:jc w:val="left"/>
        <w:rPr/>
      </w:pPr>
      <w:r>
        <w:rPr/>
        <w:t>“</w:t>
      </w:r>
      <w:r>
        <w:rPr>
          <w:rFonts w:ascii="Times New Roman" w:hAnsi="Times New Roman"/>
          <w:b/>
          <w:sz w:val="20"/>
        </w:rPr>
        <w:t>Secured Indebtedness</w:t>
      </w:r>
      <w:r>
        <w:rPr>
          <w:rFonts w:ascii="Times New Roman" w:hAnsi="Times New Roman"/>
          <w:sz w:val="20"/>
        </w:rPr>
        <w:t xml:space="preserve">” means, with respect to any Person, (a) all Indebtedness of such Person that is secured in any manner by any Lien on any property </w:t>
      </w:r>
      <w:r>
        <w:rPr>
          <w:rFonts w:ascii="Times New Roman" w:hAnsi="Times New Roman"/>
          <w:sz w:val="20"/>
          <w:u w:val="single"/>
        </w:rPr>
        <w:t>plus</w:t>
      </w:r>
      <w:r>
        <w:rPr>
          <w:rFonts w:ascii="Times New Roman" w:hAnsi="Times New Roman"/>
          <w:sz w:val="20"/>
        </w:rPr>
        <w:t xml:space="preserve"> (b) such Person’s Ownership Share of the Secured Indebtedness of any of such Person’s Unconsolidated Affiliates.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Securities Exchange Act</w:t>
      </w:r>
      <w:r>
        <w:rPr>
          <w:rFonts w:ascii="Times New Roman" w:hAnsi="Times New Roman"/>
          <w:sz w:val="20"/>
        </w:rPr>
        <w:t xml:space="preserve">” means the Securities Exchange Act of 1934, as amended from time to time, together with all rules and regulations issued thereunder.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any Subsidiary to which more than $200,000,000 of Total Asset Value is attributable on an individual basis. </w:t>
      </w:r>
    </w:p>
    <w:p>
      <w:pPr>
        <w:pStyle w:val="TextBody"/>
        <w:bidi w:val="0"/>
        <w:spacing w:before="240" w:after="0"/>
        <w:jc w:val="left"/>
        <w:rPr/>
      </w:pPr>
      <w:r>
        <w:rPr/>
        <w:t>“</w:t>
      </w:r>
      <w:r>
        <w:rPr>
          <w:rFonts w:ascii="Times New Roman" w:hAnsi="Times New Roman"/>
          <w:b/>
          <w:sz w:val="20"/>
        </w:rPr>
        <w:t>Simple SOFR Determination Day</w:t>
      </w:r>
      <w:r>
        <w:rPr>
          <w:rFonts w:ascii="Times New Roman" w:hAnsi="Times New Roman"/>
          <w:sz w:val="20"/>
        </w:rPr>
        <w:t xml:space="preserve">” has the meaning specified in the definition of “Daily Simple SOFR.” </w:t>
      </w:r>
    </w:p>
    <w:p>
      <w:pPr>
        <w:pStyle w:val="TextBody"/>
        <w:bidi w:val="0"/>
        <w:spacing w:before="240" w:after="0"/>
        <w:jc w:val="left"/>
        <w:rPr/>
      </w:pPr>
      <w:r>
        <w:rPr/>
        <w:t>“</w:t>
      </w:r>
      <w:r>
        <w:rPr>
          <w:rFonts w:ascii="Times New Roman" w:hAnsi="Times New Roman"/>
          <w:b/>
          <w:sz w:val="20"/>
        </w:rPr>
        <w:t>Simple SOFR Rate Day</w:t>
      </w:r>
      <w:r>
        <w:rPr>
          <w:rFonts w:ascii="Times New Roman" w:hAnsi="Times New Roman"/>
          <w:sz w:val="20"/>
        </w:rPr>
        <w:t xml:space="preserve">” has the meaning given that term in the definition of the term “Daily Simple SOFR.”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sz w:val="20"/>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b/>
          <w:sz w:val="20"/>
        </w:rPr>
        <w:t>SOFR Loan</w:t>
      </w:r>
      <w:r>
        <w:rPr>
          <w:rFonts w:ascii="Times New Roman" w:hAnsi="Times New Roman"/>
          <w:sz w:val="20"/>
        </w:rPr>
        <w:t xml:space="preserve">” means any Daily Simple SOFR Loan or Term SOFR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Solvent</w:t>
      </w:r>
      <w:r>
        <w:rPr>
          <w:rFonts w:ascii="Times New Roman" w:hAnsi="Times New Roman"/>
          <w:sz w:val="20"/>
        </w:rPr>
        <w:t xml:space="preserve">”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 </w:t>
      </w:r>
    </w:p>
    <w:p>
      <w:pPr>
        <w:pStyle w:val="TextBody"/>
        <w:bidi w:val="0"/>
        <w:spacing w:before="240" w:after="0"/>
        <w:jc w:val="left"/>
        <w:rPr/>
      </w:pPr>
      <w:r>
        <w:rPr/>
        <w:t>“</w:t>
      </w:r>
      <w:r>
        <w:rPr>
          <w:rFonts w:ascii="Times New Roman" w:hAnsi="Times New Roman"/>
          <w:b/>
          <w:sz w:val="20"/>
        </w:rPr>
        <w:t>Specified Derivatives Contract</w:t>
      </w:r>
      <w:r>
        <w:rPr>
          <w:rFonts w:ascii="Times New Roman" w:hAnsi="Times New Roman"/>
          <w:sz w:val="20"/>
        </w:rPr>
        <w:t xml:space="preserve">”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 </w:t>
      </w:r>
    </w:p>
    <w:p>
      <w:pPr>
        <w:pStyle w:val="TextBody"/>
        <w:bidi w:val="0"/>
        <w:spacing w:before="240" w:after="0"/>
        <w:jc w:val="left"/>
        <w:rPr/>
      </w:pPr>
      <w:r>
        <w:rPr/>
        <w:t>“</w:t>
      </w:r>
      <w:r>
        <w:rPr>
          <w:rFonts w:ascii="Times New Roman" w:hAnsi="Times New Roman"/>
          <w:b/>
          <w:sz w:val="20"/>
        </w:rPr>
        <w:t>Specified Derivatives Obligations</w:t>
      </w:r>
      <w:r>
        <w:rPr>
          <w:rFonts w:ascii="Times New Roman" w:hAnsi="Times New Roman"/>
          <w:sz w:val="20"/>
        </w:rPr>
        <w:t xml:space="preserve">”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 </w:t>
      </w:r>
    </w:p>
    <w:p>
      <w:pPr>
        <w:pStyle w:val="TextBody"/>
        <w:bidi w:val="0"/>
        <w:spacing w:before="240" w:after="0"/>
        <w:jc w:val="left"/>
        <w:rPr/>
      </w:pPr>
      <w:r>
        <w:rPr/>
        <w:t>“</w:t>
      </w:r>
      <w:r>
        <w:rPr>
          <w:rFonts w:ascii="Times New Roman" w:hAnsi="Times New Roman"/>
          <w:b/>
          <w:sz w:val="20"/>
        </w:rPr>
        <w:t>Specified Derivatives Provider</w:t>
      </w:r>
      <w:r>
        <w:rPr>
          <w:rFonts w:ascii="Times New Roman" w:hAnsi="Times New Roman"/>
          <w:sz w:val="20"/>
        </w:rPr>
        <w:t xml:space="preserve">” means any Lender, or any Affiliate of a Lender that is a party to a Derivatives Contract at the time the Derivatives Contract is entered into. </w:t>
      </w:r>
    </w:p>
    <w:p>
      <w:pPr>
        <w:pStyle w:val="TextBody"/>
        <w:bidi w:val="0"/>
        <w:spacing w:before="240" w:after="0"/>
        <w:jc w:val="left"/>
        <w:rPr/>
      </w:pPr>
      <w:r>
        <w:rPr/>
        <w:t>“</w:t>
      </w:r>
      <w:r>
        <w:rPr>
          <w:rFonts w:ascii="Times New Roman" w:hAnsi="Times New Roman"/>
          <w:b/>
          <w:sz w:val="20"/>
        </w:rPr>
        <w:t>Stabilized Property</w:t>
      </w:r>
      <w:r>
        <w:rPr>
          <w:rFonts w:ascii="Times New Roman" w:hAnsi="Times New Roman"/>
          <w:sz w:val="20"/>
        </w:rPr>
        <w:t xml:space="preserve">” means a property that is not a Development Property.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 </w:t>
      </w:r>
    </w:p>
    <w:p>
      <w:pPr>
        <w:pStyle w:val="TextBody"/>
        <w:bidi w:val="0"/>
        <w:spacing w:before="240" w:after="0"/>
        <w:jc w:val="left"/>
        <w:rPr/>
      </w:pPr>
      <w:r>
        <w:rPr/>
        <w:t>“</w:t>
      </w:r>
      <w:r>
        <w:rPr>
          <w:rFonts w:ascii="Times New Roman" w:hAnsi="Times New Roman"/>
          <w:b/>
          <w:sz w:val="20"/>
        </w:rPr>
        <w:t>Supported QFC</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for any calculation with respect to a Base Rate Loan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 provided that, if Term SOFR as so determined shall ever be less than the Floor, then Term SOFR shall be deemed to be the Floor.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provided that if Term SOFR as so determined shall ever be less than the Floor, then Term SOFR shall be deemed to be the Floor.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b/>
          <w:sz w:val="20"/>
        </w:rPr>
        <w:t>Term SOFR Loan</w:t>
      </w:r>
      <w:r>
        <w:rPr>
          <w:rFonts w:ascii="Times New Roman" w:hAnsi="Times New Roman"/>
          <w:sz w:val="20"/>
        </w:rPr>
        <w:t xml:space="preserve">” means any Loan bearing interest at a rate based on Term SOFR (other than the Term SOFR component of the definition of “Base Rate”). </w:t>
      </w:r>
    </w:p>
    <w:p>
      <w:pPr>
        <w:pStyle w:val="TextBody"/>
        <w:bidi w:val="0"/>
        <w:spacing w:before="240" w:after="0"/>
        <w:jc w:val="left"/>
        <w:rPr/>
      </w:pPr>
      <w:r>
        <w:rPr/>
        <w:t>“</w:t>
      </w:r>
      <w:r>
        <w:rPr>
          <w:rFonts w:ascii="Times New Roman" w:hAnsi="Times New Roman"/>
          <w:b/>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sz w:val="20"/>
        </w:rPr>
        <w:t>Total Asset Value</w:t>
      </w:r>
      <w:r>
        <w:rPr>
          <w:rFonts w:ascii="Times New Roman" w:hAnsi="Times New Roman"/>
          <w:sz w:val="20"/>
        </w:rPr>
        <w:t>” means the sum of all of the following of the Borrower and its Subsidiaries on a consolidated basis determined in accordance with GAAP applied on a consistent basis: (a) cash and cash equivalents, plus (b) with respect to each Stabilized Property owned by the Borrower or any Subsidiary, (i) EBITDA attributable to such Property for the most recently ended four consecutive fiscal quarter period (adjusted for acquisitions and dispositions) divided by (ii) the Capitalization Rate; plus (c) the GAAP book value of Properties acquired during the most recently ended four quarter period, plus (d) Construction-in-Process, plus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w:t>
      </w:r>
      <w:r>
        <w:rPr>
          <w:rFonts w:ascii="Times New Roman" w:hAnsi="Times New Roman"/>
          <w:color w:val="0000FF"/>
          <w:sz w:val="20"/>
          <w:u w:val="single"/>
          <w:bdr w:val="double" w:sz="2" w:space="1" w:color="000000"/>
        </w:rPr>
        <w:t xml:space="preserve"> plus (g)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w:t>
      </w:r>
      <w:r>
        <w:rPr>
          <w:rFonts w:ascii="Times New Roman" w:hAnsi="Times New Roman"/>
          <w:sz w:val="20"/>
        </w:rPr>
        <w:t xml:space="preserve">. The EBITDA attributable to each Stabilized Property for the most recently ended four consecutive fiscal quarter period cannot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 In addition, to the extent (A) the amount of Total Asset Value attributable to Investments in Unconsolidated Affiliates and other Persons that are not Subsidiaries and Investments in Subsidiaries that own Non-Controlled Properties would exceed 20.0% of Total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Value, such excess shall be excluded from Total Asset Value</w:t>
      </w:r>
      <w:r>
        <w:rPr>
          <w:rFonts w:ascii="Times New Roman" w:hAnsi="Times New Roman"/>
          <w:strike/>
          <w:color w:val="FF0000"/>
          <w:sz w:val="20"/>
        </w:rPr>
        <w:t>,</w:t>
      </w:r>
      <w:r>
        <w:rPr>
          <w:rFonts w:ascii="Times New Roman" w:hAnsi="Times New Roman"/>
          <w:color w:val="0000FF"/>
          <w:sz w:val="20"/>
          <w:u w:val="single"/>
          <w:bdr w:val="double" w:sz="2" w:space="1" w:color="000000"/>
        </w:rPr>
        <w:t>; provided that if the Borrower has a Credit Rating of A-/A3 from (x) either S&amp;P or Moody’s, the percentage of Total Asset Value attributable to Investments in Unconsolidated Affiliates and other Persons that are not Subsidiaries and Investments in Subsidiaries that own Non-Controlled Properties that may be included pursuant to this clause (A) shall be increased to 30% and (y) two or more Rating Agencies, this clause (A) shall not apply, and</w:t>
      </w:r>
      <w:r>
        <w:rPr>
          <w:rFonts w:ascii="Times New Roman" w:hAnsi="Times New Roman"/>
          <w:sz w:val="20"/>
        </w:rPr>
        <w:t xml:space="preserve"> (B) the amount of Total Asset Value attributable to Mortgage Receivables</w:t>
      </w:r>
      <w:r>
        <w:rPr>
          <w:rFonts w:ascii="Times New Roman" w:hAnsi="Times New Roman"/>
          <w:strike/>
          <w:color w:val="FF0000"/>
          <w:sz w:val="20"/>
        </w:rPr>
        <w:t xml:space="preserve"> would exceed 5.0% of Total Asset Value, such excess shall be excluded from Total Asset Value, (C) the amount of Total Asset Value attributable to Construction-in-Process would exceed 20.0% of Total Asset Value, such excess shall be excluded from Total Asset Value, (D) the amount of Total Asset Value attributable to</w:t>
      </w:r>
      <w:r>
        <w:rPr>
          <w:rFonts w:ascii="Times New Roman" w:hAnsi="Times New Roman"/>
          <w:color w:val="0000FF"/>
          <w:sz w:val="20"/>
          <w:u w:val="single"/>
          <w:bdr w:val="double" w:sz="2" w:space="1" w:color="000000"/>
        </w:rPr>
        <w:t>, Construction-In-Process,</w:t>
      </w:r>
      <w:r>
        <w:rPr>
          <w:rFonts w:ascii="Times New Roman" w:hAnsi="Times New Roman"/>
          <w:sz w:val="20"/>
        </w:rPr>
        <w:t xml:space="preserve"> Unimproved Land (calculated on the basis of acquisition cost)</w:t>
      </w:r>
      <w:r>
        <w:rPr>
          <w:rFonts w:ascii="Times New Roman" w:hAnsi="Times New Roman"/>
          <w:strike/>
          <w:color w:val="FF0000"/>
          <w:sz w:val="20"/>
        </w:rPr>
        <w:t xml:space="preserve"> would exceed 5.0% of Total Asset Value, such excess shall be excluded from Total Asset Value, (E) the amount of Total Asset Value attributable to</w:t>
      </w:r>
      <w:r>
        <w:rPr>
          <w:rFonts w:ascii="Times New Roman" w:hAnsi="Times New Roman"/>
          <w:color w:val="0000FF"/>
          <w:sz w:val="20"/>
          <w:u w:val="single"/>
          <w:bdr w:val="double" w:sz="2" w:space="1" w:color="000000"/>
        </w:rPr>
        <w:t>,</w:t>
      </w:r>
      <w:r>
        <w:rPr>
          <w:rFonts w:ascii="Times New Roman" w:hAnsi="Times New Roman"/>
          <w:sz w:val="20"/>
        </w:rPr>
        <w:t xml:space="preserve"> Investments in Persons (other than Investments in Subsidiaries and Unconsolidated Affiliates) </w:t>
      </w:r>
      <w:r>
        <w:rPr>
          <w:rFonts w:ascii="Times New Roman" w:hAnsi="Times New Roman"/>
          <w:strike/>
          <w:color w:val="FF0000"/>
          <w:sz w:val="20"/>
        </w:rPr>
        <w:t>would exceed 5.0% of Total Asset Value, such excess shall be excluded from Total Asset Value, (F) the amount of Total Asset Value attributable to</w:t>
      </w:r>
      <w:r>
        <w:rPr>
          <w:rFonts w:ascii="Times New Roman" w:hAnsi="Times New Roman"/>
          <w:color w:val="0000FF"/>
          <w:sz w:val="20"/>
          <w:u w:val="single"/>
          <w:bdr w:val="double" w:sz="2" w:space="1" w:color="000000"/>
        </w:rPr>
        <w:t>and</w:t>
      </w:r>
      <w:r>
        <w:rPr>
          <w:rFonts w:ascii="Times New Roman" w:hAnsi="Times New Roman"/>
          <w:sz w:val="20"/>
        </w:rPr>
        <w:t xml:space="preserve"> Hotel Properties would </w:t>
      </w:r>
      <w:r>
        <w:rPr>
          <w:rFonts w:ascii="Times New Roman" w:hAnsi="Times New Roman"/>
          <w:strike/>
          <w:color w:val="FF0000"/>
          <w:sz w:val="20"/>
        </w:rPr>
        <w:t>exceed 2.5% of Total Asset Value, such excess shall be excluded form Total Asset Value and (G) the amount of Total Asset Value attributable to assets of the types referred to in the immediately preceding clauses (B) through (F) would</w:t>
      </w:r>
      <w:r>
        <w:rPr>
          <w:rFonts w:ascii="Times New Roman" w:hAnsi="Times New Roman"/>
          <w:sz w:val="20"/>
        </w:rPr>
        <w:t xml:space="preserve"> exceed 25.0% of Total Asset Value in the aggregate, such excess shall be excluded from Total Asset Value</w:t>
      </w:r>
      <w:r>
        <w:rPr>
          <w:rFonts w:ascii="Times New Roman" w:hAnsi="Times New Roman"/>
          <w:color w:val="0000FF"/>
          <w:sz w:val="20"/>
          <w:u w:val="single"/>
          <w:bdr w:val="double" w:sz="2" w:space="1" w:color="000000"/>
        </w:rPr>
        <w:t>; provided that, if the Borrower has a Credit Rating of A-/A3 from (x) either S&amp;P or Moody’s, instead of the 25% limitation on certain assets provided in the preceding clause, the percentage of Total Asset Value attributable to Mortgage Receivables, Construction-In-Process, Unimproved Land (calculated on the basis of acquisition cost), Investments in Persons (other than Investments in Subsidiaries and Unconsolidated Affiliates), Hotel Properties and Investments described in clause (A) above that collectively may be included in Total Asset Value shall be increased to 40% and (y) two or more Rating Agencies, this clause (B) shall not apply</w:t>
      </w:r>
      <w:r>
        <w:rPr>
          <w:rFonts w:ascii="Times New Roman" w:hAnsi="Times New Roman"/>
          <w:sz w:val="20"/>
        </w:rPr>
        <w:t xml:space="preserve">. Notwithstanding the foregoing, for purposes of clause (b) above for any Property which has ceased to be a Development Property in the immediately preceding four fiscal quarter period, EBITDA for such Property shall be determined as (i) for the first full fiscal quarter after such Property ceases to be a Development Property, EBITDA attributable to such Property for such fiscal quarter multiplied by 4, (ii) for the second full fiscal quarter after such Property ceases to be a Development Property, EBITDA attributable to such Property for such two fiscal quarter period multiplied by 2, (iii) for the third full fiscal quarter after such Property ceases to be a Development Property, EBITDA attributable to such Property for such three fiscal quarter period multiplied by 4/3 and (iv) for each fiscal quarter thereafter, EBITDA attributable to such Property for the most recently ended four consecutive fiscal quarters as provided in clause (b) above. </w:t>
      </w:r>
    </w:p>
    <w:p>
      <w:pPr>
        <w:pStyle w:val="TextBody"/>
        <w:bidi w:val="0"/>
        <w:spacing w:before="240" w:after="0"/>
        <w:jc w:val="left"/>
        <w:rPr/>
      </w:pPr>
      <w:r>
        <w:rPr/>
        <w:t>“</w:t>
      </w:r>
      <w:r>
        <w:rPr>
          <w:rFonts w:ascii="Times New Roman" w:hAnsi="Times New Roman"/>
          <w:b/>
          <w:sz w:val="20"/>
        </w:rPr>
        <w:t>Total Indebtedness</w:t>
      </w:r>
      <w:r>
        <w:rPr>
          <w:rFonts w:ascii="Times New Roman" w:hAnsi="Times New Roman"/>
          <w:sz w:val="20"/>
        </w:rPr>
        <w:t xml:space="preserve">” means (a) all Indebtedness of the Borrower and its Subsidiaries determined on a consolidated basis </w:t>
      </w:r>
      <w:r>
        <w:rPr>
          <w:rFonts w:ascii="Times New Roman" w:hAnsi="Times New Roman"/>
          <w:sz w:val="20"/>
          <w:u w:val="single"/>
        </w:rPr>
        <w:t>plus</w:t>
      </w:r>
      <w:r>
        <w:rPr>
          <w:rFonts w:ascii="Times New Roman" w:hAnsi="Times New Roman"/>
          <w:sz w:val="20"/>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with respect to any Loan, refers to whether such Loan or portion thereof is a Daily Simple SOFR Loan, a Term SOFR Loan or a Base Rate Loan.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b/>
          <w:sz w:val="20"/>
        </w:rPr>
        <w:t>Unconsolidated Affiliate</w:t>
      </w:r>
      <w:r>
        <w:rPr>
          <w:rFonts w:ascii="Times New Roman" w:hAnsi="Times New Roman"/>
          <w:sz w:val="20"/>
        </w:rPr>
        <w:t xml:space="preserve">”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w:t>
      </w:r>
    </w:p>
    <w:p>
      <w:pPr>
        <w:pStyle w:val="TextBody"/>
        <w:bidi w:val="0"/>
        <w:spacing w:before="240" w:after="0"/>
        <w:jc w:val="left"/>
        <w:rPr/>
      </w:pPr>
      <w:r>
        <w:rPr/>
        <w:t>“</w:t>
      </w:r>
      <w:r>
        <w:rPr>
          <w:rFonts w:ascii="Times New Roman" w:hAnsi="Times New Roman"/>
          <w:b/>
          <w:sz w:val="20"/>
        </w:rPr>
        <w:t>Unencumbered Adjusted NOI</w:t>
      </w:r>
      <w:r>
        <w:rPr>
          <w:rFonts w:ascii="Times New Roman" w:hAnsi="Times New Roman"/>
          <w:sz w:val="20"/>
        </w:rPr>
        <w:t xml:space="preserve">”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 </w:t>
      </w:r>
    </w:p>
    <w:p>
      <w:pPr>
        <w:pStyle w:val="TextBody"/>
        <w:bidi w:val="0"/>
        <w:spacing w:before="240" w:after="0"/>
        <w:jc w:val="left"/>
        <w:rPr/>
      </w:pPr>
      <w:r>
        <w:rPr/>
        <w:t>“</w:t>
      </w:r>
      <w:r>
        <w:rPr>
          <w:rFonts w:ascii="Times New Roman" w:hAnsi="Times New Roman"/>
          <w:b/>
          <w:sz w:val="20"/>
        </w:rPr>
        <w:t>Unencumbered Asset Value</w:t>
      </w:r>
      <w:r>
        <w:rPr>
          <w:rFonts w:ascii="Times New Roman" w:hAnsi="Times New Roman"/>
          <w:sz w:val="20"/>
        </w:rPr>
        <w:t>” means (a) Unencumbered Adjusted NOI for the most recently ended four consecutive fiscal quarter period divided by the Capitalization Rate, plus (b) the GAAP book value of all assets (other than assets otherwise included in clauses (c)</w:t>
      </w:r>
      <w:r>
        <w:rPr>
          <w:rFonts w:ascii="Times New Roman" w:hAnsi="Times New Roman"/>
          <w:strike/>
          <w:color w:val="FF0000"/>
          <w:sz w:val="20"/>
        </w:rPr>
        <w:t> and</w:t>
      </w:r>
      <w:r>
        <w:rPr>
          <w:rFonts w:ascii="Times New Roman" w:hAnsi="Times New Roman"/>
          <w:color w:val="0000FF"/>
          <w:sz w:val="20"/>
          <w:u w:val="single"/>
          <w:bdr w:val="double" w:sz="2" w:space="1" w:color="000000"/>
        </w:rPr>
        <w:t>,</w:t>
      </w:r>
      <w:r>
        <w:rPr>
          <w:rFonts w:ascii="Times New Roman" w:hAnsi="Times New Roman"/>
          <w:sz w:val="20"/>
        </w:rPr>
        <w:t xml:space="preserve"> (d</w:t>
      </w:r>
      <w:r>
        <w:rPr>
          <w:rFonts w:ascii="Times New Roman" w:hAnsi="Times New Roman"/>
          <w:color w:val="0000FF"/>
          <w:sz w:val="20"/>
          <w:u w:val="single"/>
          <w:bdr w:val="double" w:sz="2" w:space="1" w:color="000000"/>
        </w:rPr>
        <w:t>) and (e</w:t>
      </w:r>
      <w:r>
        <w:rPr>
          <w:rFonts w:ascii="Times New Roman" w:hAnsi="Times New Roman"/>
          <w:sz w:val="20"/>
        </w:rPr>
        <w:t>) below) acquired during the most recently ended four quarter period,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plus (d) unrestricted cash and cash equivalents in excess of $25,000,000 which are not subject to any Liens (other than Permitted Liens of the type described in clause (a)(i) of the definition thereof) or subject to any Negative Pledge</w:t>
      </w:r>
      <w:r>
        <w:rPr>
          <w:rFonts w:ascii="Times New Roman" w:hAnsi="Times New Roman"/>
          <w:color w:val="0000FF"/>
          <w:sz w:val="20"/>
          <w:u w:val="single"/>
          <w:bdr w:val="double" w:sz="2" w:space="1" w:color="000000"/>
        </w:rPr>
        <w:t>, plus (e) the aggregate positive amount of net cash proceeds that would be due to the Parent from all Qualified Forward Equity Contracts that have not yet settled as of such date, calculated as if such Qualified Forward Equity Contracts were settled by Parent’s delivery of its common Equity Interests as of, and such net cash proceeds were actually received on, the last day of the applicable calculation period</w:t>
      </w:r>
      <w:r>
        <w:rPr>
          <w:rFonts w:ascii="Times New Roman" w:hAnsi="Times New Roman"/>
          <w:sz w:val="20"/>
        </w:rPr>
        <w:t xml:space="preserve">. For purposes of this definition, (A) to the extent that more than 25.0% of Unencumbered Asset Value would be attributable to Controlled Properties, Non-Controlled Properties and Development Properties such excess shall be excluded, </w:t>
      </w:r>
      <w:r>
        <w:rPr>
          <w:rFonts w:ascii="Times New Roman" w:hAnsi="Times New Roman"/>
          <w:strike/>
          <w:color w:val="FF0000"/>
          <w:sz w:val="20"/>
        </w:rPr>
        <w:t xml:space="preserve">and </w:t>
      </w:r>
      <w:r>
        <w:rPr>
          <w:rFonts w:ascii="Times New Roman" w:hAnsi="Times New Roman"/>
          <w:sz w:val="20"/>
        </w:rPr>
        <w:t>(B) to the extent that more than 2.5% of Unencumbered Asset Value would be attributable to Hotel Properties, such excess shall be</w:t>
      </w:r>
      <w:r>
        <w:rPr>
          <w:rFonts w:ascii="Times New Roman" w:hAnsi="Times New Roman"/>
          <w:color w:val="0000FF"/>
          <w:sz w:val="20"/>
          <w:u w:val="single"/>
          <w:bdr w:val="double" w:sz="2" w:space="1" w:color="000000"/>
        </w:rPr>
        <w:t xml:space="preserve"> excluded and (C) to the extent that more than 7.5% of Unencumbered Asset Value would be attributable to Qualified Forward Equity Contracts, such excess shall be </w:t>
      </w:r>
      <w:r>
        <w:rPr>
          <w:rFonts w:ascii="Times New Roman" w:hAnsi="Times New Roman"/>
          <w:sz w:val="20"/>
        </w:rPr>
        <w:t>excluded. Notwithstanding the foregoing, for purposes of clause (a) for any Property which has ceased to be a Development Property in the immediately preceding four fiscal quarter period, Unencumbered Adjusted NOI attributable to such Property shall be determined as (i) for the first full fiscal quarter after such Property ceases to be a Development Property, Unencumbered Adjusted NOI attributable to such Property for such fiscal quarter multiplied by 4, (ii) for the second full fiscal quarter after such Property ceases to be a Development Property, Unencumbered Adjusted NOI attributable to such Property for such two fiscal quarter period multiplied by 2, (iii) for the third full fiscal quarter after such Property ceases to be a Development Property, Unencumbered Adjusted NOI attributable to such Property for such three fiscal quarter period multiplied by 4/3 and (iv) for each fiscal quarter thereafter, Unencumbered Adjusted NOI attributable to such Property for the most recently ended four consecutive fiscal quarters as provided in clause (a) above.</w:t>
      </w:r>
      <w:r>
        <w:rPr>
          <w:rFonts w:ascii="Times New Roman" w:hAnsi="Times New Roman"/>
          <w:strike/>
          <w:color w:val="FF0000"/>
          <w:sz w:val="20"/>
        </w:rPr>
        <w:t xml:space="preserve"> Notwithstanding the foregoing, (x) so long as FRIT San Jose either (a) is a “Borrower” (as defined in the PNC Bank Term Loan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under the PNC Bank Term Loan Agreement and does not become a “Borrower” under this Agreement or (b) Guarantees any other Indebtedness and does not Guarantee the Obligations, neither the Net Operating Income from any Wholly Owned Property, Controlled Property or Non-Controlled Property owned by FRIT San Jose or any of its Subsidiaries nor the value of any other asset owned by FRIT San Jose or any of its Subsidiaries shall be </w:t>
      </w:r>
      <w:r>
        <w:rPr>
          <w:rFonts w:ascii="Times New Roman" w:hAnsi="Times New Roman"/>
          <w:strike/>
          <w:color w:val="008000"/>
          <w:sz w:val="20"/>
        </w:rPr>
        <w:t>included in the calculation of Unencumbered Asset Value and (</w:t>
      </w:r>
      <w:r>
        <w:rPr>
          <w:rFonts w:ascii="Times New Roman" w:hAnsi="Times New Roman"/>
          <w:strike/>
          <w:color w:val="FF0000"/>
          <w:sz w:val="20"/>
        </w:rPr>
        <w:t>y) so long as</w:t>
      </w:r>
      <w:r>
        <w:rPr>
          <w:rFonts w:ascii="Times New Roman" w:hAnsi="Times New Roman"/>
          <w:sz w:val="20"/>
        </w:rPr>
        <w:t xml:space="preserve"> </w:t>
      </w:r>
      <w:r>
        <w:rPr>
          <w:rFonts w:ascii="Times New Roman" w:hAnsi="Times New Roman"/>
          <w:strike/>
          <w:color w:val="FF0000"/>
          <w:sz w:val="20"/>
        </w:rPr>
        <w:t>Azalea JV either (a) is a “Borrower” (as defined in the Azalea Term Loan Agreement) under the Azalea Term Loan Agreement and does not become a “Borrower” under this Agreement or (b) Guarantees any other Indebtedness and does not Guarantee the Obligations, neither the Net Operating Income from any Wholly Owned Property, Controlled Property or Non-Controlled Property owned by Azalea JV or any of its Subsidiaries nor the value of any other asset owned by Azalea JV or any of its Subsidiaries shall be included in the calculation of Unencumbered Asset Value.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Unimproved Land</w:t>
      </w:r>
      <w:r>
        <w:rPr>
          <w:rFonts w:ascii="Times New Roman" w:hAnsi="Times New Roman"/>
          <w:sz w:val="20"/>
        </w:rPr>
        <w:t xml:space="preserve">” means land on which no development (other than paving or other improvements that are not material and are temporary in nature) has occurred and for which no development is planned in the following 12 months. </w:t>
      </w:r>
    </w:p>
    <w:p>
      <w:pPr>
        <w:pStyle w:val="TextBody"/>
        <w:bidi w:val="0"/>
        <w:spacing w:before="240" w:after="0"/>
        <w:jc w:val="left"/>
        <w:rPr/>
      </w:pPr>
      <w:r>
        <w:rPr/>
        <w:t>“</w:t>
      </w:r>
      <w:r>
        <w:rPr>
          <w:rFonts w:ascii="Times New Roman" w:hAnsi="Times New Roman"/>
          <w:b/>
          <w:sz w:val="20"/>
        </w:rPr>
        <w:t>Unsecured Indebtedness</w:t>
      </w:r>
      <w:r>
        <w:rPr>
          <w:rFonts w:ascii="Times New Roman" w:hAnsi="Times New Roman"/>
          <w:sz w:val="20"/>
        </w:rPr>
        <w:t xml:space="preserve">” means Total Indebtedness which is not Secured Indebtedness. Indebtedness that is secured solely by Equity Interests and is recourse to the Borrower or its Subsidiaries shall be considered to be Unsecured Indebtedness.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sz w:val="20"/>
          <w:u w:val="single"/>
        </w:rPr>
        <w:t>provided</w:t>
      </w:r>
      <w:r>
        <w:rPr>
          <w:rFonts w:ascii="Times New Roman" w:hAnsi="Times New Roman"/>
          <w:sz w:val="20"/>
        </w:rPr>
        <w:t xml:space="preserve">, that for purposes of notice requirements in Sections 2.1.(b)., , 2.8., 2.9. and 2.10., in each case, such day is also a Business Day. </w:t>
      </w:r>
    </w:p>
    <w:p>
      <w:pPr>
        <w:pStyle w:val="TextBody"/>
        <w:bidi w:val="0"/>
        <w:spacing w:before="240" w:after="0"/>
        <w:jc w:val="left"/>
        <w:rPr/>
      </w:pPr>
      <w:r>
        <w:rPr/>
        <w:t>“</w:t>
      </w:r>
      <w:r>
        <w:rPr>
          <w:rFonts w:ascii="Times New Roman" w:hAnsi="Times New Roman"/>
          <w:b/>
          <w:sz w:val="20"/>
        </w:rPr>
        <w:t>U.S. Person</w:t>
      </w:r>
      <w:r>
        <w:rPr>
          <w:rFonts w:ascii="Times New Roman" w:hAnsi="Times New Roman"/>
          <w:sz w:val="20"/>
        </w:rPr>
        <w:t xml:space="preserve">” means any Person that is a “United States Person” as defined in Section 7701(a)(30) of the Internal Revenue Code. </w:t>
      </w:r>
    </w:p>
    <w:p>
      <w:pPr>
        <w:pStyle w:val="TextBody"/>
        <w:bidi w:val="0"/>
        <w:spacing w:before="240" w:after="0"/>
        <w:jc w:val="left"/>
        <w:rPr/>
      </w:pPr>
      <w:r>
        <w:rPr/>
        <w:t>“</w:t>
      </w:r>
      <w:r>
        <w:rPr>
          <w:rFonts w:ascii="Times New Roman" w:hAnsi="Times New Roman"/>
          <w:b/>
          <w:sz w:val="20"/>
        </w:rPr>
        <w:t>U.S. Special Resolution Regimes</w:t>
      </w:r>
      <w:r>
        <w:rPr>
          <w:rFonts w:ascii="Times New Roman" w:hAnsi="Times New Roman"/>
          <w:sz w:val="20"/>
        </w:rPr>
        <w:t xml:space="preserve">” has the meaning given that term in Section 12.24.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assigned to such term in Section 3.10.(g)(ii)(B)(III). </w:t>
      </w:r>
    </w:p>
    <w:p>
      <w:pPr>
        <w:pStyle w:val="TextBody"/>
        <w:bidi w:val="0"/>
        <w:spacing w:before="240" w:after="0"/>
        <w:jc w:val="left"/>
        <w:rPr/>
      </w:pPr>
      <w:r>
        <w:rPr/>
        <w:t>“</w:t>
      </w:r>
      <w:r>
        <w:rPr>
          <w:rFonts w:ascii="Times New Roman" w:hAnsi="Times New Roman"/>
          <w:b/>
          <w:sz w:val="20"/>
        </w:rPr>
        <w:t>Wholly Owned Property</w:t>
      </w:r>
      <w:r>
        <w:rPr>
          <w:rFonts w:ascii="Times New Roman" w:hAnsi="Times New Roman"/>
          <w:sz w:val="20"/>
        </w:rPr>
        <w:t xml:space="preserve">” means an Eligible Property which is wholly owned in fee simple (or leased under a Ground Lease) by only the Borrower or a Wholly Owned Subsidiary.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 </w:t>
      </w:r>
    </w:p>
    <w:p>
      <w:pPr>
        <w:pStyle w:val="TextBody"/>
        <w:bidi w:val="0"/>
        <w:spacing w:before="240" w:after="0"/>
        <w:jc w:val="left"/>
        <w:rPr/>
      </w:pPr>
      <w:r>
        <w:rPr/>
        <w:t>“</w:t>
      </w:r>
      <w:r>
        <w:rPr>
          <w:rFonts w:ascii="Times New Roman" w:hAnsi="Times New Roman"/>
          <w:b/>
          <w:sz w:val="20"/>
        </w:rPr>
        <w:t>Withdrawal Liability</w:t>
      </w:r>
      <w:r>
        <w:rPr>
          <w:rFonts w:ascii="Times New Roman" w:hAnsi="Times New Roman"/>
          <w:sz w:val="20"/>
        </w:rPr>
        <w:t xml:space="preserve">” means any liability as a result of a complete or partial withdrawal from a Multiemployer Plan as such terms are defined in Part I of Subtitle E of Title IV of ERISA. </w:t>
      </w:r>
    </w:p>
    <w:p>
      <w:pPr>
        <w:pStyle w:val="TextBody"/>
        <w:bidi w:val="0"/>
        <w:spacing w:before="240" w:after="0"/>
        <w:jc w:val="left"/>
        <w:rPr/>
      </w:pPr>
      <w:r>
        <w:rPr/>
        <w:t>“</w:t>
      </w:r>
      <w:r>
        <w:rPr>
          <w:rFonts w:ascii="Times New Roman" w:hAnsi="Times New Roman"/>
          <w:b/>
          <w:sz w:val="20"/>
        </w:rPr>
        <w:t>Withholding Agent</w:t>
      </w:r>
      <w:r>
        <w:rPr>
          <w:rFonts w:ascii="Times New Roman" w:hAnsi="Times New Roman"/>
          <w:sz w:val="20"/>
        </w:rPr>
        <w:t xml:space="preserve">” means (a) the Borrower, (b) any other Loan Party and (c) the Administrative Agent,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 General; References to Eastern Time.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Eastern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1.3. Financial Attributes of Non-Wholly Owned Subsidiaries and Calculation of Financial Covenants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(x) the assets of the Parent consist of assets not described in clauses (A) – (C) of Section 9.14(a) or (y) the liabilities of the Parent, the General Partner or any wholly owned subsidiary of the Parent whose assets consist solely of direct or indirect Equity Interests in the Borrower, include liabilities not described in clauses (1) – (7) of Section 9.14(b), such that the Parent shall be required to become a Guarantor hereunder, then for purposes of the financial covenants set forth in Section 9.1(excluding clause (i) of that Section), the definitions contained therein (including for the avoidance of doubt the definitions of “Adjusted EBITDA”, “Fixed Charges”, “Total Asset Value”, “Total Indebtedness” “Secured Indebtedness”, “Unencumbered Asset Value”, and “Unsecured Indebtedness” (including the defined terms incorporated into each such term)) and Section 1.3(a), all references to the Borrower or Borrower shall be deemed to be references to the Parent such that the financial covenants shall be calculated at the level of the Parent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1.4. Rates.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does not warrant or accept any responsibility for, and shall not have any liability with respect to, (a) the continuation of, administration of, submission of, calculation of or any other matter related to Daily Simple SOFR, SOFR,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sz w:val="20"/>
          <w:u w:val="single"/>
        </w:rPr>
        <w:t>Section 4.2.(b)</w:t>
      </w:r>
      <w:r>
        <w:rPr>
          <w:rFonts w:ascii="Times New Roman" w:hAnsi="Times New Roman"/>
          <w:sz w:val="20"/>
        </w:rPr>
        <w:t xml:space="preserve">, will be similar to, or produce the same value or economic equivalence of, or have the same volume or liquidity as, Daily Simple SOFR,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Daily Simple SOFR, SOFR, Term SOFR Reference Rate,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Daily Simple SOFR, SOFR,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1.5. Divisions.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CREDIT FACILITY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Making of Loans</w:t>
      </w:r>
      <w:r>
        <w:rPr>
          <w:rFonts w:ascii="Times New Roman" w:hAnsi="Times New Roman"/>
          <w:sz w:val="20"/>
        </w:rPr>
        <w:t xml:space="preserve">. Subject to the terms and conditions set forth in this Agreement, each Lender severally and not jointly agrees to make Loans to the Borrower during the Availability Period, in an aggregate principal amount at any one time outstanding up to, but not exceeding, such Lender’s Commitment. There shall be no more than three (3) separate borrowings of Loans and each borrowing shall be in an aggregate minimum amount of $25,000,000 and integral multiples of $5,000,000 in excess thereof; provided, that a borrowing may be in the aggregate amount of the remaining Commitments. Upon a Lender making its Loan, the Commitment of such Lender shall be permanently reduced by the principal amount of such Loan. Any portion of a Loan made under this Section 2.1(a) and repaid or prepaid may not be reborrowed. All undrawn Commitments shall terminate at 5:00 pm on the Availability Termination Date if not previously terminated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Requests for Loans</w:t>
      </w:r>
      <w:r>
        <w:rPr>
          <w:rFonts w:ascii="Times New Roman" w:hAnsi="Times New Roman"/>
          <w:sz w:val="20"/>
        </w:rPr>
        <w:t xml:space="preserve">. Not later than 2:00 p.m. Eastern time at least three (3) U.S. Government Securities Business Days prior to a borrowing of Loans, the Borrower shall deliver to the Administrative Agent a Notice of Borrowing. Each Notice of Borrowing shall specify the aggregate principal amount of the Loans to be borrowed, the date such Loans are to be borrowed (which must be a U.S. Government Securities Business Day), the Type of the requested Loans, and if such Loans are to be Term SOFR Loans, the initial Interest Period for such Loans. Each Notice of Borrowing shall be irrevocable once given and binding on the Borrower. Prior to delivering a Notice of Borrowing, the Borrower may (without specifying whether a Loan will be a Base Rate Loan, a Daily Simple SOFR Loan or a Term SOFR Loan) request that the Administrative Agent provide the Borrower with the most recent Daily Simple SOFR or Term SOFR available to the Administrative Agent. The Administrative Agent shall provide such non-binding quoted rate to the Borrower on the date of such request or as soon as possible thereafter; provided that such quoted rate shall be as of the time of the quote provided and any rate applicable to Loans made hereunder shall be the rate calculated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Funding of Loans</w:t>
      </w:r>
      <w:r>
        <w:rPr>
          <w:rFonts w:ascii="Times New Roman" w:hAnsi="Times New Roman"/>
          <w:sz w:val="20"/>
        </w:rPr>
        <w:t xml:space="preserve">. Promptly after receipt of a Notice of Borrowing under the immediately preceding subsection (b), the Administrative Agent shall notify each Lender of the proposed borrowing. Each Lender shall deposit an amount equal to the Loan to be made by such Lender to the Borrower with the Administrative Agent at the Principal Office, in immediately available funds not later than 11:00 a.m. Eastern time on the date of such proposed Loans. Subject to fulfillment of all applicable conditions set forth herein, the Administrative Agent shall make available to the Borrower in the account specified in the Notice of Borrowing, not later than 12:00 p.m. Eastern time on the date of the requested borrowing of Loans, the proceeds of such amounts received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trike/>
          <w:color w:val="FF0000"/>
          <w:sz w:val="20"/>
        </w:rPr>
        <w:t>f</w:t>
      </w:r>
      <w:r>
        <w:rPr>
          <w:rFonts w:ascii="Times New Roman" w:hAnsi="Times New Roman"/>
          <w:color w:val="0000FF"/>
          <w:sz w:val="20"/>
          <w:u w:val="single"/>
          <w:bdr w:val="double" w:sz="2" w:space="1" w:color="000000"/>
        </w:rPr>
        <w:t>d</w:t>
      </w:r>
      <w:r>
        <w:rPr>
          <w:rFonts w:ascii="Times New Roman" w:hAnsi="Times New Roman"/>
          <w:sz w:val="20"/>
        </w:rPr>
        <w:t>)</w:t>
      </w:r>
      <w:r>
        <w:rPr>
          <w:rFonts w:ascii="Times New Roman" w:hAnsi="Times New Roman"/>
          <w:sz w:val="20"/>
          <w:u w:val="single"/>
        </w:rPr>
        <w:t xml:space="preserve"> Assumptions Regarding Funding by Lenders</w:t>
      </w:r>
      <w:r>
        <w:rPr>
          <w:rFonts w:ascii="Times New Roman" w:hAnsi="Times New Roman"/>
          <w:sz w:val="20"/>
        </w:rPr>
        <w:t xml:space="preserve">. Unless the Administrative Agent shall have been notified by any Lender that such Lender will not make available to the Administrative Agent the Loan to be made by such Lender in connection with any borrowing, the Administrative Agent may assume that such Lender will make the proceeds of such Loan available to the Administrative Agent in accordance with this Section, and the Administrative Agent may (but shall not be obligated to), in reliance upon such assumption, make available to the Borrower the amount of such Loan to be provided by such Lender. If the Administrative Agent makes the amount of such Loan available to the Borrower prior to its receipt of any proceeds of Loans by any Lender, then if such Lender has not funded its Loan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Loan, then such Lender and the Borrower severally agree to pay to the Administrative Agent on demand the amount of such Loan with interest thereon, for each day from and including the date such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the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Loan, the amount so paid shall constitute such Lender’s Loan included in the borrowing. Any payment by the Borrower shall be without prejudice to any claim the Borrower may have against a Lender that shall have failed to make available the proceeds of the Loan to be made by such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2.3.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2.4.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2.5. Rates and Payment of Interest on Loans.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Rates</w:t>
      </w:r>
      <w:r>
        <w:rPr>
          <w:rFonts w:ascii="Times New Roman" w:hAnsi="Times New Roman"/>
          <w:sz w:val="20"/>
        </w:rPr>
        <w:t xml:space="preserve">. The Borrower promises to pay to the Administrative Agent for the account of each Lender interest on the unpaid principal amount of the Loan made by such Lender for the period from and including the date of the making of such Loan to but excluding the date such Loan shall be paid in full, at the following per annum rates: </w:t>
      </w:r>
    </w:p>
    <w:p>
      <w:pPr>
        <w:pStyle w:val="TextBody"/>
        <w:bidi w:val="0"/>
        <w:spacing w:before="120" w:after="0"/>
        <w:jc w:val="left"/>
        <w:rPr>
          <w:rFonts w:ascii="Times New Roman" w:hAnsi="Times New Roman"/>
          <w:sz w:val="20"/>
        </w:rPr>
      </w:pPr>
      <w:r>
        <w:rPr>
          <w:rFonts w:ascii="Times New Roman" w:hAnsi="Times New Roman"/>
          <w:sz w:val="20"/>
        </w:rPr>
        <w:t xml:space="preserve">(i) during such periods as such Loan is a Base Rate Loan, at the Base Rate (as in effect from time to time), plus the Applicable Margin for Base Rate Loans; </w:t>
      </w:r>
    </w:p>
    <w:p>
      <w:pPr>
        <w:pStyle w:val="TextBody"/>
        <w:bidi w:val="0"/>
        <w:spacing w:before="120" w:after="0"/>
        <w:jc w:val="left"/>
        <w:rPr>
          <w:rFonts w:ascii="Times New Roman" w:hAnsi="Times New Roman"/>
          <w:sz w:val="20"/>
        </w:rPr>
      </w:pPr>
      <w:r>
        <w:rPr>
          <w:rFonts w:ascii="Times New Roman" w:hAnsi="Times New Roman"/>
          <w:sz w:val="20"/>
        </w:rPr>
        <w:t xml:space="preserve">(ii) during such periods as such Loan is a Daily Simple SOFR Loan, at Daily Simple SOFR (as in effect from time to time), plus the Applicable Margin for SOFR Loans;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during such periods as such Loan is a Term SOFR Loan, at Term SOFR for such Loan for the Interest Period therefor, plus the Applicable Margin for SOFR Loans.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while an Event of Default exists, the Borrower shall pay to the Administrative Agent for the account of each Lender, interest at the Post-Default Rate on the outstanding principal amount of the Loan made by such Lender, and on any other amount payable by the Borrower hereunder or under the Note held by such Lender to or for the account of such Lender (including without limitation, accrued but unpaid interest to the extent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Interest</w:t>
      </w:r>
      <w:r>
        <w:rPr>
          <w:rFonts w:ascii="Times New Roman" w:hAnsi="Times New Roman"/>
          <w:sz w:val="20"/>
        </w:rPr>
        <w:t xml:space="preserve">. All accrued and unpaid interest on the outstanding principal amount of each Loan shall be payable (i) (x) with respect to Term SOFR Loans, on the last day of the Interest Period applicable thereto, and, with respect to any Term SOFR Loan having an Interest Period in excess of three months, on each day which occurs every three months from the initial day of such Interest Period and (y) with respect to Base Rate Loans and Daily Simple SOFR Loans, monthly in arrears on the first day of each month, commencing with the first full calendar month occurring after the Effective Date and (ii) with respect to all Loans,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Borrower Information Used to Determine Applicable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Times New Roman" w:hAnsi="Times New Roman"/>
          <w:b/>
          <w:sz w:val="20"/>
        </w:rPr>
        <w:t>Borrower Information</w:t>
      </w:r>
      <w:r>
        <w:rPr>
          <w:rFonts w:ascii="Times New Roman" w:hAnsi="Times New Roman"/>
          <w:sz w:val="20"/>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the Borrower’s Credit Rating from one or more Rating Agency is downgraded and such downgrade results in an increase in the Applicable Margin, but such higher Credit Rating is subsequently restored and the increased Applicable Margin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Additionally, in the event the Borrower’s Credit Rating from one or more Rating Agency is upgraded and such upgrade results in a decrease in the Applicable Margin, but such lower Credit Rating is subsequently restored and the decreased Applicable Margin would no longer be applicable within 90 days from the first day such upgrade was effective, the Borrower will pay the incremental borrowing costs and fees which would have otherwise been payable during such 90 day period had the upgrade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or any Lender’s other rights under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2.6. Number of Interest Periods. </w:t>
      </w:r>
    </w:p>
    <w:p>
      <w:pPr>
        <w:pStyle w:val="TextBody"/>
        <w:bidi w:val="0"/>
        <w:spacing w:before="120" w:after="0"/>
        <w:jc w:val="left"/>
        <w:rPr>
          <w:rFonts w:ascii="Times New Roman" w:hAnsi="Times New Roman"/>
          <w:sz w:val="20"/>
        </w:rPr>
      </w:pPr>
      <w:r>
        <w:rPr>
          <w:rFonts w:ascii="Times New Roman" w:hAnsi="Times New Roman"/>
          <w:sz w:val="20"/>
        </w:rPr>
        <w:t xml:space="preserve">There may be no more than three (3) different Interest Periods for Loans outstanding at the same time.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2.7. Repayment of Loans.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repay the entire outstanding principal amount of, and all accrued but unpaid interest on, the Loans on the Maturity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2.8. Optional Prepayments.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4.4., the Borrower may prepay any Loan in whole or part at any time without premium or penalty. The Borrower shall give the Administrative Agent at least one (1) U.S. Government Securities Business Day’s prior written notice of the prepayment of any Loan. Each voluntary prepayment of Loans shall be in an aggregate minimum amount of $1,000,000 and integral multiples of $100,000 in excess thereof (or, if less, the aggregate principal amount of such Loans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2.9. Continuation. </w:t>
      </w:r>
    </w:p>
    <w:p>
      <w:pPr>
        <w:pStyle w:val="TextBody"/>
        <w:bidi w:val="0"/>
        <w:spacing w:before="120" w:after="0"/>
        <w:jc w:val="left"/>
        <w:rPr>
          <w:rFonts w:ascii="Times New Roman" w:hAnsi="Times New Roman"/>
          <w:sz w:val="20"/>
        </w:rPr>
      </w:pPr>
      <w:r>
        <w:rPr>
          <w:rFonts w:ascii="Times New Roman" w:hAnsi="Times New Roman"/>
          <w:sz w:val="20"/>
        </w:rPr>
        <w:t xml:space="preserve">So long as no Event of Default exists, the Borrower may on any Business Day, continue any (x) Daily Simple SOFR Loans as Daily Simple SOFR Loans or (y) Term SOFR Loans as Term SOFR Loans. Each Continuation of SOFR Loans shall be in an aggregate minimum amount of $1,000,000 and integral multiples of $1,000,000 in excess of that amount, and, with respect to Term SOFR Loans, each new Interest Period selected in the Notice of Continuation shall commence on the last day of the immediately preceding Interest Period. Whenever the Borrower desires to continue Term SOFR Loans as provided above, the Borrower shall give to the Administrative Agent a Notice of Continuation not later than 12:00 p.m. noon Eastern time three (3) U.S. Government Securities Business Days before the day on which a proposed Continuation of such Loan is to be effective. Such notice by the Borrower of a Continuation shall be by telephone (confirmed promptly in writing on the same Business Day), electronic mail or other similar form of communication in the form of a Notice of Continuation, specifying (a) the proposed date of such Continuation, (b) the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Term SOFR Loan in accordance with this Section, such Loan will automatically, on the last day of the current Interest Period therefor, continue as a Term SOFR Loan with an Interest Period of one month; provided, however that if an Event of Default exists, such Loan will automatically, on the last day of the current Interest Period therefor, Convert into a Base Rate Loan notwithstanding the first sentence of Section 2.10. or the Borrower’s failure to comply with any of the terms of such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2.10. Conversion.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SOFR Loan if an Event of Default exists. Each Conversion of Base Rate Loans into Term SOFR Loans or Daily Simple SOFR Loans, as applicable, shall be in an aggregate minimum amount of $1,000,000 and integral multiples of $1,000,000 in excess of that amount. Each such Notice of Conversion shall be given not later than 12:00 p.m. noon Eastern time (x) with respect to Loans that are to be Converted to Base Rate Loans, one (1) Business Day, (y) with respect to Loans that are to be converted to Daily Simple SOFR Loans, one (1) U.S. Government Securities Business Day and (z) with respect to Loans that are to be converted to Term SOFR Loans, three (3) U.S. Government Securities Business Days, in each case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or U.S. Government Securities Business Day, as applicable),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Term SOFR Loan, the requested duration of the Interest Period of such Loan. Each Notice of Conversion shall be irrevocable by and binding on the Borrower once given. If the Borrower requests a Conversion to a Term SOFR Loan, but fails to specify an Interest Period, it will be deemed to have specified an Interest Period of one month.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2.11. Notes.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Notes</w:t>
      </w:r>
      <w:r>
        <w:rPr>
          <w:rFonts w:ascii="Times New Roman" w:hAnsi="Times New Roman"/>
          <w:sz w:val="20"/>
        </w:rPr>
        <w:t xml:space="preserve">. Except in the case of a Lender that has notified the Administrative Agent in writing that it elects not to receive a Note, the Loans made by each Lender shall, in addition to this Agreement, also be evidenced by a Note, payable to the order of such Lender in a principal amount equal to the amount of its Loans and Commitment as originally in effect and otherwise duly completed (or, if such Lender was not a Lender on the Effective Date, in a principal amount equal to the initial principal amount of the Loans and Commitment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Records</w:t>
      </w:r>
      <w:r>
        <w:rPr>
          <w:rFonts w:ascii="Times New Roman" w:hAnsi="Times New Roman"/>
          <w:sz w:val="20"/>
        </w:rPr>
        <w:t xml:space="preserve">.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Lost, Stolen, Destroyed or Mutilated Notes</w:t>
      </w:r>
      <w:r>
        <w:rPr>
          <w:rFonts w:ascii="Times New Roman" w:hAnsi="Times New Roman"/>
          <w:sz w:val="20"/>
        </w:rPr>
        <w:t xml:space="preserve">. Upon receipt by the Borrower of (i) written notice from a Lender that the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2.12. Voluntary Reductions of the Commitments.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to terminate or reduce the aggregate unused amount of the Commitments at any time and from time to time without penalty or premium upon not less than 5 Business Days prior written notice to the Administrative Agent of each such termination or reduction, which notice shall specify the effective date thereof and the amount of any such reduction (which in the case of any partial reduction of the Commitments shall not be less than $5,000,000 and integral multiples of $1,000,000 in excess of that amount in the aggregate) and shall be irrevocable once given and effective only upon receipt by the Administrative Agent (“</w:t>
      </w:r>
      <w:r>
        <w:rPr>
          <w:rFonts w:ascii="Times New Roman" w:hAnsi="Times New Roman"/>
          <w:b/>
          <w:sz w:val="20"/>
        </w:rPr>
        <w:t>Commitment Reduction Notice</w:t>
      </w:r>
      <w:r>
        <w:rPr>
          <w:rFonts w:ascii="Times New Roman" w:hAnsi="Times New Roman"/>
          <w:sz w:val="20"/>
        </w:rPr>
        <w:t xml:space="preserve">”); provided, however, the Borrower may not reduce the aggregate amount of the Commitments below $20,000,000 unless the Borrower is terminating the Commitments in full. Promptly after receipt of a Commitment Reduction Notice the Administrative Agent shall notify each Lender of the proposed termination or Commitment reduction. The Commitments, once reduced or terminated pursuant to this Section, may not be increased or reinstated. The Borrower shall pay all fees on the Loans accrued to the date of such reduction or termination of the Commitments to the Administrative Agent for the account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2.13.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2.14. Additional Term Loans. </w:t>
      </w:r>
    </w:p>
    <w:p>
      <w:pPr>
        <w:pStyle w:val="TextBody"/>
        <w:bidi w:val="0"/>
        <w:spacing w:before="120" w:after="0"/>
        <w:jc w:val="left"/>
        <w:rPr>
          <w:rFonts w:ascii="Times New Roman" w:hAnsi="Times New Roman"/>
          <w:sz w:val="20"/>
        </w:rPr>
      </w:pPr>
      <w:r>
        <w:rPr>
          <w:rFonts w:ascii="Times New Roman" w:hAnsi="Times New Roman"/>
          <w:sz w:val="20"/>
        </w:rPr>
        <w:t>The Borrower shall have the right, at any time and from time to time, to request the making of additional Loans (“</w:t>
      </w:r>
      <w:r>
        <w:rPr>
          <w:rFonts w:ascii="Times New Roman" w:hAnsi="Times New Roman"/>
          <w:b/>
          <w:sz w:val="20"/>
        </w:rPr>
        <w:t>Additional Loans</w:t>
      </w:r>
      <w:r>
        <w:rPr>
          <w:rFonts w:ascii="Times New Roman" w:hAnsi="Times New Roman"/>
          <w:sz w:val="20"/>
        </w:rPr>
        <w:t xml:space="preserve">”) by providing written notice to the Administrative Agent, which notice shall be irrevocable once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the making of any Additional Loans the aggregate outstanding amount of the Loans shall not exceed $500,000,000 minus the amount of any optional prepayments of the Loans pursuant to Section 2.8. Additional Loans shall be on the same terms and conditions of this Agreement that are applicable to all other Loans. Each such request to make Additional Loans must be in a minimum amount of $25,000,000 and integral multiples of $5,000,000 in excess thereof. If the request is approved by the Administrative Agent, the Administrative Agent, in consultation with the Borrower, shall manage all aspects of the syndication of such Additional Loans, including decisions as to the selection of the existing Lenders and/or other banks, financial institutions and other institutional lenders to be approached with respect to such increase and the allocations of the Additional Loans among such existing Lenders and/or other banks, financial institutions and other institutional lenders; provided that any such other banks, financial institutions and other institutional lenders and the amounts of the respective increases and the allocations of such Additional Loans, as the case may be, shall be reasonably acceptable to the Borrower. No Lender shall be obligated in any way whatsoever to make Additional Loans, and any new Lender becoming a party to this Agreement in connection with any such requested Additional Loans must be an Eligible Assignee. In connection with the making of any Additional Loans under this Section, (I) the Borrower shall certify to any Person to become a Lender or any Lender making Additional Loans that (x) no Default or Event of Default is in existence on the effective date of such increase and (y) the representations and warranties made or deemed made by the Borrower and each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and (II) the Administrative Agent shall have received each of the following, in form and substance reasonably satisfactory to the Administrative Agent: (i) if not previously delivered to the Administrative Agent, copies (certified by the Secretary or Assistant Secretary of the Borrower) of (A) all corporate, partnership, member or other necessary action taken by the Borrower to authorize such Additional Loans and (B) all corporate, partnership, member or other necessary action taken by each Guarantor authorizing the guaranty of such increase; and (ii) an opinion of counsel to the Borrower and the Guarantors, and addressed to the Administrative Agent and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covering such matters as reasonably requested by the Administrative Agent; and (iii) new Notes executed by the Borrower, payable to any new Lenders and replacement Notes executed by the Borrower, payable to any existing Lenders providing Additional Loans, in the amount of each such Lender’s Loans at the time of the effectiveness of the making of any Additional Loans. In connection with the making of any Additional Loans pursuant to this Section 2.14. any Lender becoming a party hereto shall execute such documents and agreements as the Administrative Agent may reasonably request.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2.15.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2.16.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2.17. Funds Transfer Disbursements.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hereby authorizes the Administrative Agent to disburse the proceeds of the Loans made by the Lenders or any of their Affiliates pursuant to the Loan Documents to any of the accounts designated in the Notice of Borrowing.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PAYMENTS, FEES AND OTHER GENERAL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 Payments.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by Borrower</w:t>
      </w:r>
      <w:r>
        <w:rPr>
          <w:rFonts w:ascii="Times New Roman" w:hAnsi="Times New Roman"/>
          <w:sz w:val="20"/>
        </w:rPr>
        <w:t xml:space="preserve">.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2:00 p.m. Eastern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In the event the Administrative Agent fails to pay such amounts to such Lender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Presumptions Regarding Payments by Borrower</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(but shall not be obligated to), in reliance upon such assumption, distribute to the Lenders the amount due. In such event, if the Borrower has not in fact made such payment, then each of the Lenders severally agrees to repay to the Administrative Agent on demand that amount so distributed to such Lender, with interest thereon, for each day from and including the date such amount is distributed to it to but excluding the date of payment to the Administrative Agent, at the Federal Funds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3.2. Pro Rata Treatment. </w:t>
      </w:r>
    </w:p>
    <w:p>
      <w:pPr>
        <w:pStyle w:val="TextBody"/>
        <w:bidi w:val="0"/>
        <w:spacing w:before="120" w:after="0"/>
        <w:jc w:val="left"/>
        <w:rPr>
          <w:rFonts w:ascii="Times New Roman" w:hAnsi="Times New Roman"/>
          <w:sz w:val="20"/>
        </w:rPr>
      </w:pPr>
      <w:r>
        <w:rPr>
          <w:rFonts w:ascii="Times New Roman" w:hAnsi="Times New Roman"/>
          <w:sz w:val="20"/>
        </w:rPr>
        <w:t xml:space="preserve">Except to the extent otherwise provided herein: (a) each borrowing from the Lenders under Section 2.1.(a) shall be made from the Lenders, each payment of fees under Section 3.5(b) shall be made for the account of the Lenders, and each termination or reduction of the amount of the Commitments under Section 2.12. shall be applied to the respective Commitments of the Lenders, pro rata according to the amounts of their respective Commitments, (b) each payment or prepayment of principal of Loans shall be made for the account of the Lenders pro rata in accordance with the respective unpaid principal amounts of the Loans held by them; (c) each payment of interest on Loans shall be made for the account of the Lenders pro rata in accordance with the amounts of interest on such Loans then due and payable to the respective Lenders; (d) the Conversion and Continuation of Loans of a particular Type (other than Conversions provided for by Sections 4.1.(c) and 4.5.) shall be made pro rata among the Lenders according to the amounts of their Loans and the then current Interest Period for each Lender’s portion of each such Loan of such Type shall be coterminous; and (e) each payment of the fees under Section 3.5.(c) with respect to the Loans shall be made for the account of the Lenders pro rata according to the unpaid principal amounts of their respective Loans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3.3. Sharing of Payments, Etc. </w:t>
      </w:r>
    </w:p>
    <w:p>
      <w:pPr>
        <w:pStyle w:val="TextBody"/>
        <w:bidi w:val="0"/>
        <w:spacing w:before="120" w:after="0"/>
        <w:jc w:val="left"/>
        <w:rPr>
          <w:rFonts w:ascii="Times New Roman" w:hAnsi="Times New Roman"/>
          <w:sz w:val="20"/>
        </w:rPr>
      </w:pPr>
      <w:r>
        <w:rPr>
          <w:rFonts w:ascii="Times New Roman" w:hAnsi="Times New Roman"/>
          <w:sz w:val="20"/>
        </w:rPr>
        <w:t xml:space="preserve">If a Lender shall obtain payment of any principal of, or interest on, the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3.4. Several Obligations. </w:t>
      </w:r>
    </w:p>
    <w:p>
      <w:pPr>
        <w:pStyle w:val="TextBody"/>
        <w:bidi w:val="0"/>
        <w:spacing w:before="120" w:after="0"/>
        <w:jc w:val="left"/>
        <w:rPr>
          <w:rFonts w:ascii="Times New Roman" w:hAnsi="Times New Roman"/>
          <w:sz w:val="20"/>
        </w:rPr>
      </w:pPr>
      <w:r>
        <w:rPr>
          <w:rFonts w:ascii="Times New Roman" w:hAnsi="Times New Roman"/>
          <w:sz w:val="20"/>
        </w:rPr>
        <w:t xml:space="preserve">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3.5. Fees.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Fee</w:t>
      </w:r>
      <w:r>
        <w:rPr>
          <w:rFonts w:ascii="Times New Roman" w:hAnsi="Times New Roman"/>
          <w:sz w:val="20"/>
        </w:rPr>
        <w:t xml:space="preserve">. On the Effective Date, the Borrower agrees to pay to the Administrative Agent and each Lender all loan fees as have been agreed to in writing by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Ticking Fee</w:t>
      </w:r>
      <w:r>
        <w:rPr>
          <w:rFonts w:ascii="Times New Roman" w:hAnsi="Times New Roman"/>
          <w:sz w:val="20"/>
        </w:rPr>
        <w:t xml:space="preserve">. For the period from the date that is sixty (60) days after the Effective Date until the Availability Termination Date, the Borrower shall pay to the Administrative Agent for the account of each Lender in accordance with its Commitment Percentage, a per annum ticking fee equal to the daily aggregate amount of the Commitments available multiplied by a per annum rate equal to 0.15%. Such fee shall be computed on a daily basis and payable quarterly in arrears on the first day of each January, April, July and October, commencing with the first such date to occur at least sixty (60) days after the Effective Date, and on the Availability Termination Date. The Borrower acknowledges that such fee is a bona fide commitment/ticking fee and is intended as reasonable compensation to the Lenders for committing to make funds available to the Borrower as described herein and for no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Administrative and Other Fees</w:t>
      </w:r>
      <w:r>
        <w:rPr>
          <w:rFonts w:ascii="Times New Roman" w:hAnsi="Times New Roman"/>
          <w:sz w:val="20"/>
        </w:rPr>
        <w:t xml:space="preserve">. The Borrower agrees to pay the administrative and other fees of the Administrative Agent as provided in the Fee Letter and as may be otherwise agreed to in writing from time to time by the Borrower, the Arrangers and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3.6. Computations.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expressly set forth herein, any accrued interest on any Loan, any Fees or any other Obligations due hereunder shall be computed on the basis of a year of 360 days and the actual number of days elapsed.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3.7. Usury.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and (ii). Notwithstanding the foregoing, the parties hereto further agree and stipulate that all agency fees, syndication fees, arrangement fees, closing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3.8. Statements of Account.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3.9. 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Requisite Lenders. The rights and remedies of the Borrower, the Administrative Agent and the other Lenders against a Defaulting Lender under this Section are in addition to any other rights and remedies such parties may have against such Defaulting Lender under this Agreement, any of the Loan Documents, Applicable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hAnsi="Times New Roman"/>
          <w:sz w:val="20"/>
          <w:u w:val="single"/>
        </w:rPr>
        <w:t>fourth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fifth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such payment is a payment of the principal amount of a Loan in respect of which such Defaulting Lender has not fully funded its appropriate share, such payment shall be applied solely to pay the Loans of all Non-Defaulting Lenders on a pro rata basis prior to being applied to the payment of a Loan of such Defaulting Lender until such time as all Loans are held by the Lenders pro rata in accordance with their respective Commitment Percentages immediately prior to any fundings which such Defaulting Lender failed to fund. Any payments, prepayments or other amounts paid or payable to a Defaulting Lender that are applied (or held) to pay amounts owed by a Defaulting Lender pursuant to this subsection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Fees</w:t>
      </w:r>
      <w:r>
        <w:rPr>
          <w:rFonts w:ascii="Times New Roman" w:hAnsi="Times New Roman"/>
          <w:sz w:val="20"/>
        </w:rPr>
        <w:t xml:space="preserve">. No Defaulting Lender shall be entitled to receive any Fees payable under Section 3.5.(b) for any period during which that Lender is a Defaulting Lender (and the Borrower shall not be required to pay any such fee that otherwise would have been required to have been paid to that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Defaulting Lender Cure</w:t>
      </w:r>
      <w:r>
        <w:rPr>
          <w:rFonts w:ascii="Times New Roman" w:hAnsi="Times New Roman"/>
          <w:sz w:val="20"/>
        </w:rPr>
        <w:t>.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their respective Commitment Percentages immediately prior to any fundings which such Defaulting Lender failed to fund, whereupon such Lender will cease to be a Defaulting Lender;</w:t>
      </w:r>
      <w:r>
        <w:rPr>
          <w:rFonts w:ascii="Times New Roman" w:hAnsi="Times New Roman"/>
          <w:sz w:val="20"/>
          <w:u w:val="single"/>
        </w:rPr>
        <w:t xml:space="preserve"> 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3.10. Taxes; Foreign Lenders.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Other Taxes by the Borrower</w:t>
      </w:r>
      <w:r>
        <w:rPr>
          <w:rFonts w:ascii="Times New Roman" w:hAnsi="Times New Roman"/>
          <w:sz w:val="20"/>
        </w:rPr>
        <w:t xml:space="preserve">. The Borrower and the other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w:t>
      </w:r>
      <w:r>
        <w:rPr>
          <w:rFonts w:ascii="Times New Roman" w:hAnsi="Times New Roman"/>
          <w:sz w:val="20"/>
        </w:rPr>
        <w:t xml:space="preserve">.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10 days after demand therefor, for (i) 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Evidence of Payments</w:t>
      </w:r>
      <w:r>
        <w:rPr>
          <w:rFonts w:ascii="Times New Roman" w:hAnsi="Times New Roman"/>
          <w:sz w:val="20"/>
        </w:rPr>
        <w:t xml:space="preserve">.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(ii)(A), (ii)(B) and (ii)(D))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an electronic copy (or an original if requested by the Borrower or the Administrative Agent) of an executed IRS Form W-8ECI; </w:t>
      </w:r>
    </w:p>
    <w:p>
      <w:pPr>
        <w:pStyle w:val="TextBody"/>
        <w:bidi w:val="0"/>
        <w:spacing w:before="120" w:after="0"/>
        <w:jc w:val="left"/>
        <w:rPr>
          <w:rFonts w:ascii="Times New Roman" w:hAnsi="Times New Roman"/>
          <w:sz w:val="20"/>
        </w:rPr>
      </w:pPr>
      <w:r>
        <w:rPr>
          <w:rFonts w:ascii="Times New Roman" w:hAnsi="Times New Roman"/>
          <w:sz w:val="20"/>
        </w:rPr>
        <w:t>(III) in the case of a Foreign Lender claiming the benefits of the exemption for portfolio interest under Section 881(c) of the Internal Revenue Code, (x) a certificate substantially in the form of Exhibit J-1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hAnsi="Times New Roman"/>
          <w:b/>
          <w:sz w:val="20"/>
        </w:rPr>
        <w:t>U.S. Tax Compliance Certificate</w:t>
      </w:r>
      <w:r>
        <w:rPr>
          <w:rFonts w:ascii="Times New Roman" w:hAnsi="Times New Roman"/>
          <w:sz w:val="20"/>
        </w:rPr>
        <w:t xml:space="preserve">”) and (y) an electronic copy (or an original if requested by the Borrower or the Administrative Agent) of IRS Form W-8BEN or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Survival</w:t>
      </w:r>
      <w:r>
        <w:rPr>
          <w:rFonts w:ascii="Times New Roman" w:hAnsi="Times New Roman"/>
          <w:sz w:val="20"/>
        </w:rPr>
        <w:t xml:space="preserve">.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- 49 -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YIELD PROTECTION, ETC.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4.1. Additional Costs; Capital Adequacy.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Adequacy</w:t>
      </w:r>
      <w:r>
        <w:rPr>
          <w:rFonts w:ascii="Times New Roman" w:hAnsi="Times New Roman"/>
          <w:sz w:val="20"/>
        </w:rPr>
        <w:t xml:space="preserve">.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the Commitments of such Lender or such Lender’s making, Converting to, Continuing of, or maintaining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Costs.</w:t>
      </w:r>
      <w:r>
        <w:rPr>
          <w:rFonts w:ascii="Times New Roman" w:hAnsi="Times New Roman"/>
          <w:sz w:val="20"/>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SOFR Loans or its obligation to make any SOFR Loans hereunder, any reduction in any amount receivable by such Lender under this Agreement or any of the other Loan Documents in respect of any of such SOFR Loans or such obligation or the maintenance by such Lender of capital in respect of its SOFR Loans (such increases in costs and reductions in amounts receivable being herein called “</w:t>
      </w:r>
      <w:r>
        <w:rPr>
          <w:rFonts w:ascii="Times New Roman" w:hAnsi="Times New Roman"/>
          <w:b/>
          <w:sz w:val="20"/>
        </w:rPr>
        <w:t>Additional Costs</w:t>
      </w:r>
      <w:r>
        <w:rPr>
          <w:rFonts w:ascii="Times New Roman" w:hAnsi="Times New Roman"/>
          <w:sz w:val="20"/>
        </w:rPr>
        <w:t xml:space="preserve">”), to the extent resulting from any Regulatory Change that: (i) changes the basis of taxation of any amounts payable to such Lender under this Agreement or any of the other Loan Documents in respect of any of such SOFR Loans (other than Indemnified Taxes, Taxes described in clauses (b) through (d) of the definition of Excluded Taxes and Connection Income Taxes), or (ii) imposes or modifies any reserve, special deposit or similar requirements (other than Regulation D of the FRB or other similar reserve requirement applicable to any other category of liabilities or category of extensions of credit or other assets by reference to which the interest rate on SOFR Loans is determined to the extent utilized to determine Term SOFR for such Loans) relating to any extensions of credit or other assets of, or any deposits with or other liabilities of, or other credit extended by, or any other acquisition of funds by such Lender (or its parent corporation), or any commitment of such Lender or (iii) imposes on any Lender or the London interbank market any other condition, cost or expense (other than Taxes) affecting this Agreement or the Loans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Lender’s Suspension of SOFR Loans.</w:t>
      </w:r>
      <w:r>
        <w:rPr>
          <w:rFonts w:ascii="Times New Roman" w:hAnsi="Times New Roman"/>
          <w:sz w:val="20"/>
        </w:rPr>
        <w:t xml:space="preserve">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SOFR Loan is determined as provided in this Agreement or a category of extensions of credit or other assets of such Lender that includes SOFR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SOFR Loans hereunder shall be suspended until such Regulatory Change ceases to be in effect (in which case the provisions of Section 4.5. shall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Notification and Determination of Additional Costs</w:t>
      </w:r>
      <w:r>
        <w:rPr>
          <w:rFonts w:ascii="Times New Roman" w:hAnsi="Times New Roman"/>
          <w:sz w:val="20"/>
        </w:rPr>
        <w:t xml:space="preserve">. Each of the Administrative Agent, each Lender, and each Participant, as the case may be, agrees to notify the Borrower of any event occurring after the Agreement Date entitling the Administrative Agent, such Lender or such Participant to compensation under any of the preceding subsections of this Section as promptly as practicable; provided, however, that the failure of the Administrative Agent, any Lender or any Participant to give such notice shall not release the Borrower from any of its obligations hereunder (and in the case of a Lender, to the Administrative Agent). The Administrative Agent, each Lender and each Participant, as the case may be, agrees to furnish to the Borrower a certificate setting forth the basis and amount of each request for compensation under this Section. Determinations by the Administrative Agent,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4.2. Inability to Determine Interest Rates; Alternative Rate of Interest.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Circumstances Affecting Benchmark Availability</w:t>
      </w:r>
      <w:r>
        <w:rPr>
          <w:rFonts w:ascii="Times New Roman" w:hAnsi="Times New Roman"/>
          <w:sz w:val="20"/>
        </w:rPr>
        <w:t xml:space="preserve">. Subject to clause (b)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Daily Simple SOFR pursuant to the definition thereof or Term SOFR with respect to a proposed Term SOFR Loan on or prior to the first day of the applicable Interest Period or (ii) the Requisite Lenders shall determine (which determination shall be conclusive and binding absent manifest error) that Daily Simple SOFR or Term SOFR, as applicable, does not adequately and fairly reflect the cost to such Lenders of making or maintaining any such Loan during, with respect to Term SOFR, such Interest Period and, in the case of clause (ii), the Requisite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Requisite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w:t>
      </w:r>
      <w:r>
        <w:rPr>
          <w:rFonts w:ascii="Times New Roman" w:hAnsi="Times New Roman"/>
          <w:sz w:val="20"/>
          <w:u w:val="single"/>
        </w:rPr>
        <w:t>Section 4.4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Benchmark Replacement</w:t>
      </w:r>
      <w:r>
        <w:rPr>
          <w:rFonts w:ascii="Times New Roman" w:hAnsi="Times New Roman"/>
          <w:sz w:val="20"/>
        </w:rPr>
        <w:t xml:space="preserve">. Notwithstanding anything to the contrary contained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Eastern time on the fifth (5th)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No replacement of a Benchmark with a Benchmark Replacement pursuant to this </w:t>
      </w:r>
      <w:r>
        <w:rPr>
          <w:rFonts w:ascii="Times New Roman" w:hAnsi="Times New Roman"/>
          <w:sz w:val="20"/>
          <w:u w:val="single"/>
        </w:rPr>
        <w:t>Section 4.2.(b)(i).</w:t>
      </w:r>
      <w:r>
        <w:rPr>
          <w:rFonts w:ascii="Times New Roman" w:hAnsi="Times New Roman"/>
          <w:sz w:val="20"/>
        </w:rPr>
        <w:t xml:space="preserve"> will occur prior to the applicable Benchmark Transition Start Date. No Derivatives Contract shall be deemed to be a “Loan Document” for purposes of this </w:t>
      </w:r>
      <w:r>
        <w:rPr>
          <w:rFonts w:ascii="Times New Roman" w:hAnsi="Times New Roman"/>
          <w:sz w:val="20"/>
          <w:u w:val="single"/>
        </w:rPr>
        <w:t>Section 4.2.(b)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Notices; Standards for Decisions and Determinations</w:t>
      </w:r>
      <w:r>
        <w:rPr>
          <w:rFonts w:ascii="Times New Roman" w:hAnsi="Times New Roman"/>
          <w:sz w:val="20"/>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and the Lenders of the removal or reinstatement of any tenor of a Benchmark pursuant to </w:t>
      </w:r>
      <w:r>
        <w:rPr>
          <w:rFonts w:ascii="Times New Roman" w:hAnsi="Times New Roman"/>
          <w:sz w:val="20"/>
          <w:u w:val="single"/>
        </w:rPr>
        <w:t>Section 4.2.(b)(iv)</w:t>
      </w:r>
      <w:r>
        <w:rPr>
          <w:rFonts w:ascii="Times New Roman" w:hAnsi="Times New Roman"/>
          <w:sz w:val="20"/>
        </w:rPr>
        <w:t xml:space="preserve">. Any determination, decision or election that may be made by the Administrative Agent or, if applicable, any Lender (or group of Lenders) pursuant to this </w:t>
      </w:r>
      <w:r>
        <w:rPr>
          <w:rFonts w:ascii="Times New Roman" w:hAnsi="Times New Roman"/>
          <w:sz w:val="20"/>
          <w:u w:val="single"/>
        </w:rPr>
        <w:t>Section 4.2.</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clause (b) of this </w:t>
      </w:r>
      <w:r>
        <w:rPr>
          <w:rFonts w:ascii="Times New Roman" w:hAnsi="Times New Roman"/>
          <w:sz w:val="20"/>
          <w:u w:val="single"/>
        </w:rPr>
        <w:t>Section 4.2</w:t>
      </w:r>
      <w:r>
        <w:rPr>
          <w:rFonts w:ascii="Times New Roman" w:hAnsi="Times New Roman"/>
          <w:sz w:val="20"/>
        </w:rPr>
        <w:t xml:space="preserve"> (including in the definitions of defined terms used in such clauses).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Loan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Benchmark Unavailability Period</w:t>
      </w:r>
      <w:r>
        <w:rPr>
          <w:rFonts w:ascii="Times New Roman" w:hAnsi="Times New Roman"/>
          <w:sz w:val="20"/>
        </w:rPr>
        <w:t xml:space="preserve">. Upon the Borrower’s receipt of notice of the commencement of a Benchmark Unavailability Period with respect to a given Benchmark, (A) the Borrower may revoke any pending request for a borrowing of Loans, Conversion to, or a Continuation of any affected SOFR Loans to be made, converted or continued during any Benchmark Unavailability Period and, failing that, the Borrower will be deemed to have converted any such request into a request for a borrowing of Loans of or Conversion to Base Rate Loans and (B) any outstanding affected SOFR Loans will be deemed to have been converted to Base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4.3. Illegality.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if any Lender shall reasonably determine (which determination shall be conclusive and binding) that it is unlawful for such Lender to honor its obligation to Convert to, Continue or maintain SOFR Loans hereunder, then such Lender shall promptly notify the Borrower thereof (with a copy of such notice to the Administrative Agent) and such Lender’s obligation to maintain or Continue, or to Convert Loans of any other Type into, SOFR Loans shall be suspended until such time as such Lender may again maintain SOFR Loans (in which case the provisions of Section 4.5. shall be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4.4.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 </w:t>
      </w:r>
    </w:p>
    <w:p>
      <w:pPr>
        <w:pStyle w:val="TextBody"/>
        <w:bidi w:val="0"/>
        <w:spacing w:before="120" w:after="0"/>
        <w:jc w:val="left"/>
        <w:rPr>
          <w:rFonts w:ascii="Times New Roman" w:hAnsi="Times New Roman"/>
          <w:sz w:val="20"/>
        </w:rPr>
      </w:pPr>
      <w:r>
        <w:rPr>
          <w:rFonts w:ascii="Times New Roman" w:hAnsi="Times New Roman"/>
          <w:sz w:val="20"/>
        </w:rPr>
        <w:t xml:space="preserve">(a) any payment or prepayment (whether mandatory or optional) of a Term SOFR Loan, or Conversion of a Term SOFR Loan, made by such Lender for any reason (including, without limitation, acceleration) on a date other than the last day of the Interest Period for such Loan;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failure by the Borrower for any reason (including, without limitation, the failure of any of the applicable conditions precedent specified in Section 5.2. to be satisfied) to borrow a Term SOFR Loan from such Lender on the date for such borrowing, or to Convert a Base Rate Loan or Daily Simple SOFR Loan into a Term SOFR Loan or Continue a Term SOFR Loan on the requested date of such Conversion or Continuation. </w:t>
      </w:r>
    </w:p>
    <w:p>
      <w:pPr>
        <w:pStyle w:val="TextBody"/>
        <w:bidi w:val="0"/>
        <w:spacing w:before="240" w:after="0"/>
        <w:jc w:val="left"/>
        <w:rPr>
          <w:rFonts w:ascii="Times New Roman" w:hAnsi="Times New Roman"/>
          <w:sz w:val="20"/>
        </w:rPr>
      </w:pPr>
      <w:r>
        <w:rPr>
          <w:rFonts w:ascii="Times New Roman" w:hAnsi="Times New Roman"/>
          <w:sz w:val="20"/>
        </w:rPr>
        <w:t xml:space="preserve">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4.5. Treatment of Affected Loans. </w:t>
      </w:r>
    </w:p>
    <w:p>
      <w:pPr>
        <w:pStyle w:val="TextBody"/>
        <w:bidi w:val="0"/>
        <w:spacing w:before="120" w:after="0"/>
        <w:jc w:val="left"/>
        <w:rPr>
          <w:rFonts w:ascii="Times New Roman" w:hAnsi="Times New Roman"/>
          <w:sz w:val="20"/>
        </w:rPr>
      </w:pPr>
      <w:r>
        <w:rPr>
          <w:rFonts w:ascii="Times New Roman" w:hAnsi="Times New Roman"/>
          <w:sz w:val="20"/>
        </w:rPr>
        <w:t xml:space="preserve">If the obligation of any Lender to make SOFR Loans or to Continue, or to Convert Base Rate Loans into, SOFR Loans shall be suspended pursuant to Section 4.1.(c), Section 4.2. or Section 4.3. then such Lender’s (x) Daily Simple SOFR Loans shall be automatically Converted to Base Rate Loans as of such date or (y) Term SOFR Loans shall be automatically Converted into Base Rate Loans on the last day(s) of the then current Interest Period(s) for Term SOFR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such Lender’s SOFR Loans have been so Converted, all payments and prepayments of principal that would otherwise be applied to such Lender’s SOFR Loans shall be applied instead to its Base Rate Loans; and </w:t>
      </w:r>
    </w:p>
    <w:p>
      <w:pPr>
        <w:pStyle w:val="TextBody"/>
        <w:bidi w:val="0"/>
        <w:spacing w:before="120" w:after="0"/>
        <w:jc w:val="left"/>
        <w:rPr>
          <w:rFonts w:ascii="Times New Roman" w:hAnsi="Times New Roman"/>
          <w:sz w:val="20"/>
        </w:rPr>
      </w:pPr>
      <w:r>
        <w:rPr>
          <w:rFonts w:ascii="Times New Roman" w:hAnsi="Times New Roman"/>
          <w:sz w:val="20"/>
        </w:rPr>
        <w:t xml:space="preserve">(ii) any portion of such Lender’s Loan that would otherwise be Continued by such Lender as a SOFR Loan shall be Continued instead as a Base Rate Loan, and any Base Rate Loan of such Lender that would otherwise be Converted into a SOFR Loan shall remain as a Base Rate Loan. </w:t>
      </w:r>
    </w:p>
    <w:p>
      <w:pPr>
        <w:pStyle w:val="TextBody"/>
        <w:bidi w:val="0"/>
        <w:spacing w:before="120" w:after="0"/>
        <w:jc w:val="left"/>
        <w:rPr>
          <w:rFonts w:ascii="Times New Roman" w:hAnsi="Times New Roman"/>
          <w:sz w:val="20"/>
        </w:rPr>
      </w:pPr>
      <w:r>
        <w:rPr>
          <w:rFonts w:ascii="Times New Roman" w:hAnsi="Times New Roman"/>
          <w:sz w:val="20"/>
        </w:rPr>
        <w:t xml:space="preserve">If such Lender gives notice to the Borrower (with a copy to the Administrative Agent) that the circumstances specified in Section 4.1.(c) or 4.3. that gave rise to the Conversion of such Lender’s SOFR Loans pursuant to this Section no longer exist (which such Lender agrees to do promptly upon such circumstances ceasing to exist) at a time when SOFR Loans made by other Lenders are outstanding, then such Lender’s Base Rate Loans shall be automatically Converted, on the first day(s) of the next succeeding (x) interest payment date for such outstanding Daily Simple SOFR Loans (y) Interest Period(s) for such outstanding Term SOFR Loans, to the extent necessary so that, after giving effect thereto, all Loans held by the Lenders holding Daily Simple SOFR Loans and/or Term SOFR Loans, as applicable, and by such Lender are held pro rata (as to principal amounts, Types, and Interest Periods) in accordance with their respective unpaid principal amount of the Loan made by such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4.6. Affected Lenders. </w:t>
      </w:r>
    </w:p>
    <w:p>
      <w:pPr>
        <w:pStyle w:val="TextBody"/>
        <w:bidi w:val="0"/>
        <w:spacing w:before="120" w:after="0"/>
        <w:jc w:val="left"/>
        <w:rPr>
          <w:rFonts w:ascii="Times New Roman" w:hAnsi="Times New Roman"/>
          <w:sz w:val="20"/>
        </w:rPr>
      </w:pPr>
      <w:r>
        <w:rPr>
          <w:rFonts w:ascii="Times New Roman" w:hAnsi="Times New Roman"/>
          <w:sz w:val="20"/>
        </w:rPr>
        <w:t xml:space="preserve">If (a) a Lender requests compensation pursuant to Section 3.10. or 4.1., and the Requisite Lenders are not also doing the same, or (b) the obligation of any Lender to Continue, or to Convert Base Rate Loans into, SOFR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favor of such amendment, modification or waiver or (d) a Lender becomes a Defaulting Lender, then, so long as there does not then exist any Event of Default, the Borrower may demand that such Lender (the “</w:t>
      </w:r>
      <w:r>
        <w:rPr>
          <w:rFonts w:ascii="Times New Roman" w:hAnsi="Times New Roman"/>
          <w:b/>
          <w:sz w:val="20"/>
        </w:rPr>
        <w:t>Affected Lender</w:t>
      </w:r>
      <w:r>
        <w:rPr>
          <w:rFonts w:ascii="Times New Roman" w:hAnsi="Times New Roman"/>
          <w:sz w:val="20"/>
        </w:rPr>
        <w:t xml:space="preserve">”), and upon such demand the Affected Lender shall promptly, assign its Loans and Commitment to an Eligible Assignee subject to and in accordance with the provisions of Section 12.6.(b) for a purchase price equal to (x) the aggregate principal balance of all Loans then owing to the Affected Lender, plus (y)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4.7. Change of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4.8. Assumptions Concerning Funding of SOFR Loans. </w:t>
      </w:r>
    </w:p>
    <w:p>
      <w:pPr>
        <w:pStyle w:val="TextBody"/>
        <w:bidi w:val="0"/>
        <w:spacing w:before="120" w:after="0"/>
        <w:jc w:val="left"/>
        <w:rPr>
          <w:rFonts w:ascii="Times New Roman" w:hAnsi="Times New Roman"/>
          <w:sz w:val="20"/>
        </w:rPr>
      </w:pPr>
      <w:r>
        <w:rPr>
          <w:rFonts w:ascii="Times New Roman" w:hAnsi="Times New Roman"/>
          <w:sz w:val="20"/>
        </w:rPr>
        <w:t xml:space="preserve">Calculation of all amounts payable to a Lender under this Article shall be made as though such Lender had actually funded SOFR Loans through the purchase of deposits in the relevant market bearing interest at the rate applicable to such SOFR Loans in an amount equal to the amount of the SOFR Loans and having a maturity comparable to the relevant Interest Period; provided, however, that each Lender may fund each of its SOFR Loans in any manner it sees fit and the foregoing assumption shall be used only for calculation of amounts payable under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CONDITIONS PRECEDENT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 Initial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Lenders to make the Loans is subject to the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each of the following,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counterparts of this Agreement executed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(ii) Notes executed by the Borrower, payable to each applicable Lender and complying with the terms of Section 2.11.(a);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Guaranty executed by each of the Guarantors, if applicable, initially to be a party thereto; </w:t>
      </w:r>
    </w:p>
    <w:p>
      <w:pPr>
        <w:pStyle w:val="TextBody"/>
        <w:bidi w:val="0"/>
        <w:spacing w:before="120" w:after="0"/>
        <w:jc w:val="left"/>
        <w:rPr>
          <w:rFonts w:ascii="Times New Roman" w:hAnsi="Times New Roman"/>
          <w:sz w:val="20"/>
        </w:rPr>
      </w:pPr>
      <w:r>
        <w:rPr>
          <w:rFonts w:ascii="Times New Roman" w:hAnsi="Times New Roman"/>
          <w:sz w:val="20"/>
        </w:rPr>
        <w:t xml:space="preserve">(iv) an opinion of Pillsbury Winthrop Shaw Pittman LLP, counsel to the Borrower and the other Loan Parties, addressed to the Administrative Agent and the Lenders and covering the matters set forth in Exhibit H; </w:t>
      </w:r>
    </w:p>
    <w:p>
      <w:pPr>
        <w:pStyle w:val="TextBody"/>
        <w:bidi w:val="0"/>
        <w:spacing w:before="120" w:after="0"/>
        <w:jc w:val="left"/>
        <w:rPr>
          <w:rFonts w:ascii="Times New Roman" w:hAnsi="Times New Roman"/>
          <w:sz w:val="20"/>
        </w:rPr>
      </w:pPr>
      <w:r>
        <w:rPr>
          <w:rFonts w:ascii="Times New Roman" w:hAnsi="Times New Roman"/>
          <w:sz w:val="20"/>
        </w:rPr>
        <w:t xml:space="preserve">(v)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w:t>
      </w:r>
    </w:p>
    <w:p>
      <w:pPr>
        <w:pStyle w:val="TextBody"/>
        <w:bidi w:val="0"/>
        <w:spacing w:before="120" w:after="0"/>
        <w:jc w:val="left"/>
        <w:rPr>
          <w:rFonts w:ascii="Times New Roman" w:hAnsi="Times New Roman"/>
          <w:sz w:val="20"/>
        </w:rPr>
      </w:pPr>
      <w:r>
        <w:rPr>
          <w:rFonts w:ascii="Times New Roman" w:hAnsi="Times New Roman"/>
          <w:sz w:val="20"/>
        </w:rPr>
        <w:t xml:space="preserve">(vi) 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the Notice of Borrowing, Notices of Conversion and Notices of Continuation; </w:t>
      </w:r>
    </w:p>
    <w:p>
      <w:pPr>
        <w:pStyle w:val="TextBody"/>
        <w:bidi w:val="0"/>
        <w:spacing w:before="120" w:after="0"/>
        <w:jc w:val="left"/>
        <w:rPr>
          <w:rFonts w:ascii="Times New Roman" w:hAnsi="Times New Roman"/>
          <w:sz w:val="20"/>
        </w:rPr>
      </w:pPr>
      <w:r>
        <w:rPr>
          <w:rFonts w:ascii="Times New Roman" w:hAnsi="Times New Roman"/>
          <w:sz w:val="20"/>
        </w:rPr>
        <w:t xml:space="preserve">(viii) 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(ix) a Compliance Certificate calculated on a pro forma basis for the Borrower’s fiscal quarter ending September 30, 2025; </w:t>
      </w:r>
    </w:p>
    <w:p>
      <w:pPr>
        <w:pStyle w:val="TextBody"/>
        <w:bidi w:val="0"/>
        <w:spacing w:before="120" w:after="0"/>
        <w:jc w:val="left"/>
        <w:rPr>
          <w:rFonts w:ascii="Times New Roman" w:hAnsi="Times New Roman"/>
          <w:sz w:val="20"/>
        </w:rPr>
      </w:pPr>
      <w:r>
        <w:rPr>
          <w:rFonts w:ascii="Times New Roman" w:hAnsi="Times New Roman"/>
          <w:sz w:val="20"/>
        </w:rPr>
        <w:t xml:space="preserve">(x)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(xi)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(xii) 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(xiii) [intentionally omitted]; and </w:t>
      </w:r>
    </w:p>
    <w:p>
      <w:pPr>
        <w:pStyle w:val="TextBody"/>
        <w:bidi w:val="0"/>
        <w:spacing w:before="120" w:after="0"/>
        <w:jc w:val="left"/>
        <w:rPr>
          <w:rFonts w:ascii="Times New Roman" w:hAnsi="Times New Roman"/>
          <w:sz w:val="20"/>
        </w:rPr>
      </w:pPr>
      <w:r>
        <w:rPr>
          <w:rFonts w:ascii="Times New Roman" w:hAnsi="Times New Roman"/>
          <w:sz w:val="20"/>
        </w:rPr>
        <w:t xml:space="preserve">(xiv) such other documents, agreements and instruments as the Administrative Agent, or any Lender through the Administrative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good faith judgment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(v) 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not have occurred or exist any other material disruption of financial or capital markets that could reasonably be expected to materially and adversely affect the transactions contemplated by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Conditions Precedent to All Loans.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Lenders to make the Loans are subject to the further conditions precedent that: (a) no Default or Event of Default shall exist as of the date of the making of the Loans or would exist immediately after giving effect thereto; and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that all conditions to the making of such Loan contained in this Article V. have been satisfied. Unless set forth in writing to the contrary, the making of a Loan by a Lender shall constitute a certification by such Lender to the Administrative Agent and the other Lenders that the conditions precedent for the Loans set forth in Section 5.1. that have not previously been waived by the Lenders in accordance with the terms of this Agreement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REPRESENTATIONS AND WARRANTIES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the Administrative Agent and each Lender to enter into this Agreement and to make Loans, the Borrower represents and warrants to the Administrative Agent and each Lender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Power; Qualification</w:t>
      </w:r>
      <w:r>
        <w:rPr>
          <w:rFonts w:ascii="Times New Roman" w:hAnsi="Times New Roman"/>
          <w:sz w:val="20"/>
        </w:rPr>
        <w:t xml:space="preserve">.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 The Parent is a real estate investment trust, duly organized or formed, validly existing and in good standing under the laws of the State of Maryland, has the power and authority to own or lease its assets and to carry on its business as now being and hereafter proposed to be conducted and is duly qualified and is in good standing, and authorized to do business, in each jurisdiction in which the character of its assets or the nature of its business requires such qualification or authorization and where the failure to be so qualified or authorized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Ownership Structure</w:t>
      </w:r>
      <w:r>
        <w:rPr>
          <w:rFonts w:ascii="Times New Roman" w:hAnsi="Times New Roman"/>
          <w:sz w:val="20"/>
        </w:rPr>
        <w:t xml:space="preserve">. Part I of Schedule 6.1.(b) is, as of the Effective Date, a complete and correct list of all Subsidiaries of the Parent, the General Partner and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in the case of Subsidiaries of the Borrower, whether such Subsidiary is a Material Subsidiary and/or an Excluded Subsidiary and whether such Subsidiary owns a Non-Controlled Property (and, if so, which one(s)). As of the Effective Date, except as disclosed in such Schedule, (A) each of the Parent, the General Partner and the Borrower and its respective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Effective Date, Part II of Schedule 6.1.(b) correctly sets forth all Unconsolidated Affiliates of the Parent, the General Partner and the Borrower, including the correct legal name of such Person, the type of legal entity which each such Person is, and all Equity Interests in such Person held directly or indirectly by the Parent, the General Partner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Authorization of Loan Documents and Borrowings</w:t>
      </w:r>
      <w:r>
        <w:rPr>
          <w:rFonts w:ascii="Times New Roman" w:hAnsi="Times New Roman"/>
          <w:sz w:val="20"/>
        </w:rPr>
        <w:t xml:space="preserve">.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Compliance of Loan Documents with Laws</w:t>
      </w:r>
      <w:r>
        <w:rPr>
          <w:rFonts w:ascii="Times New Roman" w:hAnsi="Times New Roman"/>
          <w:sz w:val="20"/>
        </w:rPr>
        <w:t xml:space="preserve">.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Law; Governmental Approvals</w:t>
      </w:r>
      <w:r>
        <w:rPr>
          <w:rFonts w:ascii="Times New Roman" w:hAnsi="Times New Roman"/>
          <w:sz w:val="20"/>
        </w:rPr>
        <w:t xml:space="preserve">. Each of the Parent, the General Partner,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Title to Properties; Liens</w:t>
      </w:r>
      <w:r>
        <w:rPr>
          <w:rFonts w:ascii="Times New Roman" w:hAnsi="Times New Roman"/>
          <w:sz w:val="20"/>
        </w:rPr>
        <w:t xml:space="preserve">.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Existing Indebtedness</w:t>
      </w:r>
      <w:r>
        <w:rPr>
          <w:rFonts w:ascii="Times New Roman" w:hAnsi="Times New Roman"/>
          <w:sz w:val="20"/>
        </w:rPr>
        <w:t xml:space="preserve">. Schedule 6.1.(g) is, as of September 30, 2025,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September 30, 2025 through the Effective Date neither the Borrower nor any of its Subsidiaries has incurred any Indebtedness having an outstanding principal balance in excess of $1,000,000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Affected Financial Institution</w:t>
      </w:r>
      <w:r>
        <w:rPr>
          <w:rFonts w:ascii="Times New Roman" w:hAnsi="Times New Roman"/>
          <w:sz w:val="20"/>
        </w:rPr>
        <w:t xml:space="preserve">. None of the Parent, the General Partner or any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Litigation</w:t>
      </w:r>
      <w:r>
        <w:rPr>
          <w:rFonts w:ascii="Times New Roman" w:hAnsi="Times New Roman"/>
          <w:sz w:val="20"/>
        </w:rPr>
        <w:t xml:space="preserve">. Except as set forth on Schedule 6.1.(i), there are no actions, suits or proceedings pending (nor, to the knowledge of any Loan Party, are there any actions, suits or proceedings threatened) against or in any other way relating adversely to or affecting the Parent, the General Partner, the Borrower, any other Loan Party, any other Subsidiary or any of their respective property in any court or before any arbitrator of any kind or before or 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Taxes</w:t>
      </w:r>
      <w:r>
        <w:rPr>
          <w:rFonts w:ascii="Times New Roman" w:hAnsi="Times New Roman"/>
          <w:sz w:val="20"/>
        </w:rPr>
        <w:t xml:space="preserve">. All federal, state and other tax returns of the Parent, the General Partner, the Borrower, each other Loan Party and each other Subsidiary required by Applicable Law to be filed have been duly filed, and all federal, state and other taxes, assessments and other governmental charges or levies upon, the Parent, the General Partner, each Loan Party, each other Subsidiary and their respective properties, income, profits and assets which are due and payable have been paid, except any such nonpayment or non-filing which is at the time permitted under Section 7.6. As of the Effective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Financial Statements</w:t>
      </w:r>
      <w:r>
        <w:rPr>
          <w:rFonts w:ascii="Times New Roman" w:hAnsi="Times New Roman"/>
          <w:sz w:val="20"/>
        </w:rPr>
        <w:t xml:space="preserve">. The Borrower has furnished to each Lender copies of the audited consolidated balance sheets of the Borrower and its consolidated Subsidiaries as of December 31, 2023 and December 31, 2024, and the related audited consolidated statements of comprehensive income, capital and cash flows for the years ended on such dates, with the opinion thereon of Grant Thornton LLP. Such financial statements (including in each case related schedules and notes) present fairly, in all material respects and in accordance with GAAP consistently applied throughout the periods involved, the consolidated financial position of the Borrower and its consolidated Subsidiaries as at their respective dates and the results of operations and the cash flows for such periods (subject, as to interim statements, to changes resulting from normal year-end audit adjustments). Neither the Borrower nor any of its Subsidiaries has on the Agreement Date any </w:t>
      </w:r>
      <w:r>
        <w:rPr>
          <w:rFonts w:ascii="Times New Roman" w:hAnsi="Times New Roman"/>
          <w:strike/>
          <w:color w:val="FF0000"/>
          <w:sz w:val="20"/>
        </w:rPr>
        <w:t xml:space="preserve">material </w:t>
      </w:r>
      <w:r>
        <w:rPr>
          <w:rFonts w:ascii="Times New Roman" w:hAnsi="Times New Roman"/>
          <w:sz w:val="20"/>
        </w:rPr>
        <w:t>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r>
        <w:rPr>
          <w:rFonts w:ascii="Times New Roman" w:hAnsi="Times New Roman"/>
          <w:color w:val="0000FF"/>
          <w:sz w:val="20"/>
          <w:u w:val="single"/>
          <w:bdr w:val="double" w:sz="2" w:space="1" w:color="000000"/>
        </w:rPr>
        <w:t xml:space="preserve"> or that would not be, individually or in the aggregate,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Material Adverse Change</w:t>
      </w:r>
      <w:r>
        <w:rPr>
          <w:rFonts w:ascii="Times New Roman" w:hAnsi="Times New Roman"/>
          <w:sz w:val="20"/>
        </w:rPr>
        <w:t xml:space="preserve">. Since December 31, 2024, there has been no event, change, circumstance or occurrence that could reasonably be expected to have a Material Adverse Effect. Each of the Borrower, the other Loan Parties and the other Subsidiaries is Solvent.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ERISA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does not exceed the “fair market value of plan assets” for such Plans by more than $10,000,000 all as determined by and with such terms defined in accordance with FASB ASC 715. </w:t>
      </w:r>
    </w:p>
    <w:p>
      <w:pPr>
        <w:pStyle w:val="TextBody"/>
        <w:bidi w:val="0"/>
        <w:spacing w:before="120" w:after="0"/>
        <w:jc w:val="left"/>
        <w:rPr>
          <w:rFonts w:ascii="Times New Roman" w:hAnsi="Times New Roman"/>
          <w:sz w:val="20"/>
        </w:rPr>
      </w:pPr>
      <w:r>
        <w:rPr>
          <w:rFonts w:ascii="Times New Roman" w:hAnsi="Times New Roman"/>
          <w:sz w:val="20"/>
        </w:rPr>
        <w:t xml:space="preserve">(iii) 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Absence of Default</w:t>
      </w:r>
      <w:r>
        <w:rPr>
          <w:rFonts w:ascii="Times New Roman" w:hAnsi="Times New Roman"/>
          <w:sz w:val="20"/>
        </w:rPr>
        <w:t xml:space="preserve">.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Environmental Laws</w:t>
      </w:r>
      <w:r>
        <w:rPr>
          <w:rFonts w:ascii="Times New Roman" w:hAnsi="Times New Roman"/>
          <w:sz w:val="20"/>
        </w:rPr>
        <w:t xml:space="preserve">.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Investment Company</w:t>
      </w:r>
      <w:r>
        <w:rPr>
          <w:rFonts w:ascii="Times New Roman" w:hAnsi="Times New Roman"/>
          <w:sz w:val="20"/>
        </w:rPr>
        <w:t xml:space="preserve">. None of the Parent, the General Partner,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Margin Stock</w:t>
      </w:r>
      <w:r>
        <w:rPr>
          <w:rFonts w:ascii="Times New Roman" w:hAnsi="Times New Roman"/>
          <w:sz w:val="20"/>
        </w:rPr>
        <w:t xml:space="preserve">.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FRB.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Affiliate Transactions</w:t>
      </w:r>
      <w:r>
        <w:rPr>
          <w:rFonts w:ascii="Times New Roman" w:hAnsi="Times New Roman"/>
          <w:sz w:val="20"/>
        </w:rPr>
        <w:t xml:space="preserve">. Except as permitted by Section 9.9., none of the Borrower, any other Loan Party or any other Subsidiary is a party to or bound by any agreement or arrangement with any Affiliate.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w:t>
      </w:r>
      <w:r>
        <w:rPr>
          <w:rFonts w:ascii="Times New Roman" w:hAnsi="Times New Roman"/>
          <w:sz w:val="20"/>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Times New Roman" w:hAnsi="Times New Roman"/>
          <w:b/>
          <w:sz w:val="20"/>
        </w:rPr>
        <w:t>Intellectual Property</w:t>
      </w:r>
      <w:r>
        <w:rPr>
          <w:rFonts w:ascii="Times New Roman" w:hAnsi="Times New Roman"/>
          <w:sz w:val="20"/>
        </w:rPr>
        <w:t xml:space="preserve">”)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Business</w:t>
      </w:r>
      <w:r>
        <w:rPr>
          <w:rFonts w:ascii="Times New Roman" w:hAnsi="Times New Roman"/>
          <w:sz w:val="20"/>
        </w:rPr>
        <w:t xml:space="preserv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Broker’s Fees</w:t>
      </w:r>
      <w:r>
        <w:rPr>
          <w:rFonts w:ascii="Times New Roman" w:hAnsi="Times New Roman"/>
          <w:sz w:val="20"/>
        </w:rPr>
        <w:t xml:space="preserve">.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Accuracy and Completeness of Information</w:t>
      </w:r>
      <w:r>
        <w:rPr>
          <w:rFonts w:ascii="Times New Roman" w:hAnsi="Times New Roman"/>
          <w:sz w:val="20"/>
        </w:rPr>
        <w:t xml:space="preserve">.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Not Plan Assets; No Prohibited Transactions</w:t>
      </w:r>
      <w:r>
        <w:rPr>
          <w:rFonts w:ascii="Times New Roman" w:hAnsi="Times New Roman"/>
          <w:sz w:val="20"/>
        </w:rPr>
        <w:t xml:space="preserve">.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Anti-Corruption Laws; Anti-Money Laundering Laws and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None of (i) the Parent, the General Partner, the Borrower, any of their respective Subsidiaries, any of their respective directors, officers, or, to the knowledge of the Borrower or such Subsidiary, any of their respective employees or Affiliates, or (ii) any agent or representative of the Borrower or any Subsidiary that will act in any capacity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 </w:t>
      </w:r>
    </w:p>
    <w:p>
      <w:pPr>
        <w:pStyle w:val="TextBody"/>
        <w:bidi w:val="0"/>
        <w:spacing w:before="120" w:after="0"/>
        <w:jc w:val="left"/>
        <w:rPr>
          <w:rFonts w:ascii="Times New Roman" w:hAnsi="Times New Roman"/>
          <w:sz w:val="20"/>
        </w:rPr>
      </w:pPr>
      <w:r>
        <w:rPr>
          <w:rFonts w:ascii="Times New Roman" w:hAnsi="Times New Roman"/>
          <w:sz w:val="20"/>
        </w:rPr>
        <w:t xml:space="preserve">(ii) Each of the Parent, the General Partner, the Borrower and their respective Subsidiaries has implemented and maintains in effect policies and procedures designed to ensure compliance by such Person and their respective directors, officers, employees, agents and Affiliates with all Anti-Corruption Laws, Anti-Money Laundering Laws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(iii) Each of the Parent, the General Partner, the Borrower and their respective Subsidiaries, each director, officer, and to the knowledge of Borrower, employee, agent and Affiliate of the Parent, the General Partner, the Borrower and their respective Subsidiaries, is in compliance with all Anti-Corruption Laws, Anti-Money Laundering Laws in all material respects and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(iv) No proceeds of any Loan have been used, directly or indirectly, by the Borrower, any of its Subsidiaries or any of its or their respective directors, officers, employees and agents in violation of Section 9.13.(c).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REIT Status</w:t>
      </w:r>
      <w:r>
        <w:rPr>
          <w:rFonts w:ascii="Times New Roman" w:hAnsi="Times New Roman"/>
          <w:sz w:val="20"/>
        </w:rPr>
        <w:t xml:space="preserve">. The Parent qualifies as, and has elected to be treated as, a REIT and is in compliance with all requirements and conditions imposed under the Internal Revenue Code to allow the Parent to maintain its status as a REIT.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Unencumbered Assets</w:t>
      </w:r>
      <w:r>
        <w:rPr>
          <w:rFonts w:ascii="Times New Roman" w:hAnsi="Times New Roman"/>
          <w:sz w:val="20"/>
        </w:rPr>
        <w:t xml:space="preserve">.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(aa)</w:t>
      </w:r>
      <w:r>
        <w:rPr>
          <w:rFonts w:ascii="Times New Roman" w:hAnsi="Times New Roman"/>
          <w:sz w:val="20"/>
        </w:rPr>
        <w:t xml:space="preserve"> </w:t>
      </w:r>
      <w:r>
        <w:rPr>
          <w:rFonts w:ascii="Times New Roman" w:hAnsi="Times New Roman"/>
          <w:color w:val="0000FF"/>
          <w:sz w:val="20"/>
          <w:u w:val="single"/>
          <w:bdr w:val="double" w:sz="2" w:space="1" w:color="000000"/>
        </w:rPr>
        <w:t>Outbound Investment Rules. No Loan Party is a ‘covered foreign person’ as that term is used in the Outbound Investment Rules. No Loan Party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the Lenders to be in violation of the Outbound Investment Rules or cause the Lenders to be legally prohibited by the Outbound Investment Rules from performing under this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6.2. Survival of Representations and Warranties, Etc. </w:t>
      </w:r>
    </w:p>
    <w:p>
      <w:pPr>
        <w:pStyle w:val="TextBody"/>
        <w:bidi w:val="0"/>
        <w:spacing w:before="120" w:after="0"/>
        <w:jc w:val="left"/>
        <w:rPr>
          <w:rFonts w:ascii="Times New Roman" w:hAnsi="Times New Roman"/>
          <w:sz w:val="20"/>
        </w:rPr>
      </w:pPr>
      <w:r>
        <w:rPr>
          <w:rFonts w:ascii="Times New Roman" w:hAnsi="Times New Roman"/>
          <w:sz w:val="20"/>
        </w:rPr>
        <w:t xml:space="preserve">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provided for in Section 12.7., the Borrower shall comply with the following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 Preservation of Existence and Similar Matters.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The Parent shall preserve and maintain its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Section 7.2. Compliance with Applicable Law</w:t>
      </w:r>
      <w:r>
        <w:rPr>
          <w:rFonts w:ascii="Times New Roman" w:hAnsi="Times New Roman"/>
          <w:b/>
          <w:strike/>
          <w:color w:val="FF0000"/>
          <w:sz w:val="20"/>
        </w:rPr>
        <w:t xml:space="preserve"> and Material Contracts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Borrower shall, and shall cause each other Loan Party and each other Subsidiary to</w:t>
      </w:r>
      <w:r>
        <w:rPr>
          <w:rFonts w:ascii="Times New Roman" w:hAnsi="Times New Roman"/>
          <w:strike/>
          <w:color w:val="FF0000"/>
          <w:sz w:val="20"/>
        </w:rPr>
        <w:t>, comply with (a)</w:t>
      </w:r>
      <w:r>
        <w:rPr>
          <w:rFonts w:ascii="Times New Roman" w:hAnsi="Times New Roman"/>
          <w:strike/>
          <w:color w:val="008000"/>
          <w:sz w:val="20"/>
        </w:rPr>
        <w:t> all Applicable Laws, including the obtaining of all Governmental Approvals, the failure with which to comply could reasonably be expected to have a Material Adverse Effect</w:t>
      </w:r>
      <w:r>
        <w:rPr>
          <w:rFonts w:ascii="Times New Roman" w:hAnsi="Times New Roman"/>
          <w:strike/>
          <w:color w:val="FF0000"/>
          <w:sz w:val="20"/>
        </w:rPr>
        <w:t>, and (b) all terms and conditions of all contracts and other written agreements to which it is a party if any such non-compliance could reasonably be expected to have a Material Adverse Effect. The Parent shall</w:t>
      </w:r>
      <w:r>
        <w:rPr>
          <w:rFonts w:ascii="Times New Roman" w:hAnsi="Times New Roman"/>
          <w:sz w:val="20"/>
        </w:rPr>
        <w:t>, comply with all Applicable Laws, including the obtaining of all Governmental Approvals, the failure with which to comply could reasonably be expected to have a Material Adverse Effect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The Parent shall comply with </w:t>
      </w:r>
      <w:r>
        <w:rPr>
          <w:rFonts w:ascii="Times New Roman" w:hAnsi="Times New Roman"/>
          <w:color w:val="008000"/>
          <w:sz w:val="20"/>
          <w:u w:val="single"/>
          <w:bdr w:val="double" w:sz="2" w:space="1" w:color="000000"/>
        </w:rPr>
        <w:t>all Applicable Laws, including the obtaining of all Governmental Approvals, the failure with which to comply could reasonably be expected to have a 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7.3. Maintenance of Property.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7.4. Conduct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carry on its respective businesses as described in Section 6.1.(t).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7.5.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7.6. Payment of Taxes and Claims.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 The Parent shall pay and discharge when due all taxes, assessments and governmental charges or levies imposed upon it or upon its income or profits or upon any properties belonging to it;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7.7. Books and Records; Inspections.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7.8.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use the proceeds of Loans only to (i) provide for the general working capital needs of the Borrower and its Subsidiaries and (ii) for other general corporate purposes of the Borrower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7.9.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7.10. Further Assurances. </w:t>
      </w:r>
    </w:p>
    <w:p>
      <w:pPr>
        <w:pStyle w:val="TextBody"/>
        <w:bidi w:val="0"/>
        <w:spacing w:before="120" w:after="0"/>
        <w:jc w:val="left"/>
        <w:rPr>
          <w:rFonts w:ascii="Times New Roman" w:hAnsi="Times New Roman"/>
          <w:sz w:val="20"/>
        </w:rPr>
      </w:pPr>
      <w:r>
        <w:rPr>
          <w:rFonts w:ascii="Times New Roman" w:hAnsi="Times New Roman"/>
          <w:sz w:val="20"/>
        </w:rPr>
        <w:t xml:space="preserve">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7.11. Compliance with Anti-Corruption Laws; Beneficial Ownership Regulation, Anti-Money Laundering Laws and Sanctions. </w:t>
      </w:r>
    </w:p>
    <w:p>
      <w:pPr>
        <w:pStyle w:val="TextBody"/>
        <w:bidi w:val="0"/>
        <w:spacing w:before="120" w:after="0"/>
        <w:jc w:val="left"/>
        <w:rPr>
          <w:rFonts w:ascii="Times New Roman" w:hAnsi="Times New Roman"/>
          <w:sz w:val="20"/>
        </w:rPr>
      </w:pPr>
      <w:r>
        <w:rPr>
          <w:rFonts w:ascii="Times New Roman" w:hAnsi="Times New Roman"/>
          <w:sz w:val="20"/>
        </w:rPr>
        <w:t xml:space="preserve">The Parent, the General Partner and the Borrower will (a) maintain in effect and enforce policies and procedures designed to ensure compliance by the Parent, the General Partner, the Borrower, their respective Subsidiaries and their respective directors, officers, employees and agents with all Anti-Corruption Laws, Anti-Money Laundering Laws and applicable Sanctions, (b) 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7.12. REIT Status.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at all times maintain its status as, and election to be treated as, a REIT under the Internal Revenue Code.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7.13.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The Parent shall maintain at least one class of common shares of the Parent having trading privileges on the New York Stock Exchange or the NYSE American or other national exchange which is subject to price quotations on The NASDAQ Stock Market’s National Market System (or any successor exchanges or quotation systems thereto). </w:t>
      </w:r>
    </w:p>
    <w:p>
      <w:pPr>
        <w:pStyle w:val="TextBody"/>
        <w:bidi w:val="0"/>
        <w:spacing w:before="360" w:after="0"/>
        <w:jc w:val="left"/>
        <w:rPr>
          <w:rFonts w:ascii="Times New Roman" w:hAnsi="Times New Roman"/>
          <w:b/>
          <w:sz w:val="20"/>
        </w:rPr>
      </w:pPr>
      <w:r>
        <w:rPr>
          <w:rFonts w:ascii="Times New Roman" w:hAnsi="Times New Roman"/>
          <w:b/>
          <w:sz w:val="20"/>
        </w:rPr>
        <w:t>Section 7.14. Guarantors</w:t>
      </w:r>
      <w:r>
        <w:rPr>
          <w:rFonts w:ascii="Times New Roman" w:hAnsi="Times New Roman"/>
          <w:b/>
          <w:color w:val="0000FF"/>
          <w:sz w:val="20"/>
          <w:u w:val="single"/>
          <w:bdr w:val="double" w:sz="2" w:space="1" w:color="000000"/>
        </w:rPr>
        <w:t>; Assets Included in Unencumbered Asset Value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Within 10 Business Days of the </w:t>
      </w:r>
      <w:r>
        <w:rPr>
          <w:rFonts w:ascii="Times New Roman" w:hAnsi="Times New Roman"/>
          <w:color w:val="0000FF"/>
          <w:sz w:val="20"/>
          <w:u w:val="single"/>
          <w:bdr w:val="double" w:sz="2" w:space="1" w:color="000000"/>
        </w:rPr>
        <w:t xml:space="preserve">first </w:t>
      </w:r>
      <w:r>
        <w:rPr>
          <w:rFonts w:ascii="Times New Roman" w:hAnsi="Times New Roman"/>
          <w:sz w:val="20"/>
        </w:rPr>
        <w:t xml:space="preserve">date on which </w:t>
      </w:r>
      <w:r>
        <w:rPr>
          <w:rFonts w:ascii="Times New Roman" w:hAnsi="Times New Roman"/>
          <w:strike/>
          <w:color w:val="FF0000"/>
          <w:sz w:val="20"/>
        </w:rPr>
        <w:t xml:space="preserve">any of the following conditions first applies to </w:t>
      </w:r>
      <w:r>
        <w:rPr>
          <w:rFonts w:ascii="Times New Roman" w:hAnsi="Times New Roman"/>
          <w:sz w:val="20"/>
        </w:rPr>
        <w:t>any Subsidiary (other than a Subsidiary owning a Non-Controlled Property) that is not already a Guarantor</w:t>
      </w:r>
      <w:r>
        <w:rPr>
          <w:rFonts w:ascii="Times New Roman" w:hAnsi="Times New Roman"/>
          <w:color w:val="008000"/>
          <w:sz w:val="20"/>
          <w:u w:val="single"/>
          <w:bdr w:val="double" w:sz="2" w:space="1" w:color="000000"/>
        </w:rPr>
        <w:t xml:space="preserve"> (A) owns any asset the value of which is included in the determination of Unencumbered Asset Value and (B) has incurred, acquired or suffered to exist any Recourse Indebtedness</w:t>
      </w:r>
      <w:r>
        <w:rPr>
          <w:rFonts w:ascii="Times New Roman" w:hAnsi="Times New Roman"/>
          <w:sz w:val="20"/>
        </w:rPr>
        <w:t>,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(x) such Subsidiary Guarantees, or otherwise becomes obligated in respect of, any Indebtedness of </w:t>
      </w:r>
      <w:r>
        <w:rPr>
          <w:rFonts w:ascii="Times New Roman" w:hAnsi="Times New Roman"/>
          <w:strike/>
          <w:color w:val="008000"/>
          <w:sz w:val="20"/>
        </w:rPr>
        <w:t xml:space="preserve">the Borrower or any Subsidiary </w:t>
      </w:r>
      <w:r>
        <w:rPr>
          <w:rFonts w:ascii="Times New Roman" w:hAnsi="Times New Roman"/>
          <w:strike/>
          <w:color w:val="FF0000"/>
          <w:sz w:val="20"/>
        </w:rPr>
        <w:t>of the Borrower (other than (i) FRIT San Jose, solely with respect to its obligations as a Borrower under the PNC Bank Term Loan Agreement and (ii) Azalea JV, solely with respect to its obligations as a Borrower under the Azalea Term Loan Agreement);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(y) such Subsidiary </w:t>
      </w:r>
      <w:r>
        <w:rPr>
          <w:rFonts w:ascii="Times New Roman" w:hAnsi="Times New Roman"/>
          <w:strike/>
          <w:color w:val="008000"/>
          <w:sz w:val="20"/>
        </w:rPr>
        <w:t>(A) owns any asset the value of which is included in the determination of Unencumbered Asset Value and (B) has incurred, acquired or suffered to exist any Recourse Indebtedness</w:t>
      </w:r>
      <w:r>
        <w:rPr>
          <w:rFonts w:ascii="Times New Roman" w:hAnsi="Times New Roman"/>
          <w:strike/>
          <w:color w:val="FF0000"/>
          <w:sz w:val="20"/>
        </w:rPr>
        <w: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 Within 10 Business Days of the date on which any of the following conditions first applies to either the Parent or the General Partner, the Borrower shall deliver to the Administrative Agent each of the following in form and substance satisfactory to the Administrative Agent: (i) the Parent/General Partner Guaranty executed by such Person and (ii) the items that would have been delivered under subsections (iv) through (viii) of Section 5.1.(a) if such Person had been required to become a Guarantor on the Agreement Date. </w:t>
      </w:r>
    </w:p>
    <w:p>
      <w:pPr>
        <w:pStyle w:val="TextBody"/>
        <w:bidi w:val="0"/>
        <w:spacing w:before="120" w:after="0"/>
        <w:jc w:val="left"/>
        <w:rPr>
          <w:rFonts w:ascii="Times New Roman" w:hAnsi="Times New Roman"/>
          <w:sz w:val="20"/>
        </w:rPr>
      </w:pPr>
      <w:r>
        <w:rPr>
          <w:rFonts w:ascii="Times New Roman" w:hAnsi="Times New Roman"/>
          <w:sz w:val="20"/>
        </w:rPr>
        <w:t xml:space="preserve">(x) the Parent or General Partner, as the case may be, Guarantees, or otherwise becomes obligated in respect of, any Indebtedness of the Borrower or any Subsidiary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(y) the Parent or General Partner, as the case may be, fails to satisfy the requirements of Section 9.14 hereto.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may request in writing that the Administrative Agent release, and upon receipt of such request the Administrative Agent shall release, a Subsidiary of the Borrower that is a Guarantor from the Guaranty so long as: (i) such Guarantor is not required to be a party to the Guaranty under the immediately preceding subsection (a); (ii) no Default or Event of Default shall then be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 xml:space="preserve">In order to avoid a Subsidiary being required to provide an Accession Agreement or Guaranty and related deliverables because it satisfies the requirements of subclauses (A) and (B) of clause (a) above or so that any Subsidiary qualifies as an Excluded Subsidiary, as of any date the Borrower may elect to remove assets of any Subsidiary from Unencumbered Asset Value which were previously included therein by requesting in writing to the Administrative Agent that such assets not be included in Unencumbered Asset Value and delivering to the Administrative Agent an updated pro forma Compliance Certificate giving effect to the removal of such asset(s) and demonstrating that no Default or Event of Default is then in existence or would occur as a result of such removal, including, without limitation, a Default or Event of Default resulting from a violation of any of the covenants contained in Section 9.1.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8.1. Quarterly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50 days after the end of each of the first, second and third fiscal quarters of the Borrower and commencing with the fiscal quarter of the Borrower ending March 31, 2026), the unaudited consolidated balance sheet of the Borrower and its Subsidiaries as at the end of such period and the related unaudited consolidated statements of comprehensive income, capital and cash flows of the Borrower and its consolidated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all material respects and in accordance with GAAP, the consolidated financial position of the Borrower and its consolidated Subsidiaries as at the date thereof and the results of operations for such period (subject to normal year-end audit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8.2. Year-End Statements. </w:t>
      </w:r>
    </w:p>
    <w:p>
      <w:pPr>
        <w:pStyle w:val="TextBody"/>
        <w:bidi w:val="0"/>
        <w:spacing w:before="120" w:after="0"/>
        <w:jc w:val="left"/>
        <w:rPr>
          <w:rFonts w:ascii="Times New Roman" w:hAnsi="Times New Roman"/>
          <w:sz w:val="20"/>
        </w:rPr>
      </w:pPr>
      <w:r>
        <w:rPr>
          <w:rFonts w:ascii="Times New Roman" w:hAnsi="Times New Roman"/>
          <w:sz w:val="20"/>
        </w:rPr>
        <w:t xml:space="preserve">As soon as available and in any event within five (5) days after the same is required to be filed with the Securities and Exchange Commission (but in no event later than 95 days after the end of each fiscal year of the Borrower and commencing with the fiscal year of the Borrower ending December 31, 2025), the audited consolidated balance sheet of the Borrower and its consolidated Subsidiaries as at the end of such fiscal year and the related audited consolidated statements of comprehensive income, capital and cash flows of the Borrower and its consolidated Subsidiaries for such fiscal year, setting forth in comparative form the figures as at the end of and for the previous fiscal year, all of which shall,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applicable, be in the form required by the Securities Exchange Act and (a) certified by the chief accounting officer or chief financial officer of the Borrower, in his or her opinion, to present fairly, in all material respects and in accordance with GAAP, the consolidated financial position of the Borrower and its consolidated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8.3. Compliance Certificate. </w:t>
      </w:r>
    </w:p>
    <w:p>
      <w:pPr>
        <w:pStyle w:val="TextBody"/>
        <w:bidi w:val="0"/>
        <w:spacing w:before="120" w:after="0"/>
        <w:jc w:val="left"/>
        <w:rPr>
          <w:rFonts w:ascii="Times New Roman" w:hAnsi="Times New Roman"/>
          <w:sz w:val="20"/>
        </w:rPr>
      </w:pPr>
      <w:r>
        <w:rPr>
          <w:rFonts w:ascii="Times New Roman" w:hAnsi="Times New Roman"/>
          <w:sz w:val="20"/>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I (a “</w:t>
      </w:r>
      <w:r>
        <w:rPr>
          <w:rFonts w:ascii="Times New Roman" w:hAnsi="Times New Roman"/>
          <w:b/>
          <w:sz w:val="20"/>
        </w:rPr>
        <w:t>Compliance Certificate</w:t>
      </w:r>
      <w:r>
        <w:rPr>
          <w:rFonts w:ascii="Times New Roman" w:hAnsi="Times New Roman"/>
          <w:sz w:val="20"/>
        </w:rPr>
        <w:t xml:space="preserve">”)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8.4. 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(a) Promptly upon receipt thereof, copies of all management reports, if any, submitted to the Borrower or its partners by its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(b) 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the Parent or any Loan Party or any other Subsidiary shall file with the Securities and Exchange Commission (or any Governmental Authority substituted therefor) or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(c) Promptly upon the mailing thereof to the shareholders of the Parent or the Borrower generally, copies of all financial statements, reports and proxy statements so mailed and promptly upon the issuance thereof copies of all press releases issued by the Parent, the General Partner, the Borrower, any Subsidiary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(e) 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the Parent, the General Partner,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General Partner,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trike/>
          <w:color w:val="FF0000"/>
          <w:sz w:val="20"/>
        </w:rPr>
        <w:t>A copy of any amendment to the agreement of limited partnership or other organizational documents of the Borrower within fifteen (15) Business Days after the effectiveness thereof, other than an amendment to such agreement of limited partnership to reflect issuances of additional interests in the Borrower as authorized by such agreement;</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Prompt notice of </w:t>
      </w:r>
      <w:r>
        <w:rPr>
          <w:rFonts w:ascii="Times New Roman" w:hAnsi="Times New Roman"/>
          <w:strike/>
          <w:color w:val="FF0000"/>
          <w:sz w:val="20"/>
        </w:rPr>
        <w:t>(i) any change in the chief executive officer, chief financial officer or chief operating officer of the Borrower, any Subsidiary or any other Loan Party, or (ii) </w:t>
      </w:r>
      <w:r>
        <w:rPr>
          <w:rFonts w:ascii="Times New Roman" w:hAnsi="Times New Roman"/>
          <w:sz w:val="20"/>
        </w:rPr>
        <w:t xml:space="preserve">any change in the business, assets, liabilities, financial condition or results of operations of the Borrower, any Subsidiary or any other Loan Party which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Promptly upon a Responsible Officer of the Borrower obtaining knowledge thereof, prompt notice of the occurrence of any Default or Event of Default </w:t>
      </w:r>
      <w:r>
        <w:rPr>
          <w:rFonts w:ascii="Times New Roman" w:hAnsi="Times New Roman"/>
          <w:strike/>
          <w:color w:val="FF0000"/>
          <w:sz w:val="20"/>
        </w:rPr>
        <w:t>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Prompt notice of any order, judgment or decree not covered by insurance in excess of $25,000,000 having been entered against any Loan Party or any other Subsidiary or any of their respective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(k) Prompt notice if the Borrower, any Subsidiary or any other Loan Party shall receive any notification from any Governmental Authority alleging a violation of any Applicable Law or any inquiry which, in either case,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In the event the Parent does not provide the balance sheet of the Parent and its Subsidiaries and the related consolidated statements of operations, shareholders’ equity and cash flows for any quarterly or annual period on Form 10-K or 10-Q filed with the Securities and Exchange Commission, the Borrower shall deliver such information to the Administrative Agent for distribution to the Lenders as soon as available and in any event no later than 50 days after the end of each of the first, second and third fiscal quarters of the Parent and 90 days after the end of each fiscal year of the Parent; </w:t>
      </w:r>
    </w:p>
    <w:p>
      <w:pPr>
        <w:pStyle w:val="TextBody"/>
        <w:bidi w:val="0"/>
        <w:spacing w:before="240" w:after="0"/>
        <w:jc w:val="left"/>
        <w:rPr>
          <w:rFonts w:ascii="Times New Roman" w:hAnsi="Times New Roman"/>
          <w:sz w:val="20"/>
        </w:rPr>
      </w:pPr>
      <w:r>
        <w:rPr>
          <w:rFonts w:ascii="Times New Roman" w:hAnsi="Times New Roman"/>
          <w:sz w:val="20"/>
        </w:rPr>
        <w:t xml:space="preserve">(m) Promptly upon the request of the Administrative Agent, evidence of the Borrower’s calculation of the Ownership Share with respect to a Subsidiary or an Unconsolidated Affiliate, such evidence to be in form and detail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Promptly, upon any change in the Borrower’s Credit Rating, a certificate stating that the Borrower’s Credit Rating has changed and the new Credit Rating that is in effect; </w:t>
      </w:r>
    </w:p>
    <w:p>
      <w:pPr>
        <w:pStyle w:val="TextBody"/>
        <w:bidi w:val="0"/>
        <w:spacing w:before="240" w:after="0"/>
        <w:jc w:val="left"/>
        <w:rPr>
          <w:rFonts w:ascii="Times New Roman" w:hAnsi="Times New Roman"/>
          <w:sz w:val="20"/>
        </w:rPr>
      </w:pPr>
      <w:r>
        <w:rPr>
          <w:rFonts w:ascii="Times New Roman" w:hAnsi="Times New Roman"/>
          <w:sz w:val="20"/>
        </w:rPr>
        <w:t xml:space="preserve">(o) 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trike/>
          <w:color w:val="FF0000"/>
          <w:sz w:val="20"/>
        </w:rPr>
        <w:t>Prompt notice of the sale, transfer or other disposition of any material assets of the Borrower, any Subsidiary or any other Loan Party to any Person other than the Borrower, any Subsidiary or any other Loan Party</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Promptly upon the request of the Administrative Agent, the Derivatives Termination Value in respect of any Specified Derivatives Contract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 From time to time and promptly upon each request, such data, certificates, reports, statements, opinions of counsel, documents or further information regarding the business, assets, liabilities, financial condition or results of operations of the Parent, the General Partner, the Borrower, any of their respective Subsidiaries, or any other Loan Party as the Administrative Agent or any Lender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(t) Promptly, upon any change in the tax identification number of the Borrower, and in any event within ten (10) Business Days of a Responsible Officer of the Borrower obtaining knowledge thereof, evidence of such new tax identification number issued by the appropriate Governmental Authority in form and substance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8.5. Electronic Delivery of Certain Information. </w:t>
      </w:r>
    </w:p>
    <w:p>
      <w:pPr>
        <w:pStyle w:val="TextBody"/>
        <w:bidi w:val="0"/>
        <w:spacing w:before="120" w:after="0"/>
        <w:jc w:val="left"/>
        <w:rPr>
          <w:rFonts w:ascii="Times New Roman" w:hAnsi="Times New Roman"/>
          <w:sz w:val="20"/>
        </w:rPr>
      </w:pPr>
      <w:r>
        <w:rPr>
          <w:rFonts w:ascii="Times New Roman" w:hAnsi="Times New Roman"/>
          <w:sz w:val="20"/>
        </w:rPr>
        <w:t xml:space="preserve">(a) 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12:00 p.m. noon Eastern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 </w:t>
      </w:r>
    </w:p>
    <w:p>
      <w:pPr>
        <w:pStyle w:val="TextBody"/>
        <w:bidi w:val="0"/>
        <w:spacing w:before="240" w:after="0"/>
        <w:jc w:val="left"/>
        <w:rPr>
          <w:rFonts w:ascii="Times New Roman" w:hAnsi="Times New Roman"/>
          <w:sz w:val="20"/>
        </w:rPr>
      </w:pPr>
      <w:r>
        <w:rPr>
          <w:rFonts w:ascii="Times New Roman" w:hAnsi="Times New Roman"/>
          <w:sz w:val="20"/>
        </w:rPr>
        <w:t xml:space="preserve">(b) Documents required to be delivered pursuant to Article II. may be delivered electronically to a website provided for such purpose by the Administrative Agent pursuant to the procedures provided to the Borrower by the Administrative Agent.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8.6. Public/Private Information. </w:t>
      </w:r>
    </w:p>
    <w:p>
      <w:pPr>
        <w:pStyle w:val="TextBody"/>
        <w:bidi w:val="0"/>
        <w:spacing w:before="120" w:after="0"/>
        <w:jc w:val="left"/>
        <w:rPr>
          <w:rFonts w:ascii="Times New Roman" w:hAnsi="Times New Roman"/>
          <w:sz w:val="20"/>
        </w:rPr>
      </w:pPr>
      <w:r>
        <w:rPr>
          <w:rFonts w:ascii="Times New Roman" w:hAnsi="Times New Roman"/>
          <w:sz w:val="20"/>
        </w:rPr>
        <w:t>The Borrower will cooperate with the Administrative Agent in connection with the publication of certain materials and/or information provided by or on behalf of the Borrower to the Administrative Agent and the Lenders (collectively, “</w:t>
      </w:r>
      <w:r>
        <w:rPr>
          <w:rFonts w:ascii="Times New Roman" w:hAnsi="Times New Roman"/>
          <w:b/>
          <w:sz w:val="20"/>
        </w:rPr>
        <w:t>Information Materials</w:t>
      </w:r>
      <w:r>
        <w:rPr>
          <w:rFonts w:ascii="Times New Roman" w:hAnsi="Times New Roman"/>
          <w:sz w:val="20"/>
        </w:rPr>
        <w:t xml:space="preserve">”)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8.7. USA Patriot Act Notice;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this Agreement is in effect, unless the Requisite Lenders (or, if required pursuant to Section 12.7., all of the Lenders) shall otherwise consent in the manner set forth in Section 12.7., the Borrower shall comply with the following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 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(a)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Maximum Leverage Ratio</w:t>
      </w:r>
      <w:r>
        <w:rPr>
          <w:rFonts w:ascii="Times New Roman" w:hAnsi="Times New Roman"/>
          <w:sz w:val="20"/>
        </w:rPr>
        <w:t xml:space="preserve">. The Borrower shall not permit the ratio of (i) Total Indebtedness to (ii) Total Asset Value to exceed 0.60 to 1.00 at any time; </w:t>
      </w:r>
      <w:r>
        <w:rPr>
          <w:rFonts w:ascii="Times New Roman" w:hAnsi="Times New Roman"/>
          <w:sz w:val="20"/>
          <w:u w:val="single"/>
        </w:rPr>
        <w:t>provided, however</w:t>
      </w:r>
      <w:r>
        <w:rPr>
          <w:rFonts w:ascii="Times New Roman" w:hAnsi="Times New Roman"/>
          <w:sz w:val="20"/>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r>
        <w:rPr>
          <w:rFonts w:ascii="Times New Roman" w:hAnsi="Times New Roman"/>
          <w:color w:val="0000FF"/>
          <w:sz w:val="20"/>
          <w:u w:val="single"/>
          <w:bdr w:val="double" w:sz="2" w:space="1" w:color="000000"/>
        </w:rPr>
        <w:t xml:space="preserve"> For purposes of calculating this ratio, (A) Total Indebtedness shall be adjusted by deducting therefrom an amount equal to the lesser of (x) unrestricted cash and Cash Equivalents of the Borrower and its Subsidiaries as of the date of determination in excess of $35,000,000 and (y) the amount of Total Indebtedness that matures on or before the date that is 24 months from the date of the calculation and (B) Total Asset Value shall be adjusted by deducting therefrom the amount by which Total Indebtedness is adjusted under the immediately preceding clause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Minimum Fixed Charge Coverage Ratio</w:t>
      </w:r>
      <w:r>
        <w:rPr>
          <w:rFonts w:ascii="Times New Roman" w:hAnsi="Times New Roman"/>
          <w:sz w:val="20"/>
        </w:rPr>
        <w:t xml:space="preserve">. The Borrower shall not permit the ratio of (i) Adjusted EBITDA for the period of four consecutive fiscal quarters most recently ended to (ii) Fixed Charges for such period, to be less than 1.50 to 1.00 as of the last day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Maximum Secured Indebtedness Ratio</w:t>
      </w:r>
      <w:r>
        <w:rPr>
          <w:rFonts w:ascii="Times New Roman" w:hAnsi="Times New Roman"/>
          <w:sz w:val="20"/>
        </w:rPr>
        <w:t>. The Borrower shall not permit the ratio of (i) Secured Indebtedness of the Borrower and its Subsidiaries determined on a consolidated basis to (ii) Total Asset Value to exceed 0.35 to 1.00 at any time.</w:t>
      </w:r>
      <w:r>
        <w:rPr>
          <w:rFonts w:ascii="Times New Roman" w:hAnsi="Times New Roman"/>
          <w:color w:val="0000FF"/>
          <w:sz w:val="20"/>
          <w:u w:val="single"/>
          <w:bdr w:val="double" w:sz="2" w:space="1" w:color="000000"/>
        </w:rPr>
        <w:t xml:space="preserve"> For purposes of calculating this ratio, (A) Secured Indebtedness shall be adjusted by deducting therefrom an amount equal to the lesser of (x) unrestricted cash and Cash Equivalents of the Borrower and its Subsidiaries as of the date of determination in excess of $35,000,000 excluding any portion thereof that is deducted from Unsecured Indebtedness in determining the Maximum Unencumbered Leverage Ratio pursuant to Section 9.1(e) as of such date and (y) the amount of Secured Indebtedness that matures on or before the date that is 24 months from the date of the calculation and (B) Total Asset Value shall be adjusted by deducting therefrom the amount by which Total Asset Value is adjusted under clause (B) of Section 9.1.(b).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Maximum Unencumbered Leverage Ratio</w:t>
      </w:r>
      <w:r>
        <w:rPr>
          <w:rFonts w:ascii="Times New Roman" w:hAnsi="Times New Roman"/>
          <w:sz w:val="20"/>
        </w:rPr>
        <w:t xml:space="preserve">. The Borrower shall not permit the ratio of (i) Unsecured Indebtedness of the Borrower and its Subsidiaries determined on a consolidated basis to (ii) Unencumbered Asset Value, to exceed 0.60 to 1.00 at any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r>
        <w:rPr>
          <w:rFonts w:ascii="Times New Roman" w:hAnsi="Times New Roman"/>
          <w:color w:val="0000FF"/>
          <w:sz w:val="20"/>
          <w:u w:val="single"/>
          <w:bdr w:val="double" w:sz="2" w:space="1" w:color="000000"/>
        </w:rPr>
        <w:t xml:space="preserve"> For purposes of calculating this ratio, (A) Unsecured Indebtedness shall be adjusted by deducting therefrom an amount equal to the lesser of (x) unrestricted cash and Cash Equivalents of the Borrower and its Subsidiaries as of the date of determination in excess of $35,000,000 excluding any portion thereof that is deducted from Secured Indebtedness in determining the Maximum Secured Indebtedness Ratio pursuant to Section 9.1.(d) as of such date and (y) the amount of Unsecured Indebtedness that matures on or before the date that is 24 months from the date of the calculation and (B) Unencumbered Asset Value shall be adjusted by deducting therefrom the amount by which Total Asset Value is adjusted under clause (B) of Section 9.1.(b). </w:t>
      </w:r>
    </w:p>
    <w:p>
      <w:pPr>
        <w:pStyle w:val="TextBody"/>
        <w:bidi w:val="0"/>
        <w:spacing w:before="240" w:after="0"/>
        <w:jc w:val="left"/>
        <w:rPr>
          <w:rFonts w:ascii="Times New Roman" w:hAnsi="Times New Roman"/>
          <w:sz w:val="20"/>
        </w:rPr>
      </w:pPr>
      <w:r>
        <w:rPr>
          <w:rFonts w:ascii="Times New Roman" w:hAnsi="Times New Roman"/>
          <w:sz w:val="20"/>
        </w:rPr>
        <w:t xml:space="preserve">(f)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(g)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(h)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Dividends and Other Restricted Payments</w:t>
      </w:r>
      <w:r>
        <w:rPr>
          <w:rFonts w:ascii="Times New Roman" w:hAnsi="Times New Roman"/>
          <w:sz w:val="20"/>
        </w:rPr>
        <w:t xml:space="preserve">. The Borrower shall not, and shall not permit any of its Subsidiaries to, declare or make any Restricted Payment </w:t>
      </w:r>
      <w:r>
        <w:rPr>
          <w:rFonts w:ascii="Times New Roman" w:hAnsi="Times New Roman"/>
          <w:strike/>
          <w:color w:val="FF0000"/>
          <w:sz w:val="20"/>
        </w:rPr>
        <w:t>if an Event of Default shall have occurred and is continuing; except that the Borrower may, subject to the immediately following sentence, (i)</w:t>
      </w:r>
      <w:r>
        <w:rPr>
          <w:rFonts w:ascii="Times New Roman" w:hAnsi="Times New Roman"/>
          <w:strike/>
          <w:color w:val="008000"/>
          <w:sz w:val="20"/>
        </w:rPr>
        <w:t xml:space="preserve"> declare and make cash distributions to its partners during any fiscal year in an aggregate amount not to exceed the minimum amount necessary for the Parent to maintain its status as a REIT and (ii) </w:t>
      </w:r>
      <w:r>
        <w:rPr>
          <w:rFonts w:ascii="Times New Roman" w:hAnsi="Times New Roman"/>
          <w:strike/>
          <w:color w:val="FF0000"/>
          <w:sz w:val="20"/>
        </w:rPr>
        <w:t xml:space="preserve">make cash distributions to the Parent to the extent required to fund administrative and operating expenses of the Parent to the extent attributable to any activity of or with respect to the Parent that is not otherwise prohibited by this Agreement (including liabilities incurred in connection with its maintenance of corporate status, preparation of Securities and Exchange Commission filings, accountant’s fees and similar administrative matters). Notwithstanding the foregoing, </w:t>
      </w:r>
      <w:r>
        <w:rPr>
          <w:rFonts w:ascii="Times New Roman" w:hAnsi="Times New Roman"/>
          <w:sz w:val="20"/>
        </w:rPr>
        <w:t>if an Event of Default specified in Section 10.1.(a), Section 10.1.(e) or Section 10.1.(f) shall have occurred and is continuing, or if as a result of the occurrence of any other Event of Default any of the Obligations have been accelerated pursuant to Section 10.2.(a)</w:t>
      </w:r>
      <w:r>
        <w:rPr>
          <w:rFonts w:ascii="Times New Roman" w:hAnsi="Times New Roman"/>
          <w:strike/>
          <w:color w:val="FF0000"/>
          <w:sz w:val="20"/>
        </w:rPr>
        <w:t>,</w:t>
      </w:r>
      <w:r>
        <w:rPr>
          <w:rFonts w:ascii="Times New Roman" w:hAnsi="Times New Roman"/>
          <w:color w:val="0000FF"/>
          <w:sz w:val="20"/>
          <w:u w:val="single"/>
          <w:bdr w:val="double" w:sz="2" w:space="1" w:color="000000"/>
        </w:rPr>
        <w:t>; except that (i)</w:t>
      </w:r>
      <w:r>
        <w:rPr>
          <w:rFonts w:ascii="Times New Roman" w:hAnsi="Times New Roman"/>
          <w:sz w:val="20"/>
        </w:rPr>
        <w:t xml:space="preserve"> the Borrower </w:t>
      </w:r>
      <w:r>
        <w:rPr>
          <w:rFonts w:ascii="Times New Roman" w:hAnsi="Times New Roman"/>
          <w:strike/>
          <w:color w:val="FF0000"/>
          <w:sz w:val="20"/>
        </w:rPr>
        <w:t xml:space="preserve">shall not, and shall not permit </w:t>
      </w:r>
      <w:r>
        <w:rPr>
          <w:rFonts w:ascii="Times New Roman" w:hAnsi="Times New Roman"/>
          <w:color w:val="0000FF"/>
          <w:sz w:val="20"/>
          <w:u w:val="single"/>
          <w:bdr w:val="double" w:sz="2" w:space="1" w:color="000000"/>
        </w:rPr>
        <w:t xml:space="preserve">may </w:t>
      </w:r>
      <w:r>
        <w:rPr>
          <w:rFonts w:ascii="Times New Roman" w:hAnsi="Times New Roman"/>
          <w:color w:val="008000"/>
          <w:sz w:val="20"/>
          <w:u w:val="single"/>
          <w:bdr w:val="double" w:sz="2" w:space="1" w:color="000000"/>
        </w:rPr>
        <w:t>declare and make cash distributions to its partners during any fiscal year in an aggregate amount not to exceed the minimum amount necessary for the Parent to maintain its status as a REIT and (ii)</w:t>
      </w:r>
      <w:r>
        <w:rPr>
          <w:rFonts w:ascii="Times New Roman" w:hAnsi="Times New Roman"/>
          <w:sz w:val="20"/>
        </w:rPr>
        <w:t xml:space="preserve"> any Subsidiary </w:t>
      </w:r>
      <w:r>
        <w:rPr>
          <w:rFonts w:ascii="Times New Roman" w:hAnsi="Times New Roman"/>
          <w:strike/>
          <w:color w:val="FF0000"/>
          <w:sz w:val="20"/>
        </w:rPr>
        <w:t>to,</w:t>
      </w:r>
      <w:r>
        <w:rPr>
          <w:rFonts w:ascii="Times New Roman" w:hAnsi="Times New Roman"/>
          <w:color w:val="0000FF"/>
          <w:sz w:val="20"/>
          <w:u w:val="single"/>
          <w:bdr w:val="double" w:sz="2" w:space="1" w:color="000000"/>
        </w:rPr>
        <w:t>may</w:t>
      </w:r>
      <w:r>
        <w:rPr>
          <w:rFonts w:ascii="Times New Roman" w:hAnsi="Times New Roman"/>
          <w:sz w:val="20"/>
        </w:rPr>
        <w:t xml:space="preserve"> make</w:t>
      </w:r>
      <w:r>
        <w:rPr>
          <w:rFonts w:ascii="Times New Roman" w:hAnsi="Times New Roman"/>
          <w:strike/>
          <w:color w:val="FF0000"/>
          <w:sz w:val="20"/>
        </w:rPr>
        <w:t xml:space="preserve"> any</w:t>
      </w:r>
      <w:r>
        <w:rPr>
          <w:rFonts w:ascii="Times New Roman" w:hAnsi="Times New Roman"/>
          <w:sz w:val="20"/>
        </w:rPr>
        <w:t xml:space="preserve"> Restricted </w:t>
      </w:r>
      <w:r>
        <w:rPr>
          <w:rFonts w:ascii="Times New Roman" w:hAnsi="Times New Roman"/>
          <w:strike/>
          <w:color w:val="FF0000"/>
          <w:sz w:val="20"/>
        </w:rPr>
        <w:t>Payment to any Person other than</w:t>
      </w:r>
      <w:r>
        <w:rPr>
          <w:rFonts w:ascii="Times New Roman" w:hAnsi="Times New Roman"/>
          <w:color w:val="0000FF"/>
          <w:sz w:val="20"/>
          <w:u w:val="single"/>
          <w:bdr w:val="double" w:sz="2" w:space="1" w:color="000000"/>
        </w:rPr>
        <w:t>Payments</w:t>
      </w:r>
      <w:r>
        <w:rPr>
          <w:rFonts w:ascii="Times New Roman" w:hAnsi="Times New Roman"/>
          <w:sz w:val="20"/>
        </w:rPr>
        <w:t xml:space="preserve"> to the Borrower or any </w:t>
      </w:r>
      <w:r>
        <w:rPr>
          <w:rFonts w:ascii="Times New Roman" w:hAnsi="Times New Roman"/>
          <w:color w:val="0000FF"/>
          <w:sz w:val="20"/>
          <w:u w:val="single"/>
          <w:bdr w:val="double" w:sz="2" w:space="1" w:color="000000"/>
        </w:rPr>
        <w:t xml:space="preserve">other </w:t>
      </w:r>
      <w:r>
        <w:rPr>
          <w:rFonts w:ascii="Times New Roman" w:hAnsi="Times New Roman"/>
          <w:sz w:val="20"/>
        </w:rPr>
        <w:t xml:space="preserve">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9.3. Liens; Negative Pledges.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9.4. Restrictions on Intercompany Transfers.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9.5. Merger, Consolidation, Sales of Assets and Other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 </w:t>
      </w:r>
    </w:p>
    <w:p>
      <w:pPr>
        <w:pStyle w:val="TextBody"/>
        <w:bidi w:val="0"/>
        <w:spacing w:before="120" w:after="0"/>
        <w:jc w:val="left"/>
        <w:rPr>
          <w:rFonts w:ascii="Times New Roman" w:hAnsi="Times New Roman"/>
          <w:sz w:val="20"/>
        </w:rPr>
      </w:pPr>
      <w:r>
        <w:rPr>
          <w:rFonts w:ascii="Times New Roman" w:hAnsi="Times New Roman"/>
          <w:sz w:val="20"/>
        </w:rPr>
        <w:t xml:space="preserve">(i) any of the actions described in the immediately preceding clauses (a), (b) and (c) may be taken with respect to any Subsidiary or any other Loan Party (other than a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 the other Loan Parties and the other Subsidiaries may lease and sublease their respective assets, as lessor or sublessor (as the case may be), in the ordinary course of their business; </w:t>
      </w:r>
    </w:p>
    <w:p>
      <w:pPr>
        <w:pStyle w:val="TextBody"/>
        <w:bidi w:val="0"/>
        <w:spacing w:before="120" w:after="0"/>
        <w:jc w:val="left"/>
        <w:rPr>
          <w:rFonts w:ascii="Times New Roman" w:hAnsi="Times New Roman"/>
          <w:sz w:val="20"/>
        </w:rPr>
      </w:pPr>
      <w:r>
        <w:rPr>
          <w:rFonts w:ascii="Times New Roman" w:hAnsi="Times New Roman"/>
          <w:sz w:val="20"/>
        </w:rPr>
        <w:t xml:space="preserve">(iii) a Person may merge with and into a Borrower so long as (A) a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a Borrower); </w:t>
      </w:r>
    </w:p>
    <w:p>
      <w:pPr>
        <w:pStyle w:val="TextBody"/>
        <w:bidi w:val="0"/>
        <w:spacing w:before="120" w:after="0"/>
        <w:jc w:val="left"/>
        <w:rPr>
          <w:rFonts w:ascii="Times New Roman" w:hAnsi="Times New Roman"/>
          <w:sz w:val="20"/>
        </w:rPr>
      </w:pPr>
      <w:r>
        <w:rPr>
          <w:rFonts w:ascii="Times New Roman" w:hAnsi="Times New Roman"/>
          <w:sz w:val="20"/>
        </w:rPr>
        <w:t xml:space="preserve">(iv) the Borrower and each Subsidiary may sell, transfer or dispose of assets (including by merger or liquidation of Subsidiaries) among themselves; and </w:t>
      </w:r>
    </w:p>
    <w:p>
      <w:pPr>
        <w:pStyle w:val="TextBody"/>
        <w:bidi w:val="0"/>
        <w:spacing w:before="120" w:after="0"/>
        <w:jc w:val="left"/>
        <w:rPr>
          <w:rFonts w:ascii="Times New Roman" w:hAnsi="Times New Roman"/>
          <w:sz w:val="20"/>
        </w:rPr>
      </w:pPr>
      <w:r>
        <w:rPr>
          <w:rFonts w:ascii="Times New Roman" w:hAnsi="Times New Roman"/>
          <w:sz w:val="20"/>
        </w:rPr>
        <w:t xml:space="preserve">(v) the Borrower and each Subsidiary may transfer property as security for Indebtedness to the extent permitted under Section 9.3.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9.6. Plans.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9.7.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other Subsidiary to, change its fiscal year from that in effect as of the Agreement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9.8. Modifications of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9.9. Transactions with Affiliates.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(c) Restricted Payments to the Parent and the other partners of the Borrower in accordance with Section 9.1.(i), or (d)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9.10. Environmental Matters.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9.11. Non-Controlled Properties.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permit any Subsidiary that owns a Non-Controlled Property to own any assets other than another Non-Controlled Property and other nonmaterial assets incidental to the ownership of a Non-Controlled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9.12. Derivatives Contracts. </w:t>
      </w:r>
    </w:p>
    <w:p>
      <w:pPr>
        <w:pStyle w:val="TextBody"/>
        <w:bidi w:val="0"/>
        <w:spacing w:before="120" w:after="0"/>
        <w:jc w:val="left"/>
        <w:rPr>
          <w:rFonts w:ascii="Times New Roman" w:hAnsi="Times New Roman"/>
          <w:sz w:val="20"/>
        </w:rPr>
      </w:pPr>
      <w:r>
        <w:rPr>
          <w:rFonts w:ascii="Times New Roman" w:hAnsi="Times New Roman"/>
          <w:sz w:val="20"/>
        </w:rPr>
        <w:t xml:space="preserve">The Borrower shall not, and shall not permit any other Loan Party or any other Subsidiary to, enter into or become obligated in respect of Derivatives Contracts other than (i)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 (ii) to the extent constituting a “Derivatives Contract”, convertible or exchangeable notes or similar instruments issued by the Borrower or its Subsidiaries evidencing Indebtedness (such notes or similar instruments, “Convertible Notes”) that include an option or requirement to convert or exchange such instrument, in whole or in part, into or for Equity Interests of the Parent at a future date and that may be discharged, converted, exchanged, prepaid, repurchased or redeemed by (x) delivery of the Parent’s Equity Interests and/or (y) payments in cash, in whole or in part, so long as, at the time of the issuance of such Convertible Notes and after giving pro forma effect thereto, the Borrower is in compliance with the financial covenants set forth in Section 9.1 with respect to the fiscal period most recently ended for which financial statements were required to be delivered hereunder; and (iii) any Permitted Bond Hedge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9.13.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not, and shall not permit any other Loan Party or any other Subsidiary to, use any part of the proceeds of the Loans to (i) purchase or carry, or to reduce or retire or refinance any credit incurred to purchase or carry, any margin stock (within the meaning of Regulation U or Regulation X of the FRB) or (ii) to extend credit to others for the purpose of purchasing or carrying any such margin stock; provided, however, to the extent not otherwise prohibited by this Agreement or the other Loan Documents, the Parent may use proceeds of the Loans to purchase the Parent’s common shares so long as such use will not (x) result in any of the Loans or other Obligations being considered to be “purpose credit” directly or indirectly secured by margin stock within the meaning of Regulation U or Regulation X of the FRB or (y) otherwise cause a violation of Regulation U or Regulation X of the FRB.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will not request any Loans, and the Borrower shall not use, and shall ensure that its Subsidiaries and its or their respective directors, officers, employees and agents shall not use, the proceeds of any Loans,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9.14. Parent and General Partner.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Parent is not a Guarantor, (a) the Parent’s assets shall consist solely of Equity Interests in the Borrower or Equity Interests in any Wholly Owned Subsidiaries (including the General Partner) whose assets consist solely of direct or indirect Equity Interests in the Borrower; provided, that the Parent may (A) have cash and other assets of nominal value incidental to its ownership of such Equity Interests, (B) maintain assets on a temporary or pass-through basis that are held for subsequent payment of dividends or other Restricted Payments not prohibited by this Agreement or any other Loan Document or for contribution to any Subsidiary for a period not in excess of ten (10) Business Days; (C) maintain reasonable reserves for liabilities of the type permitted by the remainder of this Section 9.14; and (D) have rights under Permitted Bond Hedge Transactions, including receiving common shares of Parent in connection with the settlement thereof, provided that such common shares are retired or transferred to Borrower within 30 days after Parent’s receipt thereof; and (b) none of the Parent, the General Partner, or any Wholly Owned Subsidiaries of the Parent whose assets consist solely of direct or indirect Equity Interests in the Borrower, shall have any liabilities other than liabilities that would be reflected in consolidated financial statements of the Borrower; provided, that the Parent may have (1) other liabilities incidental to its status as a publicly traded REIT and not constituting liabilities in respect of Indebtedness for borrowed money, including liabilities associated with employment contracts, employee benefit matters, indemnification obligations pursuant to purchase and sale agreements and tax liabilities, (2) nonconsensual obligations imposed by operation of Applicable Law, (3) immaterial intercompany obligations or other intercompany obligations owing by the Parent or any Subsidiary of the Parent that is not a Subsidiary of the Borrower to the Borrower or any Subsidiary of the Borrower, (4) liabilities incurred in connection with its maintenance of corporate status, preparation of Securities and Exchange Commission filings, accountants’ fees and similar administrative matters, (5) liabilities and other obligations to underwriters, private placement agents and forward purchasers incurred under underwriting agreements, private placement agreements and forward sale agreements in connection with offerings of securities by the Parent, (6) liabilities arising in connection with litigation or similar matters arising in the ordinary course of business, (7) indemnification, notice, registration and other ministerial obligations and related liabilities in connection with any Permitted Bond Hedge Transaction, and any delivery obligations upon exercise and settlement or termination of any Permitted Warrant Transaction, and (8) liabilities of a kind similar to those described above which are not, individually or in the aggregate, material to the Parent, the Borrower and their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color w:val="0000FF"/>
          <w:sz w:val="20"/>
          <w:u w:val="single"/>
          <w:bdr w:val="double" w:sz="2" w:space="1" w:color="000000"/>
        </w:rPr>
        <w:t>Section 9.15. Outbound Investment Status.</w:t>
      </w:r>
      <w:r>
        <w:rPr>
          <w:rFonts w:ascii="Times New Roman" w:hAnsi="Times New Roman"/>
          <w:b/>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No Loan Party shall: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be or become a “covered foreign person”, as that term is defined in the Outbound Investment Rules,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Borrowers were U.S. Persons or (iii) any other activity that would cause Lenders to be in violation of the Outbound Investment Rules or cause Lenders to be legally prohibited by the Outbound Investment Rules from performing under this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DEFAULT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shall constitute an Event of Default, whatever the reason for such event and whether it shall be voluntary or involuntary or be effected by operation of Applicable Law or pursuant to any judgment or order of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 in Payment</w:t>
      </w:r>
      <w:r>
        <w:rPr>
          <w:rFonts w:ascii="Times New Roman" w:hAnsi="Times New Roman"/>
          <w:sz w:val="20"/>
        </w:rPr>
        <w:t xml:space="preserve">. The Borrower or any other Loan Party shall fail to pay (i) when due under this Agreement or any other Loan Document (whether upon demand, at maturity, by reason of acceleration or otherwise) the principal of any of the Loans, or (ii) when due under this Agreement, any other Loan Document or the Fee Letter any interest on, any of the Loans, any of the other payment Obligations owing by the Borrower under this Agreement, any other Loan Document or the Fee Letter and, solely with respect to this clause (ii) such failure shall continue for a period of five (5) Business Days.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 in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 </w:t>
      </w:r>
    </w:p>
    <w:p>
      <w:pPr>
        <w:pStyle w:val="TextBody"/>
        <w:bidi w:val="0"/>
        <w:spacing w:before="120" w:after="0"/>
        <w:jc w:val="left"/>
        <w:rPr>
          <w:rFonts w:ascii="Times New Roman" w:hAnsi="Times New Roman"/>
          <w:sz w:val="20"/>
        </w:rPr>
      </w:pPr>
      <w:r>
        <w:rPr>
          <w:rFonts w:ascii="Times New Roman" w:hAnsi="Times New Roman"/>
          <w:sz w:val="20"/>
        </w:rPr>
        <w:t xml:space="preserve">(ii) 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Misrepresentations</w:t>
      </w:r>
      <w:r>
        <w:rPr>
          <w:rFonts w:ascii="Times New Roman" w:hAnsi="Times New Roman"/>
          <w:sz w:val="20"/>
        </w:rPr>
        <w:t xml:space="preserve">.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Indebtedness Cross-Default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Borrower, any other Loan Party or any other Subsidiary shall fail to make any payment when due and payable of the principal of, or interest on (after giving effect to the expiration of any grace period for such payment), any Indebtedness (other than the Loans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Times New Roman" w:hAnsi="Times New Roman"/>
          <w:b/>
          <w:sz w:val="20"/>
        </w:rPr>
        <w:t>Material Indebtedness</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in the case of clause (y), Convertible Notes which are prepaid, repurchased, redeemed or exchanged in accordance with the terms thereof prior to their maturity,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(iii) 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other than Convertible Notes which are prepaid, repurchased, redeemed or exchanged in accordance with the terms thereof and not in any case as a result of any breach or violation of the terms of such Convertible Notes; or </w:t>
      </w:r>
    </w:p>
    <w:p>
      <w:pPr>
        <w:pStyle w:val="TextBody"/>
        <w:bidi w:val="0"/>
        <w:spacing w:before="120" w:after="0"/>
        <w:jc w:val="left"/>
        <w:rPr>
          <w:rFonts w:ascii="Times New Roman" w:hAnsi="Times New Roman"/>
          <w:sz w:val="20"/>
        </w:rPr>
      </w:pPr>
      <w:r>
        <w:rPr>
          <w:rFonts w:ascii="Times New Roman" w:hAnsi="Times New Roman"/>
          <w:sz w:val="20"/>
        </w:rPr>
        <w:t xml:space="preserve">(iv) Any Loan Party shall fail to pay when due and payable amounts in excess of $125,000,000 in the aggregate owing in respect of any Derivatives Contracts; or </w:t>
      </w:r>
    </w:p>
    <w:p>
      <w:pPr>
        <w:pStyle w:val="TextBody"/>
        <w:bidi w:val="0"/>
        <w:spacing w:before="120" w:after="0"/>
        <w:jc w:val="left"/>
        <w:rPr>
          <w:rFonts w:ascii="Times New Roman" w:hAnsi="Times New Roman"/>
          <w:sz w:val="20"/>
        </w:rPr>
      </w:pPr>
      <w:r>
        <w:rPr>
          <w:rFonts w:ascii="Times New Roman" w:hAnsi="Times New Roman"/>
          <w:sz w:val="20"/>
        </w:rPr>
        <w:t xml:space="preserve">(v) An “Event of Default” under and as defined in the Revolver Credit Agreement (as amended, supplemented, restated or otherwise modified from time to time) shall have occurred and be continuing; provided, however, if a lender thereunder has agreed to waive such “Event of Default” thereunder and such lender is also a Lender under this Agreement, then such Lender shall also be deemed to have waived the corresponding Event of Default under this Section 10.1.(d)(v).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Voluntary Bankruptcy Proceeding</w:t>
      </w:r>
      <w:r>
        <w:rPr>
          <w:rFonts w:ascii="Times New Roman" w:hAnsi="Times New Roman"/>
          <w:sz w:val="20"/>
        </w:rPr>
        <w:t xml:space="preserve">. The Borrower, any other Loan Party, the Parent, the General Partner,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 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Involuntary Bankruptcy Proceeding</w:t>
      </w:r>
      <w:r>
        <w:rPr>
          <w:rFonts w:ascii="Times New Roman" w:hAnsi="Times New Roman"/>
          <w:sz w:val="20"/>
        </w:rPr>
        <w:t xml:space="preserve">. A case or other proceeding shall be commenced against the Borrower, any other Loan Party, the Parent, the General Partner,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Revocation of Loan Documents</w:t>
      </w:r>
      <w:r>
        <w:rPr>
          <w:rFonts w:ascii="Times New Roman" w:hAnsi="Times New Roman"/>
          <w:sz w:val="20"/>
        </w:rPr>
        <w:t xml:space="preserve">.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w:t>
      </w:r>
      <w:r>
        <w:rPr>
          <w:rFonts w:ascii="Times New Roman" w:hAnsi="Times New Roman"/>
          <w:sz w:val="20"/>
        </w:rPr>
        <w:t xml:space="preserve">.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Attachment</w:t>
      </w:r>
      <w:r>
        <w:rPr>
          <w:rFonts w:ascii="Times New Roman" w:hAnsi="Times New Roman"/>
          <w:sz w:val="20"/>
        </w:rPr>
        <w:t xml:space="preserve">.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ERISA Event shall have occurred that results or could reasonably be expected to result in liability to any member of the ERISA Group aggregating in excess of $125,000,000; or </w:t>
      </w:r>
    </w:p>
    <w:p>
      <w:pPr>
        <w:pStyle w:val="TextBody"/>
        <w:bidi w:val="0"/>
        <w:spacing w:before="120" w:after="0"/>
        <w:jc w:val="left"/>
        <w:rPr>
          <w:rFonts w:ascii="Times New Roman" w:hAnsi="Times New Roman"/>
          <w:sz w:val="20"/>
        </w:rPr>
      </w:pPr>
      <w:r>
        <w:rPr>
          <w:rFonts w:ascii="Times New Roman" w:hAnsi="Times New Roman"/>
          <w:sz w:val="20"/>
        </w:rPr>
        <w:t xml:space="preserve">(ii) As of the most recent valuation date, the “benefit obligation” of all Plans exceeds the “fair market value of plan assets” for such Plans by more than $125,000,000, all as determined, and with such terms defined, in accordance with FASB ASC 715.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Loan Documents</w:t>
      </w:r>
      <w:r>
        <w:rPr>
          <w:rFonts w:ascii="Times New Roman" w:hAnsi="Times New Roman"/>
          <w:sz w:val="20"/>
        </w:rPr>
        <w:t xml:space="preserve">. An Event of Default (as defined therein) shall occur under any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Control/Change in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(x) 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securities of the Parent, (y) the Parent shall cease to own, directly or indirectly, greater than 50% of the partnership interests of the Borrower or (z) the Parent ceases to, directly or indirectly, have the power to exercise management and control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(ii) During any period of 12 consecutive months ending after the Agreement Date, individuals who at the beginning of any such 12 month period constituted the Board of Trustees of the Parent (together with any new trustees whose election by such Board or whose nomination for election by the shareholders of the Parent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Parent then in office; or </w:t>
      </w:r>
    </w:p>
    <w:p>
      <w:pPr>
        <w:pStyle w:val="TextBody"/>
        <w:bidi w:val="0"/>
        <w:spacing w:before="120" w:after="0"/>
        <w:jc w:val="left"/>
        <w:rPr>
          <w:rFonts w:ascii="Times New Roman" w:hAnsi="Times New Roman"/>
          <w:sz w:val="20"/>
        </w:rPr>
      </w:pPr>
      <w:r>
        <w:rPr>
          <w:rFonts w:ascii="Times New Roman" w:hAnsi="Times New Roman"/>
          <w:sz w:val="20"/>
        </w:rPr>
        <w:t xml:space="preserve">(iii) Any Person other than the General Partner, the Parent or any Wholly Owned Subsidiary of the Parent shall become the general partner of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(iv) The Parent shall cease to be the sole member of the General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10.2. Remedies Upon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 Event of Default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Acceleration; Termination of Facilities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w:t>
      </w:r>
      <w:r>
        <w:rPr>
          <w:rFonts w:ascii="Times New Roman" w:hAnsi="Times New Roman"/>
          <w:sz w:val="20"/>
        </w:rPr>
        <w:t xml:space="preserve">. Upon the occurrence of an Event of Default specified in Sections 10.1.(e) or 10.1.(f), (1)(A) the principal of, and all accrued interest on, the Loans and the Notes at the time outstanding and (B)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if any are then outstanding, shall all immediately and automatically terminate.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Optional</w:t>
      </w:r>
      <w:r>
        <w:rPr>
          <w:rFonts w:ascii="Times New Roman" w:hAnsi="Times New Roman"/>
          <w:sz w:val="20"/>
        </w:rPr>
        <w:t xml:space="preserve">. If any other Event of Default shall exist, the Administrative Agent may, and at the direction of the Requisite Lenders shall: (1) declare (A) the principal of, and accrued interest on, the Loans and the Notes at the time outstanding and (B)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if any are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Loan Documents</w:t>
      </w:r>
      <w:r>
        <w:rPr>
          <w:rFonts w:ascii="Times New Roman" w:hAnsi="Times New Roman"/>
          <w:sz w:val="20"/>
        </w:rPr>
        <w:t xml:space="preserve">. The Requisite Lenders may direct the Administrative Agent to, and the Administrative Agent if so directed shall, exercise any and all of its rights under any and all of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w:t>
      </w:r>
      <w:r>
        <w:rPr>
          <w:rFonts w:ascii="Times New Roman" w:hAnsi="Times New Roman"/>
          <w:sz w:val="20"/>
        </w:rPr>
        <w:t xml:space="preserve">. The Requisite Lenders may direct the Administrative Agent to, and the Administrative Agent if so directed shall, exercise all other rights and remedies it may have under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Appointment of Receiver</w:t>
      </w:r>
      <w:r>
        <w:rPr>
          <w:rFonts w:ascii="Times New Roman" w:hAnsi="Times New Roman"/>
          <w:sz w:val="20"/>
        </w:rPr>
        <w:t xml:space="preserve">.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Specified Derivatives Contract Remedies</w:t>
      </w:r>
      <w:r>
        <w:rPr>
          <w:rFonts w:ascii="Times New Roman" w:hAnsi="Times New Roman"/>
          <w:sz w:val="20"/>
        </w:rPr>
        <w:t xml:space="preserve">.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10.3. Remedies Upon Default.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Default specified in Section 10.1.(f), the Commitments, if any are then outstanding, shall immediately and automatically terminate.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10.4. Marshaling; Payments Set Aside.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any Lender or any Specified Derivatives Provider, or the Administrative Agent,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10.5. Allocation of Proceeds.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 </w:t>
      </w:r>
    </w:p>
    <w:p>
      <w:pPr>
        <w:pStyle w:val="TextBody"/>
        <w:bidi w:val="0"/>
        <w:spacing w:before="120" w:after="0"/>
        <w:jc w:val="left"/>
        <w:rPr>
          <w:rFonts w:ascii="Times New Roman" w:hAnsi="Times New Roman"/>
          <w:sz w:val="20"/>
        </w:rPr>
      </w:pPr>
      <w:r>
        <w:rPr>
          <w:rFonts w:ascii="Times New Roman" w:hAnsi="Times New Roman"/>
          <w:sz w:val="20"/>
        </w:rPr>
        <w:t xml:space="preserve">(a) amounts due to the Administrative Agent and the Lenders in respect of expenses due under Section 12.2. until paid in full, and then Fees; </w:t>
      </w:r>
    </w:p>
    <w:p>
      <w:pPr>
        <w:pStyle w:val="TextBody"/>
        <w:bidi w:val="0"/>
        <w:spacing w:before="120" w:after="0"/>
        <w:jc w:val="left"/>
        <w:rPr>
          <w:rFonts w:ascii="Times New Roman" w:hAnsi="Times New Roman"/>
          <w:sz w:val="20"/>
        </w:rPr>
      </w:pPr>
      <w:r>
        <w:rPr>
          <w:rFonts w:ascii="Times New Roman" w:hAnsi="Times New Roman"/>
          <w:sz w:val="20"/>
        </w:rPr>
        <w:t xml:space="preserve">(b) payments of interest on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(c) payments of principal of the Loans to be applied for the ratable benefit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(d) amounts due to the Administrative Agent and the Lenders pursuant to Sections 11.6. and 12.10.; </w:t>
      </w:r>
    </w:p>
    <w:p>
      <w:pPr>
        <w:pStyle w:val="TextBody"/>
        <w:bidi w:val="0"/>
        <w:spacing w:before="120" w:after="0"/>
        <w:jc w:val="left"/>
        <w:rPr>
          <w:rFonts w:ascii="Times New Roman" w:hAnsi="Times New Roman"/>
          <w:sz w:val="20"/>
        </w:rPr>
      </w:pPr>
      <w:r>
        <w:rPr>
          <w:rFonts w:ascii="Times New Roman" w:hAnsi="Times New Roman"/>
          <w:sz w:val="20"/>
        </w:rPr>
        <w:t xml:space="preserve">(e) payments of all other Obligations and other amounts due under any of the Loan Documents to be applied for the ratable benefit of the Lenders; and </w:t>
      </w:r>
    </w:p>
    <w:p>
      <w:pPr>
        <w:pStyle w:val="TextBody"/>
        <w:bidi w:val="0"/>
        <w:spacing w:before="120" w:after="0"/>
        <w:jc w:val="left"/>
        <w:rPr>
          <w:rFonts w:ascii="Times New Roman" w:hAnsi="Times New Roman"/>
          <w:sz w:val="20"/>
        </w:rPr>
      </w:pPr>
      <w:r>
        <w:rPr>
          <w:rFonts w:ascii="Times New Roman" w:hAnsi="Times New Roman"/>
          <w:sz w:val="20"/>
        </w:rPr>
        <w:t xml:space="preserve">(f) any amount remaining after application as provided above, shall be paid to the Borrower or whomever else may be legally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10.6.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Section 10.7. Rescission of Acceleration by Requisite Lenders.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10.8. Performance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10.9. Rights Cumulative.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The rights and remedies of the Administrative Agent,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Lenders and the Specified Derivatives Providers may be selective and no failure or delay by the Administrative Agent, any of the Lenders or any of the Specified Derivatives Providers in exercising any right shall operate as a waiver of it, nor shall any single or partial exercise of any power or right preclude its other or further exercise or the exercise of any other power or right.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Enforcement by Administrative Agent</w:t>
      </w:r>
      <w:r>
        <w:rPr>
          <w:rFonts w:ascii="Times New Roman" w:hAnsi="Times New Roman"/>
          <w:sz w:val="20"/>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w:t>
      </w:r>
      <w:r>
        <w:rPr>
          <w:rFonts w:ascii="Times New Roman" w:hAnsi="Times New Roman"/>
          <w:sz w:val="20"/>
          <w:u w:val="single"/>
        </w:rPr>
        <w:t>provided</w:t>
      </w:r>
      <w:r>
        <w:rPr>
          <w:rFonts w:ascii="Times New Roman" w:hAnsi="Times New Roman"/>
          <w:sz w:val="20"/>
        </w:rPr>
        <w:t xml:space="preserve"> that the foregoing shall not prohibit (i) the Administrative Agent from exercising on its own behalf the rights and remedies that inure to its benefit (solely in its capacity as Administrative Agent) hereunder and under the other Loan Documents, (ii) any Specified Derivatives Provider from exercising the rights and remedies that inure to its benefit under any Specified Derivatives Contract, (iii) any Lender from exercising setoff rights in accordance with Section 12.4. (subject to the terms of Section 3.3.), or (iv)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(iii) and (iv) of the preceding proviso and subject to Section 3.3., any Lender may, with the consent of the Requisite Lenders, enforce any rights and remedies available to it and as authorized by the Requisite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THE ADMINISTRATIVE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Appointment and Authorization. </w:t>
      </w:r>
    </w:p>
    <w:p>
      <w:pPr>
        <w:pStyle w:val="TextBody"/>
        <w:bidi w:val="0"/>
        <w:spacing w:before="120" w:after="0"/>
        <w:jc w:val="left"/>
        <w:rPr>
          <w:rFonts w:ascii="Times New Roman" w:hAnsi="Times New Roman"/>
          <w:sz w:val="20"/>
        </w:rPr>
      </w:pPr>
      <w:r>
        <w:rPr>
          <w:rFonts w:ascii="Times New Roman" w:hAnsi="Times New Roman"/>
          <w:sz w:val="20"/>
        </w:rPr>
        <w:t xml:space="preserve">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11.2. Truist Bank as Lender. </w:t>
      </w:r>
    </w:p>
    <w:p>
      <w:pPr>
        <w:pStyle w:val="TextBody"/>
        <w:bidi w:val="0"/>
        <w:spacing w:before="120" w:after="0"/>
        <w:jc w:val="left"/>
        <w:rPr>
          <w:rFonts w:ascii="Times New Roman" w:hAnsi="Times New Roman"/>
          <w:sz w:val="20"/>
        </w:rPr>
      </w:pPr>
      <w:r>
        <w:rPr>
          <w:rFonts w:ascii="Times New Roman" w:hAnsi="Times New Roman"/>
          <w:sz w:val="20"/>
        </w:rPr>
        <w:t xml:space="preserve">Truist Bank,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Truist Bank in each case in its individual capacity. Truist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other Lenders or any other Specified Derivatives Providers. The Lenders acknowledge that, pursuant to such activities, Truist Bank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11.3. Approvals of Lenders. </w:t>
      </w:r>
    </w:p>
    <w:p>
      <w:pPr>
        <w:pStyle w:val="TextBody"/>
        <w:bidi w:val="0"/>
        <w:spacing w:before="120" w:after="0"/>
        <w:jc w:val="left"/>
        <w:rPr>
          <w:rFonts w:ascii="Times New Roman" w:hAnsi="Times New Roman"/>
          <w:sz w:val="20"/>
        </w:rPr>
      </w:pPr>
      <w:r>
        <w:rPr>
          <w:rFonts w:ascii="Times New Roman" w:hAnsi="Times New Roman"/>
          <w:sz w:val="20"/>
        </w:rPr>
        <w:t xml:space="preserve">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 (10) 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11.4. Notice of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11.5. Administrative Agent’s Reliance.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or any other Person, or shall be responsible to any Lender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for the due execution, legality, validity, enforceability, genuineness, sufficiency or value of this Agreement or any 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11.6. Indemnification of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Each Lender agrees to indemnify the Administrative Agent (to the extent not reimbursed by the Borrower and without limiting the obligation of the Borrower to do so) pro rata in accordance with such Lender’s respective pro rata share (determined based on the respective unpaid principal amounts of the Loans plus the amount of the Commitment (if any) held by them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“Indemnifiable Amounts”);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11.7. Lender Credit Decision, Etc. </w:t>
      </w:r>
    </w:p>
    <w:p>
      <w:pPr>
        <w:pStyle w:val="TextBody"/>
        <w:bidi w:val="0"/>
        <w:spacing w:before="120" w:after="0"/>
        <w:jc w:val="left"/>
        <w:rPr>
          <w:rFonts w:ascii="Times New Roman" w:hAnsi="Times New Roman"/>
          <w:sz w:val="20"/>
        </w:rPr>
      </w:pPr>
      <w:r>
        <w:rPr>
          <w:rFonts w:ascii="Times New Roman" w:hAnsi="Times New Roman"/>
          <w:sz w:val="20"/>
        </w:rPr>
        <w:t xml:space="preserve">Each of the Lenders expressly acknowledges and agrees that neither the Administrative Agent nor any of its officers, directors, employees, agents, counsel, attorneys-in-fact or other Affiliates has made any representations or warranties to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any Lender. Each of the Lenders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by the Administrative Agent under this Agreement or any of the other Loan Documents, the Administrative Agent shall have no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acknowledges that the Administrative Agent’s legal counsel in connection with the transactions contemplated by this Agreement is only acting as counsel to the Administrative Agent and is not acting as counsel to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11.8. Successor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and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directly until such time as a successor Administrative Agent has been appointed as provided for above in this Section; provided, further that such Lenders so acting directly shall be and be deemed to be protected by all indemnities and other provisions herein for the benefit and protection of the Administrative Agent as if each such Lender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11.9. Titled Agents. </w:t>
      </w:r>
    </w:p>
    <w:p>
      <w:pPr>
        <w:pStyle w:val="TextBody"/>
        <w:bidi w:val="0"/>
        <w:spacing w:before="120" w:after="0"/>
        <w:jc w:val="left"/>
        <w:rPr>
          <w:rFonts w:ascii="Times New Roman" w:hAnsi="Times New Roman"/>
          <w:sz w:val="20"/>
        </w:rPr>
      </w:pPr>
      <w:r>
        <w:rPr>
          <w:rFonts w:ascii="Times New Roman" w:hAnsi="Times New Roman"/>
          <w:sz w:val="20"/>
        </w:rPr>
        <w:t>The Arrangers, Co-Syndication Agents and Book Runner (the “</w:t>
      </w:r>
      <w:r>
        <w:rPr>
          <w:rFonts w:ascii="Times New Roman" w:hAnsi="Times New Roman"/>
          <w:b/>
          <w:sz w:val="20"/>
        </w:rPr>
        <w:t>Titled Agents</w:t>
      </w:r>
      <w:r>
        <w:rPr>
          <w:rFonts w:ascii="Times New Roman" w:hAnsi="Times New Roman"/>
          <w:sz w:val="20"/>
        </w:rPr>
        <w:t xml:space="preserve">”)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Borrower or any other Loan Party and the use of such titles does not impose on the Titled Agents any duties or obligations greater than those of any other Lender or entitle the Titled Agents to any rights other than those to which any other Lender is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11.10. Erroneous Payments. </w:t>
      </w:r>
    </w:p>
    <w:p>
      <w:pPr>
        <w:pStyle w:val="TextBody"/>
        <w:bidi w:val="0"/>
        <w:spacing w:before="120" w:after="0"/>
        <w:jc w:val="left"/>
        <w:rPr>
          <w:rFonts w:ascii="Times New Roman" w:hAnsi="Times New Roman"/>
          <w:sz w:val="20"/>
        </w:rPr>
      </w:pPr>
      <w:r>
        <w:rPr>
          <w:rFonts w:ascii="Times New Roman" w:hAnsi="Times New Roman"/>
          <w:sz w:val="20"/>
        </w:rPr>
        <w:t>(a) Each Lender, each other Specified Derivatives Provider and any other party hereto hereby severally agrees that if (i) the Administrative Agent notifies (which such notice shall be conclusive absent manifest error) such Lender or any other Specified Derivatives Provider or any other Person that has received funds from the Administrative Agent or any of its Affiliates, either for its own account or on behalf of a Lender or other Specified Derivatives Provider (each such recipient, a “</w:t>
      </w:r>
      <w:r>
        <w:rPr>
          <w:rFonts w:ascii="Times New Roman" w:hAnsi="Times New Roman"/>
          <w:sz w:val="20"/>
          <w:u w:val="single"/>
        </w:rPr>
        <w:t>Payment Recipient</w:t>
      </w:r>
      <w:r>
        <w:rPr>
          <w:rFonts w:ascii="Times New Roman" w:hAnsi="Times New Roman"/>
          <w:sz w:val="20"/>
        </w:rPr>
        <w:t xml:space="preserve">”)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sz w:val="20"/>
          <w:u w:val="single"/>
        </w:rPr>
        <w:t>Section 11.10(a),</w:t>
      </w:r>
      <w:r>
        <w:rPr>
          <w:rFonts w:ascii="Times New Roman" w:hAnsi="Times New Roman"/>
          <w:sz w:val="20"/>
        </w:rPr>
        <w:t xml:space="preserve"> whether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then, in each case, such Payment Recipient is deemed to have knowledge of such error at the time of its receipt of such Erroneous Payment; </w:t>
      </w:r>
      <w:r>
        <w:rPr>
          <w:rFonts w:ascii="Times New Roman" w:hAnsi="Times New Roman"/>
          <w:sz w:val="20"/>
          <w:u w:val="single"/>
        </w:rPr>
        <w:t>provided</w:t>
      </w:r>
      <w:r>
        <w:rPr>
          <w:rFonts w:ascii="Times New Roman" w:hAnsi="Times New Roman"/>
          <w:sz w:val="20"/>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immediately preceding clause (a), each Payment Recipient agrees that, in the case of clause (a)(ii) above, it shall promptly notify the Administrative Agent in writing of such occurrence.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two Business Days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greater of the Federal Funds Rate and a rate determined by the Administrative Agent in accordance with banking industry rules on interbank compensation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w:t>
      </w:r>
    </w:p>
    <w:p>
      <w:pPr>
        <w:pStyle w:val="TextBody"/>
        <w:bidi w:val="0"/>
        <w:spacing w:before="120" w:after="0"/>
        <w:jc w:val="left"/>
        <w:rPr>
          <w:rFonts w:ascii="Times New Roman" w:hAnsi="Times New Roman"/>
          <w:sz w:val="20"/>
        </w:rPr>
      </w:pPr>
      <w:r>
        <w:rPr>
          <w:rFonts w:ascii="Times New Roman" w:hAnsi="Times New Roman"/>
          <w:sz w:val="20"/>
        </w:rPr>
        <w:t>Payment Recipient (such unrecovered amount as to such Lender, an “</w:t>
      </w:r>
      <w:r>
        <w:rPr>
          <w:rFonts w:ascii="Times New Roman" w:hAnsi="Times New Roman"/>
          <w:sz w:val="20"/>
          <w:u w:val="single"/>
        </w:rPr>
        <w:t>Erroneous Payment Return Deficiency</w:t>
      </w:r>
      <w:r>
        <w:rPr>
          <w:rFonts w:ascii="Times New Roman" w:hAnsi="Times New Roman"/>
          <w:sz w:val="20"/>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hAnsi="Times New Roman"/>
          <w:sz w:val="20"/>
          <w:u w:val="single"/>
        </w:rPr>
        <w:t>Erroneous Payment Deficiency Assignment</w:t>
      </w:r>
      <w:r>
        <w:rPr>
          <w:rFonts w:ascii="Times New Roman" w:hAnsi="Times New Roman"/>
          <w:sz w:val="20"/>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sz w:val="20"/>
          <w:u w:val="single"/>
        </w:rPr>
        <w:t>Section 12.6</w:t>
      </w:r>
      <w:r>
        <w:rPr>
          <w:rFonts w:ascii="Times New Roman" w:hAnsi="Times New Roman"/>
          <w:sz w:val="20"/>
        </w:rPr>
        <w:t xml:space="preserve"> and (3) the Administrative Agent may reflect such assignments in the Register without further consent or action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hAnsi="Times New Roman"/>
          <w:sz w:val="20"/>
          <w:u w:val="single"/>
        </w:rPr>
        <w:t>Section 11.10</w:t>
      </w:r>
      <w:r>
        <w:rPr>
          <w:rFonts w:ascii="Times New Roman" w:hAnsi="Times New Roman"/>
          <w:sz w:val="20"/>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w:t>
      </w:r>
    </w:p>
    <w:p>
      <w:pPr>
        <w:pStyle w:val="TextBody"/>
        <w:bidi w:val="0"/>
        <w:spacing w:before="240" w:after="0"/>
        <w:jc w:val="left"/>
        <w:rPr>
          <w:rFonts w:ascii="Times New Roman" w:hAnsi="Times New Roman"/>
          <w:sz w:val="20"/>
        </w:rPr>
      </w:pPr>
      <w:r>
        <w:rPr>
          <w:rFonts w:ascii="Times New Roman" w:hAnsi="Times New Roman"/>
          <w:sz w:val="20"/>
        </w:rPr>
        <w:t xml:space="preserve">(f) Each party’s obligations under this </w:t>
      </w:r>
      <w:r>
        <w:rPr>
          <w:rFonts w:ascii="Times New Roman" w:hAnsi="Times New Roman"/>
          <w:sz w:val="20"/>
          <w:u w:val="single"/>
        </w:rPr>
        <w:t>Section 11.10</w:t>
      </w:r>
      <w:r>
        <w:rPr>
          <w:rFonts w:ascii="Times New Roman" w:hAnsi="Times New Roman"/>
          <w:sz w:val="20"/>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11.10</w:t>
      </w:r>
      <w:r>
        <w:rPr>
          <w:rFonts w:ascii="Times New Roman" w:hAnsi="Times New Roman"/>
          <w:sz w:val="20"/>
        </w:rPr>
        <w:t xml:space="preserve"> will constitute a waiver or release of any claim of the Administrative Agent hereunder arising from any Payment Recipient’s receipt of an Erroneous Payment.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MISCELLANEOUS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12.1. Notices.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herein (including without limitation as provided in Section 8.5.), communications provided for hereunder shall be in writing and shall be mailed, sent via electronic mail, or delivered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any Borrower: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Chief Accounting Officer </w:t>
      </w:r>
    </w:p>
    <w:p>
      <w:pPr>
        <w:pStyle w:val="TextBody"/>
        <w:bidi w:val="0"/>
        <w:spacing w:before="0" w:after="0"/>
        <w:jc w:val="left"/>
        <w:rPr>
          <w:rFonts w:ascii="Times New Roman" w:hAnsi="Times New Roman"/>
          <w:sz w:val="20"/>
        </w:rPr>
      </w:pPr>
      <w:r>
        <w:rPr>
          <w:rFonts w:ascii="Times New Roman" w:hAnsi="Times New Roman"/>
          <w:sz w:val="20"/>
        </w:rPr>
        <w:t xml:space="preserve">Telephone:(301) 998-8143 </w:t>
      </w:r>
    </w:p>
    <w:p>
      <w:pPr>
        <w:pStyle w:val="TextBody"/>
        <w:bidi w:val="0"/>
        <w:spacing w:before="0" w:after="0"/>
        <w:jc w:val="left"/>
        <w:rPr>
          <w:rFonts w:ascii="Times New Roman" w:hAnsi="Times New Roman"/>
          <w:sz w:val="20"/>
        </w:rPr>
      </w:pPr>
      <w:r>
        <w:rPr>
          <w:rFonts w:ascii="Times New Roman" w:hAnsi="Times New Roman"/>
          <w:sz w:val="20"/>
        </w:rPr>
        <w:t xml:space="preserve">Email: msolis@federalrealty.com </w:t>
      </w:r>
    </w:p>
    <w:p>
      <w:pPr>
        <w:pStyle w:val="TextBody"/>
        <w:bidi w:val="0"/>
        <w:spacing w:before="240" w:after="0"/>
        <w:jc w:val="left"/>
        <w:rPr>
          <w:rFonts w:ascii="Times New Roman" w:hAnsi="Times New Roman"/>
          <w:sz w:val="20"/>
        </w:rPr>
      </w:pPr>
      <w:r>
        <w:rPr>
          <w:rFonts w:ascii="Times New Roman" w:hAnsi="Times New Roman"/>
          <w:sz w:val="20"/>
        </w:rPr>
        <w:t xml:space="preserve">and for all notices (other than notices solely under Article II), with copies to: </w:t>
      </w:r>
    </w:p>
    <w:p>
      <w:pPr>
        <w:pStyle w:val="TextBody"/>
        <w:bidi w:val="0"/>
        <w:spacing w:before="120" w:after="0"/>
        <w:jc w:val="left"/>
        <w:rPr>
          <w:rFonts w:ascii="Times New Roman" w:hAnsi="Times New Roman"/>
          <w:sz w:val="20"/>
        </w:rPr>
      </w:pPr>
      <w:r>
        <w:rPr>
          <w:rFonts w:ascii="Times New Roman" w:hAnsi="Times New Roman"/>
          <w:sz w:val="20"/>
        </w:rPr>
        <w:t xml:space="preserve">Federal Realty OP LP </w:t>
      </w:r>
    </w:p>
    <w:p>
      <w:pPr>
        <w:pStyle w:val="TextBody"/>
        <w:bidi w:val="0"/>
        <w:spacing w:before="0" w:after="0"/>
        <w:jc w:val="left"/>
        <w:rPr>
          <w:rFonts w:ascii="Times New Roman" w:hAnsi="Times New Roman"/>
          <w:sz w:val="20"/>
        </w:rPr>
      </w:pPr>
      <w:r>
        <w:rPr>
          <w:rFonts w:ascii="Times New Roman" w:hAnsi="Times New Roman"/>
          <w:sz w:val="20"/>
        </w:rPr>
        <w:t xml:space="preserve">909 Rose Avenue, Suite 200 </w:t>
      </w:r>
    </w:p>
    <w:p>
      <w:pPr>
        <w:pStyle w:val="TextBody"/>
        <w:bidi w:val="0"/>
        <w:spacing w:before="0" w:after="0"/>
        <w:jc w:val="left"/>
        <w:rPr>
          <w:rFonts w:ascii="Times New Roman" w:hAnsi="Times New Roman"/>
          <w:sz w:val="20"/>
        </w:rPr>
      </w:pPr>
      <w:r>
        <w:rPr>
          <w:rFonts w:ascii="Times New Roman" w:hAnsi="Times New Roman"/>
          <w:sz w:val="20"/>
        </w:rPr>
        <w:t xml:space="preserve">North Bethesda, Maryland 20852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Telephone:(301) 998-8100 </w:t>
      </w:r>
    </w:p>
    <w:p>
      <w:pPr>
        <w:pStyle w:val="TextBody"/>
        <w:bidi w:val="0"/>
        <w:spacing w:before="0" w:after="0"/>
        <w:jc w:val="left"/>
        <w:rPr>
          <w:rFonts w:ascii="Times New Roman" w:hAnsi="Times New Roman"/>
          <w:sz w:val="20"/>
        </w:rPr>
      </w:pPr>
      <w:r>
        <w:rPr>
          <w:rFonts w:ascii="Times New Roman" w:hAnsi="Times New Roman"/>
          <w:sz w:val="20"/>
        </w:rPr>
        <w:t xml:space="preserve">Email: dbecker@federalrealty.com and legal@federalrealty.com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Pillsbury Winthrop Shaw Pittman LLP </w:t>
      </w:r>
    </w:p>
    <w:p>
      <w:pPr>
        <w:pStyle w:val="TextBody"/>
        <w:bidi w:val="0"/>
        <w:spacing w:before="0" w:after="0"/>
        <w:jc w:val="left"/>
        <w:rPr>
          <w:rFonts w:ascii="Times New Roman" w:hAnsi="Times New Roman"/>
          <w:sz w:val="20"/>
        </w:rPr>
      </w:pPr>
      <w:r>
        <w:rPr>
          <w:rFonts w:ascii="Times New Roman" w:hAnsi="Times New Roman"/>
          <w:sz w:val="20"/>
        </w:rPr>
        <w:t xml:space="preserve">1200 Seventeenth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Attn: Justin J. Bintrim, Esq. </w:t>
      </w:r>
    </w:p>
    <w:p>
      <w:pPr>
        <w:pStyle w:val="TextBody"/>
        <w:bidi w:val="0"/>
        <w:spacing w:before="0" w:after="0"/>
        <w:jc w:val="left"/>
        <w:rPr>
          <w:rFonts w:ascii="Times New Roman" w:hAnsi="Times New Roman"/>
          <w:sz w:val="20"/>
        </w:rPr>
      </w:pPr>
      <w:r>
        <w:rPr>
          <w:rFonts w:ascii="Times New Roman" w:hAnsi="Times New Roman"/>
          <w:sz w:val="20"/>
        </w:rPr>
        <w:t xml:space="preserve">Telephone: (202) 663-8364 </w:t>
      </w:r>
    </w:p>
    <w:p>
      <w:pPr>
        <w:pStyle w:val="TextBody"/>
        <w:bidi w:val="0"/>
        <w:spacing w:before="0" w:after="0"/>
        <w:jc w:val="left"/>
        <w:rPr>
          <w:rFonts w:ascii="Times New Roman" w:hAnsi="Times New Roman"/>
          <w:sz w:val="20"/>
        </w:rPr>
      </w:pPr>
      <w:r>
        <w:rPr>
          <w:rFonts w:ascii="Times New Roman" w:hAnsi="Times New Roman"/>
          <w:sz w:val="20"/>
        </w:rPr>
        <w:t xml:space="preserve">Email: justin.bintrim@pillsburylaw.com </w:t>
      </w:r>
    </w:p>
    <w:p>
      <w:pPr>
        <w:pStyle w:val="TextBody"/>
        <w:bidi w:val="0"/>
        <w:spacing w:before="240" w:after="0"/>
        <w:jc w:val="left"/>
        <w:rPr>
          <w:rFonts w:ascii="Times New Roman" w:hAnsi="Times New Roman"/>
          <w:sz w:val="20"/>
        </w:rPr>
      </w:pPr>
      <w:r>
        <w:rPr>
          <w:rFonts w:ascii="Times New Roman" w:hAnsi="Times New Roman"/>
          <w:sz w:val="20"/>
        </w:rPr>
        <w:t xml:space="preserve">If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Truist Bank Agency Services </w:t>
      </w:r>
    </w:p>
    <w:p>
      <w:pPr>
        <w:pStyle w:val="TextBody"/>
        <w:bidi w:val="0"/>
        <w:spacing w:before="0" w:after="0"/>
        <w:jc w:val="left"/>
        <w:rPr>
          <w:rFonts w:ascii="Times New Roman" w:hAnsi="Times New Roman"/>
          <w:sz w:val="20"/>
        </w:rPr>
      </w:pPr>
      <w:r>
        <w:rPr>
          <w:rFonts w:ascii="Times New Roman" w:hAnsi="Times New Roman"/>
          <w:sz w:val="20"/>
        </w:rPr>
        <w:t xml:space="preserve">303 Peachtree Street, N.E. / 25th Floor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30303 </w:t>
      </w:r>
    </w:p>
    <w:p>
      <w:pPr>
        <w:pStyle w:val="TextBody"/>
        <w:bidi w:val="0"/>
        <w:spacing w:before="0" w:after="0"/>
        <w:jc w:val="left"/>
        <w:rPr>
          <w:rFonts w:ascii="Times New Roman" w:hAnsi="Times New Roman"/>
          <w:sz w:val="20"/>
        </w:rPr>
      </w:pPr>
      <w:r>
        <w:rPr>
          <w:rFonts w:ascii="Times New Roman" w:hAnsi="Times New Roman"/>
          <w:sz w:val="20"/>
        </w:rPr>
        <w:t xml:space="preserve">Attention: Agency Services Manager Facsimile </w:t>
      </w:r>
    </w:p>
    <w:p>
      <w:pPr>
        <w:pStyle w:val="TextBody"/>
        <w:bidi w:val="0"/>
        <w:spacing w:before="0" w:after="0"/>
        <w:jc w:val="left"/>
        <w:rPr>
          <w:rFonts w:ascii="Times New Roman" w:hAnsi="Times New Roman"/>
          <w:sz w:val="20"/>
        </w:rPr>
      </w:pPr>
      <w:r>
        <w:rPr>
          <w:rFonts w:ascii="Times New Roman" w:hAnsi="Times New Roman"/>
          <w:sz w:val="20"/>
        </w:rPr>
        <w:t xml:space="preserve">Number: (801) 453-4108 </w:t>
      </w:r>
    </w:p>
    <w:p>
      <w:pPr>
        <w:pStyle w:val="TextBody"/>
        <w:bidi w:val="0"/>
        <w:spacing w:before="0" w:after="0"/>
        <w:jc w:val="left"/>
        <w:rPr>
          <w:rFonts w:ascii="Times New Roman" w:hAnsi="Times New Roman"/>
          <w:sz w:val="20"/>
        </w:rPr>
      </w:pPr>
      <w:r>
        <w:rPr>
          <w:rFonts w:ascii="Times New Roman" w:hAnsi="Times New Roman"/>
          <w:sz w:val="20"/>
        </w:rPr>
        <w:t xml:space="preserve">Email: agency.services@truist.com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Alston &amp; Bird LLP </w:t>
      </w:r>
    </w:p>
    <w:p>
      <w:pPr>
        <w:pStyle w:val="TextBody"/>
        <w:bidi w:val="0"/>
        <w:spacing w:before="0" w:after="0"/>
        <w:jc w:val="left"/>
        <w:rPr>
          <w:rFonts w:ascii="Times New Roman" w:hAnsi="Times New Roman"/>
          <w:sz w:val="20"/>
        </w:rPr>
      </w:pPr>
      <w:r>
        <w:rPr>
          <w:rFonts w:ascii="Times New Roman" w:hAnsi="Times New Roman"/>
          <w:sz w:val="20"/>
        </w:rPr>
        <w:t xml:space="preserve">1201 West Peachtree Street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30309 </w:t>
      </w:r>
    </w:p>
    <w:p>
      <w:pPr>
        <w:pStyle w:val="TextBody"/>
        <w:bidi w:val="0"/>
        <w:spacing w:before="0" w:after="0"/>
        <w:jc w:val="left"/>
        <w:rPr>
          <w:rFonts w:ascii="Times New Roman" w:hAnsi="Times New Roman"/>
          <w:sz w:val="20"/>
        </w:rPr>
      </w:pPr>
      <w:r>
        <w:rPr>
          <w:rFonts w:ascii="Times New Roman" w:hAnsi="Times New Roman"/>
          <w:sz w:val="20"/>
        </w:rPr>
        <w:t xml:space="preserve">Attn: Deanna L. Kashdan, Esq. </w:t>
      </w:r>
    </w:p>
    <w:p>
      <w:pPr>
        <w:pStyle w:val="TextBody"/>
        <w:bidi w:val="0"/>
        <w:spacing w:before="0" w:after="0"/>
        <w:jc w:val="left"/>
        <w:rPr>
          <w:rFonts w:ascii="Times New Roman" w:hAnsi="Times New Roman"/>
          <w:sz w:val="20"/>
        </w:rPr>
      </w:pPr>
      <w:r>
        <w:rPr>
          <w:rFonts w:ascii="Times New Roman" w:hAnsi="Times New Roman"/>
          <w:sz w:val="20"/>
        </w:rPr>
        <w:t xml:space="preserve">Telephone: (404) 881-7782 </w:t>
      </w:r>
    </w:p>
    <w:p>
      <w:pPr>
        <w:pStyle w:val="TextBody"/>
        <w:bidi w:val="0"/>
        <w:spacing w:before="0" w:after="0"/>
        <w:jc w:val="left"/>
        <w:rPr>
          <w:rFonts w:ascii="Times New Roman" w:hAnsi="Times New Roman"/>
          <w:sz w:val="20"/>
        </w:rPr>
      </w:pPr>
      <w:r>
        <w:rPr>
          <w:rFonts w:ascii="Times New Roman" w:hAnsi="Times New Roman"/>
          <w:sz w:val="20"/>
        </w:rPr>
        <w:t xml:space="preserve">Email: deanna.kashdan@alston.com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To such Lender’s address or electronic mail address as set forth in the applicable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or, as to each party at such other address as shall be designated by such party in a written notice to the other parties delivered in compliance with this Section; provided, a Lender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or any Lender under Article II. shall be effective only when actually received. None of the Administrative Agent or any Lender shall incur any liability to any Loan Party (nor shall the Administrative Agent incur any liability to the Lenders) for acting upon any notice via electronic mail referred to in this Agreement which the Administrative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 Expenses.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or modification of, or any waiver or consent under or in respect of, any Loan Document and (d) to the extent not already covered by any of the preceding subsections, to pay or reimburse the fees and disbursements of counsel to the Administrative Agent and any Lender incurred in connection with the representation of the Administrative Agent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12.3. Stamp, Intangible and Recording Taxes. </w:t>
      </w:r>
    </w:p>
    <w:p>
      <w:pPr>
        <w:pStyle w:val="TextBody"/>
        <w:bidi w:val="0"/>
        <w:spacing w:before="120" w:after="0"/>
        <w:jc w:val="left"/>
        <w:rPr>
          <w:rFonts w:ascii="Times New Roman" w:hAnsi="Times New Roman"/>
          <w:sz w:val="20"/>
        </w:rPr>
      </w:pPr>
      <w:r>
        <w:rPr>
          <w:rFonts w:ascii="Times New Roman" w:hAnsi="Times New Roman"/>
          <w:sz w:val="20"/>
        </w:rPr>
        <w:t xml:space="preserve">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12.4. Setoff.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3.3. and in addition to any rights now or hereafter granted under Applicable Law and not by way of limitation of any such rights, the Borrower hereby authorizes the Administrative Agent, each Lender and each Affiliate of the Administrative Agent or any Lender, at any time or from time to time during the continuance of an Event of Default, without prior notice to the Borrower or to any other Person, any such notice being hereby expressly waived, but in the case of a Lender or an Affiliate of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12.5. Litigation; Jurisdiction; Other Matters; Waivers.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ACKNOWLEDGES THAT ANY DISPUTE OR CONTROVERSY BETWEEN OR AMONG ANY BORROWER, THE ADMINISTRATIVE AGENT OR ANY OF THE LENDERS WOULD BE BASED ON DIFFICULT AND COMPLEX ISSUES OF LAW AND FACT AND WOULD RESULT IN DELAY AND EXPENSE TO THE PARTIES. ACCORDINGLY, TO THE EXTENT PERMITTED BY APPLICABLE LAW, EACH OF THE LENDERS, THE ADMINISTRATIVE AGENT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ANY BORROWER, THE ADMINISTRATIVE AGENT OR ANY OF THE LENDERS OF ANY KIND OR NATURE RELATING TO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NOTWITHSTANDING THE PARTIES’ CHOICE OF VENUE SET FORTH IN </w:t>
      </w:r>
      <w:r>
        <w:rPr>
          <w:rFonts w:ascii="Times New Roman" w:hAnsi="Times New Roman"/>
          <w:sz w:val="20"/>
          <w:u w:val="single"/>
        </w:rPr>
        <w:t>SECTION 12.5.(b)</w:t>
      </w:r>
      <w:r>
        <w:rPr>
          <w:rFonts w:ascii="Times New Roman" w:hAnsi="Times New Roman"/>
          <w:sz w:val="20"/>
        </w:rPr>
        <w:t xml:space="preserve"> ABOVE, ANY LEGAL PROCEEDING IS FILED IN A COURT OF THE STATE OF CALIFORNIA (THE “</w:t>
      </w:r>
      <w:r>
        <w:rPr>
          <w:rFonts w:ascii="Times New Roman" w:hAnsi="Times New Roman"/>
          <w:sz w:val="20"/>
          <w:u w:val="single"/>
        </w:rPr>
        <w:t>COURT</w:t>
      </w:r>
      <w:r>
        <w:rPr>
          <w:rFonts w:ascii="Times New Roman" w:hAnsi="Times New Roman"/>
          <w:sz w:val="20"/>
        </w:rPr>
        <w:t>”) BY OR AGAINST ANY PARTY HERETO IN CONNECTION WITH ANY CLAIM AND THE WAIVER SET FORTH IN</w:t>
      </w:r>
      <w:r>
        <w:rPr>
          <w:rFonts w:ascii="Times New Roman" w:hAnsi="Times New Roman"/>
          <w:sz w:val="20"/>
          <w:u w:val="single"/>
        </w:rPr>
        <w:t xml:space="preserve"> SECTION 12.5.(a)</w:t>
      </w:r>
      <w:r>
        <w:rPr>
          <w:rFonts w:ascii="Times New Roman" w:hAnsi="Times New Roman"/>
          <w:sz w:val="20"/>
        </w:rPr>
        <w:t xml:space="preserve"> ABOVE IS NOT ENFORCEABLE IN SUCH PROCEEDING (AND EACH PARTY TO SUCH ACTION DOES NOT SUBSEQUENTLY EFFECTIVELY WAIVE UNDER CALIFORNIA LAW ITS RIGHT TO A TRIAL BY JURY), THE PARTIES HERETO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 </w:t>
      </w:r>
    </w:p>
    <w:p>
      <w:pPr>
        <w:pStyle w:val="TextBody"/>
        <w:bidi w:val="0"/>
        <w:spacing w:before="120" w:after="0"/>
        <w:jc w:val="left"/>
        <w:rPr>
          <w:rFonts w:ascii="Times New Roman" w:hAnsi="Times New Roman"/>
          <w:sz w:val="20"/>
        </w:rPr>
      </w:pPr>
      <w:r>
        <w:rPr>
          <w:rFonts w:ascii="Times New Roman" w:hAnsi="Times New Roman"/>
          <w:sz w:val="20"/>
        </w:rPr>
        <w:t xml:space="preserve">(ii) TO THE EXTENT PERMITTED BY APPLICABLE LAW, 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AND ANY SUCH EXERCISE OR OPPOSITION DOES NOT WAIVE THE RIGHT OF ANY PARTY TO PARTICIPATE IN A REFERENCE PROCEEDING PURSUANT TO THIS AGREEMENT WITH RESPECT TO ANY OTHER MATTER. </w:t>
      </w:r>
    </w:p>
    <w:p>
      <w:pPr>
        <w:pStyle w:val="TextBody"/>
        <w:bidi w:val="0"/>
        <w:spacing w:before="120" w:after="0"/>
        <w:jc w:val="left"/>
        <w:rPr>
          <w:rFonts w:ascii="Times New Roman" w:hAnsi="Times New Roman"/>
          <w:sz w:val="20"/>
        </w:rPr>
      </w:pPr>
      <w:r>
        <w:rPr>
          <w:rFonts w:ascii="Times New Roman" w:hAnsi="Times New Roman"/>
          <w:sz w:val="20"/>
        </w:rPr>
        <w:t xml:space="preserve">(iii) 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 </w:t>
      </w:r>
    </w:p>
    <w:p>
      <w:pPr>
        <w:pStyle w:val="TextBody"/>
        <w:bidi w:val="0"/>
        <w:spacing w:before="120" w:after="0"/>
        <w:jc w:val="left"/>
        <w:rPr>
          <w:rFonts w:ascii="Times New Roman" w:hAnsi="Times New Roman"/>
          <w:sz w:val="20"/>
        </w:rPr>
      </w:pPr>
      <w:r>
        <w:rPr>
          <w:rFonts w:ascii="Times New Roman" w:hAnsi="Times New Roman"/>
          <w:sz w:val="20"/>
        </w:rPr>
        <w:t xml:space="preserve">(iv) 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 </w:t>
      </w:r>
    </w:p>
    <w:p>
      <w:pPr>
        <w:pStyle w:val="TextBody"/>
        <w:bidi w:val="0"/>
        <w:spacing w:before="120" w:after="0"/>
        <w:jc w:val="left"/>
        <w:rPr>
          <w:rFonts w:ascii="Times New Roman" w:hAnsi="Times New Roman"/>
          <w:sz w:val="20"/>
        </w:rPr>
      </w:pPr>
      <w:r>
        <w:rPr>
          <w:rFonts w:ascii="Times New Roman" w:hAnsi="Times New Roman"/>
          <w:sz w:val="20"/>
        </w:rPr>
        <w:t xml:space="preserve">(vi) 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 </w:t>
      </w:r>
    </w:p>
    <w:p>
      <w:pPr>
        <w:pStyle w:val="TextBody"/>
        <w:bidi w:val="0"/>
        <w:spacing w:before="120" w:after="0"/>
        <w:jc w:val="left"/>
        <w:rPr>
          <w:rFonts w:ascii="Times New Roman" w:hAnsi="Times New Roman"/>
          <w:sz w:val="20"/>
        </w:rPr>
      </w:pPr>
      <w:r>
        <w:rPr>
          <w:rFonts w:ascii="Times New Roman" w:hAnsi="Times New Roman"/>
          <w:sz w:val="20"/>
        </w:rPr>
        <w:t xml:space="preserve">(vii) 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(viii) NEITHER THE INCLUSION OF THIS SECTION 12.5., NOR ANY REFERENCE TO CALIFORNIA LAW CONTAINED HEREIN SHALL BE DEEMED TO AFFECT OR LIMIT IN ANY WAY THE PARTIES’ CHOICE OF NEW YORK LAW OR VENUE.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12.6.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an assigning Lender’s Commitment and/or the Loans at the time owing to it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the immediately preceding subsection (A), the aggregate amount of the Commitment and/or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or the outstanding principal balance of the Loan held by such assigning Lender, as applicable, would be less than $5,000,000, then such assigning Lender shall assign the entire amount of its Commitment or the Loans, as applicable, at the time owing to it unless the Administrative Agent and Borrower agree otherwise.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clause (i)(B) of this subsection (b)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a Commitment and/or a Loan if such assignment is to a Person that is not already a Lender holding a Loan, an Affiliate of such a Lender or an Approved Fund with respect to such a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 Notes</w:t>
      </w:r>
      <w:r>
        <w:rPr>
          <w:rFonts w:ascii="Times New Roman" w:hAnsi="Times New Roman"/>
          <w:sz w:val="20"/>
        </w:rPr>
        <w:t xml:space="preserve">.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Borrower</w:t>
      </w:r>
      <w:r>
        <w:rPr>
          <w:rFonts w:ascii="Times New Roman" w:hAnsi="Times New Roman"/>
          <w:sz w:val="20"/>
        </w:rPr>
        <w:t xml:space="preserve">. No such assignment shall be made to a Defaulting Lender, any Borrower or any of the Borrower’s Affiliates or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Assignments by Specified Derivatives Provider</w:t>
      </w:r>
      <w:r>
        <w:rPr>
          <w:rFonts w:ascii="Times New Roman" w:hAnsi="Times New Roman"/>
          <w:sz w:val="20"/>
        </w:rPr>
        <w:t xml:space="preserve">. If the assigning Lender (or its Affiliate) is a Specified Derivatives Provider and if after giving effect to such assignment such Lender will hold no further Loans under this Agreement, such Lender shall undertake such assignment only contemporaneously with an assignment by such Lender (or its Affiliate, as the case may be) of all of its Specified Derivatives Contracts to the Assignee or another Lender (or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the principal amounts of the Loans owing to, each Lender pursuant to the terms hereof from time to time (the “</w:t>
      </w:r>
      <w:r>
        <w:rPr>
          <w:rFonts w:ascii="Times New Roman" w:hAnsi="Times New Roman"/>
          <w:b/>
          <w:sz w:val="20"/>
        </w:rPr>
        <w:t>Register</w:t>
      </w:r>
      <w:r>
        <w:rPr>
          <w:rFonts w:ascii="Times New Roman" w:hAnsi="Times New Roman"/>
          <w:sz w:val="20"/>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b/>
          <w:sz w:val="20"/>
        </w:rPr>
        <w:t>Participant Register</w:t>
      </w:r>
      <w:r>
        <w:rPr>
          <w:rFonts w:ascii="Times New Roman" w:hAnsi="Times New Roman"/>
          <w:sz w:val="20"/>
        </w:rPr>
        <w:t xml:space="preserve">”);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holding company, investment vehicle or trust for, or owned and operated for the primary benefit of a natural person), a Defaulting Lender or a Borrower or any of a Borrower’s Affiliates or Subsidiaries) (each,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and/or Loans to the extent subject to the participation, (x) extend the date fixed for the payment of principal on the Loans or portions thereof owing to such Lender to the extent subject to such participation,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Registration</w:t>
      </w:r>
      <w:r>
        <w:rPr>
          <w:rFonts w:ascii="Times New Roman" w:hAnsi="Times New Roman"/>
          <w:sz w:val="20"/>
        </w:rPr>
        <w:t xml:space="preserve">.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12.7. Amendments and Waivers.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Consent of Lenders Directly Affected</w:t>
      </w:r>
      <w:r>
        <w:rPr>
          <w:rFonts w:ascii="Times New Roman" w:hAnsi="Times New Roman"/>
          <w:sz w:val="20"/>
        </w:rPr>
        <w:t xml:space="preserve">. In addition to the foregoing requirements, no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(i) increase, extend or reinstate the Commitment of any Lender or subject a Lender to any additional obligations without the written consent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principal of, or interest that has accrued or the rates of interest that will be charged on the outstanding principal amount of, any Loans or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amount of any Fees payable hereunder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(iv) modify the definition of “Maturity Date”</w:t>
      </w:r>
      <w:r>
        <w:rPr>
          <w:rFonts w:ascii="Times New Roman" w:hAnsi="Times New Roman"/>
          <w:color w:val="0000FF"/>
          <w:sz w:val="20"/>
          <w:u w:val="single"/>
          <w:bdr w:val="double" w:sz="2" w:space="1" w:color="000000"/>
        </w:rPr>
        <w:t xml:space="preserve">or otherwise extend the Commitments of such Lenders </w:t>
      </w:r>
      <w:r>
        <w:rPr>
          <w:rFonts w:ascii="Times New Roman" w:hAnsi="Times New Roman"/>
          <w:sz w:val="20"/>
        </w:rPr>
        <w:t xml:space="preserve">or otherwise postpone any date fixed for any payment of principal of, or interest on, any Loans or for the payment of Fees or any other Obligations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modify the definitions “Availability Period” or “Availability Termination Date” without the written consent of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modify the definition of “Commitment Percentage” or amend or otherwise modify the provisions of Section 3.2., Section 3.3. or Section 10.5.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 amend this Section or amend the definitions of the terms used in this Agreement or the other Loan Documents insofar as such definitions affect the substance of this Section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(viii) modify the definition of the term “Requisite Lenders” or modify in any other manner the number or percentage of the Lenders required to make any determinations or waive any rights hereunder or to modify any provision hereof without the written consent of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(ix) subordinate the Loans to any other Indebtedness without the written consent of each Lender; </w:t>
      </w:r>
    </w:p>
    <w:p>
      <w:pPr>
        <w:pStyle w:val="TextBody"/>
        <w:bidi w:val="0"/>
        <w:spacing w:before="120" w:after="0"/>
        <w:jc w:val="left"/>
        <w:rPr>
          <w:rFonts w:ascii="Times New Roman" w:hAnsi="Times New Roman"/>
          <w:sz w:val="20"/>
        </w:rPr>
      </w:pPr>
      <w:r>
        <w:rPr>
          <w:rFonts w:ascii="Times New Roman" w:hAnsi="Times New Roman"/>
          <w:sz w:val="20"/>
        </w:rPr>
        <w:t xml:space="preserve">(x) release any Guarantor from its obligations under the Guaranty except as contemplated by Section 7.14.(c) without the written consent of each Lender; </w:t>
      </w:r>
      <w:r>
        <w:rPr>
          <w:rFonts w:ascii="Times New Roman" w:hAnsi="Times New Roman"/>
          <w:strike/>
          <w:color w:val="FF0000"/>
          <w:sz w:val="20"/>
        </w:rPr>
        <w: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(xi) waive a Default or Event of Default under Section 10.1.(a), except as provided in Section 10.7. without the written consent of each Lender directly affected thereby</w:t>
      </w:r>
      <w:r>
        <w:rPr>
          <w:rFonts w:ascii="Times New Roman" w:hAnsi="Times New Roman"/>
          <w:strike/>
          <w:color w:val="FF0000"/>
          <w:sz w:val="20"/>
        </w:rPr>
        <w:t>.</w:t>
      </w:r>
      <w:r>
        <w:rPr>
          <w:rFonts w:ascii="Times New Roman" w:hAnsi="Times New Roman"/>
          <w:color w:val="0000FF"/>
          <w:sz w:val="20"/>
          <w:u w:val="single"/>
          <w:bdr w:val="double" w:sz="2" w:space="1" w:color="000000"/>
        </w:rPr>
        <w: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(xii) subordinate, or otherwise have the effect of subordinating, the Obligations hereunder to any other Indebtedness or other obligation, respectively, in any manner that materially and adversely affects such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of Administrative Agent’s Duties, Etc</w:t>
      </w:r>
      <w:r>
        <w:rPr>
          <w:rFonts w:ascii="Times New Roman" w:hAnsi="Times New Roman"/>
          <w:sz w:val="20"/>
        </w:rPr>
        <w:t xml:space="preserve">.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12.8. Nonliability of Administrative Agent and Lenders. </w:t>
      </w:r>
    </w:p>
    <w:p>
      <w:pPr>
        <w:pStyle w:val="TextBody"/>
        <w:bidi w:val="0"/>
        <w:spacing w:before="120" w:after="0"/>
        <w:jc w:val="left"/>
        <w:rPr>
          <w:rFonts w:ascii="Times New Roman" w:hAnsi="Times New Roman"/>
          <w:sz w:val="20"/>
        </w:rPr>
      </w:pPr>
      <w:r>
        <w:rPr>
          <w:rFonts w:ascii="Times New Roman" w:hAnsi="Times New Roman"/>
          <w:sz w:val="20"/>
        </w:rPr>
        <w:t xml:space="preserve">The relationship between the Borrower, on the one hand, and the Lenders and the Administrative Agent, on the other hand,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any Subsidiary or any other Loan Party. Neither the Administrative Agent nor any Lender undertakes any responsibility to the Borrower to review or inform the Borrower of any matter in connection with any phase of the Borrower’s business or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Not in limitation of the foregoing, in connection with all aspects of each transaction contemplated hereby (including in connection with any amendment, waiver or other modification hereof or of any other Loan Document), the Borrower acknowledges and agrees, and acknowledges its Affiliates’ understanding, that: (a) (i) no fiduciary, advisory or agency relationship between the Borrower and its Subsidiaries and any Titled Agent, the Administrative Agent or any Lender is intended to be or has been created in respect of the transactions contemplated hereby or by the other Loan Documents, irrespective of whether any Titled Agent, the Administrative Agent or any Lender has advised or is advising the Borrower or any Subsidiary on other matters, (ii) the arranging and other services regarding this Agreement provided by the Titled Agents, the Administrative Agent and the Lenders are arm’s-length commercial transactions between the Borrower and its Affiliates, on the one hand, and the Titled Agents, the Administrative Agent and the Lenders, on the other hand, (iii) the Borrower has consulted its own legal, accounting, regulatory and tax advisors to the extent that it has deemed appropriate and (iv) the Borrower is capable of evaluating, understanding and accepting, the terms, risks and conditions of the transactions contemplated hereby and by the other Loan Documents; and (b) (i) the Titled Agents, the Administrative Agent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Titled Agents, the Administrative Agent and the Lenders has any obligation to the Borrower or any of its Affiliates with respect to the transactions contemplated hereby except those obligations expressly set forth herein and in the other Loan Documents; and (iii) the Titled Agents, the Administrative Agent and the Lenders and their respective Affiliates may be engaged, for their own accounts or the accounts of customers, in a broad range of transactions that involve interests that differ from those of the Borrower and its Affiliates, and none of the Titled Agents, the Administrative Agent and the Lenders has any obligation to disclose any of such interests to the Borrower or its Affiliates. To the fullest extent permitted by Law, the Borrower hereby waives and releases any claims that it may have against any of the Titled Agents, the Administrative Agent and the Lenders with respect to any breach or alleged breach of agency or fiduciary duty in connection with any aspect of any transaction contemplated hereby.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12.9.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consultants, service providers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or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to credit insurance providers; (j) upon Borrower’s prior written consent, to any other Person; and (k)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r>
        <w:rPr>
          <w:rFonts w:ascii="Times New Roman" w:hAnsi="Times New Roman"/>
          <w:color w:val="0000FF"/>
          <w:sz w:val="20"/>
          <w:u w:val="single"/>
          <w:bdr w:val="double" w:sz="2" w:space="1" w:color="000000"/>
        </w:rPr>
        <w:t xml:space="preserve"> For the avoidance of doubt, nothing herein prohibits any individual from communicating or disclosing information regarding suspected violation of laws, rules or regulations to a governmental, regulatory or self-regulatory authority without any notification to any Person.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12.10. Indemnification. </w:t>
      </w:r>
    </w:p>
    <w:p>
      <w:pPr>
        <w:pStyle w:val="TextBody"/>
        <w:bidi w:val="0"/>
        <w:spacing w:before="120" w:after="0"/>
        <w:jc w:val="left"/>
        <w:rPr>
          <w:rFonts w:ascii="Times New Roman" w:hAnsi="Times New Roman"/>
          <w:sz w:val="20"/>
        </w:rPr>
      </w:pPr>
      <w:r>
        <w:rPr>
          <w:rFonts w:ascii="Times New Roman" w:hAnsi="Times New Roman"/>
          <w:sz w:val="20"/>
        </w:rPr>
        <w:t>(a) The Borrower shall and hereby agrees to indemnify, defend and hold harmless the Administrative Agent, the Lenders, all of the Affiliates of each of the Administrative Agent or any of the Lenders, and their respective directors, officers, shareholders, agents, employees and counsel (each referred to herein as an “</w:t>
      </w:r>
      <w:r>
        <w:rPr>
          <w:rFonts w:ascii="Times New Roman" w:hAnsi="Times New Roman"/>
          <w:b/>
          <w:sz w:val="20"/>
        </w:rPr>
        <w:t>Indemnified Party</w:t>
      </w:r>
      <w:r>
        <w:rPr>
          <w:rFonts w:ascii="Times New Roman" w:hAnsi="Times New Roman"/>
          <w:sz w:val="20"/>
        </w:rPr>
        <w:t>”) from and against any and all of the following (collectively, the “</w:t>
      </w:r>
      <w:r>
        <w:rPr>
          <w:rFonts w:ascii="Times New Roman" w:hAnsi="Times New Roman"/>
          <w:b/>
          <w:sz w:val="20"/>
        </w:rPr>
        <w:t>Indemnified Costs</w:t>
      </w:r>
      <w:r>
        <w:rPr>
          <w:rFonts w:ascii="Times New Roman" w:hAnsi="Times New Roman"/>
          <w:sz w:val="20"/>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Times New Roman" w:hAnsi="Times New Roman"/>
          <w:b/>
          <w:sz w:val="20"/>
        </w:rPr>
        <w:t>Indemnity Proceeding</w:t>
      </w:r>
      <w:r>
        <w:rPr>
          <w:rFonts w:ascii="Times New Roman" w:hAnsi="Times New Roman"/>
          <w:sz w:val="20"/>
        </w:rPr>
        <w:t xml:space="preserve">”) which is in any way related directly or indirectly to: (i) this Agreement or any other Loan Document or the transactions contemplated thereby; (ii) the making of any Loans hereunder; (iii) any actual or proposed use by the Borrower of the proceeds of the Loans;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(ix) any civil penalty or fine assessed by OFAC against, and all reasonable costs and expenses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fees and disbursements) incurred in connection with defense thereof by, the Administrative Agent or any Lender as a result of conduct of the Borrower, any other Loan Party or any other Subsidiary that violates a sanction administered or enforced by OFAC; or (x)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that does not arise from an act or omission by any Loan Party or any of its Affiliates (other than claims of the Indemnified Parties against the Administrative Agent acting in such capacity).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 </w:t>
      </w:r>
    </w:p>
    <w:p>
      <w:pPr>
        <w:pStyle w:val="TextBody"/>
        <w:bidi w:val="0"/>
        <w:spacing w:before="240" w:after="0"/>
        <w:jc w:val="left"/>
        <w:rPr>
          <w:rFonts w:ascii="Times New Roman" w:hAnsi="Times New Roman"/>
          <w:sz w:val="20"/>
        </w:rPr>
      </w:pPr>
      <w:r>
        <w:rPr>
          <w:rFonts w:ascii="Times New Roman" w:hAnsi="Times New Roman"/>
          <w:sz w:val="20"/>
        </w:rPr>
        <w:t xml:space="preserve">(c) This indemnification shall apply to any Indemnity Proceeding arising during the pendency of any bankruptcy proceeding filed by or against the Borrower and/or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(f) If and to the extent that the obligations of the Borrower under this Section are unenforceable for any reason, the Borrower hereby agrees to make the maximum contribution to the payment and satisfaction of such obligations which is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12.10. to “Lender” or “Lenders” shall be deemed to include such Persons (and their Affiliates) in their capacity as Specified Derivatives Providers.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12.11. Termination; Survival.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terminate at such time as (a) all of the Commitments have been terminated, (b) none of the Lenders is obligated any longer under this Agreement to make any Loans and (c) all Obligations (other than obligations which survive as provided in the following sentence) have been paid and satisfied in full. The indemnities to which the Administrative Agent and the Lenders are entitled under the provisions of Sections 3.10., 4.1., 4.4., 11.6., 12.2. and 12.10. and any other provision of this Agreement and the other Loan Documents, and the provisions of Section 12.5., shall continue in full force and effect and shall protect the Administrative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12.12. Severability of Provisions.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12.13.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SHALL BE GOVERNED BY, AND CONSTRUED IN ACCORDANCE WITH, THE LAWS OF THE STATE OF NEW YORK APPLICABLE TO CONTRACTS EXECUTED, AND TO BE FULLY PERFORMED, IN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12.14. Counterparts; Integration; Effectiveness.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5.1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12.15. Obligations with Respect to Loan Parties.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the Borrower including those obligations with respect to actions or inactions by the Parent, the General Partner or any Wholly Owned Subsidiary of the Parent and those obligations to direct or prohibit the taking of certain actions by other Loan Parties as specified herein shall be absolute and not subject to any defense the Borrower may have that the Borrower does not control the Parent, the General Partner or such Loan Parties. Any breach of any term, covenant, condition or agreement contained in this Agreement relating to the Parent, the General Partner or any Wholly Owned Subsidiary of the Parent shall be deemed to be breach of such term by the Borrower.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12.16. Independence of Covenants. </w:t>
      </w:r>
    </w:p>
    <w:p>
      <w:pPr>
        <w:pStyle w:val="TextBody"/>
        <w:bidi w:val="0"/>
        <w:spacing w:before="120" w:after="0"/>
        <w:jc w:val="left"/>
        <w:rPr>
          <w:rFonts w:ascii="Times New Roman" w:hAnsi="Times New Roman"/>
          <w:sz w:val="20"/>
        </w:rPr>
      </w:pPr>
      <w:r>
        <w:rPr>
          <w:rFonts w:ascii="Times New Roman" w:hAnsi="Times New Roman"/>
          <w:sz w:val="20"/>
        </w:rPr>
        <w:t xml:space="preserve">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12.17. 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None of the Administrative Agent or any Lender, or any Affiliate, officer, director, employee, attorney, or agent of the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or any Lender (as distinct from special, indirect, incidental or consequential damages of a third party awarded against the Administrative Agent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or any Lender for which the Borrower may be responsible to the extent covered by Section 12.10.).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12.18. Entire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12.19. Construction.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12.20. Headings. </w:t>
      </w:r>
    </w:p>
    <w:p>
      <w:pPr>
        <w:pStyle w:val="TextBody"/>
        <w:bidi w:val="0"/>
        <w:spacing w:before="120" w:after="0"/>
        <w:jc w:val="left"/>
        <w:rPr>
          <w:rFonts w:ascii="Times New Roman" w:hAnsi="Times New Roman"/>
          <w:sz w:val="20"/>
        </w:rPr>
      </w:pPr>
      <w:r>
        <w:rPr>
          <w:rFonts w:ascii="Times New Roman" w:hAnsi="Times New Roman"/>
          <w:sz w:val="20"/>
        </w:rPr>
        <w:t xml:space="preserve">The paragraph and section headings in this Agreement are provided for convenience of reference only and shall not affect its construction or interpretation.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12.21. Limitation of Liability of Trustees, Etc.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SHAREHOLDERS, NOR PARTNERS OF THE BORROWER, THE PARENT OR THE GENERAL PARTNER SHALL HAVE ANY PERSONAL LIABILITY FOR OBLIGATIONS ENTERED INTO BY OR ON BEHALF OF THE BORROWER OR ANY OTHER LOAN PARTY.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12.22. Acknowledgement and Consent to Bail-In of EEA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12.23. Electronic Signatures. </w:t>
      </w:r>
    </w:p>
    <w:p>
      <w:pPr>
        <w:pStyle w:val="TextBody"/>
        <w:bidi w:val="0"/>
        <w:spacing w:before="120" w:after="0"/>
        <w:jc w:val="left"/>
        <w:rPr>
          <w:rFonts w:ascii="Times New Roman" w:hAnsi="Times New Roman"/>
          <w:sz w:val="20"/>
        </w:rPr>
      </w:pPr>
      <w:r>
        <w:rPr>
          <w:rFonts w:ascii="Times New Roman" w:hAnsi="Times New Roman"/>
          <w:sz w:val="20"/>
        </w:rPr>
        <w:t xml:space="preserve">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12.24. Acknowledgement Regarding Any Supported QFCs. </w:t>
      </w:r>
    </w:p>
    <w:p>
      <w:pPr>
        <w:pStyle w:val="TextBody"/>
        <w:bidi w:val="0"/>
        <w:spacing w:before="120" w:after="0"/>
        <w:jc w:val="left"/>
        <w:rPr>
          <w:rFonts w:ascii="Times New Roman" w:hAnsi="Times New Roman"/>
          <w:sz w:val="20"/>
        </w:rPr>
      </w:pPr>
      <w:r>
        <w:rPr>
          <w:rFonts w:ascii="Times New Roman" w:hAnsi="Times New Roman"/>
          <w:sz w:val="20"/>
        </w:rPr>
        <w:t>To the extent that the Loan Documents provide support, through a guarantee or otherwise, for a Derivatives Contract or any other agreement or instrument that is a QFC (such support, “</w:t>
      </w:r>
      <w:r>
        <w:rPr>
          <w:rFonts w:ascii="Times New Roman" w:hAnsi="Times New Roman"/>
          <w:b/>
          <w:sz w:val="20"/>
        </w:rPr>
        <w:t>QFC Credit Support</w:t>
      </w:r>
      <w:r>
        <w:rPr>
          <w:rFonts w:ascii="Times New Roman" w:hAnsi="Times New Roman"/>
          <w:sz w:val="20"/>
        </w:rPr>
        <w:t>” and each such QFC a “</w:t>
      </w:r>
      <w:r>
        <w:rPr>
          <w:rFonts w:ascii="Times New Roman" w:hAnsi="Times New Roman"/>
          <w:b/>
          <w:sz w:val="20"/>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sz w:val="20"/>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b/>
          <w:sz w:val="20"/>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center"/>
        <w:rPr>
          <w:rFonts w:ascii="Times New Roman" w:hAnsi="Times New Roman"/>
          <w:sz w:val="20"/>
        </w:rPr>
      </w:pPr>
      <w:r>
        <w:rPr>
          <w:rFonts w:ascii="Times New Roman" w:hAnsi="Times New Roman"/>
          <w:sz w:val="20"/>
        </w:rPr>
        <w:t>[Signatures</w:t>
      </w:r>
      <w:r>
        <w:rPr>
          <w:rFonts w:ascii="Times New Roman" w:hAnsi="Times New Roman"/>
          <w:strike/>
          <w:color w:val="FF0000"/>
          <w:sz w:val="20"/>
        </w:rPr>
        <w:t xml:space="preserve"> On Following Pages</w:t>
      </w:r>
      <w:r>
        <w:rPr>
          <w:rFonts w:ascii="Times New Roman" w:hAnsi="Times New Roman"/>
          <w:color w:val="0000FF"/>
          <w:sz w:val="20"/>
          <w:u w:val="single"/>
          <w:bdr w:val="double" w:sz="2" w:space="1" w:color="000000"/>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- 111 -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419</Pages>
  <Words>237811</Words>
  <Characters>1252322</Characters>
  <CharactersWithSpaces>1491639</CharactersWithSpaces>
  <Paragraphs>7294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