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13, 2025</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5.00%</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60"/>
              <w:spacing w:after="0" w:line="168" w:lineRule="exact"/>
              <w:rPr>
                <w:sz w:val="20"/>
                <w:szCs w:val="20"/>
                <w:color w:val="auto"/>
              </w:rPr>
            </w:pPr>
            <w:r>
              <w:rPr>
                <w:rFonts w:ascii="Times New Roman" w:cs="Times New Roman" w:eastAsia="Times New Roman" w:hAnsi="Times New Roman"/>
                <w:sz w:val="16"/>
                <w:szCs w:val="16"/>
                <w:color w:val="auto"/>
              </w:rPr>
              <w:t>Series C Cumulative Redeemable Preferred Stock, $.01 par value per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ind w:firstLine="180"/>
        <w:spacing w:after="0" w:line="268" w:lineRule="auto"/>
        <w:rPr>
          <w:sz w:val="20"/>
          <w:szCs w:val="20"/>
          <w:color w:val="auto"/>
        </w:rPr>
      </w:pPr>
      <w:r>
        <w:rPr>
          <w:rFonts w:ascii="Times New Roman" w:cs="Times New Roman" w:eastAsia="Times New Roman" w:hAnsi="Times New Roman"/>
          <w:sz w:val="21"/>
          <w:szCs w:val="21"/>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91" w:lineRule="exact"/>
        <w:rPr>
          <w:sz w:val="20"/>
          <w:szCs w:val="20"/>
          <w:color w:val="auto"/>
        </w:rPr>
      </w:pPr>
    </w:p>
    <w:p>
      <w:pPr>
        <w:ind w:right="60" w:firstLine="180"/>
        <w:spacing w:after="0" w:line="263" w:lineRule="auto"/>
        <w:rPr>
          <w:sz w:val="20"/>
          <w:szCs w:val="20"/>
          <w:color w:val="auto"/>
        </w:rPr>
      </w:pPr>
      <w:r>
        <w:rPr>
          <w:rFonts w:ascii="Times New Roman" w:cs="Times New Roman" w:eastAsia="Times New Roman" w:hAnsi="Times New Roman"/>
          <w:sz w:val="22"/>
          <w:szCs w:val="22"/>
          <w:color w:val="auto"/>
        </w:rPr>
        <w:t>On February 13, 2025, Federal Realty Investment Trust issued supplemental data pertaining to its operations, as well as a press release, to report its financial results for the quarter ended December 31, 2024. The supplemental data and press release are furnished as Exhibit 99.1 hereto.</w:t>
      </w:r>
    </w:p>
    <w:p>
      <w:pPr>
        <w:spacing w:after="0" w:line="19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51" w:lineRule="exact"/>
        <w:rPr>
          <w:sz w:val="20"/>
          <w:szCs w:val="20"/>
          <w:color w:val="auto"/>
        </w:rPr>
      </w:pPr>
    </w:p>
    <w:p>
      <w:pPr>
        <w:ind w:left="180"/>
        <w:spacing w:after="0"/>
        <w:tabs>
          <w:tab w:leader="none" w:pos="5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Exhibits</w:t>
      </w:r>
    </w:p>
    <w:p>
      <w:pPr>
        <w:spacing w:after="0" w:line="247" w:lineRule="exact"/>
        <w:rPr>
          <w:sz w:val="20"/>
          <w:szCs w:val="20"/>
          <w:color w:val="auto"/>
        </w:rPr>
      </w:pPr>
    </w:p>
    <w:p>
      <w:pPr>
        <w:ind w:left="180"/>
        <w:spacing w:after="0"/>
        <w:tabs>
          <w:tab w:leader="none" w:pos="7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December 31, 2024 (including press release dated February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94" w:lineRule="exact"/>
        <w:rPr>
          <w:sz w:val="20"/>
          <w:szCs w:val="20"/>
          <w:color w:val="auto"/>
        </w:rPr>
      </w:pPr>
    </w:p>
    <w:p>
      <w:pPr>
        <w:ind w:right="200" w:firstLine="18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registrants have duly caused this report to be signed on their behalf by the undersigned hereunto duly authorized.</w:t>
      </w:r>
    </w:p>
    <w:p>
      <w:pPr>
        <w:spacing w:after="0" w:line="19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FEDERAL REALTY INVESTMENT TRUST</w:t>
      </w:r>
    </w:p>
    <w:p>
      <w:pPr>
        <w:spacing w:after="0" w:line="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FEDERAL REALTY OP LP</w:t>
      </w:r>
    </w:p>
    <w:p>
      <w:pPr>
        <w:spacing w:after="0" w:line="275" w:lineRule="exact"/>
        <w:rPr>
          <w:sz w:val="20"/>
          <w:szCs w:val="20"/>
          <w:color w:val="auto"/>
        </w:rPr>
      </w:pPr>
    </w:p>
    <w:p>
      <w:pPr>
        <w:ind w:left="40"/>
        <w:spacing w:after="0"/>
        <w:tabs>
          <w:tab w:leader="none" w:pos="1440" w:val="left"/>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February 13, 2025</w:t>
      </w:r>
      <w:r>
        <w:rPr>
          <w:sz w:val="20"/>
          <w:szCs w:val="20"/>
          <w:color w:val="auto"/>
        </w:rPr>
        <w:tab/>
      </w:r>
      <w:r>
        <w:rPr>
          <w:rFonts w:ascii="Times New Roman" w:cs="Times New Roman" w:eastAsia="Times New Roman" w:hAnsi="Times New Roman"/>
          <w:sz w:val="21"/>
          <w:szCs w:val="21"/>
          <w:u w:val="single" w:color="auto"/>
          <w:color w:val="auto"/>
        </w:rPr>
        <w:t>/s/ Daniel Guglielmone</w:t>
      </w:r>
    </w:p>
    <w:p>
      <w:pPr>
        <w:spacing w:after="0" w:line="28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Daniel Guglielmone</w:t>
      </w:r>
    </w:p>
    <w:p>
      <w:pPr>
        <w:spacing w:after="0" w:line="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EXHIBIT INDEX</w:t>
            </w:r>
          </w:p>
        </w:tc>
      </w:tr>
      <w:tr>
        <w:trPr>
          <w:trHeight w:val="555"/>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5"/>
                <w:szCs w:val="15"/>
                <w:color w:val="auto"/>
              </w:rPr>
            </w:pPr>
          </w:p>
        </w:tc>
        <w:tc>
          <w:tcPr>
            <w:tcW w:w="93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Supplemental Information at December 31, 2024</w:t>
            </w:r>
          </w:p>
        </w:tc>
      </w:tr>
      <w:tr>
        <w:trPr>
          <w:trHeight w:val="304"/>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tc>
      </w:tr>
    </w:tbl>
    <w:p>
      <w:pPr>
        <w:sectPr>
          <w:pgSz w:w="11900" w:h="16838" w:orient="portrait"/>
          <w:cols w:equalWidth="0" w:num="1">
            <w:col w:w="11180"/>
          </w:cols>
          <w:pgMar w:left="360" w:top="895"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1</w:t>
            </w:r>
          </w:p>
        </w:tc>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Fourth Quarter 2024 Earnings Press Release</w:t>
            </w:r>
          </w:p>
        </w:tc>
        <w:tc>
          <w:tcPr>
            <w:tcW w:w="1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6"/>
        </w:trPr>
        <w:tc>
          <w:tcPr>
            <w:tcW w:w="460" w:type="dxa"/>
            <w:vAlign w:val="bottom"/>
            <w:tcBorders>
              <w:top w:val="single" w:sz="8" w:color="CCEEFF"/>
            </w:tcBorders>
          </w:tcPr>
          <w:p>
            <w:pPr>
              <w:spacing w:after="0"/>
              <w:rPr>
                <w:sz w:val="18"/>
                <w:szCs w:val="18"/>
                <w:color w:val="auto"/>
              </w:rPr>
            </w:pPr>
          </w:p>
        </w:tc>
        <w:tc>
          <w:tcPr>
            <w:tcW w:w="75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2</w:t>
            </w:r>
          </w:p>
        </w:tc>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Highlights</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750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13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750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2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750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Funds From Operations / Other Supplemental Information</w:t>
            </w:r>
          </w:p>
        </w:tc>
        <w:tc>
          <w:tcPr>
            <w:tcW w:w="13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tcBorders>
              <w:bottom w:val="single" w:sz="8" w:color="CCEEFF"/>
            </w:tcBorders>
            <w:shd w:val="clear" w:color="auto" w:fill="CCEEFF"/>
          </w:tcPr>
          <w:p>
            <w:pPr>
              <w:spacing w:after="0"/>
              <w:rPr>
                <w:sz w:val="18"/>
                <w:szCs w:val="18"/>
                <w:color w:val="auto"/>
              </w:rPr>
            </w:pPr>
          </w:p>
        </w:tc>
        <w:tc>
          <w:tcPr>
            <w:tcW w:w="750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Components of Rental Income</w:t>
            </w:r>
          </w:p>
        </w:tc>
        <w:tc>
          <w:tcPr>
            <w:tcW w:w="1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750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Comparable Property Information</w:t>
            </w:r>
          </w:p>
        </w:tc>
        <w:tc>
          <w:tcPr>
            <w:tcW w:w="13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750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Market Data, Debt Metrics, and Senior Notes and Debentures Covenants</w:t>
            </w:r>
          </w:p>
        </w:tc>
        <w:tc>
          <w:tcPr>
            <w:tcW w:w="13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75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ind w:left="800" w:hanging="789"/>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906135"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6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Summary of Outstanding Debt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7"/>
                <w:szCs w:val="17"/>
                <w:color w:val="auto"/>
              </w:rPr>
            </w:pPr>
          </w:p>
        </w:tc>
      </w:tr>
      <w:tr>
        <w:trPr>
          <w:trHeight w:val="21"/>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ind w:left="1100"/>
              <w:spacing w:after="0" w:line="189" w:lineRule="exact"/>
              <w:rPr>
                <w:sz w:val="20"/>
                <w:szCs w:val="20"/>
                <w:color w:val="auto"/>
              </w:rPr>
            </w:pPr>
            <w:r>
              <w:rPr>
                <w:rFonts w:ascii="Times New Roman" w:cs="Times New Roman" w:eastAsia="Times New Roman" w:hAnsi="Times New Roman"/>
                <w:sz w:val="18"/>
                <w:szCs w:val="18"/>
                <w:color w:val="auto"/>
              </w:rPr>
              <w:t>Summary of Debt Maturities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Redevelopment and Expansion Opportunities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Future Redevelopment and Expansion Opportunities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Significant Transactions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Real Estate Status Report</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Retail Leasing Summary</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Lease Expirations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Portfolio Leased Statistics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Top 25 Tenants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Reconciliation of FFO Guidance</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65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Glossary of Terms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06135"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301-998-8100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300"/>
          </w:cols>
          <w:pgMar w:left="1300" w:top="1022" w:right="1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2025, and include the following:</w:t>
      </w:r>
    </w:p>
    <w:p>
      <w:pPr>
        <w:spacing w:after="0" w:line="214" w:lineRule="exact"/>
        <w:rPr>
          <w:sz w:val="20"/>
          <w:szCs w:val="20"/>
          <w:color w:val="auto"/>
        </w:rPr>
      </w:pPr>
    </w:p>
    <w:p>
      <w:pPr>
        <w:ind w:left="980" w:right="160" w:hanging="324"/>
        <w:spacing w:after="0" w:line="26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i w:val="1"/>
          <w:iCs w:val="1"/>
          <w:color w:val="auto"/>
        </w:rPr>
      </w:pPr>
    </w:p>
    <w:p>
      <w:pPr>
        <w:ind w:left="980" w:right="2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growth will be limited if we cannot obtain additional capital, or if the costs of capital we obtain are significantly higher than historical levels;</w:t>
      </w: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general economic conditions, including inflation and local economic conditions in our geographic markets;</w:t>
      </w:r>
    </w:p>
    <w:p>
      <w:pPr>
        <w:spacing w:after="0" w:line="9" w:lineRule="exact"/>
        <w:rPr>
          <w:rFonts w:ascii="Times New Roman" w:cs="Times New Roman" w:eastAsia="Times New Roman" w:hAnsi="Times New Roman"/>
          <w:sz w:val="18"/>
          <w:szCs w:val="18"/>
          <w:i w:val="1"/>
          <w:iCs w:val="1"/>
          <w:color w:val="auto"/>
        </w:rPr>
      </w:pP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980" w:right="42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980" w:right="20" w:hanging="324"/>
        <w:spacing w:after="0" w:line="253"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2025.</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757555</wp:posOffset>
            </wp:positionV>
            <wp:extent cx="2451735"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NEWS RELEASE</w:t>
            </w:r>
          </w:p>
        </w:tc>
        <w:tc>
          <w:tcPr>
            <w:tcW w:w="5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www.federalrealty.com</w:t>
            </w:r>
          </w:p>
        </w:tc>
      </w:tr>
      <w:tr>
        <w:trPr>
          <w:trHeight w:val="321"/>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FOR IMMEDIATE RELEASE</w:t>
            </w:r>
          </w:p>
        </w:tc>
        <w:tc>
          <w:tcPr>
            <w:tcW w:w="5820" w:type="dxa"/>
            <w:vAlign w:val="bottom"/>
          </w:tcPr>
          <w:p>
            <w:pPr>
              <w:spacing w:after="0"/>
              <w:rPr>
                <w:sz w:val="24"/>
                <w:szCs w:val="24"/>
                <w:color w:val="auto"/>
              </w:rPr>
            </w:pPr>
          </w:p>
        </w:tc>
      </w:tr>
      <w:tr>
        <w:trPr>
          <w:trHeight w:val="390"/>
        </w:trPr>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Investor Inquiries:</w:t>
            </w:r>
          </w:p>
        </w:tc>
        <w:tc>
          <w:tcPr>
            <w:tcW w:w="582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Leah Andress Brady</w:t>
            </w:r>
          </w:p>
        </w:tc>
        <w:tc>
          <w:tcPr>
            <w:tcW w:w="582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Vice President, Investor Relations</w:t>
            </w:r>
          </w:p>
        </w:tc>
        <w:tc>
          <w:tcPr>
            <w:tcW w:w="5820" w:type="dxa"/>
            <w:vAlign w:val="bottom"/>
          </w:tcPr>
          <w:p>
            <w:pPr>
              <w:jc w:val="right"/>
              <w:spacing w:after="0"/>
              <w:rPr>
                <w:sz w:val="20"/>
                <w:szCs w:val="20"/>
                <w:color w:val="auto"/>
              </w:rPr>
            </w:pPr>
            <w:r>
              <w:rPr>
                <w:rFonts w:ascii="Arial" w:cs="Arial" w:eastAsia="Arial" w:hAnsi="Arial"/>
                <w:sz w:val="18"/>
                <w:szCs w:val="18"/>
                <w:color w:val="auto"/>
              </w:rPr>
              <w:t>Senior Director, Corporate Communications</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301.998.8265</w:t>
            </w:r>
          </w:p>
        </w:tc>
        <w:tc>
          <w:tcPr>
            <w:tcW w:w="582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39"/>
        </w:trPr>
        <w:tc>
          <w:tcPr>
            <w:tcW w:w="5060" w:type="dxa"/>
            <w:vAlign w:val="bottom"/>
          </w:tcPr>
          <w:p>
            <w:pPr>
              <w:ind w:left="20"/>
              <w:spacing w:after="0"/>
              <w:rPr>
                <w:sz w:val="20"/>
                <w:szCs w:val="20"/>
                <w:color w:val="auto"/>
              </w:rPr>
            </w:pPr>
            <w:r>
              <w:rPr>
                <w:rFonts w:ascii="Arial" w:cs="Arial" w:eastAsia="Arial" w:hAnsi="Arial"/>
                <w:sz w:val="18"/>
                <w:szCs w:val="18"/>
                <w:color w:val="auto"/>
              </w:rPr>
              <w:t>lbrady@federalrealty.com</w:t>
            </w:r>
          </w:p>
        </w:tc>
        <w:tc>
          <w:tcPr>
            <w:tcW w:w="5820" w:type="dxa"/>
            <w:vAlign w:val="bottom"/>
          </w:tcPr>
          <w:p>
            <w:pPr>
              <w:jc w:val="right"/>
              <w:spacing w:after="0"/>
              <w:rPr>
                <w:sz w:val="20"/>
                <w:szCs w:val="20"/>
                <w:color w:val="auto"/>
              </w:rPr>
            </w:pPr>
            <w:r>
              <w:rPr>
                <w:rFonts w:ascii="Arial" w:cs="Arial" w:eastAsia="Arial" w:hAnsi="Arial"/>
                <w:sz w:val="18"/>
                <w:szCs w:val="18"/>
                <w:color w:val="auto"/>
              </w:rPr>
              <w:t>bpomar@federalrealty.com</w:t>
            </w:r>
          </w:p>
        </w:tc>
      </w:tr>
    </w:tbl>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Operating Results for the Year and Quarter Ended December 31, 2024</w:t>
      </w:r>
    </w:p>
    <w:p>
      <w:pPr>
        <w:spacing w:after="0" w:line="249"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 xml:space="preserve">NORTH BETHESDA, Md. (February 13, 2025)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announced its operating results for the fourth quarter and full year ended December 31, 2024. Net income available for common shareholders was $3.42 per diluted share for the full year 2024 and $0.75 per diluted share for the fourth quarter, compared to $2.80 and $0.76 per diluted share for the same periods in 2023, respectively. Operating income for 2024 totaled $472.4 million, with $109.3 million in the fourth quarter, compared to $406.5 million and $108.8 million, respectively, in 2023.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full year, fourth quarter and subsequent to quarter-end include:</w:t>
      </w:r>
    </w:p>
    <w:p>
      <w:pPr>
        <w:spacing w:after="0" w:line="252" w:lineRule="exact"/>
        <w:rPr>
          <w:sz w:val="20"/>
          <w:szCs w:val="20"/>
          <w:color w:val="auto"/>
        </w:rPr>
      </w:pPr>
    </w:p>
    <w:p>
      <w:pPr>
        <w:jc w:val="both"/>
        <w:ind w:left="660" w:right="480" w:hanging="328"/>
        <w:spacing w:after="0" w:line="381"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Generated funds from operations available to common shareholders (FFO) per diluted share of $6.77 for the year, compared to $6.55 in 2023. For the fourth quarter, generated FFO per diluted share of $1.73, compared to $1.64 for the fourth quarter 2023.</w:t>
      </w:r>
    </w:p>
    <w:p>
      <w:pPr>
        <w:ind w:left="660" w:right="200" w:hanging="328"/>
        <w:spacing w:after="0" w:line="3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operating income (POI) excluding lease termination fees and prior period rents collected growth of 3.4% for the year 2024 and 4.2% for the fourth quarter.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Record-breaking leasing in 2024:</w:t>
      </w:r>
    </w:p>
    <w:p>
      <w:pPr>
        <w:spacing w:after="0" w:line="103" w:lineRule="exact"/>
        <w:rPr>
          <w:rFonts w:ascii="Arial" w:cs="Arial" w:eastAsia="Arial" w:hAnsi="Arial"/>
          <w:sz w:val="18"/>
          <w:szCs w:val="18"/>
          <w:color w:val="auto"/>
        </w:rPr>
      </w:pPr>
    </w:p>
    <w:p>
      <w:pPr>
        <w:ind w:left="1300" w:hanging="320"/>
        <w:spacing w:after="0" w:line="360"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Achieved the highest annual comparable leasing volume on record with 452 signed comparable leases for 2.4 million square feet at an 11% cash basis rollover, and</w:t>
      </w:r>
    </w:p>
    <w:p>
      <w:pPr>
        <w:ind w:left="1300" w:right="20" w:hanging="320"/>
        <w:spacing w:after="0" w:line="360" w:lineRule="auto"/>
        <w:tabs>
          <w:tab w:leader="none" w:pos="1323" w:val="left"/>
        </w:tabs>
        <w:numPr>
          <w:ilvl w:val="1"/>
          <w:numId w:val="4"/>
        </w:numPr>
        <w:rPr>
          <w:rFonts w:ascii="Arial" w:cs="Arial" w:eastAsia="Arial" w:hAnsi="Arial"/>
          <w:sz w:val="18"/>
          <w:szCs w:val="18"/>
          <w:color w:val="auto"/>
        </w:rPr>
      </w:pPr>
      <w:r>
        <w:rPr>
          <w:rFonts w:ascii="Arial" w:cs="Arial" w:eastAsia="Arial" w:hAnsi="Arial"/>
          <w:sz w:val="18"/>
          <w:szCs w:val="18"/>
          <w:color w:val="auto"/>
        </w:rPr>
        <w:t>Achieving the highest quarterly comparable leasing volume on record with 100 signed comparable retail leases totaling 649,372 square feet in the fourth quarter at a 10% cash basis rollover.</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December 31, 2024, Federal Realty's commercial portfolio was: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94.1% occupied, a +190 basis point increase year-over-year,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96.2% leased, a +200 basis point increase year-over-year.</w:t>
      </w:r>
    </w:p>
    <w:p>
      <w:pPr>
        <w:spacing w:after="0" w:line="103" w:lineRule="exact"/>
        <w:rPr>
          <w:rFonts w:ascii="Arial" w:cs="Arial" w:eastAsia="Arial" w:hAnsi="Arial"/>
          <w:sz w:val="18"/>
          <w:szCs w:val="18"/>
          <w:color w:val="auto"/>
        </w:rPr>
      </w:pPr>
    </w:p>
    <w:p>
      <w:pPr>
        <w:ind w:left="660" w:right="24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strong small shop leasing, ending the quarter at 93.6% leased representing an increase of +290 basis points year-over-year.</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Subsequent to quarter end, announced two new redevelopment projects:</w:t>
      </w:r>
    </w:p>
    <w:p>
      <w:pPr>
        <w:spacing w:after="0" w:line="117" w:lineRule="exact"/>
        <w:rPr>
          <w:rFonts w:ascii="Arial" w:cs="Arial" w:eastAsia="Arial" w:hAnsi="Arial"/>
          <w:sz w:val="18"/>
          <w:szCs w:val="18"/>
          <w:color w:val="auto"/>
        </w:rPr>
      </w:pPr>
    </w:p>
    <w:p>
      <w:pPr>
        <w:ind w:left="1300" w:right="20" w:hanging="320"/>
        <w:spacing w:after="0" w:line="396"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Residential redevelopment in Hoboken, NJ at a projected cost of $45 - $48 million and projected return on investment (ROI) of 6% - 7%, and</w:t>
      </w:r>
    </w:p>
    <w:p>
      <w:pPr>
        <w:sectPr>
          <w:pgSz w:w="11900" w:h="16838" w:orient="portrait"/>
          <w:cols w:equalWidth="0" w:num="1">
            <w:col w:w="11240"/>
          </w:cols>
          <w:pgMar w:left="320" w:top="1440" w:right="3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6" w:name="page7"/>
    <w:bookmarkEnd w:id="6"/>
    <w:p>
      <w:pPr>
        <w:ind w:left="1300" w:hanging="320"/>
        <w:spacing w:after="0" w:line="360" w:lineRule="auto"/>
        <w:tabs>
          <w:tab w:leader="none" w:pos="1296"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Redevelopment of Andorra Shopping Center in Philadelphia, PA at a projected cost of $32 million and projected incremental ROI of 7% - 8%.</w:t>
      </w:r>
    </w:p>
    <w:p>
      <w:pPr>
        <w:ind w:left="660" w:hanging="328"/>
        <w:spacing w:after="0" w:line="36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contract to purchase an approximately 673,000 square foot shopping center in Northern California for $124 million which is expected to close in late February 2025.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Introduced 2025 earnings per diluted share guidance of $3.00 to $3.12 and 2025 FFO per diluted share guidance of $7.10 to $7.22.</w:t>
      </w:r>
    </w:p>
    <w:p>
      <w:pPr>
        <w:spacing w:after="0" w:line="200" w:lineRule="exact"/>
        <w:rPr>
          <w:sz w:val="20"/>
          <w:szCs w:val="20"/>
          <w:color w:val="auto"/>
        </w:rPr>
      </w:pPr>
    </w:p>
    <w:p>
      <w:pPr>
        <w:spacing w:after="0" w:line="295" w:lineRule="exact"/>
        <w:rPr>
          <w:sz w:val="20"/>
          <w:szCs w:val="20"/>
          <w:color w:val="auto"/>
        </w:rPr>
      </w:pPr>
    </w:p>
    <w:p>
      <w:pPr>
        <w:spacing w:after="0" w:line="369" w:lineRule="auto"/>
        <w:rPr>
          <w:sz w:val="20"/>
          <w:szCs w:val="20"/>
          <w:color w:val="auto"/>
        </w:rPr>
      </w:pPr>
      <w:r>
        <w:rPr>
          <w:rFonts w:ascii="Arial" w:cs="Arial" w:eastAsia="Arial" w:hAnsi="Arial"/>
          <w:sz w:val="18"/>
          <w:szCs w:val="18"/>
          <w:color w:val="auto"/>
        </w:rPr>
        <w:t>“2024 was a record-shattering year, with unprecedented leasing momentum leading the way,” said Donald C. Wood, Federal Realty’s Chief Executive Officer. “We achieved all-time highs in leasing volume, revenue, and earnings, surpassing previous records by a significant margin, and occupancy reached its highest level in almost a decade. Our portfolio remains strong, anchored by resilient operators, supported by favorable supply-demand dynamics, and bolstered by strong demographics. With this momentum, we are well-positioned for even stronger growth in 2025 and beyond.”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w:t>
      </w:r>
      <w:r>
        <w:rPr>
          <w:rFonts w:ascii="Arial" w:cs="Arial" w:eastAsia="Arial" w:hAnsi="Arial"/>
          <w:sz w:val="18"/>
          <w:szCs w:val="18"/>
          <w:color w:val="auto"/>
        </w:rPr>
        <w:t>e</w:t>
      </w:r>
    </w:p>
    <w:p>
      <w:pPr>
        <w:spacing w:after="0" w:line="252"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For the full year 2024, Federal Realty reported net income available for common shareholders of $287.2 million and earnings per diluted share of $3.42. This compares to net income available for common shareholders of $229.0 million and earnings per diluted share of $2.80 for the full year 2023.</w:t>
      </w:r>
    </w:p>
    <w:p>
      <w:pPr>
        <w:spacing w:after="0" w:line="102" w:lineRule="exact"/>
        <w:rPr>
          <w:sz w:val="20"/>
          <w:szCs w:val="20"/>
          <w:color w:val="auto"/>
        </w:rPr>
      </w:pPr>
    </w:p>
    <w:p>
      <w:pPr>
        <w:jc w:val="both"/>
        <w:ind w:right="20"/>
        <w:spacing w:after="0" w:line="396" w:lineRule="auto"/>
        <w:rPr>
          <w:sz w:val="20"/>
          <w:szCs w:val="20"/>
          <w:color w:val="auto"/>
        </w:rPr>
      </w:pPr>
      <w:r>
        <w:rPr>
          <w:rFonts w:ascii="Arial" w:cs="Arial" w:eastAsia="Arial" w:hAnsi="Arial"/>
          <w:sz w:val="18"/>
          <w:szCs w:val="18"/>
          <w:color w:val="auto"/>
        </w:rPr>
        <w:t>For the fourth quarter 2024, net income available for common shareholders was $63.5 million and earnings per diluted share was $0.75 versus $62.1 million and $0.76, respectively, for the fourth quarter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FFO</w:t>
      </w:r>
    </w:p>
    <w:p>
      <w:pPr>
        <w:spacing w:after="0" w:line="250"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For the full year 2024, Federal Realty generated funds from operations available for common shareholders (FFO) of $570.2 million, or $6.77 per diluted share. This compares to FFO of $537.3 million, or $6.55 per diluted share for the full year 2023.</w:t>
      </w:r>
    </w:p>
    <w:p>
      <w:pPr>
        <w:spacing w:after="0" w:line="86"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For the fourth quarter 2024, FFO was $147.6 million, or $1.73 per diluted share, compared to $134.9 million, or $1.64 per diluted share for the fourth quarter 2023.</w:t>
      </w:r>
    </w:p>
    <w:p>
      <w:pPr>
        <w:spacing w:after="0" w:line="86" w:lineRule="exact"/>
        <w:rPr>
          <w:sz w:val="20"/>
          <w:szCs w:val="20"/>
          <w:color w:val="auto"/>
        </w:rPr>
      </w:pPr>
    </w:p>
    <w:p>
      <w:pPr>
        <w:jc w:val="both"/>
        <w:ind w:right="20"/>
        <w:spacing w:after="0" w:line="396"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50" w:lineRule="exact"/>
        <w:rPr>
          <w:sz w:val="20"/>
          <w:szCs w:val="20"/>
          <w:color w:val="auto"/>
        </w:rPr>
      </w:pPr>
    </w:p>
    <w:p>
      <w:pPr>
        <w:ind w:right="120"/>
        <w:spacing w:after="0" w:line="396" w:lineRule="auto"/>
        <w:rPr>
          <w:sz w:val="20"/>
          <w:szCs w:val="20"/>
          <w:color w:val="auto"/>
        </w:rPr>
      </w:pPr>
      <w:r>
        <w:rPr>
          <w:rFonts w:ascii="Arial" w:cs="Arial" w:eastAsia="Arial" w:hAnsi="Arial"/>
          <w:sz w:val="18"/>
          <w:szCs w:val="18"/>
          <w:color w:val="auto"/>
        </w:rPr>
        <w:t>The portfolio was 94.1% occupied as of December 31, 2024, an increase of +190 basis points year-over-year. Federal Realty's portfolio was 96.2% leased as of December 31, 2024, an increase of +200 basis points year-over-year.</w:t>
      </w:r>
    </w:p>
    <w:p>
      <w:pPr>
        <w:spacing w:after="0" w:line="86"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Small shop leased rate was 93.6% as of December 31, 2024, an increase of +290 basis points year-over-year. The anchor tenant leased rate was 97.5%, reflecting an increase of +150 basis points year-over-year.</w:t>
      </w:r>
    </w:p>
    <w:p>
      <w:pPr>
        <w:sectPr>
          <w:pgSz w:w="11900" w:h="16838" w:orient="portrait"/>
          <w:cols w:equalWidth="0" w:num="1">
            <w:col w:w="11240"/>
          </w:cols>
          <w:pgMar w:left="320" w:top="1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22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Additionally, Federal Realty's residential properties were 95.2% leased as of December 31, 2024.</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Activity</w:t>
      </w:r>
    </w:p>
    <w:p>
      <w:pPr>
        <w:spacing w:after="0" w:line="250"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For the full year 2024, Federal Realty signed 467 leases for 2,434,394 square feet of retail space. On a comparable space basis (i.e., spaces for which there was a former tenant), Federal Realty signed 452 leases for 2,391,575 square feet at an average rent of $35.80 per square foot compared to the average contractual rent of $32.29 per square foot for the last year of the prior leases, representing a cash basis rollover growth on those comparable spaces of 11%, 22% on a straight-line basis. Comparable leases represented 97% of total comparable and non-comparable leases signed during 2024.</w:t>
      </w:r>
    </w:p>
    <w:p>
      <w:pPr>
        <w:spacing w:after="0" w:line="11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During the fourth quarter 2024, Federal Realty signed 103 leases for 653,869 square feet of retail space. On a comparable space basis (i.e., spaces for which there was a former tenant), Federal Realty signed 100 leases for 649,372 square feet at an average rent of $34.29 per square foot compared to the average contractual rent of $31.18 per square foot for the last year of the prior leases, representing a cash basis rollover growth on those comparable spaces of 10%, 21% on a straight-line basis. Comparable leases represented 97% of total comparable and non-comparable leases signed during the fourth quarter 2024.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Redevelopment</w:t>
      </w:r>
    </w:p>
    <w:p>
      <w:pPr>
        <w:spacing w:after="0" w:line="250" w:lineRule="exact"/>
        <w:rPr>
          <w:sz w:val="20"/>
          <w:szCs w:val="20"/>
          <w:color w:val="auto"/>
        </w:rPr>
      </w:pPr>
    </w:p>
    <w:p>
      <w:pPr>
        <w:jc w:val="both"/>
        <w:spacing w:after="0" w:line="372" w:lineRule="auto"/>
        <w:rPr>
          <w:sz w:val="20"/>
          <w:szCs w:val="20"/>
          <w:color w:val="auto"/>
        </w:rPr>
      </w:pPr>
      <w:r>
        <w:rPr>
          <w:rFonts w:ascii="Arial" w:cs="Arial" w:eastAsia="Arial" w:hAnsi="Arial"/>
          <w:sz w:val="18"/>
          <w:szCs w:val="18"/>
          <w:color w:val="auto"/>
        </w:rPr>
        <w:t>Subsequent to quarter end, Federal Realty announced a residential development at 301 Washington Street in Hoboken, NJ. The project is a 5-story residential building on a highly visible corner which will include 45 residential units and 10,200 square feet of ground floor retail space in the prime retail corridor of Washington Street. The project has a projected cost of $45- $48 million and projected return on investment (ROI) of 6% - 7%.</w:t>
      </w:r>
    </w:p>
    <w:p>
      <w:pPr>
        <w:spacing w:after="0" w:line="107"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Additionally, Federal Realty announced the redevelopment of Andorra Shopping Center in Philadelphia, PA. The redevelopment will include the demolition of existing anchor and small shop spaces to construct a 50,000 square foot turnkey building for a national grocer tenant and the redevelopment of existing space at the north end of the property to construct an anchor and multiple small-shop spaces. The redevelopment has a projected cost of $32 million and projected incremental ROI of 7% - 8%.</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37" w:lineRule="exact"/>
        <w:rPr>
          <w:sz w:val="20"/>
          <w:szCs w:val="20"/>
          <w:color w:val="auto"/>
        </w:rPr>
      </w:pPr>
    </w:p>
    <w:p>
      <w:pPr>
        <w:jc w:val="both"/>
        <w:spacing w:after="0" w:line="412" w:lineRule="auto"/>
        <w:rPr>
          <w:sz w:val="20"/>
          <w:szCs w:val="20"/>
          <w:color w:val="auto"/>
        </w:rPr>
      </w:pPr>
      <w:r>
        <w:rPr>
          <w:rFonts w:ascii="Arial" w:cs="Arial" w:eastAsia="Arial" w:hAnsi="Arial"/>
          <w:sz w:val="18"/>
          <w:szCs w:val="18"/>
          <w:color w:val="auto"/>
        </w:rPr>
        <w:t>Federal Realty is under contract to purchase an approximately 673,000 square foot shopping center in Northern California for $124 million which is expected to close in late February 2025.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52" w:lineRule="exact"/>
        <w:rPr>
          <w:sz w:val="20"/>
          <w:szCs w:val="20"/>
          <w:color w:val="auto"/>
        </w:rPr>
      </w:pPr>
    </w:p>
    <w:p>
      <w:pPr>
        <w:jc w:val="both"/>
        <w:spacing w:after="0" w:line="386" w:lineRule="auto"/>
        <w:rPr>
          <w:sz w:val="20"/>
          <w:szCs w:val="20"/>
          <w:color w:val="auto"/>
        </w:rPr>
      </w:pPr>
      <w:r>
        <w:rPr>
          <w:rFonts w:ascii="Arial" w:cs="Arial" w:eastAsia="Arial" w:hAnsi="Arial"/>
          <w:sz w:val="18"/>
          <w:szCs w:val="18"/>
          <w:color w:val="auto"/>
        </w:rPr>
        <w:t>Federal Realty announced today that its Board of Trustees declared a regular quarterly cash dividend of $1.10 per common share, resulting in an indicated annual rate of $4.40 per common share. The regular common dividend will be payable on April 15, 2025 to common shareholders of record as of April 1, 2025.</w:t>
      </w:r>
    </w:p>
    <w:p>
      <w:pPr>
        <w:spacing w:after="0" w:line="81" w:lineRule="exact"/>
        <w:rPr>
          <w:sz w:val="20"/>
          <w:szCs w:val="20"/>
          <w:color w:val="auto"/>
        </w:rPr>
      </w:pPr>
    </w:p>
    <w:p>
      <w:pPr>
        <w:jc w:val="both"/>
        <w:spacing w:after="0" w:line="412"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2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share. All dividends on the depositary shares will be payable on April 15, 2025 to shareholders of record as of April 1,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80" w:type="dxa"/>
            <w:vAlign w:val="bottom"/>
          </w:tcPr>
          <w:p>
            <w:pPr>
              <w:spacing w:after="0"/>
              <w:rPr>
                <w:sz w:val="20"/>
                <w:szCs w:val="20"/>
                <w:color w:val="auto"/>
              </w:rPr>
            </w:pPr>
            <w:r>
              <w:rPr>
                <w:rFonts w:ascii="Arial" w:cs="Arial" w:eastAsia="Arial" w:hAnsi="Arial"/>
                <w:sz w:val="18"/>
                <w:szCs w:val="18"/>
                <w:b w:val="1"/>
                <w:bCs w:val="1"/>
                <w:color w:val="auto"/>
              </w:rPr>
              <w:t>2025 Initial Guidance</w:t>
            </w:r>
          </w:p>
        </w:tc>
        <w:tc>
          <w:tcPr>
            <w:tcW w:w="1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04"/>
        </w:trPr>
        <w:tc>
          <w:tcPr>
            <w:tcW w:w="7480" w:type="dxa"/>
            <w:vAlign w:val="bottom"/>
          </w:tcPr>
          <w:p>
            <w:pPr>
              <w:spacing w:after="0"/>
              <w:rPr>
                <w:sz w:val="17"/>
                <w:szCs w:val="17"/>
                <w:color w:val="auto"/>
              </w:rPr>
            </w:pPr>
          </w:p>
        </w:tc>
        <w:tc>
          <w:tcPr>
            <w:tcW w:w="214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Earnings per diluted share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$3.12</w:t>
            </w:r>
          </w:p>
        </w:tc>
      </w:tr>
      <w:tr>
        <w:trPr>
          <w:trHeight w:val="239"/>
        </w:trPr>
        <w:tc>
          <w:tcPr>
            <w:tcW w:w="7480" w:type="dxa"/>
            <w:vAlign w:val="bottom"/>
          </w:tcPr>
          <w:p>
            <w:pPr>
              <w:ind w:left="20"/>
              <w:spacing w:after="0"/>
              <w:rPr>
                <w:sz w:val="20"/>
                <w:szCs w:val="20"/>
                <w:color w:val="auto"/>
              </w:rPr>
            </w:pPr>
            <w:r>
              <w:rPr>
                <w:rFonts w:ascii="Arial" w:cs="Arial" w:eastAsia="Arial" w:hAnsi="Arial"/>
                <w:sz w:val="18"/>
                <w:szCs w:val="18"/>
                <w:color w:val="auto"/>
              </w:rPr>
              <w:t>2025 FFO per diluted share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1620" w:type="dxa"/>
            <w:vAlign w:val="bottom"/>
          </w:tcPr>
          <w:p>
            <w:pPr>
              <w:ind w:left="20"/>
              <w:spacing w:after="0"/>
              <w:rPr>
                <w:sz w:val="20"/>
                <w:szCs w:val="20"/>
                <w:color w:val="auto"/>
              </w:rPr>
            </w:pPr>
            <w:r>
              <w:rPr>
                <w:rFonts w:ascii="Arial" w:cs="Arial" w:eastAsia="Arial" w:hAnsi="Arial"/>
                <w:sz w:val="18"/>
                <w:szCs w:val="18"/>
                <w:color w:val="auto"/>
              </w:rPr>
              <w:t>- $7.22</w:t>
            </w:r>
          </w:p>
        </w:tc>
      </w:tr>
      <w:tr>
        <w:trPr>
          <w:trHeight w:val="494"/>
        </w:trPr>
        <w:tc>
          <w:tcPr>
            <w:tcW w:w="7480" w:type="dxa"/>
            <w:vAlign w:val="bottom"/>
          </w:tcPr>
          <w:p>
            <w:pPr>
              <w:spacing w:after="0"/>
              <w:rPr>
                <w:sz w:val="20"/>
                <w:szCs w:val="20"/>
                <w:color w:val="auto"/>
              </w:rPr>
            </w:pPr>
            <w:r>
              <w:rPr>
                <w:rFonts w:ascii="Arial" w:cs="Arial" w:eastAsia="Arial" w:hAnsi="Arial"/>
                <w:sz w:val="18"/>
                <w:szCs w:val="18"/>
                <w:color w:val="auto"/>
              </w:rPr>
              <w:t>The company's initial 2025 guidance is based on the following assumptions:</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2"/>
        </w:trPr>
        <w:tc>
          <w:tcPr>
            <w:tcW w:w="7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Comparable properties growth (1)</w:t>
            </w: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3760" w:type="dxa"/>
            <w:vAlign w:val="bottom"/>
            <w:gridSpan w:val="3"/>
          </w:tcPr>
          <w:p>
            <w:pPr>
              <w:jc w:val="center"/>
              <w:ind w:left="550"/>
              <w:spacing w:after="0"/>
              <w:rPr>
                <w:sz w:val="20"/>
                <w:szCs w:val="20"/>
                <w:color w:val="auto"/>
              </w:rPr>
            </w:pPr>
            <w:r>
              <w:rPr>
                <w:rFonts w:ascii="Arial" w:cs="Arial" w:eastAsia="Arial" w:hAnsi="Arial"/>
                <w:sz w:val="18"/>
                <w:szCs w:val="18"/>
                <w:color w:val="auto"/>
                <w:w w:val="99"/>
              </w:rPr>
              <w:t>$124 million</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termination fees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$5 million</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Incremental redevelopment/expansion POI (2)</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 $5 million</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$48 million</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Development/redevelopment capital</w:t>
            </w:r>
          </w:p>
        </w:tc>
        <w:tc>
          <w:tcPr>
            <w:tcW w:w="1840" w:type="dxa"/>
            <w:vAlign w:val="bottom"/>
          </w:tcPr>
          <w:p>
            <w:pPr>
              <w:jc w:val="right"/>
              <w:spacing w:after="0"/>
              <w:rPr>
                <w:sz w:val="20"/>
                <w:szCs w:val="20"/>
                <w:color w:val="auto"/>
              </w:rPr>
            </w:pPr>
            <w:r>
              <w:rPr>
                <w:rFonts w:ascii="Arial" w:cs="Arial" w:eastAsia="Arial" w:hAnsi="Arial"/>
                <w:sz w:val="18"/>
                <w:szCs w:val="18"/>
                <w:color w:val="auto"/>
              </w:rPr>
              <w:t>$175</w:t>
            </w: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 $225 million</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$14 million</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Tax credit transaction income, net</w:t>
            </w:r>
          </w:p>
        </w:tc>
        <w:tc>
          <w:tcPr>
            <w:tcW w:w="3760" w:type="dxa"/>
            <w:vAlign w:val="bottom"/>
            <w:gridSpan w:val="3"/>
          </w:tcPr>
          <w:p>
            <w:pPr>
              <w:jc w:val="center"/>
              <w:ind w:left="530"/>
              <w:spacing w:after="0"/>
              <w:rPr>
                <w:sz w:val="20"/>
                <w:szCs w:val="20"/>
                <w:color w:val="auto"/>
              </w:rPr>
            </w:pPr>
            <w:r>
              <w:rPr>
                <w:rFonts w:ascii="Arial" w:cs="Arial" w:eastAsia="Arial" w:hAnsi="Arial"/>
                <w:sz w:val="18"/>
                <w:szCs w:val="18"/>
                <w:color w:val="auto"/>
              </w:rPr>
              <w:t>~ $13 million</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Disposed properties - 2024 POI</w:t>
            </w:r>
          </w:p>
        </w:tc>
        <w:tc>
          <w:tcPr>
            <w:tcW w:w="3760" w:type="dxa"/>
            <w:vAlign w:val="bottom"/>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9"/>
              </w:rPr>
              <w:t>$5 million</w:t>
            </w:r>
          </w:p>
        </w:tc>
      </w:tr>
    </w:tbl>
    <w:p>
      <w:pPr>
        <w:spacing w:after="0" w:line="8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a 0.4% negative impact from lower collection of prior period rents which were contractually deferred, specifically related to the COVID-19 pandemic.</w:t>
      </w:r>
    </w:p>
    <w:p>
      <w:pPr>
        <w:spacing w:after="0" w:line="5" w:lineRule="exact"/>
        <w:rPr>
          <w:rFonts w:ascii="Arial" w:cs="Arial" w:eastAsia="Arial" w:hAnsi="Arial"/>
          <w:sz w:val="11"/>
          <w:szCs w:val="11"/>
          <w:color w:val="auto"/>
        </w:rPr>
      </w:pPr>
    </w:p>
    <w:p>
      <w:pPr>
        <w:ind w:left="340" w:right="20" w:hanging="332"/>
        <w:spacing w:after="0" w:line="266" w:lineRule="auto"/>
        <w:tabs>
          <w:tab w:leader="none" w:pos="337"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the expected additional POI to be recognized in 2025 compared to the amount recognized in 2024 from all of the redevelopments listed on page 16 of our supplemental disclosure except those labeled as "stabilized." Does not include any additional POI from "Active Property Improvement Projects."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jc w:val="both"/>
        <w:spacing w:after="0" w:line="370" w:lineRule="auto"/>
        <w:rPr>
          <w:sz w:val="20"/>
          <w:szCs w:val="20"/>
          <w:color w:val="auto"/>
        </w:rPr>
      </w:pPr>
      <w:r>
        <w:rPr>
          <w:rFonts w:ascii="Arial" w:cs="Arial" w:eastAsia="Arial" w:hAnsi="Arial"/>
          <w:sz w:val="18"/>
          <w:szCs w:val="18"/>
          <w:color w:val="auto"/>
        </w:rPr>
        <w:t>Federal Realty’s management team will present an in-depth discussion of Federal Realty’s operating performance on its fourth quarter 2024 earnings conference call, which is scheduled for Thursday, February 13, 2025 at 5:00 PM ET. To participate, please call 844-826-3035 or 412-317-5195 five to ten minutes prior to the call start time. The teleconference can also be accessed via a live webcast at www.federalrealty.com in the Investors section. A replay of the webcast will be available on Federal Realty’s website at www.federalrealty.com. A telephonic replay of the conference call will also be available through February 27, 2025 by dialing 844-512-2921 or 412-317-6671; Passcode: 10195673.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104" w:lineRule="exact"/>
        <w:rPr>
          <w:sz w:val="20"/>
          <w:szCs w:val="20"/>
          <w:color w:val="auto"/>
        </w:rPr>
      </w:pPr>
    </w:p>
    <w:p>
      <w:pPr>
        <w:jc w:val="both"/>
        <w:spacing w:after="0" w:line="368"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retail-based properties located primarily in major coastal markets from Washington, D.C. to Boston as well as Northern and Southern California.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102 properties include approximately 3,500 tenants, in 27 million commercial square feet, and approximately 3,100 residential units.</w:t>
      </w:r>
    </w:p>
    <w:p>
      <w:pPr>
        <w:spacing w:after="0" w:line="114" w:lineRule="exact"/>
        <w:rPr>
          <w:sz w:val="20"/>
          <w:szCs w:val="20"/>
          <w:color w:val="auto"/>
        </w:rPr>
      </w:pPr>
    </w:p>
    <w:p>
      <w:pPr>
        <w:ind w:right="120"/>
        <w:spacing w:after="0" w:line="378" w:lineRule="auto"/>
        <w:rPr>
          <w:sz w:val="20"/>
          <w:szCs w:val="20"/>
          <w:color w:val="auto"/>
        </w:rPr>
      </w:pPr>
      <w:r>
        <w:rPr>
          <w:rFonts w:ascii="Arial" w:cs="Arial" w:eastAsia="Arial" w:hAnsi="Arial"/>
          <w:sz w:val="18"/>
          <w:szCs w:val="18"/>
          <w:color w:val="auto"/>
        </w:rPr>
        <w:t>Federal Realty has increased its quarterly dividends to its shareholders for 57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2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Safe Harbor Language</w:t>
      </w: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2025 and include the following:</w:t>
      </w:r>
    </w:p>
    <w:p>
      <w:pPr>
        <w:spacing w:after="0" w:line="211" w:lineRule="exact"/>
        <w:rPr>
          <w:sz w:val="20"/>
          <w:szCs w:val="20"/>
          <w:color w:val="auto"/>
        </w:rPr>
      </w:pPr>
    </w:p>
    <w:p>
      <w:pPr>
        <w:ind w:left="980" w:right="60" w:hanging="324"/>
        <w:spacing w:after="0" w:line="280" w:lineRule="auto"/>
        <w:tabs>
          <w:tab w:leader="none" w:pos="976"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right="200" w:hanging="324"/>
        <w:spacing w:after="0" w:line="254"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Arial" w:cs="Arial" w:eastAsia="Arial" w:hAnsi="Arial"/>
          <w:sz w:val="14"/>
          <w:szCs w:val="14"/>
          <w:i w:val="1"/>
          <w:iCs w:val="1"/>
          <w:color w:val="auto"/>
        </w:rPr>
      </w:pPr>
    </w:p>
    <w:p>
      <w:pPr>
        <w:ind w:left="980" w:hanging="324"/>
        <w:spacing w:after="0" w:line="257"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Arial" w:cs="Arial" w:eastAsia="Arial" w:hAnsi="Arial"/>
          <w:sz w:val="14"/>
          <w:szCs w:val="14"/>
          <w:i w:val="1"/>
          <w:iCs w:val="1"/>
          <w:color w:val="auto"/>
        </w:rPr>
      </w:pPr>
    </w:p>
    <w:p>
      <w:pPr>
        <w:ind w:left="980" w:hanging="324"/>
        <w:spacing w:after="0"/>
        <w:tabs>
          <w:tab w:leader="none" w:pos="98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risks that our growth will be limited if we cannot obtain additional capital, or if the costs of capital we obtain are significantly higher than historical levels;</w:t>
      </w:r>
    </w:p>
    <w:p>
      <w:pPr>
        <w:spacing w:after="0" w:line="14" w:lineRule="exact"/>
        <w:rPr>
          <w:rFonts w:ascii="Arial" w:cs="Arial" w:eastAsia="Arial" w:hAnsi="Arial"/>
          <w:sz w:val="14"/>
          <w:szCs w:val="14"/>
          <w:color w:val="auto"/>
        </w:rPr>
      </w:pPr>
    </w:p>
    <w:p>
      <w:pPr>
        <w:ind w:left="980" w:hanging="324"/>
        <w:spacing w:after="0"/>
        <w:tabs>
          <w:tab w:leader="none" w:pos="98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inflation and local economic conditions in our geographic markets;</w:t>
      </w:r>
    </w:p>
    <w:p>
      <w:pPr>
        <w:spacing w:after="0" w:line="14" w:lineRule="exact"/>
        <w:rPr>
          <w:rFonts w:ascii="Arial" w:cs="Arial" w:eastAsia="Arial" w:hAnsi="Arial"/>
          <w:sz w:val="14"/>
          <w:szCs w:val="14"/>
          <w:i w:val="1"/>
          <w:iCs w:val="1"/>
          <w:color w:val="auto"/>
        </w:rPr>
      </w:pPr>
    </w:p>
    <w:p>
      <w:pPr>
        <w:ind w:left="980" w:right="320" w:hanging="324"/>
        <w:spacing w:after="0" w:line="251"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61"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jc w:val="both"/>
        <w:ind w:left="980" w:right="60" w:hanging="324"/>
        <w:spacing w:after="0" w:line="262"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365"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2025.</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28"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6"/>
                <w:szCs w:val="16"/>
                <w:color w:val="auto"/>
              </w:rPr>
            </w:pPr>
          </w:p>
        </w:tc>
      </w:tr>
      <w:tr>
        <w:trPr>
          <w:trHeight w:val="191"/>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23"/>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1,101,439</w:t>
            </w:r>
          </w:p>
        </w:tc>
      </w:tr>
      <w:tr>
        <w:trPr>
          <w:trHeight w:val="229"/>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property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29,602</w:t>
            </w:r>
          </w:p>
        </w:tc>
      </w:tr>
      <w:tr>
        <w:trPr>
          <w:trHeight w:val="22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23"/>
        </w:trPr>
        <w:tc>
          <w:tcPr>
            <w:tcW w:w="6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1,202,452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1,132,154</w:t>
            </w:r>
          </w:p>
        </w:tc>
      </w:tr>
      <w:tr>
        <w:trPr>
          <w:trHeight w:val="20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231,666</w:t>
            </w:r>
          </w:p>
        </w:tc>
      </w:tr>
      <w:tr>
        <w:trPr>
          <w:trHeight w:val="22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131,429</w:t>
            </w:r>
          </w:p>
        </w:tc>
      </w:tr>
      <w:tr>
        <w:trPr>
          <w:trHeight w:val="230"/>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50,707</w:t>
            </w:r>
          </w:p>
        </w:tc>
      </w:tr>
      <w:tr>
        <w:trPr>
          <w:trHeight w:val="22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321,763</w:t>
            </w:r>
          </w:p>
        </w:tc>
      </w:tr>
      <w:tr>
        <w:trPr>
          <w:trHeight w:val="223"/>
        </w:trPr>
        <w:tc>
          <w:tcPr>
            <w:tcW w:w="6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735,565</w:t>
            </w:r>
          </w:p>
        </w:tc>
      </w:tr>
      <w:tr>
        <w:trPr>
          <w:trHeight w:val="250"/>
        </w:trPr>
        <w:tc>
          <w:tcPr>
            <w:tcW w:w="6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50"/>
        </w:trPr>
        <w:tc>
          <w:tcPr>
            <w:tcW w:w="6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406,470</w:t>
            </w:r>
          </w:p>
        </w:tc>
      </w:tr>
      <w:tr>
        <w:trPr>
          <w:trHeight w:val="270"/>
        </w:trPr>
        <w:tc>
          <w:tcPr>
            <w:tcW w:w="6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r>
      <w:tr>
        <w:trPr>
          <w:trHeight w:val="230"/>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(167,809)</w:t>
            </w:r>
          </w:p>
        </w:tc>
      </w:tr>
      <w:tr>
        <w:trPr>
          <w:trHeight w:val="22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247,217</w:t>
            </w:r>
          </w:p>
        </w:tc>
      </w:tr>
      <w:tr>
        <w:trPr>
          <w:trHeight w:val="229"/>
        </w:trPr>
        <w:tc>
          <w:tcPr>
            <w:tcW w:w="6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236,985</w:t>
            </w:r>
          </w:p>
        </w:tc>
      </w:tr>
      <w:tr>
        <w:trPr>
          <w:trHeight w:val="23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287,176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228,953</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5"/>
        </w:trPr>
        <w:tc>
          <w:tcPr>
            <w:tcW w:w="6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84,685</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81,617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83,559</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81,313</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6"/>
        </w:trPr>
        <w:tc>
          <w:tcPr>
            <w:tcW w:w="6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 DILUTED:</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9"/>
        </w:trPr>
        <w:tc>
          <w:tcPr>
            <w:tcW w:w="6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40" w:top="1022"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7"/>
                <w:szCs w:val="17"/>
                <w:color w:val="auto"/>
              </w:rPr>
            </w:pPr>
          </w:p>
        </w:tc>
      </w:tr>
      <w:tr>
        <w:trPr>
          <w:trHeight w:val="196"/>
        </w:trPr>
        <w:tc>
          <w:tcPr>
            <w:tcW w:w="8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35"/>
        </w:trPr>
        <w:tc>
          <w:tcPr>
            <w:tcW w:w="8560" w:type="dxa"/>
            <w:vAlign w:val="bottom"/>
          </w:tcPr>
          <w:p>
            <w:pPr>
              <w:spacing w:after="0"/>
              <w:rPr>
                <w:sz w:val="11"/>
                <w:szCs w:val="11"/>
                <w:color w:val="auto"/>
              </w:rPr>
            </w:pPr>
          </w:p>
        </w:tc>
        <w:tc>
          <w:tcPr>
            <w:tcW w:w="2620" w:type="dxa"/>
            <w:vAlign w:val="bottom"/>
            <w:gridSpan w:val="5"/>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r>
      <w:tr>
        <w:trPr>
          <w:trHeight w:val="190"/>
        </w:trPr>
        <w:tc>
          <w:tcPr>
            <w:tcW w:w="8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data)</w:t>
            </w:r>
          </w:p>
        </w:tc>
        <w:tc>
          <w:tcPr>
            <w:tcW w:w="880" w:type="dxa"/>
            <w:vAlign w:val="bottom"/>
          </w:tcPr>
          <w:p>
            <w:pPr>
              <w:spacing w:after="0"/>
              <w:rPr>
                <w:sz w:val="16"/>
                <w:szCs w:val="16"/>
                <w:color w:val="auto"/>
              </w:rPr>
            </w:pPr>
          </w:p>
        </w:tc>
      </w:tr>
      <w:tr>
        <w:trPr>
          <w:trHeight w:val="458"/>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at cost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(including $1,825,656 and $2,021,622 of consolidated variable interest entities, respectively)</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10,363,961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9,932,891</w:t>
            </w: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$9,939 and $8,677 of consolidated variable interest entities,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539,752</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613,296</w:t>
            </w:r>
          </w:p>
        </w:tc>
      </w:tr>
      <w:tr>
        <w:trPr>
          <w:trHeight w:val="223"/>
        </w:trPr>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10,903,713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10,546,187</w:t>
            </w: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$424,044 and $416,663 of consolidated variable</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(3,152,799)</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(2,963,519)</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 estate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7,750,914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7,582,668</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250,825</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201,733</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34,870</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86,993</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263,377</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8,524,757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8,436,512</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8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$186,643 and $189,286 of consolidated variable interest entities,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514,378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516,936</w:t>
            </w: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Notes payable, net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601,945</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3,357,840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3,480,296</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174,714</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payable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92,634</w:t>
            </w: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30,482</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75,870</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12,670</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225,443</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5,100,327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5,210,990</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183,363</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Preferred shares, authorized 15,000,000 shares, $0.01 par:</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5"/>
        </w:trPr>
        <w:tc>
          <w:tcPr>
            <w:tcW w:w="856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175"/>
        </w:trPr>
        <w:tc>
          <w:tcPr>
            <w:tcW w:w="856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8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392,878 shares issued and outstanding</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$0.01 par, 200,000,000 shares authorized, 85,666,220 and 82,775,286</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4,248,824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3,959,276</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(1,242,654)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(1,160,474)</w:t>
            </w:r>
          </w:p>
        </w:tc>
      </w:tr>
      <w:tr>
        <w:trPr>
          <w:trHeight w:val="229"/>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2,963,509</w:t>
            </w:r>
          </w:p>
        </w:tc>
      </w:tr>
      <w:tr>
        <w:trPr>
          <w:trHeight w:val="229"/>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78,650</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3,244,144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3,042,159</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8,524,757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8,436,512</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0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80"/>
          </w:cols>
          <w:pgMar w:left="360" w:top="1022" w:right="359"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Funds From Operations / Other Supplemental Information</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Funds from Operations available for common shareholders (FFO) (1)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9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68,202</w:t>
            </w: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67,090</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304,334</w:t>
            </w: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247,217</w:t>
            </w: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r>
      <w:tr>
        <w:trPr>
          <w:trHeight w:val="229"/>
        </w:trPr>
        <w:tc>
          <w:tcPr>
            <w:tcW w:w="20" w:type="dxa"/>
            <w:vAlign w:val="bottom"/>
          </w:tcPr>
          <w:p>
            <w:pPr>
              <w:spacing w:after="0"/>
              <w:rPr>
                <w:sz w:val="19"/>
                <w:szCs w:val="19"/>
                <w:color w:val="auto"/>
              </w:rPr>
            </w:pPr>
          </w:p>
        </w:tc>
        <w:tc>
          <w:tcPr>
            <w:tcW w:w="6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285,689</w:t>
            </w:r>
          </w:p>
        </w:tc>
      </w:tr>
      <w:tr>
        <w:trPr>
          <w:trHeight w:val="229"/>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31,208</w:t>
            </w: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Funds from operations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544,001</w:t>
            </w:r>
          </w:p>
        </w:tc>
      </w:tr>
      <w:tr>
        <w:trPr>
          <w:trHeight w:val="229"/>
        </w:trPr>
        <w:tc>
          <w:tcPr>
            <w:tcW w:w="20" w:type="dxa"/>
            <w:vAlign w:val="bottom"/>
          </w:tcPr>
          <w:p>
            <w:pPr>
              <w:spacing w:after="0"/>
              <w:rPr>
                <w:sz w:val="19"/>
                <w:szCs w:val="19"/>
                <w:color w:val="auto"/>
              </w:rPr>
            </w:pPr>
          </w:p>
        </w:tc>
        <w:tc>
          <w:tcPr>
            <w:tcW w:w="6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Dividends on preferred shares (2)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30"/>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180" w:type="dxa"/>
            <w:vAlign w:val="bottom"/>
            <w:tcBorders>
              <w:bottom w:val="single" w:sz="8" w:color="CCEEFF"/>
            </w:tcBorders>
            <w:gridSpan w:val="6"/>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FFO</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147,579</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134,905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570,239</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537,313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 diluted (2)(3)</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85,402</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82,346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84,286</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82,044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r>
      <w:tr>
        <w:trPr>
          <w:trHeight w:val="229"/>
        </w:trPr>
        <w:tc>
          <w:tcPr>
            <w:tcW w:w="20" w:type="dxa"/>
            <w:vAlign w:val="bottom"/>
          </w:tcPr>
          <w:p>
            <w:pPr>
              <w:spacing w:after="0"/>
              <w:rPr>
                <w:sz w:val="19"/>
                <w:szCs w:val="19"/>
                <w:color w:val="auto"/>
              </w:rPr>
            </w:pPr>
          </w:p>
        </w:tc>
        <w:tc>
          <w:tcPr>
            <w:tcW w:w="6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FFO per diluted share (3)</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1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Dividends and Payout Ratios</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common dividends declared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355,241</w:t>
            </w: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payout ratio as a percentage of FFO</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Summary of Capital Expenditures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Development, redevelopment and expansions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193,298</w:t>
            </w:r>
          </w:p>
        </w:tc>
      </w:tr>
      <w:tr>
        <w:trPr>
          <w:trHeight w:val="230"/>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6"/>
          </w:tcPr>
          <w:p>
            <w:pPr>
              <w:ind w:left="320"/>
              <w:spacing w:after="0"/>
              <w:rPr>
                <w:sz w:val="20"/>
                <w:szCs w:val="20"/>
                <w:color w:val="auto"/>
              </w:rPr>
            </w:pPr>
            <w:r>
              <w:rPr>
                <w:rFonts w:ascii="Times New Roman" w:cs="Times New Roman" w:eastAsia="Times New Roman" w:hAnsi="Times New Roman"/>
                <w:sz w:val="18"/>
                <w:szCs w:val="18"/>
                <w:color w:val="auto"/>
              </w:rPr>
              <w:t>Tenant improvements and incentives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72,741</w:t>
            </w: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non-maintenance capital expenditures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266,039</w:t>
            </w:r>
          </w:p>
        </w:tc>
      </w:tr>
      <w:tr>
        <w:trPr>
          <w:trHeight w:val="230"/>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6"/>
          </w:tcPr>
          <w:p>
            <w:pPr>
              <w:ind w:left="3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61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Leasing costs</w:t>
            </w:r>
          </w:p>
        </w:tc>
        <w:tc>
          <w:tcPr>
            <w:tcW w:w="4880" w:type="dxa"/>
            <w:vAlign w:val="bottom"/>
            <w:tcBorders>
              <w:top w:val="single" w:sz="8" w:color="CCEEFF"/>
            </w:tcBorders>
            <w:gridSpan w:val="5"/>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31,049</w:t>
            </w: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23,896</w:t>
            </w: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 (non-cash)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09"/>
        </w:trPr>
        <w:tc>
          <w:tcPr>
            <w:tcW w:w="20" w:type="dxa"/>
            <w:vAlign w:val="bottom"/>
            <w:shd w:val="clear" w:color="auto" w:fill="CCEEFF"/>
          </w:tcPr>
          <w:p>
            <w:pPr>
              <w:spacing w:after="0"/>
              <w:rPr>
                <w:sz w:val="18"/>
                <w:szCs w:val="18"/>
                <w:color w:val="auto"/>
              </w:rPr>
            </w:pPr>
          </w:p>
        </w:tc>
        <w:tc>
          <w:tcPr>
            <w:tcW w:w="61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Noncontrolling Interests Supplemental Information (4)</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224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15,426</w:t>
            </w: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r>
      <w:tr>
        <w:trPr>
          <w:trHeight w:val="230"/>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23" w:lineRule="exact"/>
        <w:rPr>
          <w:rFonts w:ascii="Times New Roman" w:cs="Times New Roman" w:eastAsia="Times New Roman" w:hAnsi="Times New Roman"/>
          <w:sz w:val="16"/>
          <w:szCs w:val="16"/>
          <w:color w:val="auto"/>
        </w:rPr>
      </w:pPr>
    </w:p>
    <w:p>
      <w:pPr>
        <w:ind w:left="660" w:right="600" w:hanging="652"/>
        <w:spacing w:after="0" w:line="248"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and year ended December 31, 2024 and 2023, dividends on our Series 1 preferred stock were not deducted in the calculation of FFO available to common shareholders, as the related shares were dilutive and are included in "weighted average number of common shares, diluted."</w:t>
      </w:r>
    </w:p>
    <w:p>
      <w:pPr>
        <w:spacing w:after="0" w:line="1" w:lineRule="exact"/>
        <w:rPr>
          <w:rFonts w:ascii="Times New Roman" w:cs="Times New Roman" w:eastAsia="Times New Roman" w:hAnsi="Times New Roman"/>
          <w:sz w:val="16"/>
          <w:szCs w:val="16"/>
          <w:color w:val="auto"/>
        </w:rPr>
      </w:pPr>
    </w:p>
    <w:p>
      <w:pPr>
        <w:ind w:left="660" w:right="60" w:hanging="652"/>
        <w:spacing w:after="0" w:line="256"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but is anti-dilutive for the computation of dilutive EPS for the three months and year ended December 31, 2024 and 2023.</w:t>
      </w:r>
    </w:p>
    <w:p>
      <w:pPr>
        <w:spacing w:after="0" w:line="1" w:lineRule="exact"/>
        <w:rPr>
          <w:rFonts w:ascii="Times New Roman" w:cs="Times New Roman" w:eastAsia="Times New Roman" w:hAnsi="Times New Roman"/>
          <w:sz w:val="16"/>
          <w:szCs w:val="16"/>
          <w:color w:val="auto"/>
        </w:rPr>
      </w:pPr>
    </w:p>
    <w:p>
      <w:pPr>
        <w:ind w:left="660" w:right="260" w:hanging="652"/>
        <w:spacing w:after="0" w:line="257"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components of "net income attributable to noncontrolling interests," but excludes "income attributable to downREIT operating partnership units."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143" w:right="35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Components of Rental Income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6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Components of Rental Income (1)</w:t>
            </w:r>
          </w:p>
        </w:tc>
        <w:tc>
          <w:tcPr>
            <w:tcW w:w="260" w:type="dxa"/>
            <w:vAlign w:val="bottom"/>
          </w:tcPr>
          <w:p>
            <w:pPr>
              <w:spacing w:after="0"/>
              <w:rPr>
                <w:sz w:val="19"/>
                <w:szCs w:val="19"/>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9"/>
                <w:szCs w:val="19"/>
                <w:color w:val="auto"/>
              </w:rPr>
            </w:pPr>
          </w:p>
        </w:tc>
        <w:tc>
          <w:tcPr>
            <w:tcW w:w="130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9"/>
                <w:szCs w:val="19"/>
                <w:color w:val="auto"/>
              </w:rPr>
            </w:pPr>
          </w:p>
        </w:tc>
      </w:tr>
      <w:tr>
        <w:trPr>
          <w:trHeight w:val="195"/>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Minimum rents (2)</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7"/>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203,895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190,122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789,947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742,977</w:t>
            </w:r>
          </w:p>
        </w:tc>
      </w:tr>
      <w:tr>
        <w:trPr>
          <w:trHeight w:val="226"/>
        </w:trPr>
        <w:tc>
          <w:tcPr>
            <w:tcW w:w="6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Residential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102,740</w:t>
            </w:r>
          </w:p>
        </w:tc>
      </w:tr>
      <w:tr>
        <w:trPr>
          <w:trHeight w:val="23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reimbursements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59,670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230,069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211,693</w:t>
            </w:r>
          </w:p>
        </w:tc>
      </w:tr>
      <w:tr>
        <w:trPr>
          <w:trHeight w:val="2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Percentage rents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19,308</w:t>
            </w:r>
          </w:p>
        </w:tc>
      </w:tr>
      <w:tr>
        <w:trPr>
          <w:trHeight w:val="23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lease related (3)</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24,233</w:t>
            </w:r>
          </w:p>
        </w:tc>
      </w:tr>
      <w:tr>
        <w:trPr>
          <w:trHeight w:val="22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Collectibility related impacts (4)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w:t>
            </w:r>
          </w:p>
        </w:tc>
      </w:tr>
      <w:tr>
        <w:trPr>
          <w:trHeight w:val="252"/>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rental income</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283,796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1,170,078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1,101,439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75" w:lineRule="exact"/>
        <w:rPr>
          <w:sz w:val="20"/>
          <w:szCs w:val="20"/>
          <w:color w:val="auto"/>
        </w:rPr>
      </w:pPr>
    </w:p>
    <w:p>
      <w:pPr>
        <w:ind w:left="660" w:right="240" w:hanging="652"/>
        <w:spacing w:after="0" w:line="265" w:lineRule="auto"/>
        <w:tabs>
          <w:tab w:leader="none" w:pos="65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13"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rents include the following:</w:t>
      </w:r>
    </w:p>
    <w:p>
      <w:pPr>
        <w:spacing w:after="0" w:line="45"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12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6"/>
                <w:szCs w:val="16"/>
                <w:color w:val="auto"/>
              </w:rPr>
            </w:pPr>
          </w:p>
        </w:tc>
      </w:tr>
      <w:tr>
        <w:trPr>
          <w:trHeight w:val="203"/>
        </w:trPr>
        <w:tc>
          <w:tcPr>
            <w:tcW w:w="5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7"/>
                <w:szCs w:val="17"/>
                <w:color w:val="auto"/>
              </w:rPr>
            </w:pPr>
          </w:p>
        </w:tc>
      </w:tr>
      <w:tr>
        <w:trPr>
          <w:trHeight w:val="23"/>
        </w:trPr>
        <w:tc>
          <w:tcPr>
            <w:tcW w:w="5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53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5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88"/>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 rents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10.5</w:t>
            </w:r>
          </w:p>
        </w:tc>
        <w:tc>
          <w:tcPr>
            <w:tcW w:w="880" w:type="dxa"/>
            <w:vAlign w:val="bottom"/>
          </w:tcPr>
          <w:p>
            <w:pPr>
              <w:jc w:val="right"/>
              <w:ind w:right="61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4"/>
                <w:szCs w:val="24"/>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26.8</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3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in-place leases</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3.2</w:t>
            </w:r>
          </w:p>
        </w:tc>
        <w:tc>
          <w:tcPr>
            <w:tcW w:w="88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13.5</w:t>
            </w:r>
          </w:p>
        </w:tc>
        <w:tc>
          <w:tcPr>
            <w:tcW w:w="4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bl>
    <w:p>
      <w:pPr>
        <w:spacing w:after="0" w:line="127" w:lineRule="exact"/>
        <w:rPr>
          <w:sz w:val="20"/>
          <w:szCs w:val="20"/>
          <w:color w:val="auto"/>
        </w:rPr>
      </w:pPr>
    </w:p>
    <w:p>
      <w:pPr>
        <w:ind w:left="660" w:right="180" w:hanging="652"/>
        <w:spacing w:after="0" w:line="290" w:lineRule="auto"/>
        <w:tabs>
          <w:tab w:leader="none" w:pos="6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lease termination fees of $1.1 million and $1.3 million for the three months ended December 31, 2024 and 2023, respectively, and $4.3 million and $6.9 million for the year ended December 31, 2024 and 2023, respectively.</w:t>
      </w:r>
    </w:p>
    <w:p>
      <w:pPr>
        <w:ind w:left="660" w:right="80" w:hanging="652"/>
        <w:spacing w:after="0" w:line="281" w:lineRule="auto"/>
        <w:tabs>
          <w:tab w:leader="none" w:pos="6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ended December 31, 2024 and 2023, our collectability related impacts include the collection of approximately $0.8 million and $1.1 million, respectively, and $3.2 million and $5.1 million for the year ended December 31, 2024 and 2023, respectively, of prior period rents which were contractually deferred or payments renegotiated specifically related to the COVID-19 pandemic.</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022" w:right="359"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5"/>
          <w:szCs w:val="15"/>
          <w:b w:val="1"/>
          <w:bCs w:val="1"/>
          <w:color w:val="auto"/>
        </w:rPr>
        <w:t>Federal Realty Investment Trust</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Comparable Property Information</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88" w:lineRule="exact"/>
        <w:rPr>
          <w:sz w:val="20"/>
          <w:szCs w:val="20"/>
          <w:color w:val="auto"/>
        </w:rPr>
      </w:pPr>
    </w:p>
    <w:p>
      <w:pPr>
        <w:ind w:left="40" w:right="400"/>
        <w:spacing w:after="0" w:line="227" w:lineRule="auto"/>
        <w:rPr>
          <w:sz w:val="20"/>
          <w:szCs w:val="20"/>
          <w:color w:val="auto"/>
        </w:rPr>
      </w:pPr>
      <w:r>
        <w:rPr>
          <w:rFonts w:ascii="Times New Roman" w:cs="Times New Roman" w:eastAsia="Times New Roman" w:hAnsi="Times New Roman"/>
          <w:sz w:val="15"/>
          <w:szCs w:val="15"/>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w:t>
      </w:r>
    </w:p>
    <w:p>
      <w:pPr>
        <w:jc w:val="both"/>
        <w:ind w:left="40" w:right="340"/>
        <w:spacing w:after="0" w:line="212" w:lineRule="auto"/>
        <w:rPr>
          <w:sz w:val="20"/>
          <w:szCs w:val="20"/>
          <w:color w:val="auto"/>
        </w:rPr>
      </w:pPr>
      <w:r>
        <w:rPr>
          <w:rFonts w:ascii="Times New Roman" w:cs="Times New Roman" w:eastAsia="Times New Roman" w:hAnsi="Times New Roman"/>
          <w:sz w:val="15"/>
          <w:szCs w:val="15"/>
          <w:color w:val="auto"/>
        </w:rPr>
        <w:t>development or being repositioned for significant redevelopment and investment. The assets excluded from Comparable Properties in Q4 include: Friendship Center, Huntington Shopping Center, Pike &amp; Rose Phase IV, Santana West, Willow Grove Shopping Center, and all properties acquired, disposed of, or not consolidated from Q4 2023 to Q4 2024. Comparable Property property operating income ("Comparable Property POI") is a non-GAAP measure used by management in evaluating the operating performance of our</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properties period over period. The amounts shown below for the years ended December 31, 2024 and 2023 reflect the summation of our reported quarterly results.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Reconciliation of GAAP operating income to Comparable Property POI</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5"/>
        </w:trPr>
        <w:tc>
          <w:tcPr>
            <w:tcW w:w="2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840" w:type="dxa"/>
            <w:vAlign w:val="bottom"/>
          </w:tcPr>
          <w:p>
            <w:pPr>
              <w:spacing w:after="0"/>
              <w:rPr>
                <w:sz w:val="18"/>
                <w:szCs w:val="18"/>
                <w:color w:val="auto"/>
              </w:rPr>
            </w:pPr>
          </w:p>
        </w:tc>
      </w:tr>
      <w:tr>
        <w:trPr>
          <w:trHeight w:val="207"/>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40" w:type="dxa"/>
            <w:vAlign w:val="bottom"/>
          </w:tcPr>
          <w:p>
            <w:pPr>
              <w:spacing w:after="0"/>
              <w:rPr>
                <w:sz w:val="17"/>
                <w:szCs w:val="17"/>
                <w:color w:val="auto"/>
              </w:rPr>
            </w:pPr>
          </w:p>
        </w:tc>
      </w:tr>
      <w:tr>
        <w:trPr>
          <w:trHeight w:val="200"/>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40" w:type="dxa"/>
            <w:vAlign w:val="bottom"/>
          </w:tcPr>
          <w:p>
            <w:pPr>
              <w:spacing w:after="0"/>
              <w:rPr>
                <w:sz w:val="17"/>
                <w:szCs w:val="17"/>
                <w:color w:val="auto"/>
              </w:rPr>
            </w:pPr>
          </w:p>
        </w:tc>
      </w:tr>
      <w:tr>
        <w:trPr>
          <w:trHeight w:val="196"/>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40" w:type="dxa"/>
            <w:vAlign w:val="bottom"/>
          </w:tcPr>
          <w:p>
            <w:pPr>
              <w:spacing w:after="0"/>
              <w:rPr>
                <w:sz w:val="17"/>
                <w:szCs w:val="17"/>
                <w:color w:val="auto"/>
              </w:rPr>
            </w:pPr>
          </w:p>
        </w:tc>
      </w:tr>
      <w:tr>
        <w:trPr>
          <w:trHeight w:val="203"/>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109,319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108,777</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472,356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406,470</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Add: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5"/>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87,117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82,421</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342,598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321,763</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14,819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13,100</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49,739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50,707</w:t>
            </w:r>
          </w:p>
        </w:tc>
        <w:tc>
          <w:tcPr>
            <w:tcW w:w="840" w:type="dxa"/>
            <w:vAlign w:val="bottom"/>
          </w:tcPr>
          <w:p>
            <w:pPr>
              <w:spacing w:after="0"/>
              <w:rPr>
                <w:sz w:val="17"/>
                <w:szCs w:val="17"/>
                <w:color w:val="auto"/>
              </w:rPr>
            </w:pPr>
          </w:p>
        </w:tc>
      </w:tr>
      <w:tr>
        <w:trPr>
          <w:trHeight w:val="205"/>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on sale of real estate</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(1,760)</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(8,179)</w:t>
            </w:r>
          </w:p>
        </w:tc>
        <w:tc>
          <w:tcPr>
            <w:tcW w:w="8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(54,040)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(9,881)</w:t>
            </w:r>
          </w:p>
        </w:tc>
        <w:tc>
          <w:tcPr>
            <w:tcW w:w="840" w:type="dxa"/>
            <w:vAlign w:val="bottom"/>
            <w:shd w:val="clear" w:color="auto" w:fill="CCEEFF"/>
          </w:tcPr>
          <w:p>
            <w:pPr>
              <w:spacing w:after="0"/>
              <w:rPr>
                <w:sz w:val="17"/>
                <w:szCs w:val="17"/>
                <w:color w:val="auto"/>
              </w:rPr>
            </w:pPr>
          </w:p>
        </w:tc>
      </w:tr>
      <w:tr>
        <w:trPr>
          <w:trHeight w:val="194"/>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Property operating income (POI)</w:t>
            </w:r>
          </w:p>
        </w:tc>
        <w:tc>
          <w:tcPr>
            <w:tcW w:w="260" w:type="dxa"/>
            <w:vAlign w:val="bottom"/>
          </w:tcPr>
          <w:p>
            <w:pPr>
              <w:spacing w:after="0"/>
              <w:rPr>
                <w:sz w:val="16"/>
                <w:szCs w:val="16"/>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209,495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196,119</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810,653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769,059</w:t>
            </w:r>
          </w:p>
        </w:tc>
        <w:tc>
          <w:tcPr>
            <w:tcW w:w="840" w:type="dxa"/>
            <w:vAlign w:val="bottom"/>
          </w:tcPr>
          <w:p>
            <w:pPr>
              <w:spacing w:after="0"/>
              <w:rPr>
                <w:sz w:val="16"/>
                <w:szCs w:val="16"/>
                <w:color w:val="auto"/>
              </w:rPr>
            </w:pPr>
          </w:p>
        </w:tc>
      </w:tr>
      <w:tr>
        <w:trPr>
          <w:trHeight w:val="205"/>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Non-comparable POI - acquisitions/dispositions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(2,801)</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(8,918)</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5"/>
                <w:szCs w:val="15"/>
                <w:color w:val="auto"/>
              </w:rPr>
              <w:t>Less: Non-comparable POI - redevelopment, development &amp; other</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(5,683)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(2,278)</w:t>
            </w: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(29,666)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(14,034)</w:t>
            </w:r>
          </w:p>
        </w:tc>
        <w:tc>
          <w:tcPr>
            <w:tcW w:w="840" w:type="dxa"/>
            <w:vAlign w:val="bottom"/>
            <w:tcBorders>
              <w:bottom w:val="single" w:sz="8" w:color="CCEEFF"/>
            </w:tcBorders>
          </w:tcPr>
          <w:p>
            <w:pPr>
              <w:spacing w:after="0"/>
              <w:rPr>
                <w:sz w:val="17"/>
                <w:szCs w:val="17"/>
                <w:color w:val="auto"/>
              </w:rPr>
            </w:pPr>
          </w:p>
        </w:tc>
      </w:tr>
      <w:tr>
        <w:trPr>
          <w:trHeight w:val="198"/>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Comparable property POI</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198,358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191,040</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766,779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746,107</w:t>
            </w:r>
          </w:p>
        </w:tc>
        <w:tc>
          <w:tcPr>
            <w:tcW w:w="840" w:type="dxa"/>
            <w:vAlign w:val="bottom"/>
            <w:shd w:val="clear" w:color="auto" w:fill="CCEEFF"/>
          </w:tcPr>
          <w:p>
            <w:pPr>
              <w:spacing w:after="0"/>
              <w:rPr>
                <w:sz w:val="17"/>
                <w:szCs w:val="17"/>
                <w:color w:val="auto"/>
              </w:rPr>
            </w:pPr>
          </w:p>
        </w:tc>
      </w:tr>
      <w:tr>
        <w:trPr>
          <w:trHeight w:val="27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Additional information regarding the components of Comparable Property POI</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15"/>
        </w:trPr>
        <w:tc>
          <w:tcPr>
            <w:tcW w:w="2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840" w:type="dxa"/>
            <w:vAlign w:val="bottom"/>
          </w:tcPr>
          <w:p>
            <w:pPr>
              <w:spacing w:after="0"/>
              <w:rPr>
                <w:sz w:val="18"/>
                <w:szCs w:val="18"/>
                <w:color w:val="auto"/>
              </w:rPr>
            </w:pPr>
          </w:p>
        </w:tc>
      </w:tr>
      <w:tr>
        <w:trPr>
          <w:trHeight w:val="204"/>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88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2"/>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96"/>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40" w:type="dxa"/>
            <w:vAlign w:val="bottom"/>
          </w:tcPr>
          <w:p>
            <w:pPr>
              <w:spacing w:after="0"/>
              <w:rPr>
                <w:sz w:val="17"/>
                <w:szCs w:val="17"/>
                <w:color w:val="auto"/>
              </w:rPr>
            </w:pPr>
          </w:p>
        </w:tc>
      </w:tr>
      <w:tr>
        <w:trPr>
          <w:trHeight w:val="203"/>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Minimum rents (1)</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219,483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211,052</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851,237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823,352</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Cost reimbursements</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57,255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55,395</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221,095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208,424</w:t>
            </w:r>
          </w:p>
        </w:tc>
        <w:tc>
          <w:tcPr>
            <w:tcW w:w="840" w:type="dxa"/>
            <w:vAlign w:val="bottom"/>
          </w:tcPr>
          <w:p>
            <w:pPr>
              <w:spacing w:after="0"/>
              <w:rPr>
                <w:sz w:val="17"/>
                <w:szCs w:val="17"/>
                <w:color w:val="auto"/>
              </w:rPr>
            </w:pPr>
          </w:p>
        </w:tc>
      </w:tr>
      <w:tr>
        <w:trPr>
          <w:trHeight w:val="205"/>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15,627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15,673</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56,448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57,675</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5"/>
                <w:szCs w:val="15"/>
                <w:color w:val="auto"/>
              </w:rPr>
              <w:t>Collectibility related impacts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745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244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1,126</w:t>
            </w:r>
          </w:p>
        </w:tc>
        <w:tc>
          <w:tcPr>
            <w:tcW w:w="840" w:type="dxa"/>
            <w:vAlign w:val="bottom"/>
            <w:tcBorders>
              <w:bottom w:val="single" w:sz="8" w:color="CCEEFF"/>
            </w:tcBorders>
          </w:tcPr>
          <w:p>
            <w:pPr>
              <w:spacing w:after="0"/>
              <w:rPr>
                <w:sz w:val="17"/>
                <w:szCs w:val="17"/>
                <w:color w:val="auto"/>
              </w:rPr>
            </w:pPr>
          </w:p>
        </w:tc>
      </w:tr>
      <w:tr>
        <w:trPr>
          <w:trHeight w:val="198"/>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property revenue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293,110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281,983</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1,129,024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1,090,577</w:t>
            </w:r>
          </w:p>
        </w:tc>
        <w:tc>
          <w:tcPr>
            <w:tcW w:w="840" w:type="dxa"/>
            <w:vAlign w:val="bottom"/>
            <w:shd w:val="clear" w:color="auto" w:fill="CCEEFF"/>
          </w:tcPr>
          <w:p>
            <w:pPr>
              <w:spacing w:after="0"/>
              <w:rPr>
                <w:sz w:val="17"/>
                <w:szCs w:val="17"/>
                <w:color w:val="auto"/>
              </w:rPr>
            </w:pPr>
          </w:p>
        </w:tc>
      </w:tr>
      <w:tr>
        <w:trPr>
          <w:trHeight w:val="94"/>
        </w:trPr>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03"/>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Rental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(59,666)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(58,465)</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(226,947)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(215,708)</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5"/>
                <w:szCs w:val="15"/>
                <w:color w:val="auto"/>
              </w:rPr>
              <w:t>Real estate taxes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(35,086)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(32,478)</w:t>
            </w: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(135,298)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(128,762)</w:t>
            </w:r>
          </w:p>
        </w:tc>
        <w:tc>
          <w:tcPr>
            <w:tcW w:w="840" w:type="dxa"/>
            <w:vAlign w:val="bottom"/>
            <w:tcBorders>
              <w:bottom w:val="single" w:sz="8" w:color="CCEEFF"/>
            </w:tcBorders>
          </w:tcPr>
          <w:p>
            <w:pPr>
              <w:spacing w:after="0"/>
              <w:rPr>
                <w:sz w:val="17"/>
                <w:szCs w:val="17"/>
                <w:color w:val="auto"/>
              </w:rPr>
            </w:pPr>
          </w:p>
        </w:tc>
      </w:tr>
      <w:tr>
        <w:trPr>
          <w:trHeight w:val="198"/>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property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(94,752)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(90,943)</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(362,245)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(344,470)</w:t>
            </w:r>
          </w:p>
        </w:tc>
        <w:tc>
          <w:tcPr>
            <w:tcW w:w="840" w:type="dxa"/>
            <w:vAlign w:val="bottom"/>
            <w:shd w:val="clear" w:color="auto" w:fill="CCEEFF"/>
          </w:tcPr>
          <w:p>
            <w:pPr>
              <w:spacing w:after="0"/>
              <w:rPr>
                <w:sz w:val="17"/>
                <w:szCs w:val="17"/>
                <w:color w:val="auto"/>
              </w:rPr>
            </w:pPr>
          </w:p>
        </w:tc>
      </w:tr>
      <w:tr>
        <w:trPr>
          <w:trHeight w:val="95"/>
        </w:trPr>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02"/>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Comparable property POI</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198,358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191,040</w:t>
            </w:r>
          </w:p>
        </w:tc>
        <w:tc>
          <w:tcPr>
            <w:tcW w:w="880" w:type="dxa"/>
            <w:vAlign w:val="bottom"/>
            <w:shd w:val="clear" w:color="auto" w:fill="CCEEFF"/>
          </w:tcPr>
          <w:p>
            <w:pPr>
              <w:jc w:val="center"/>
              <w:ind w:right="4"/>
              <w:spacing w:after="0"/>
              <w:rPr>
                <w:sz w:val="20"/>
                <w:szCs w:val="20"/>
                <w:color w:val="auto"/>
              </w:rPr>
            </w:pPr>
            <w:r>
              <w:rPr>
                <w:rFonts w:ascii="Times New Roman" w:cs="Times New Roman" w:eastAsia="Times New Roman" w:hAnsi="Times New Roman"/>
                <w:sz w:val="15"/>
                <w:szCs w:val="15"/>
                <w:color w:val="auto"/>
              </w:rPr>
              <w:t>3.8%</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766,779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746,107</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2.8%</w:t>
            </w:r>
          </w:p>
        </w:tc>
      </w:tr>
      <w:tr>
        <w:trPr>
          <w:trHeight w:val="20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Less: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5"/>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 termination fees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(1,308)</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(6,718)</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5"/>
                <w:szCs w:val="15"/>
                <w:color w:val="auto"/>
              </w:rPr>
              <w:t>Prior period rents collected (2)</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(1,058)</w:t>
            </w: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(5,007)</w:t>
            </w:r>
          </w:p>
        </w:tc>
        <w:tc>
          <w:tcPr>
            <w:tcW w:w="840" w:type="dxa"/>
            <w:vAlign w:val="bottom"/>
            <w:tcBorders>
              <w:bottom w:val="single" w:sz="8" w:color="CCEEFF"/>
            </w:tcBorders>
          </w:tcPr>
          <w:p>
            <w:pPr>
              <w:spacing w:after="0"/>
              <w:rPr>
                <w:sz w:val="17"/>
                <w:szCs w:val="17"/>
                <w:color w:val="auto"/>
              </w:rPr>
            </w:pPr>
          </w:p>
        </w:tc>
      </w:tr>
      <w:tr>
        <w:trPr>
          <w:trHeight w:val="131"/>
        </w:trPr>
        <w:tc>
          <w:tcPr>
            <w:tcW w:w="4900" w:type="dxa"/>
            <w:vAlign w:val="bottom"/>
            <w:gridSpan w:val="5"/>
            <w:shd w:val="clear" w:color="auto" w:fill="CCEEFF"/>
          </w:tcPr>
          <w:p>
            <w:pPr>
              <w:spacing w:after="0" w:line="131" w:lineRule="exact"/>
              <w:rPr>
                <w:sz w:val="20"/>
                <w:szCs w:val="20"/>
                <w:color w:val="auto"/>
              </w:rPr>
            </w:pPr>
            <w:r>
              <w:rPr>
                <w:rFonts w:ascii="Times New Roman" w:cs="Times New Roman" w:eastAsia="Times New Roman" w:hAnsi="Times New Roman"/>
                <w:sz w:val="15"/>
                <w:szCs w:val="15"/>
                <w:color w:val="auto"/>
              </w:rPr>
              <w:t>Comparable property POI excluding lease termination fees and prior period</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16"/>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rents collected</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196,512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188,674</w:t>
            </w:r>
          </w:p>
        </w:tc>
        <w:tc>
          <w:tcPr>
            <w:tcW w:w="880" w:type="dxa"/>
            <w:vAlign w:val="bottom"/>
            <w:shd w:val="clear" w:color="auto" w:fill="CCEEFF"/>
          </w:tcPr>
          <w:p>
            <w:pPr>
              <w:jc w:val="center"/>
              <w:ind w:right="4"/>
              <w:spacing w:after="0"/>
              <w:rPr>
                <w:sz w:val="20"/>
                <w:szCs w:val="20"/>
                <w:color w:val="auto"/>
              </w:rPr>
            </w:pPr>
            <w:r>
              <w:rPr>
                <w:rFonts w:ascii="Times New Roman" w:cs="Times New Roman" w:eastAsia="Times New Roman" w:hAnsi="Times New Roman"/>
                <w:sz w:val="15"/>
                <w:szCs w:val="15"/>
                <w:color w:val="auto"/>
              </w:rPr>
              <w:t>4.2%</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759,561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734,382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w:t>
            </w:r>
          </w:p>
        </w:tc>
      </w:tr>
      <w:tr>
        <w:trPr>
          <w:trHeight w:val="31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Comparable Property - Summary of Capital Expenditures (3)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5"/>
        </w:trPr>
        <w:tc>
          <w:tcPr>
            <w:tcW w:w="2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840" w:type="dxa"/>
            <w:vAlign w:val="bottom"/>
          </w:tcPr>
          <w:p>
            <w:pPr>
              <w:spacing w:after="0"/>
              <w:rPr>
                <w:sz w:val="18"/>
                <w:szCs w:val="18"/>
                <w:color w:val="auto"/>
              </w:rPr>
            </w:pPr>
          </w:p>
        </w:tc>
      </w:tr>
      <w:tr>
        <w:trPr>
          <w:trHeight w:val="206"/>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40" w:type="dxa"/>
            <w:vAlign w:val="bottom"/>
          </w:tcPr>
          <w:p>
            <w:pPr>
              <w:spacing w:after="0"/>
              <w:rPr>
                <w:sz w:val="17"/>
                <w:szCs w:val="17"/>
                <w:color w:val="auto"/>
              </w:rPr>
            </w:pPr>
          </w:p>
        </w:tc>
      </w:tr>
      <w:tr>
        <w:trPr>
          <w:trHeight w:val="200"/>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40" w:type="dxa"/>
            <w:vAlign w:val="bottom"/>
          </w:tcPr>
          <w:p>
            <w:pPr>
              <w:spacing w:after="0"/>
              <w:rPr>
                <w:sz w:val="17"/>
                <w:szCs w:val="17"/>
                <w:color w:val="auto"/>
              </w:rPr>
            </w:pPr>
          </w:p>
        </w:tc>
      </w:tr>
      <w:tr>
        <w:trPr>
          <w:trHeight w:val="196"/>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40" w:type="dxa"/>
            <w:vAlign w:val="bottom"/>
          </w:tcPr>
          <w:p>
            <w:pPr>
              <w:spacing w:after="0"/>
              <w:rPr>
                <w:sz w:val="17"/>
                <w:szCs w:val="17"/>
                <w:color w:val="auto"/>
              </w:rPr>
            </w:pPr>
          </w:p>
        </w:tc>
      </w:tr>
      <w:tr>
        <w:trPr>
          <w:trHeight w:val="203"/>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Redevelopment and tenant improvements and incentives</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31,729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28,284</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141,166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133,406</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5"/>
                <w:szCs w:val="15"/>
                <w:color w:val="auto"/>
              </w:rPr>
              <w:t>Maintenance capital expenditures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10,703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8,613</w:t>
            </w: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23,902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22,044</w:t>
            </w:r>
          </w:p>
        </w:tc>
        <w:tc>
          <w:tcPr>
            <w:tcW w:w="840" w:type="dxa"/>
            <w:vAlign w:val="bottom"/>
            <w:tcBorders>
              <w:bottom w:val="single" w:sz="8" w:color="CCEEFF"/>
            </w:tcBorders>
          </w:tcPr>
          <w:p>
            <w:pPr>
              <w:spacing w:after="0"/>
              <w:rPr>
                <w:sz w:val="17"/>
                <w:szCs w:val="17"/>
                <w:color w:val="auto"/>
              </w:rPr>
            </w:pPr>
          </w:p>
        </w:tc>
      </w:tr>
      <w:tr>
        <w:trPr>
          <w:trHeight w:val="198"/>
        </w:trPr>
        <w:tc>
          <w:tcPr>
            <w:tcW w:w="2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42,432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36,897</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165,068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155,450</w:t>
            </w:r>
          </w:p>
        </w:tc>
        <w:tc>
          <w:tcPr>
            <w:tcW w:w="840" w:type="dxa"/>
            <w:vAlign w:val="bottom"/>
            <w:shd w:val="clear" w:color="auto" w:fill="CCEEFF"/>
          </w:tcPr>
          <w:p>
            <w:pPr>
              <w:spacing w:after="0"/>
              <w:rPr>
                <w:sz w:val="17"/>
                <w:szCs w:val="17"/>
                <w:color w:val="auto"/>
              </w:rPr>
            </w:pPr>
          </w:p>
        </w:tc>
      </w:tr>
      <w:tr>
        <w:trPr>
          <w:trHeight w:val="27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Comparable Property - Occupancy Statistics (3)</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19"/>
        </w:trPr>
        <w:tc>
          <w:tcPr>
            <w:tcW w:w="29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At December 31,</w:t>
            </w:r>
          </w:p>
        </w:tc>
        <w:tc>
          <w:tcPr>
            <w:tcW w:w="840" w:type="dxa"/>
            <w:vAlign w:val="bottom"/>
          </w:tcPr>
          <w:p>
            <w:pPr>
              <w:spacing w:after="0"/>
              <w:rPr>
                <w:sz w:val="19"/>
                <w:szCs w:val="19"/>
                <w:color w:val="auto"/>
              </w:rPr>
            </w:pPr>
          </w:p>
        </w:tc>
      </w:tr>
      <w:tr>
        <w:trPr>
          <w:trHeight w:val="200"/>
        </w:trPr>
        <w:tc>
          <w:tcPr>
            <w:tcW w:w="29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40" w:type="dxa"/>
            <w:vAlign w:val="bottom"/>
            <w:tcBorders>
              <w:bottom w:val="single" w:sz="8" w:color="CCEEFF"/>
            </w:tcBorders>
          </w:tcPr>
          <w:p>
            <w:pPr>
              <w:spacing w:after="0"/>
              <w:rPr>
                <w:sz w:val="17"/>
                <w:szCs w:val="17"/>
                <w:color w:val="auto"/>
              </w:rPr>
            </w:pPr>
          </w:p>
        </w:tc>
      </w:tr>
      <w:tr>
        <w:trPr>
          <w:trHeight w:val="196"/>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GLA - comparable commercial properties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25,402,000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25,387,000</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Leased % - comparable commercial properties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840" w:type="dxa"/>
            <w:vAlign w:val="bottom"/>
          </w:tcPr>
          <w:p>
            <w:pPr>
              <w:spacing w:after="0"/>
              <w:rPr>
                <w:sz w:val="17"/>
                <w:szCs w:val="17"/>
                <w:color w:val="auto"/>
              </w:rPr>
            </w:pPr>
          </w:p>
        </w:tc>
      </w:tr>
      <w:tr>
        <w:trPr>
          <w:trHeight w:val="205"/>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Occupancy % - comparable commercial properties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92.3%</w:t>
            </w:r>
          </w:p>
        </w:tc>
        <w:tc>
          <w:tcPr>
            <w:tcW w:w="840" w:type="dxa"/>
            <w:vAlign w:val="bottom"/>
            <w:shd w:val="clear" w:color="auto" w:fill="CCEEFF"/>
          </w:tcPr>
          <w:p>
            <w:pPr>
              <w:spacing w:after="0"/>
              <w:rPr>
                <w:sz w:val="17"/>
                <w:szCs w:val="17"/>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Notes:</w:t>
      </w:r>
    </w:p>
    <w:p>
      <w:pPr>
        <w:spacing w:after="0" w:line="6" w:lineRule="exact"/>
        <w:rPr>
          <w:sz w:val="20"/>
          <w:szCs w:val="20"/>
          <w:color w:val="auto"/>
        </w:rPr>
      </w:pPr>
    </w:p>
    <w:p>
      <w:pPr>
        <w:ind w:left="660" w:right="140" w:hanging="652"/>
        <w:spacing w:after="0" w:line="253" w:lineRule="auto"/>
        <w:tabs>
          <w:tab w:leader="none" w:pos="64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December 31, 2024 and 2023, amount includes straight-line rents of $7.1 million and $2.4 million, respectively, and $15.1 million and $10.6 million for the year ended December 31, 2024 and 2023, respectively. For the three months ended December 31, 2024 and 2023, amounts include amortization of in-place leases of $2.9 million and $3.0 million, respectively, and $12.8 million and $12.6 million for the year ended December 31, 2024 and 2023, respectively.</w:t>
      </w:r>
    </w:p>
    <w:p>
      <w:pPr>
        <w:spacing w:after="0" w:line="1" w:lineRule="exact"/>
        <w:rPr>
          <w:rFonts w:ascii="Times New Roman" w:cs="Times New Roman" w:eastAsia="Times New Roman" w:hAnsi="Times New Roman"/>
          <w:sz w:val="15"/>
          <w:szCs w:val="15"/>
          <w:color w:val="auto"/>
        </w:rPr>
      </w:pPr>
    </w:p>
    <w:p>
      <w:pPr>
        <w:ind w:left="640" w:hanging="632"/>
        <w:spacing w:after="0"/>
        <w:tabs>
          <w:tab w:leader="none" w:pos="6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 represents collection of prior period rents which were contractually deferred or payment renegotiated specifically related to the COVID-19 pandemic.</w:t>
      </w:r>
    </w:p>
    <w:p>
      <w:pPr>
        <w:spacing w:after="0" w:line="9" w:lineRule="exact"/>
        <w:rPr>
          <w:rFonts w:ascii="Times New Roman" w:cs="Times New Roman" w:eastAsia="Times New Roman" w:hAnsi="Times New Roman"/>
          <w:sz w:val="15"/>
          <w:szCs w:val="15"/>
          <w:color w:val="auto"/>
        </w:rPr>
      </w:pPr>
    </w:p>
    <w:p>
      <w:pPr>
        <w:ind w:left="640" w:hanging="632"/>
        <w:spacing w:after="0"/>
        <w:tabs>
          <w:tab w:leader="none" w:pos="6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page 10 for "Summary of Capital Expenditures" and page 26 for portfolio occupancy statistics for our entire portfolio.</w:t>
      </w:r>
    </w:p>
    <w:p>
      <w:pPr>
        <w:sectPr>
          <w:pgSz w:w="11900" w:h="16838" w:orient="portrait"/>
          <w:cols w:equalWidth="0" w:num="1">
            <w:col w:w="11220"/>
          </w:cols>
          <w:pgMar w:left="320" w:top="604" w:right="359" w:bottom="1440" w:gutter="0" w:footer="0" w:header="0"/>
        </w:sectPr>
      </w:pP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604" w:right="359"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 Data, Debt Metrics, and Senior Notes and Debentures Covenants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shares outstanding and downREIT operating partnership units (1)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83,411</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Common equity market capitalization including downREIT operating partnership units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9,658,486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8,595,504</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Series C preferred shares outstanding</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Liquidation price per Series C preferred share</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C preferred equity market capitalization</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Series 1 preferred shares outstanding (2)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Liquidation price per Series 1 preferred share</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1 preferred equity market capitalization</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market capitalization</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9,818,311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8,755,329</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4,473,632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4,599,177</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(250,825)</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 net debt (3)</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4,350,223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4,348,352</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market capitalization</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14,168,534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13,103,681</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Leverage and Liquidity Ratios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net debt to market capitalization at market price per common share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75"/>
        </w:trPr>
        <w:tc>
          <w:tcPr>
            <w:tcW w:w="80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Ratio of EBITDAre to combined fixed charges and preferred share dividends, three months ended (4)</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3.8x</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3.5x</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Ratio of EBITDAre to combined fixed charges and preferred share dividends, year ended (4)(5)</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3.7x</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3.6x</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and Debentures Covenants (6)</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4"/>
                <w:szCs w:val="14"/>
                <w:color w:val="auto"/>
              </w:rPr>
            </w:pPr>
          </w:p>
        </w:tc>
        <w:tc>
          <w:tcPr>
            <w:tcW w:w="1320" w:type="dxa"/>
            <w:vAlign w:val="bottom"/>
          </w:tcPr>
          <w:p>
            <w:pPr>
              <w:jc w:val="right"/>
              <w:ind w:right="132"/>
              <w:spacing w:after="0" w:line="162" w:lineRule="exact"/>
              <w:rPr>
                <w:sz w:val="20"/>
                <w:szCs w:val="20"/>
                <w:color w:val="auto"/>
              </w:rPr>
            </w:pPr>
            <w:r>
              <w:rPr>
                <w:rFonts w:ascii="Times New Roman" w:cs="Times New Roman" w:eastAsia="Times New Roman" w:hAnsi="Times New Roman"/>
                <w:sz w:val="16"/>
                <w:szCs w:val="16"/>
                <w:b w:val="1"/>
                <w:bCs w:val="1"/>
                <w:color w:val="auto"/>
              </w:rPr>
              <w:t>Debt Covenant</w:t>
            </w:r>
          </w:p>
        </w:tc>
        <w:tc>
          <w:tcPr>
            <w:tcW w:w="0" w:type="dxa"/>
            <w:vAlign w:val="bottom"/>
          </w:tcPr>
          <w:p>
            <w:pPr>
              <w:spacing w:after="0"/>
              <w:rPr>
                <w:sz w:val="1"/>
                <w:szCs w:val="1"/>
                <w:color w:val="auto"/>
              </w:rPr>
            </w:pPr>
          </w:p>
        </w:tc>
      </w:tr>
      <w:tr>
        <w:trPr>
          <w:trHeight w:val="214"/>
        </w:trPr>
        <w:tc>
          <w:tcPr>
            <w:tcW w:w="8080" w:type="dxa"/>
            <w:vAlign w:val="bottom"/>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Threshold (7)</w:t>
            </w:r>
          </w:p>
        </w:tc>
        <w:tc>
          <w:tcPr>
            <w:tcW w:w="0" w:type="dxa"/>
            <w:vAlign w:val="bottom"/>
          </w:tcPr>
          <w:p>
            <w:pPr>
              <w:spacing w:after="0"/>
              <w:rPr>
                <w:sz w:val="1"/>
                <w:szCs w:val="1"/>
                <w:color w:val="auto"/>
              </w:rPr>
            </w:pPr>
          </w:p>
        </w:tc>
      </w:tr>
      <w:tr>
        <w:trPr>
          <w:trHeight w:val="225"/>
        </w:trPr>
        <w:tc>
          <w:tcPr>
            <w:tcW w:w="80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Debt to Total Assets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color w:val="auto"/>
                <w:w w:val="96"/>
              </w:rPr>
              <w:t>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&lt; 60%</w:t>
            </w:r>
          </w:p>
        </w:tc>
        <w:tc>
          <w:tcPr>
            <w:tcW w:w="0" w:type="dxa"/>
            <w:vAlign w:val="bottom"/>
          </w:tcPr>
          <w:p>
            <w:pPr>
              <w:spacing w:after="0"/>
              <w:rPr>
                <w:sz w:val="1"/>
                <w:szCs w:val="1"/>
                <w:color w:val="auto"/>
              </w:rPr>
            </w:pPr>
          </w:p>
        </w:tc>
      </w:tr>
      <w:tr>
        <w:trPr>
          <w:trHeight w:val="230"/>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Secured Debt to Total Assets</w:t>
            </w:r>
          </w:p>
        </w:tc>
        <w:tc>
          <w:tcPr>
            <w:tcW w:w="260" w:type="dxa"/>
            <w:vAlign w:val="bottom"/>
          </w:tcPr>
          <w:p>
            <w:pPr>
              <w:spacing w:after="0"/>
              <w:rPr>
                <w:sz w:val="19"/>
                <w:szCs w:val="19"/>
                <w:color w:val="auto"/>
              </w:rPr>
            </w:pPr>
          </w:p>
        </w:tc>
        <w:tc>
          <w:tcPr>
            <w:tcW w:w="12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&lt; 40%</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Income to Annual Debt Service Charge</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3.8x</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9"/>
              </w:rPr>
              <w:t>&gt; 1.5x</w:t>
            </w:r>
          </w:p>
        </w:tc>
        <w:tc>
          <w:tcPr>
            <w:tcW w:w="0" w:type="dxa"/>
            <w:vAlign w:val="bottom"/>
          </w:tcPr>
          <w:p>
            <w:pPr>
              <w:spacing w:after="0"/>
              <w:rPr>
                <w:sz w:val="1"/>
                <w:szCs w:val="1"/>
                <w:color w:val="auto"/>
              </w:rPr>
            </w:pPr>
          </w:p>
        </w:tc>
      </w:tr>
      <w:tr>
        <w:trPr>
          <w:trHeight w:val="234"/>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Unencumbered Assets to Unsecured Debt</w:t>
            </w:r>
          </w:p>
        </w:tc>
        <w:tc>
          <w:tcPr>
            <w:tcW w:w="260" w:type="dxa"/>
            <w:vAlign w:val="bottom"/>
          </w:tcPr>
          <w:p>
            <w:pPr>
              <w:spacing w:after="0"/>
              <w:rPr>
                <w:sz w:val="20"/>
                <w:szCs w:val="20"/>
                <w:color w:val="auto"/>
              </w:rPr>
            </w:pPr>
          </w:p>
        </w:tc>
        <w:tc>
          <w:tcPr>
            <w:tcW w:w="12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&gt; 150%</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608,348 and 635,431 downREIT operating partnership units outstanding at December 31, 2024 and 2023, respectively.</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issued March 8, 2007, are unregistered.</w:t>
      </w:r>
    </w:p>
    <w:p>
      <w:pPr>
        <w:spacing w:after="0" w:line="59" w:lineRule="exact"/>
        <w:rPr>
          <w:rFonts w:ascii="Times New Roman" w:cs="Times New Roman" w:eastAsia="Times New Roman" w:hAnsi="Times New Roman"/>
          <w:sz w:val="16"/>
          <w:szCs w:val="16"/>
          <w:color w:val="auto"/>
        </w:rPr>
      </w:pPr>
    </w:p>
    <w:p>
      <w:pPr>
        <w:ind w:left="660" w:right="20" w:hanging="652"/>
        <w:spacing w:after="0" w:line="29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net debt includes mortgages payable, notes payable, senior notes and debentures, net of premiums/discounts and debt issuance costs and net of cash and cash equivalents from our consolidated balance sheet.</w:t>
      </w: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EBITDAre is reconciled to net income in the Glossary of Terms.</w:t>
      </w:r>
    </w:p>
    <w:p>
      <w:pPr>
        <w:spacing w:after="0" w:line="72" w:lineRule="exact"/>
        <w:rPr>
          <w:rFonts w:ascii="Times New Roman" w:cs="Times New Roman" w:eastAsia="Times New Roman" w:hAnsi="Times New Roman"/>
          <w:sz w:val="16"/>
          <w:szCs w:val="16"/>
          <w:color w:val="auto"/>
        </w:rPr>
      </w:pPr>
    </w:p>
    <w:p>
      <w:pPr>
        <w:ind w:left="660" w:right="80" w:hanging="652"/>
        <w:spacing w:after="0" w:line="27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charges consist of interest on borrowed funds and finance leases (including capitalized interest), amortization of debt discount/premium and debt costs, and the portion of rent expense representing an interest factor.</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reference period for calculating these covenants is the most recent </w:t>
      </w:r>
      <w:r>
        <w:rPr>
          <w:rFonts w:ascii="Times New Roman" w:cs="Times New Roman" w:eastAsia="Times New Roman" w:hAnsi="Times New Roman"/>
          <w:sz w:val="17"/>
          <w:szCs w:val="17"/>
          <w:color w:val="auto"/>
        </w:rPr>
        <w:t>year</w:t>
      </w:r>
      <w:r>
        <w:rPr>
          <w:rFonts w:ascii="Times New Roman" w:cs="Times New Roman" w:eastAsia="Times New Roman" w:hAnsi="Times New Roman"/>
          <w:sz w:val="16"/>
          <w:szCs w:val="16"/>
          <w:color w:val="auto"/>
        </w:rPr>
        <w:t xml:space="preserve"> ended December 31, 2024.</w:t>
      </w:r>
    </w:p>
    <w:p>
      <w:pPr>
        <w:spacing w:after="0" w:line="79" w:lineRule="exact"/>
        <w:rPr>
          <w:rFonts w:ascii="Times New Roman" w:cs="Times New Roman" w:eastAsia="Times New Roman" w:hAnsi="Times New Roman"/>
          <w:sz w:val="16"/>
          <w:szCs w:val="16"/>
          <w:color w:val="auto"/>
        </w:rPr>
      </w:pPr>
    </w:p>
    <w:p>
      <w:pPr>
        <w:ind w:left="660" w:right="560" w:hanging="652"/>
        <w:spacing w:after="0" w:line="29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detailed description of the senior unsecured notes covenants and definitions of the terms, please refer to our filings with the Securities and Exchange Commission.</w:t>
      </w:r>
    </w:p>
    <w:p>
      <w:pPr>
        <w:sectPr>
          <w:pgSz w:w="11900" w:h="16838" w:orient="portrait"/>
          <w:cols w:equalWidth="0" w:num="1">
            <w:col w:w="11220"/>
          </w:cols>
          <w:pgMar w:left="320" w:top="1022" w:right="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022" w:right="359" w:bottom="1440" w:gutter="0" w:footer="0" w:header="0"/>
          <w:type w:val="continuous"/>
        </w:sectPr>
      </w:pPr>
    </w:p>
    <w:bookmarkStart w:id="16" w:name="page17"/>
    <w:bookmarkEnd w:id="16"/>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4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effective rate (6)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Mortgages payable (1)</w:t>
            </w:r>
          </w:p>
        </w:tc>
        <w:tc>
          <w:tcPr>
            <w:tcW w:w="2700" w:type="dxa"/>
            <w:vAlign w:val="bottom"/>
            <w:tcBorders>
              <w:bottom w:val="single" w:sz="8" w:color="CCEEFF"/>
            </w:tcBorders>
            <w:gridSpan w:val="2"/>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Azalea</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11/1/2025</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Bethesda Row</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12/28/2025 (2)</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5.03% (3)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Bell Gardens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8/1/2026</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Plaza El Segundo</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6/5/2027</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9/1/2027</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Brook 35</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7/1/2029</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Hoboken (24 Buildings)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12/15/2029</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3.67% (3)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Various Hoboken (14 Buildings)</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Various through 2029</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3.91% to 5.00%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Chelsea</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1/15/2031</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8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515,844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discount</w:t>
            </w: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180" w:type="dxa"/>
            <w:vAlign w:val="bottom"/>
            <w:tcBorders>
              <w:bottom w:val="single" w:sz="8" w:color="CCEEFF"/>
            </w:tcBorders>
            <w:gridSpan w:val="4"/>
          </w:tcPr>
          <w:p>
            <w:pPr>
              <w:ind w:left="70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514,378</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241"/>
              <w:spacing w:after="0"/>
              <w:rPr>
                <w:sz w:val="20"/>
                <w:szCs w:val="20"/>
                <w:color w:val="auto"/>
              </w:rPr>
            </w:pPr>
            <w:r>
              <w:rPr>
                <w:rFonts w:ascii="Times New Roman" w:cs="Times New Roman" w:eastAsia="Times New Roman" w:hAnsi="Times New Roman"/>
                <w:sz w:val="16"/>
                <w:szCs w:val="16"/>
                <w:color w:val="auto"/>
              </w:rPr>
              <w:t>4.50%</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Notes payable</w:t>
            </w: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Term loan (4)</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4/16/2025</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SOFR + 0.85%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Revolving credit facility (4)(5)</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4/5/2027</w:t>
            </w:r>
          </w:p>
        </w:tc>
        <w:tc>
          <w:tcPr>
            <w:tcW w:w="1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SOFR + 0.775%</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Various</w:t>
            </w:r>
          </w:p>
        </w:tc>
        <w:tc>
          <w:tcPr>
            <w:tcW w:w="18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Various through 2059</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8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601,680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180" w:type="dxa"/>
            <w:vAlign w:val="bottom"/>
            <w:tcBorders>
              <w:bottom w:val="single" w:sz="8" w:color="CCEEFF"/>
            </w:tcBorders>
            <w:gridSpan w:val="4"/>
          </w:tcPr>
          <w:p>
            <w:pPr>
              <w:ind w:left="700"/>
              <w:spacing w:after="0"/>
              <w:rPr>
                <w:sz w:val="20"/>
                <w:szCs w:val="20"/>
                <w:color w:val="auto"/>
              </w:rPr>
            </w:pPr>
            <w:r>
              <w:rPr>
                <w:rFonts w:ascii="Times New Roman" w:cs="Times New Roman" w:eastAsia="Times New Roman" w:hAnsi="Times New Roman"/>
                <w:sz w:val="16"/>
                <w:szCs w:val="16"/>
                <w:color w:val="auto"/>
              </w:rPr>
              <w:t>Total notes payable, net</w:t>
            </w:r>
          </w:p>
        </w:tc>
        <w:tc>
          <w:tcPr>
            <w:tcW w:w="1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601,414</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241"/>
              <w:spacing w:after="0"/>
              <w:rPr>
                <w:sz w:val="20"/>
                <w:szCs w:val="20"/>
                <w:color w:val="auto"/>
              </w:rPr>
            </w:pPr>
            <w:r>
              <w:rPr>
                <w:rFonts w:ascii="Times New Roman" w:cs="Times New Roman" w:eastAsia="Times New Roman" w:hAnsi="Times New Roman"/>
                <w:sz w:val="16"/>
                <w:szCs w:val="16"/>
                <w:color w:val="auto"/>
              </w:rPr>
              <w:t>5.44%</w:t>
            </w:r>
          </w:p>
        </w:tc>
        <w:tc>
          <w:tcPr>
            <w:tcW w:w="40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Senior notes and debentures</w:t>
            </w: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1.25%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2/15/2026</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7.48% debentures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8/15/2026</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7.48%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3.25%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7/15/2027</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6.82% medium term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8/1/2027</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6.82%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5.375%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5/1/2028</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3.25% exchangeable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1/15/2029</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3.20%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6/15/2029</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3.50%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6/1/2030</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4.50%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12/1/2044</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3.625%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8/1/2046</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3.625%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8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3,379,200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180" w:type="dxa"/>
            <w:vAlign w:val="bottom"/>
            <w:tcBorders>
              <w:bottom w:val="single" w:sz="8" w:color="CCEEFF"/>
            </w:tcBorders>
            <w:gridSpan w:val="4"/>
          </w:tcPr>
          <w:p>
            <w:pPr>
              <w:ind w:left="70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3,357,840</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241"/>
              <w:spacing w:after="0"/>
              <w:rPr>
                <w:sz w:val="20"/>
                <w:szCs w:val="20"/>
                <w:color w:val="auto"/>
              </w:rPr>
            </w:pPr>
            <w:r>
              <w:rPr>
                <w:rFonts w:ascii="Times New Roman" w:cs="Times New Roman" w:eastAsia="Times New Roman" w:hAnsi="Times New Roman"/>
                <w:sz w:val="16"/>
                <w:szCs w:val="16"/>
                <w:color w:val="auto"/>
              </w:rPr>
              <w:t>3.77%</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Total debt, net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4,473,632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fixed rate debt, net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3,873,883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3.87%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variable rate debt, net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599,749</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5.43%</w:t>
            </w:r>
          </w:p>
        </w:tc>
        <w:tc>
          <w:tcPr>
            <w:tcW w:w="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debt, net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4,473,632</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4.08%</w:t>
            </w:r>
          </w:p>
        </w:tc>
        <w:tc>
          <w:tcPr>
            <w:tcW w:w="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Notes:</w:t>
      </w:r>
    </w:p>
    <w:p>
      <w:pPr>
        <w:spacing w:after="0" w:line="57" w:lineRule="exact"/>
        <w:rPr>
          <w:sz w:val="20"/>
          <w:szCs w:val="20"/>
          <w:color w:val="auto"/>
        </w:rPr>
      </w:pPr>
    </w:p>
    <w:p>
      <w:pPr>
        <w:ind w:left="660" w:right="660" w:hanging="652"/>
        <w:spacing w:after="0" w:line="272" w:lineRule="auto"/>
        <w:tabs>
          <w:tab w:leader="none" w:pos="64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Mortgages payable does not include our share of debt on our unconsolidated real estate partnerships. At December 31, 2024, our share of unconsolidated debt was approximately $62.0 million. At December 31, 2024, our noncontrolling interests' share of mortgages payable was $15.2 million.</w:t>
      </w:r>
    </w:p>
    <w:p>
      <w:pPr>
        <w:ind w:left="640" w:hanging="632"/>
        <w:spacing w:after="0"/>
        <w:tabs>
          <w:tab w:leader="none" w:pos="6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two one-year extensions, at our option to extend the maturity date to December 28, 2027.</w:t>
      </w:r>
    </w:p>
    <w:p>
      <w:pPr>
        <w:spacing w:after="0" w:line="57" w:lineRule="exact"/>
        <w:rPr>
          <w:rFonts w:ascii="Times New Roman" w:cs="Times New Roman" w:eastAsia="Times New Roman" w:hAnsi="Times New Roman"/>
          <w:sz w:val="15"/>
          <w:szCs w:val="15"/>
          <w:color w:val="auto"/>
        </w:rPr>
      </w:pPr>
    </w:p>
    <w:p>
      <w:pPr>
        <w:ind w:left="640" w:hanging="632"/>
        <w:spacing w:after="0"/>
        <w:tabs>
          <w:tab w:leader="none" w:pos="6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mortgage loans have interest rate swap agreements that effectively fix the interest rate through the initial maturity date.</w:t>
      </w:r>
    </w:p>
    <w:p>
      <w:pPr>
        <w:spacing w:after="0" w:line="43" w:lineRule="exact"/>
        <w:rPr>
          <w:rFonts w:ascii="Times New Roman" w:cs="Times New Roman" w:eastAsia="Times New Roman" w:hAnsi="Times New Roman"/>
          <w:sz w:val="15"/>
          <w:szCs w:val="15"/>
          <w:color w:val="auto"/>
        </w:rPr>
      </w:pPr>
    </w:p>
    <w:p>
      <w:pPr>
        <w:ind w:left="660" w:right="300" w:hanging="652"/>
        <w:spacing w:after="0" w:line="281" w:lineRule="auto"/>
        <w:tabs>
          <w:tab w:leader="none" w:pos="64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revolving credit facility SOFR loans bear interest at Daily Simple SOFR or Term SOFR, and our term loan bears interest at Term SOFR as defined in the respective credit agreements, plus 0.10%, plus a spread, based on our current credit rating.</w:t>
      </w:r>
    </w:p>
    <w:p>
      <w:pPr>
        <w:spacing w:after="0" w:line="1" w:lineRule="exact"/>
        <w:rPr>
          <w:rFonts w:ascii="Times New Roman" w:cs="Times New Roman" w:eastAsia="Times New Roman" w:hAnsi="Times New Roman"/>
          <w:sz w:val="15"/>
          <w:szCs w:val="15"/>
          <w:color w:val="auto"/>
        </w:rPr>
      </w:pPr>
    </w:p>
    <w:p>
      <w:pPr>
        <w:ind w:left="660" w:right="160" w:hanging="652"/>
        <w:spacing w:after="0" w:line="269" w:lineRule="auto"/>
        <w:tabs>
          <w:tab w:leader="none" w:pos="64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amount drawn under our $1.25 billion revolving credit facility during the three months and year ended December 31, 2024 was $64.5 million and $202.7 million, respectively. The weighted average interest rate on borrowings under our credit facility, before amortization of debt fees, was 5.5% and 6.1% for the three months and year ended December 31, 2024, respectively.</w:t>
      </w:r>
    </w:p>
    <w:p>
      <w:pPr>
        <w:ind w:left="640" w:hanging="632"/>
        <w:spacing w:after="0"/>
        <w:tabs>
          <w:tab w:leader="none" w:pos="6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 effective interest rate includes the amortization of any debt issuance costs and discounts and premiums, if applicable, except as described in Note 7.</w:t>
      </w:r>
    </w:p>
    <w:p>
      <w:pPr>
        <w:spacing w:after="0" w:line="43" w:lineRule="exact"/>
        <w:rPr>
          <w:rFonts w:ascii="Times New Roman" w:cs="Times New Roman" w:eastAsia="Times New Roman" w:hAnsi="Times New Roman"/>
          <w:sz w:val="15"/>
          <w:szCs w:val="15"/>
          <w:color w:val="auto"/>
        </w:rPr>
      </w:pPr>
    </w:p>
    <w:p>
      <w:pPr>
        <w:ind w:left="640" w:hanging="632"/>
        <w:spacing w:after="0"/>
        <w:tabs>
          <w:tab w:leader="none" w:pos="6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 effective interest rate excludes $0.9 million in quarterly financing fees and quarterly debt fee amortization on our revolving credit facility.</w:t>
      </w:r>
    </w:p>
    <w:p>
      <w:pPr>
        <w:sectPr>
          <w:pgSz w:w="11900" w:h="16838" w:orient="portrait"/>
          <w:cols w:equalWidth="0" w:num="1">
            <w:col w:w="11240"/>
          </w:cols>
          <w:pgMar w:left="320" w:top="704"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704"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00" w:type="dxa"/>
            <w:vAlign w:val="bottom"/>
          </w:tcPr>
          <w:p>
            <w:pPr>
              <w:spacing w:after="0"/>
              <w:rPr>
                <w:sz w:val="16"/>
                <w:szCs w:val="16"/>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220" w:type="dxa"/>
            <w:vAlign w:val="bottom"/>
          </w:tcPr>
          <w:p>
            <w:pPr>
              <w:spacing w:after="0"/>
              <w:rPr>
                <w:sz w:val="16"/>
                <w:szCs w:val="16"/>
                <w:color w:val="auto"/>
              </w:rPr>
            </w:pPr>
          </w:p>
        </w:tc>
        <w:tc>
          <w:tcPr>
            <w:tcW w:w="12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6"/>
                <w:szCs w:val="16"/>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c>
          <w:tcPr>
            <w:tcW w:w="0" w:type="dxa"/>
            <w:vAlign w:val="bottom"/>
          </w:tcPr>
          <w:p>
            <w:pPr>
              <w:spacing w:after="0"/>
              <w:rPr>
                <w:sz w:val="1"/>
                <w:szCs w:val="1"/>
                <w:color w:val="auto"/>
              </w:rPr>
            </w:pPr>
          </w:p>
        </w:tc>
      </w:tr>
      <w:tr>
        <w:trPr>
          <w:trHeight w:val="214"/>
        </w:trPr>
        <w:tc>
          <w:tcPr>
            <w:tcW w:w="19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2220" w:type="dxa"/>
            <w:vAlign w:val="bottom"/>
            <w:tcBorders>
              <w:bottom w:val="single" w:sz="8" w:color="auto"/>
            </w:tcBorders>
          </w:tcPr>
          <w:p>
            <w:pPr>
              <w:jc w:val="right"/>
              <w:ind w:right="1051"/>
              <w:spacing w:after="0"/>
              <w:rPr>
                <w:sz w:val="20"/>
                <w:szCs w:val="20"/>
                <w:color w:val="auto"/>
              </w:rPr>
            </w:pPr>
            <w:r>
              <w:rPr>
                <w:rFonts w:ascii="Times New Roman" w:cs="Times New Roman" w:eastAsia="Times New Roman" w:hAnsi="Times New Roman"/>
                <w:sz w:val="16"/>
                <w:szCs w:val="16"/>
                <w:b w:val="1"/>
                <w:bCs w:val="1"/>
                <w:color w:val="auto"/>
              </w:rPr>
              <w:t>(5)</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48,130</w:t>
            </w: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1,052,450</w:t>
            </w: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6"/>
                <w:szCs w:val="16"/>
                <w:color w:val="auto"/>
                <w:w w:val="96"/>
              </w:rPr>
              <w:t>(1)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1,055,581</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890,682</w:t>
            </w:r>
          </w:p>
        </w:tc>
        <w:tc>
          <w:tcPr>
            <w:tcW w:w="3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w w:val="96"/>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893,325</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6"/>
                <w:szCs w:val="16"/>
                <w:color w:val="auto"/>
                <w:w w:val="96"/>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352,511</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 xml:space="preserve">5.7 % </w:t>
            </w: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943,105</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945,434</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400,684</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20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1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15,189</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4,481,535</w:t>
            </w: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4,496,724</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(4)</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above table assumes all extension options are exercised.</w:t>
      </w:r>
    </w:p>
    <w:p>
      <w:pPr>
        <w:spacing w:after="0" w:line="10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$600.0 million term loan matures on April 16, 2025, plus one one-year extension at our option to April 16, 2026.</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$200.0 million mortgage loan secured by Bethesda Row matures on December 28, 2025 plus two one-year extensions, at our option to December 28, 2027.</w:t>
      </w:r>
    </w:p>
    <w:p>
      <w:pPr>
        <w:spacing w:after="0" w:line="72" w:lineRule="exact"/>
        <w:rPr>
          <w:rFonts w:ascii="Times New Roman" w:cs="Times New Roman" w:eastAsia="Times New Roman" w:hAnsi="Times New Roman"/>
          <w:sz w:val="16"/>
          <w:szCs w:val="16"/>
          <w:color w:val="auto"/>
        </w:rPr>
      </w:pPr>
    </w:p>
    <w:p>
      <w:pPr>
        <w:ind w:left="660" w:right="80" w:hanging="652"/>
        <w:spacing w:after="0" w:line="288"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$1.25 billion revolving credit facility matures on April 5, 2027, plus two six-month extensions at our option to April 5, 2028. As of December 31, 2024, there was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balance outstanding under this credit facility.</w:t>
      </w:r>
    </w:p>
    <w:p>
      <w:pPr>
        <w:spacing w:after="0" w:line="3" w:lineRule="exact"/>
        <w:rPr>
          <w:rFonts w:ascii="Times New Roman" w:cs="Times New Roman" w:eastAsia="Times New Roman" w:hAnsi="Times New Roman"/>
          <w:sz w:val="16"/>
          <w:szCs w:val="16"/>
          <w:color w:val="auto"/>
        </w:rPr>
      </w:pPr>
    </w:p>
    <w:p>
      <w:pPr>
        <w:ind w:left="660" w:right="60" w:hanging="652"/>
        <w:spacing w:after="0" w:line="272"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debt maturities differ from the total reported on the consolidated balance sheet due to the debt issuance costs and unamortized net premium/discount on certain mortgage loans, notes payable, and senior notes as of December 31, 2024. The weighted average remaining term on our mortgages payable, notes payable, and senior notes and debentures is approximately 6 years.</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reflects the weighted average interest rate on debt maturing in the respective year.</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excludes $0.9 million in quarterly financing fees and quarterly debt fee amortization on our $1.25 billion revolving credit facility.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22" w:right="339"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Summary of Redevelopment and Expansion Opportunities</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p>
      <w:pPr>
        <w:ind w:left="40"/>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The following redevelopment opportunities are actively being worked on by the Trust. (1)</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 POI Delivered (2)</w:t>
            </w:r>
          </w:p>
        </w:tc>
        <w:tc>
          <w:tcPr>
            <w:tcW w:w="0" w:type="dxa"/>
            <w:vAlign w:val="bottom"/>
          </w:tcPr>
          <w:p>
            <w:pPr>
              <w:spacing w:after="0"/>
              <w:rPr>
                <w:sz w:val="1"/>
                <w:szCs w:val="1"/>
                <w:color w:val="auto"/>
              </w:rPr>
            </w:pPr>
          </w:p>
        </w:tc>
      </w:tr>
      <w:tr>
        <w:trPr>
          <w:trHeight w:val="158"/>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9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60" w:type="dxa"/>
            <w:vAlign w:val="bottom"/>
          </w:tcPr>
          <w:p>
            <w:pPr>
              <w:jc w:val="right"/>
              <w:ind w:right="48"/>
              <w:spacing w:after="0" w:line="159"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7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7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Cost to</w:t>
            </w:r>
          </w:p>
        </w:tc>
        <w:tc>
          <w:tcPr>
            <w:tcW w:w="840" w:type="dxa"/>
            <w:vAlign w:val="bottom"/>
          </w:tcPr>
          <w:p>
            <w:pPr>
              <w:ind w:left="220"/>
              <w:spacing w:after="0" w:line="159" w:lineRule="exact"/>
              <w:rPr>
                <w:sz w:val="20"/>
                <w:szCs w:val="20"/>
                <w:color w:val="auto"/>
              </w:rPr>
            </w:pPr>
            <w:r>
              <w:rPr>
                <w:rFonts w:ascii="Times New Roman" w:cs="Times New Roman" w:eastAsia="Times New Roman" w:hAnsi="Times New Roman"/>
                <w:sz w:val="14"/>
                <w:szCs w:val="14"/>
                <w:b w:val="1"/>
                <w:bCs w:val="1"/>
                <w:color w:val="auto"/>
              </w:rPr>
              <w:t>Actual</w:t>
            </w:r>
          </w:p>
        </w:tc>
        <w:tc>
          <w:tcPr>
            <w:tcW w:w="980" w:type="dxa"/>
            <w:vAlign w:val="bottom"/>
          </w:tcPr>
          <w:p>
            <w:pPr>
              <w:ind w:left="200"/>
              <w:spacing w:after="0" w:line="159"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49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1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(as a % of Total)</w:t>
            </w: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Projects stabilized:</w:t>
            </w:r>
          </w:p>
        </w:tc>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80" w:type="dxa"/>
            <w:vAlign w:val="bottom"/>
            <w:tcBorders>
              <w:top w:val="single" w:sz="8" w:color="CCEEFF"/>
            </w:tcBorders>
          </w:tcPr>
          <w:p>
            <w:pPr>
              <w:spacing w:after="0" w:line="135" w:lineRule="exact"/>
              <w:rPr>
                <w:sz w:val="20"/>
                <w:szCs w:val="20"/>
                <w:color w:val="auto"/>
              </w:rPr>
            </w:pPr>
            <w:r>
              <w:rPr>
                <w:rFonts w:ascii="Times New Roman" w:cs="Times New Roman" w:eastAsia="Times New Roman" w:hAnsi="Times New Roman"/>
                <w:sz w:val="14"/>
                <w:szCs w:val="14"/>
                <w:color w:val="auto"/>
              </w:rPr>
              <w:t>Darien Commons</w:t>
            </w:r>
          </w:p>
        </w:tc>
        <w:tc>
          <w:tcPr>
            <w:tcW w:w="1100" w:type="dxa"/>
            <w:vAlign w:val="bottom"/>
            <w:tcBorders>
              <w:top w:val="single" w:sz="8" w:color="CCEEFF"/>
            </w:tcBorders>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Darien, CT</w:t>
            </w:r>
          </w:p>
        </w:tc>
        <w:tc>
          <w:tcPr>
            <w:tcW w:w="4900" w:type="dxa"/>
            <w:vAlign w:val="bottom"/>
            <w:tcBorders>
              <w:top w:val="single" w:sz="8" w:color="CCEEFF"/>
            </w:tcBorders>
          </w:tcPr>
          <w:p>
            <w:pPr>
              <w:ind w:left="80"/>
              <w:spacing w:after="0" w:line="135" w:lineRule="exact"/>
              <w:rPr>
                <w:sz w:val="20"/>
                <w:szCs w:val="20"/>
                <w:color w:val="auto"/>
              </w:rPr>
            </w:pPr>
            <w:r>
              <w:rPr>
                <w:rFonts w:ascii="Times New Roman" w:cs="Times New Roman" w:eastAsia="Times New Roman" w:hAnsi="Times New Roman"/>
                <w:sz w:val="14"/>
                <w:szCs w:val="14"/>
                <w:color w:val="auto"/>
              </w:rPr>
              <w:t>Demolition of a 45,000 square foot anchor space to construct 75,000 square feet of</w:t>
            </w:r>
          </w:p>
        </w:tc>
        <w:tc>
          <w:tcPr>
            <w:tcW w:w="760" w:type="dxa"/>
            <w:vAlign w:val="bottom"/>
            <w:tcBorders>
              <w:top w:val="single" w:sz="8" w:color="CCEEFF"/>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6 %</w:t>
            </w:r>
          </w:p>
        </w:tc>
        <w:tc>
          <w:tcPr>
            <w:tcW w:w="720" w:type="dxa"/>
            <w:vAlign w:val="bottom"/>
            <w:tcBorders>
              <w:top w:val="single" w:sz="8" w:color="CCEEFF"/>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$110 -</w:t>
            </w:r>
          </w:p>
        </w:tc>
        <w:tc>
          <w:tcPr>
            <w:tcW w:w="700" w:type="dxa"/>
            <w:vAlign w:val="bottom"/>
            <w:tcBorders>
              <w:top w:val="single" w:sz="8" w:color="CCEEFF"/>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$113</w:t>
            </w:r>
          </w:p>
        </w:tc>
        <w:tc>
          <w:tcPr>
            <w:tcW w:w="840" w:type="dxa"/>
            <w:vAlign w:val="bottom"/>
            <w:tcBorders>
              <w:top w:val="single" w:sz="8" w:color="CCEEFF"/>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85%</w:t>
            </w:r>
          </w:p>
        </w:tc>
        <w:tc>
          <w:tcPr>
            <w:tcW w:w="980" w:type="dxa"/>
            <w:vAlign w:val="bottom"/>
            <w:tcBorders>
              <w:top w:val="single" w:sz="8" w:color="CCEEFF"/>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new retail space, 122 rental apartments, and 720 parking spaces</w:t>
            </w: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Projects in process:</w:t>
            </w:r>
          </w:p>
        </w:tc>
        <w:tc>
          <w:tcPr>
            <w:tcW w:w="4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Santana West (3)</w:t>
            </w:r>
          </w:p>
        </w:tc>
        <w:tc>
          <w:tcPr>
            <w:tcW w:w="11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San Jose, CA</w:t>
            </w:r>
          </w:p>
        </w:tc>
        <w:tc>
          <w:tcPr>
            <w:tcW w:w="490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4"/>
                <w:szCs w:val="14"/>
                <w:color w:val="auto"/>
              </w:rPr>
              <w:t>Development of a 369,000 square foot office building. 241,000 square feet of</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 - 6%</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$325 -</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$266</w:t>
            </w:r>
          </w:p>
        </w:tc>
        <w:tc>
          <w:tcPr>
            <w:tcW w:w="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5% - 10%</w:t>
            </w: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office space leased</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Pike &amp; Rose - 915</w:t>
            </w:r>
          </w:p>
        </w:tc>
        <w:tc>
          <w:tcPr>
            <w:tcW w:w="1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North Bethesda,</w:t>
            </w:r>
          </w:p>
        </w:tc>
        <w:tc>
          <w:tcPr>
            <w:tcW w:w="490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Development of a 266,000 square foot office building with 10,000 square feet of</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6 %</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$180 -</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$168</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55%</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65% - 75%</w:t>
            </w:r>
          </w:p>
        </w:tc>
        <w:tc>
          <w:tcPr>
            <w:tcW w:w="0" w:type="dxa"/>
            <w:vAlign w:val="bottom"/>
          </w:tcPr>
          <w:p>
            <w:pPr>
              <w:spacing w:after="0"/>
              <w:rPr>
                <w:sz w:val="1"/>
                <w:szCs w:val="1"/>
                <w:color w:val="auto"/>
              </w:rPr>
            </w:pPr>
          </w:p>
        </w:tc>
      </w:tr>
      <w:tr>
        <w:trPr>
          <w:trHeight w:val="139"/>
        </w:trPr>
        <w:tc>
          <w:tcPr>
            <w:tcW w:w="11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Meeting Street (3)</w:t>
            </w:r>
          </w:p>
        </w:tc>
        <w:tc>
          <w:tcPr>
            <w:tcW w:w="11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MD</w:t>
            </w:r>
          </w:p>
        </w:tc>
        <w:tc>
          <w:tcPr>
            <w:tcW w:w="490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retail space. 220,000 square feet of office and 10,000 square feet of retail space</w:t>
            </w:r>
          </w:p>
        </w:tc>
        <w:tc>
          <w:tcPr>
            <w:tcW w:w="76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$190</w:t>
            </w: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leased.</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Bala Cynwyd on</w:t>
            </w:r>
          </w:p>
        </w:tc>
        <w:tc>
          <w:tcPr>
            <w:tcW w:w="11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Bala Cynwyd, PA</w:t>
            </w:r>
          </w:p>
        </w:tc>
        <w:tc>
          <w:tcPr>
            <w:tcW w:w="490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4"/>
                <w:szCs w:val="14"/>
                <w:color w:val="auto"/>
              </w:rPr>
              <w:t>Demolition of two level department store building to construct a new six story</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7 %</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$90 - $95</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$22</w:t>
            </w:r>
          </w:p>
        </w:tc>
        <w:tc>
          <w:tcPr>
            <w:tcW w:w="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1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City Avenue</w:t>
            </w: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90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4"/>
                <w:szCs w:val="14"/>
                <w:color w:val="auto"/>
              </w:rPr>
              <w:t>building with 217 residential units, 16,000 square feet of retail and a two-story</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parking structure with 234 parking stalls</w:t>
            </w:r>
          </w:p>
        </w:tc>
        <w:tc>
          <w:tcPr>
            <w:tcW w:w="7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Huntington</w:t>
            </w:r>
          </w:p>
        </w:tc>
        <w:tc>
          <w:tcPr>
            <w:tcW w:w="1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Huntington, NY</w:t>
            </w:r>
          </w:p>
        </w:tc>
        <w:tc>
          <w:tcPr>
            <w:tcW w:w="490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Demolition of the main two level building consisting of 161,000 square feet of</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8 %</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$80 - $85</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$77</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80%</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90% - 95%</w:t>
            </w:r>
          </w:p>
        </w:tc>
        <w:tc>
          <w:tcPr>
            <w:tcW w:w="0" w:type="dxa"/>
            <w:vAlign w:val="bottom"/>
          </w:tcPr>
          <w:p>
            <w:pPr>
              <w:spacing w:after="0"/>
              <w:rPr>
                <w:sz w:val="1"/>
                <w:szCs w:val="1"/>
                <w:color w:val="auto"/>
              </w:rPr>
            </w:pPr>
          </w:p>
        </w:tc>
      </w:tr>
      <w:tr>
        <w:trPr>
          <w:trHeight w:val="139"/>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90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anchor and small shop space to construct 102,000 square feet of new ground-level</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anchor and small shop retail space</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Hoboken - 301</w:t>
            </w:r>
          </w:p>
        </w:tc>
        <w:tc>
          <w:tcPr>
            <w:tcW w:w="11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Hoboken, NJ</w:t>
            </w:r>
          </w:p>
        </w:tc>
        <w:tc>
          <w:tcPr>
            <w:tcW w:w="490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4"/>
                <w:szCs w:val="14"/>
                <w:color w:val="auto"/>
              </w:rPr>
              <w:t>Development of a new 5 story, 45-unit residential building with 10,200 square feet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 - 7%</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$45 - $48</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$11</w:t>
            </w:r>
          </w:p>
        </w:tc>
        <w:tc>
          <w:tcPr>
            <w:tcW w:w="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Washington Street</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of ground floor retail space</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180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8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800" w:type="dxa"/>
            <w:vAlign w:val="bottom"/>
          </w:tcPr>
          <w:p>
            <w:pPr>
              <w:jc w:val="center"/>
              <w:ind w:right="868"/>
              <w:spacing w:after="0" w:line="149"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488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ROI (4)</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0" w:type="dxa"/>
            <w:vAlign w:val="bottom"/>
            <w:tcBorders>
              <w:bottom w:val="single" w:sz="8" w:color="auto"/>
            </w:tcBorders>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72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millions)</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Lawrence Park</w:t>
            </w:r>
          </w:p>
        </w:tc>
        <w:tc>
          <w:tcPr>
            <w:tcW w:w="116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Broomall, PA</w:t>
            </w:r>
          </w:p>
        </w:tc>
        <w:tc>
          <w:tcPr>
            <w:tcW w:w="488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Full shopping center redevelopment to include expansion of Main Line Health into</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8 %</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800" w:type="dxa"/>
            <w:vAlign w:val="bottom"/>
            <w:shd w:val="clear" w:color="auto" w:fill="CCEEFF"/>
          </w:tcPr>
          <w:p>
            <w:pPr>
              <w:jc w:val="center"/>
              <w:ind w:right="868"/>
              <w:spacing w:after="0" w:line="142" w:lineRule="exact"/>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880" w:type="dxa"/>
            <w:vAlign w:val="bottom"/>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vacant lower level space, creation of 17,800 square feet of small shop space</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8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converted from vacated anchor space, a new 2,000 square foot bank pad building,</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48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 a façade renovation for the entire center</w:t>
            </w:r>
          </w:p>
        </w:tc>
        <w:tc>
          <w:tcPr>
            <w:tcW w:w="7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Pike 7 Plaza</w:t>
            </w:r>
          </w:p>
        </w:tc>
        <w:tc>
          <w:tcPr>
            <w:tcW w:w="116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Vienna, VA</w:t>
            </w:r>
          </w:p>
        </w:tc>
        <w:tc>
          <w:tcPr>
            <w:tcW w:w="488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Development of a new 3,200 square foot pad building pre-leased to a restaurant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8 %</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w:t>
            </w:r>
          </w:p>
        </w:tc>
        <w:tc>
          <w:tcPr>
            <w:tcW w:w="1800" w:type="dxa"/>
            <w:vAlign w:val="bottom"/>
          </w:tcPr>
          <w:p>
            <w:pPr>
              <w:jc w:val="center"/>
              <w:ind w:right="868"/>
              <w:spacing w:after="0" w:line="135" w:lineRule="exact"/>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tenant</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Chelsea Commons</w:t>
            </w:r>
          </w:p>
        </w:tc>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Chelsea, MA</w:t>
            </w:r>
          </w:p>
        </w:tc>
        <w:tc>
          <w:tcPr>
            <w:tcW w:w="4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Development of a new 2,500 square foot pre-leased pad building with drive-thru</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0" w:type="dxa"/>
            <w:vAlign w:val="bottom"/>
            <w:shd w:val="clear" w:color="auto" w:fill="CCEEFF"/>
          </w:tcPr>
          <w:p>
            <w:pPr>
              <w:jc w:val="center"/>
              <w:ind w:right="868"/>
              <w:spacing w:after="0"/>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135"/>
        </w:trPr>
        <w:tc>
          <w:tcPr>
            <w:tcW w:w="11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Andorra</w:t>
            </w:r>
          </w:p>
        </w:tc>
        <w:tc>
          <w:tcPr>
            <w:tcW w:w="116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Philadelphia, PA</w:t>
            </w:r>
          </w:p>
        </w:tc>
        <w:tc>
          <w:tcPr>
            <w:tcW w:w="488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Demolition of 31,500 square feet of anchor and small shop spaces to construct a</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 - 8%</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$32</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w:t>
            </w:r>
          </w:p>
        </w:tc>
        <w:tc>
          <w:tcPr>
            <w:tcW w:w="1800" w:type="dxa"/>
            <w:vAlign w:val="bottom"/>
          </w:tcPr>
          <w:p>
            <w:pPr>
              <w:jc w:val="center"/>
              <w:ind w:right="888"/>
              <w:spacing w:after="0" w:line="135" w:lineRule="exact"/>
              <w:rPr>
                <w:sz w:val="20"/>
                <w:szCs w:val="20"/>
                <w:color w:val="auto"/>
              </w:rPr>
            </w:pPr>
            <w:r>
              <w:rPr>
                <w:rFonts w:ascii="Times New Roman" w:cs="Times New Roman" w:eastAsia="Times New Roman" w:hAnsi="Times New Roman"/>
                <w:sz w:val="14"/>
                <w:szCs w:val="14"/>
                <w:color w:val="auto"/>
                <w:w w:val="99"/>
              </w:rPr>
              <w:t>2026</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8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50,000 square foot turnkey building for a national grocer tenant and</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redevelopment of 27,000 square feet of vacant small shop space at the north end of</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8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the property to construct 10,400 square feet of small shop, and a 10,000 square</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foot anchor tenant</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Willow Grove</w:t>
            </w:r>
          </w:p>
        </w:tc>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Willow Grove, PA</w:t>
            </w:r>
          </w:p>
        </w:tc>
        <w:tc>
          <w:tcPr>
            <w:tcW w:w="4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Development of a new 17,000 square foot multi-tenant pad building</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800" w:type="dxa"/>
            <w:vAlign w:val="bottom"/>
            <w:shd w:val="clear" w:color="auto" w:fill="CCEEFF"/>
          </w:tcPr>
          <w:p>
            <w:pPr>
              <w:jc w:val="center"/>
              <w:ind w:right="888"/>
              <w:spacing w:after="0"/>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Santana Row</w:t>
            </w:r>
          </w:p>
        </w:tc>
        <w:tc>
          <w:tcPr>
            <w:tcW w:w="1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San Jose, CA</w:t>
            </w:r>
          </w:p>
        </w:tc>
        <w:tc>
          <w:tcPr>
            <w:tcW w:w="4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Installation and implementation of paid parking system</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0" w:type="dxa"/>
            <w:vAlign w:val="bottom"/>
          </w:tcPr>
          <w:p>
            <w:pPr>
              <w:jc w:val="center"/>
              <w:ind w:right="888"/>
              <w:spacing w:after="0"/>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142"/>
        </w:trPr>
        <w:tc>
          <w:tcPr>
            <w:tcW w:w="1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Mercer on One</w:t>
            </w:r>
          </w:p>
        </w:tc>
        <w:tc>
          <w:tcPr>
            <w:tcW w:w="116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Lawrenceville, NJ</w:t>
            </w:r>
          </w:p>
        </w:tc>
        <w:tc>
          <w:tcPr>
            <w:tcW w:w="488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Construction of a 2,225 square foot pad building with drive-thru for a restaurant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8 %</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800" w:type="dxa"/>
            <w:vAlign w:val="bottom"/>
            <w:shd w:val="clear" w:color="auto" w:fill="CCEEFF"/>
          </w:tcPr>
          <w:p>
            <w:pPr>
              <w:jc w:val="center"/>
              <w:ind w:right="888"/>
              <w:spacing w:after="0" w:line="142" w:lineRule="exact"/>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tenant</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spacing w:after="0"/>
              <w:rPr>
                <w:sz w:val="12"/>
                <w:szCs w:val="12"/>
                <w:color w:val="auto"/>
              </w:rPr>
            </w:pPr>
          </w:p>
        </w:tc>
        <w:tc>
          <w:tcPr>
            <w:tcW w:w="4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Active Property Improvement Projects</w:t>
            </w:r>
          </w:p>
        </w:tc>
        <w:tc>
          <w:tcPr>
            <w:tcW w:w="488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color w:val="auto"/>
              </w:rPr>
              <w:t>Ongoing improvements at 10 properties to better position those properties to</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8% - 13%</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$70</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$49</w:t>
            </w:r>
          </w:p>
        </w:tc>
        <w:tc>
          <w:tcPr>
            <w:tcW w:w="1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w:t>
            </w:r>
          </w:p>
        </w:tc>
        <w:tc>
          <w:tcPr>
            <w:tcW w:w="1160" w:type="dxa"/>
            <w:vAlign w:val="bottom"/>
            <w:shd w:val="clear" w:color="auto" w:fill="CCEEFF"/>
          </w:tcPr>
          <w:p>
            <w:pPr>
              <w:spacing w:after="0"/>
              <w:rPr>
                <w:sz w:val="17"/>
                <w:szCs w:val="17"/>
                <w:color w:val="auto"/>
              </w:rPr>
            </w:pPr>
          </w:p>
        </w:tc>
        <w:tc>
          <w:tcPr>
            <w:tcW w:w="4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capture a disproportionate amount of retail demand</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7" w:lineRule="exact"/>
        <w:rPr>
          <w:sz w:val="20"/>
          <w:szCs w:val="20"/>
          <w:color w:val="auto"/>
        </w:rPr>
      </w:pPr>
    </w:p>
    <w:p>
      <w:pPr>
        <w:ind w:left="260" w:right="20" w:hanging="252"/>
        <w:spacing w:after="0" w:line="263" w:lineRule="auto"/>
        <w:tabs>
          <w:tab w:leader="none" w:pos="25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 w:lineRule="exact"/>
        <w:rPr>
          <w:rFonts w:ascii="Times New Roman" w:cs="Times New Roman" w:eastAsia="Times New Roman" w:hAnsi="Times New Roman"/>
          <w:sz w:val="13"/>
          <w:szCs w:val="13"/>
          <w:color w:val="auto"/>
        </w:rPr>
      </w:pPr>
    </w:p>
    <w:p>
      <w:pPr>
        <w:ind w:left="260" w:hanging="252"/>
        <w:spacing w:after="0" w:line="260" w:lineRule="auto"/>
        <w:tabs>
          <w:tab w:leader="none" w:pos="25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mixed-use redevelopment/expansion projects reflects the unleveraged Property Operating Income (POI) generated by the project and is calculated as POI divided by cost. Projected POI delivered includes straight line rent.</w:t>
      </w:r>
    </w:p>
    <w:p>
      <w:pPr>
        <w:ind w:left="260" w:hanging="252"/>
        <w:spacing w:after="0"/>
        <w:tabs>
          <w:tab w:leader="none" w:pos="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costs for Pike &amp; Rose include an allocation of infrastructure costs for the entire project. Santana West includes an allocation of infrastructure for the Santana West site.</w:t>
      </w:r>
    </w:p>
    <w:p>
      <w:pPr>
        <w:spacing w:after="0" w:line="12" w:lineRule="exact"/>
        <w:rPr>
          <w:rFonts w:ascii="Times New Roman" w:cs="Times New Roman" w:eastAsia="Times New Roman" w:hAnsi="Times New Roman"/>
          <w:sz w:val="13"/>
          <w:szCs w:val="13"/>
          <w:color w:val="auto"/>
        </w:rPr>
      </w:pPr>
    </w:p>
    <w:p>
      <w:pPr>
        <w:ind w:left="260" w:right="40" w:hanging="252"/>
        <w:spacing w:after="0" w:line="260" w:lineRule="auto"/>
        <w:tabs>
          <w:tab w:leader="none" w:pos="25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ind w:left="260" w:hanging="252"/>
        <w:spacing w:after="0"/>
        <w:tabs>
          <w:tab w:leader="none" w:pos="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Stabilization is generally the year in which 90% physical occupancy of the redeveloped space is achieved. Economic stabilization may occur at a later point in time.</w:t>
      </w:r>
    </w:p>
    <w:p>
      <w:pPr>
        <w:spacing w:after="0" w:line="12" w:lineRule="exact"/>
        <w:rPr>
          <w:rFonts w:ascii="Times New Roman" w:cs="Times New Roman" w:eastAsia="Times New Roman" w:hAnsi="Times New Roman"/>
          <w:sz w:val="13"/>
          <w:szCs w:val="13"/>
          <w:color w:val="auto"/>
        </w:rPr>
      </w:pPr>
    </w:p>
    <w:p>
      <w:pPr>
        <w:ind w:left="260" w:right="40" w:hanging="252"/>
        <w:spacing w:after="0" w:line="266" w:lineRule="auto"/>
        <w:tabs>
          <w:tab w:leader="none" w:pos="25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704"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7"/>
          <w:szCs w:val="17"/>
          <w:b w:val="1"/>
          <w:bCs w:val="1"/>
          <w:color w:val="auto"/>
        </w:rPr>
        <w:t>Federal Realty Investment Trust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Future Redevelopment and Expansion Opportunities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89" w:lineRule="exact"/>
        <w:rPr>
          <w:sz w:val="20"/>
          <w:szCs w:val="20"/>
          <w:color w:val="auto"/>
        </w:rPr>
      </w:pPr>
    </w:p>
    <w:p>
      <w:pPr>
        <w:ind w:left="20" w:right="260"/>
        <w:spacing w:after="0" w:line="22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w:t>
      </w:r>
    </w:p>
    <w:p>
      <w:pPr>
        <w:spacing w:after="0" w:line="1" w:lineRule="exact"/>
        <w:rPr>
          <w:sz w:val="20"/>
          <w:szCs w:val="20"/>
          <w:color w:val="auto"/>
        </w:rPr>
      </w:pPr>
    </w:p>
    <w:p>
      <w:pPr>
        <w:ind w:left="20" w:right="60"/>
        <w:spacing w:after="0" w:line="233" w:lineRule="auto"/>
        <w:rPr>
          <w:sz w:val="20"/>
          <w:szCs w:val="20"/>
          <w:color w:val="auto"/>
        </w:rPr>
      </w:pPr>
      <w:r>
        <w:rPr>
          <w:rFonts w:ascii="Times New Roman" w:cs="Times New Roman" w:eastAsia="Times New Roman" w:hAnsi="Times New Roman"/>
          <w:sz w:val="17"/>
          <w:szCs w:val="17"/>
          <w:b w:val="1"/>
          <w:bCs w:val="1"/>
          <w:i w:val="1"/>
          <w:iCs w:val="1"/>
          <w:color w:val="auto"/>
        </w:rPr>
        <w:t>This list will change from time to time as we identify hurdles that cannot be overcome in the near term, and focus on those opportunities that are most likely to lead to the creation of shareholder value over time.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shd w:val="clear" w:color="auto" w:fill="DBDBDB"/>
          </w:tcPr>
          <w:p>
            <w:pPr>
              <w:spacing w:after="0"/>
              <w:rPr>
                <w:sz w:val="19"/>
                <w:szCs w:val="19"/>
                <w:color w:val="auto"/>
              </w:rPr>
            </w:pPr>
          </w:p>
        </w:tc>
        <w:tc>
          <w:tcPr>
            <w:tcW w:w="230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7"/>
                <w:szCs w:val="17"/>
                <w:b w:val="1"/>
                <w:bCs w:val="1"/>
                <w:color w:val="auto"/>
              </w:rPr>
              <w:t>Redevelopment Opportunities</w:t>
            </w:r>
          </w:p>
        </w:tc>
        <w:tc>
          <w:tcPr>
            <w:tcW w:w="2140" w:type="dxa"/>
            <w:vAlign w:val="bottom"/>
            <w:tcBorders>
              <w:bottom w:val="single" w:sz="8" w:color="auto"/>
            </w:tcBorders>
            <w:shd w:val="clear" w:color="auto" w:fill="DBDBDB"/>
          </w:tcPr>
          <w:p>
            <w:pPr>
              <w:spacing w:after="0"/>
              <w:rPr>
                <w:sz w:val="19"/>
                <w:szCs w:val="19"/>
                <w:color w:val="auto"/>
              </w:rPr>
            </w:pPr>
          </w:p>
        </w:tc>
      </w:tr>
      <w:tr>
        <w:trPr>
          <w:trHeight w:val="221"/>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216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7"/>
                <w:szCs w:val="17"/>
                <w:b w:val="1"/>
                <w:bCs w:val="1"/>
                <w:color w:val="auto"/>
              </w:rPr>
              <w:t>Expansion/Conversion (4)</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Residential (5)</w:t>
            </w:r>
          </w:p>
        </w:tc>
        <w:tc>
          <w:tcPr>
            <w:tcW w:w="21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rPr>
              <w:t>Mixed Use - Long Term</w:t>
            </w:r>
          </w:p>
        </w:tc>
      </w:tr>
      <w:tr>
        <w:trPr>
          <w:trHeight w:val="217"/>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Assembly Row (1)</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Somerville, MA</w:t>
            </w:r>
          </w:p>
        </w:tc>
        <w:tc>
          <w:tcPr>
            <w:tcW w:w="2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40" w:type="dxa"/>
            <w:vAlign w:val="bottom"/>
          </w:tcPr>
          <w:p>
            <w:pPr>
              <w:jc w:val="center"/>
              <w:ind w:right="195"/>
              <w:spacing w:after="0"/>
              <w:rPr>
                <w:sz w:val="20"/>
                <w:szCs w:val="20"/>
                <w:color w:val="auto"/>
              </w:rPr>
            </w:pPr>
            <w:r>
              <w:rPr>
                <w:rFonts w:ascii="Wingdings" w:cs="Wingdings" w:eastAsia="Wingdings" w:hAnsi="Wingdings"/>
                <w:sz w:val="17"/>
                <w:szCs w:val="17"/>
                <w:b w:val="1"/>
                <w:bCs w:val="1"/>
                <w:color w:val="auto"/>
                <w:highlight w:val="black"/>
              </w:rPr>
              <w:t>ü</w:t>
            </w:r>
          </w:p>
        </w:tc>
      </w:tr>
      <w:tr>
        <w:trPr>
          <w:trHeight w:val="21"/>
        </w:trPr>
        <w:tc>
          <w:tcPr>
            <w:tcW w:w="2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 Cynwyd on City Avenue</w:t>
            </w:r>
          </w:p>
        </w:tc>
        <w:tc>
          <w:tcPr>
            <w:tcW w:w="2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Bala Cynwyd, PA</w:t>
            </w:r>
          </w:p>
        </w:tc>
        <w:tc>
          <w:tcPr>
            <w:tcW w:w="2160" w:type="dxa"/>
            <w:vAlign w:val="bottom"/>
            <w:tcBorders>
              <w:bottom w:val="single" w:sz="8" w:color="CCEEFF"/>
            </w:tcBorders>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Borders>
              <w:bottom w:val="single" w:sz="8" w:color="CCEEFF"/>
            </w:tcBorders>
            <w:shd w:val="clear" w:color="auto" w:fill="CCEEFF"/>
          </w:tcPr>
          <w:p>
            <w:pPr>
              <w:spacing w:after="0"/>
              <w:rPr>
                <w:sz w:val="19"/>
                <w:szCs w:val="19"/>
                <w:color w:val="auto"/>
              </w:rPr>
            </w:pPr>
          </w:p>
        </w:tc>
      </w:tr>
      <w:tr>
        <w:trPr>
          <w:trHeight w:val="222"/>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Barracks Road</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Charlottesville, VA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1"/>
        </w:trPr>
        <w:tc>
          <w:tcPr>
            <w:tcW w:w="2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Bethesda Row</w:t>
            </w:r>
          </w:p>
        </w:tc>
        <w:tc>
          <w:tcPr>
            <w:tcW w:w="2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Bethesda, MD</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19"/>
                <w:szCs w:val="19"/>
                <w:color w:val="auto"/>
              </w:rPr>
            </w:pP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Camelback Colonnade</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Phoenix, AZ</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Chelsea Commons</w:t>
            </w:r>
          </w:p>
        </w:tc>
        <w:tc>
          <w:tcPr>
            <w:tcW w:w="2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Chelsea, MA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Dedham Plaza</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Dedham, MA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Escondido Promenade</w:t>
            </w:r>
          </w:p>
        </w:tc>
        <w:tc>
          <w:tcPr>
            <w:tcW w:w="2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Escondido, CA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Fairfax Junction</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Fairfax, VA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Plaza</w:t>
            </w:r>
          </w:p>
        </w:tc>
        <w:tc>
          <w:tcPr>
            <w:tcW w:w="2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Rockville, MD</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Fresh Meadows</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Queens, NY</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Friendship Center</w:t>
            </w:r>
          </w:p>
        </w:tc>
        <w:tc>
          <w:tcPr>
            <w:tcW w:w="2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Washington, DC</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Grossmont Center</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La Mesa, CA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Huntington</w:t>
            </w:r>
          </w:p>
        </w:tc>
        <w:tc>
          <w:tcPr>
            <w:tcW w:w="2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Huntington, NY</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Huntington Square</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East Northport, NY</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Pike &amp; Rose (2)</w:t>
            </w:r>
          </w:p>
        </w:tc>
        <w:tc>
          <w:tcPr>
            <w:tcW w:w="2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North Bethesda, MD</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jc w:val="center"/>
              <w:ind w:right="195"/>
              <w:spacing w:after="0"/>
              <w:rPr>
                <w:sz w:val="20"/>
                <w:szCs w:val="20"/>
                <w:color w:val="auto"/>
              </w:rPr>
            </w:pPr>
            <w:r>
              <w:rPr>
                <w:rFonts w:ascii="Wingdings" w:cs="Wingdings" w:eastAsia="Wingdings" w:hAnsi="Wingdings"/>
                <w:sz w:val="17"/>
                <w:szCs w:val="17"/>
                <w:b w:val="1"/>
                <w:bCs w:val="1"/>
                <w:color w:val="auto"/>
                <w:highlight w:val="black"/>
              </w:rPr>
              <w:t>ü</w:t>
            </w: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Pike 7 Plaza</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Vienna, VA</w:t>
            </w:r>
          </w:p>
        </w:tc>
        <w:tc>
          <w:tcPr>
            <w:tcW w:w="21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40" w:type="dxa"/>
            <w:vAlign w:val="bottom"/>
          </w:tcPr>
          <w:p>
            <w:pPr>
              <w:jc w:val="center"/>
              <w:ind w:right="195"/>
              <w:spacing w:after="0"/>
              <w:rPr>
                <w:sz w:val="20"/>
                <w:szCs w:val="20"/>
                <w:color w:val="auto"/>
              </w:rPr>
            </w:pPr>
            <w:r>
              <w:rPr>
                <w:rFonts w:ascii="Wingdings" w:cs="Wingdings" w:eastAsia="Wingdings" w:hAnsi="Wingdings"/>
                <w:sz w:val="17"/>
                <w:szCs w:val="17"/>
                <w:b w:val="1"/>
                <w:bCs w:val="1"/>
                <w:color w:val="auto"/>
                <w:highlight w:val="black"/>
              </w:rPr>
              <w:t>ü</w:t>
            </w:r>
          </w:p>
        </w:tc>
      </w:tr>
      <w:tr>
        <w:trPr>
          <w:trHeight w:val="23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Providence Place (formerly Pan Am)</w:t>
            </w:r>
          </w:p>
        </w:tc>
        <w:tc>
          <w:tcPr>
            <w:tcW w:w="2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Fairfax, VA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Riverpoint Center</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Chicago, IL</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Santana Row (3)</w:t>
            </w:r>
          </w:p>
        </w:tc>
        <w:tc>
          <w:tcPr>
            <w:tcW w:w="2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San Jose, CA</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jc w:val="center"/>
              <w:ind w:right="195"/>
              <w:spacing w:after="0"/>
              <w:rPr>
                <w:sz w:val="20"/>
                <w:szCs w:val="20"/>
                <w:color w:val="auto"/>
              </w:rPr>
            </w:pPr>
            <w:r>
              <w:rPr>
                <w:rFonts w:ascii="Wingdings" w:cs="Wingdings" w:eastAsia="Wingdings" w:hAnsi="Wingdings"/>
                <w:sz w:val="17"/>
                <w:szCs w:val="17"/>
                <w:b w:val="1"/>
                <w:bCs w:val="1"/>
                <w:color w:val="auto"/>
                <w:highlight w:val="black"/>
              </w:rPr>
              <w:t>ü</w:t>
            </w: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Shops at Pembroke Gardens</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Pembroke Pines, FL</w:t>
            </w:r>
          </w:p>
        </w:tc>
        <w:tc>
          <w:tcPr>
            <w:tcW w:w="2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AVENUE at White Marsh</w:t>
            </w:r>
          </w:p>
        </w:tc>
        <w:tc>
          <w:tcPr>
            <w:tcW w:w="2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White Marsh, MD</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Village at Shirlington</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Arlington, VA</w:t>
            </w:r>
          </w:p>
        </w:tc>
        <w:tc>
          <w:tcPr>
            <w:tcW w:w="2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 Gateway</w:t>
            </w:r>
          </w:p>
        </w:tc>
        <w:tc>
          <w:tcPr>
            <w:tcW w:w="2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Gainesville, VA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Willow Grove</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Willow Grove, PA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Willow Lawn</w:t>
            </w:r>
          </w:p>
        </w:tc>
        <w:tc>
          <w:tcPr>
            <w:tcW w:w="2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Richmond, VA</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132"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entitlements at Assembly Row include approximately 1.5 million square feet of commercial-use buildings and 326 residential units.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entitlements at Pike &amp; Rose include approximately 530,000 square feet of commercial-use buildings and 741 residential units.</w:t>
      </w:r>
    </w:p>
    <w:p>
      <w:pPr>
        <w:spacing w:after="0" w:line="9" w:lineRule="exact"/>
        <w:rPr>
          <w:rFonts w:ascii="Times New Roman" w:cs="Times New Roman" w:eastAsia="Times New Roman" w:hAnsi="Times New Roman"/>
          <w:sz w:val="18"/>
          <w:szCs w:val="18"/>
          <w:color w:val="auto"/>
        </w:rPr>
      </w:pPr>
    </w:p>
    <w:p>
      <w:pPr>
        <w:ind w:left="660" w:right="440" w:hanging="652"/>
        <w:spacing w:after="0" w:line="250"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entitlements at Santana Row include approximately 321,000 square feet of commercial space and 395 residential units, as well as approximately 604,000 square feet of commercial space across from Santana Row.</w:t>
      </w:r>
    </w:p>
    <w:p>
      <w:pPr>
        <w:ind w:left="660" w:right="60" w:hanging="652"/>
        <w:spacing w:after="0" w:line="265" w:lineRule="auto"/>
        <w:tabs>
          <w:tab w:leader="none" w:pos="65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includes opportunities to add residential units to existing retail and mixed-use properties.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937" w:right="35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Significant Transactions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Property Acquisitions</w:t>
            </w: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342"/>
        </w:trPr>
        <w:tc>
          <w:tcPr>
            <w:tcW w:w="1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40" w:type="dxa"/>
            <w:vAlign w:val="bottom"/>
            <w:gridSpan w:val="2"/>
          </w:tcPr>
          <w:p>
            <w:pPr>
              <w:spacing w:after="0"/>
              <w:rPr>
                <w:sz w:val="24"/>
                <w:szCs w:val="24"/>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GLA</w:t>
            </w:r>
          </w:p>
        </w:tc>
        <w:tc>
          <w:tcPr>
            <w:tcW w:w="1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232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Principal Tenants</w:t>
            </w:r>
          </w:p>
        </w:tc>
      </w:tr>
      <w:tr>
        <w:trPr>
          <w:trHeight w:val="211"/>
        </w:trPr>
        <w:tc>
          <w:tcPr>
            <w:tcW w:w="15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 square feet)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r>
      <w:tr>
        <w:trPr>
          <w:trHeight w:val="164"/>
        </w:trPr>
        <w:tc>
          <w:tcPr>
            <w:tcW w:w="1760" w:type="dxa"/>
            <w:vAlign w:val="bottom"/>
            <w:gridSpan w:val="3"/>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May 31, 2024</w:t>
            </w:r>
          </w:p>
        </w:tc>
        <w:tc>
          <w:tcPr>
            <w:tcW w:w="20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Virginia Gateway</w:t>
            </w:r>
          </w:p>
        </w:tc>
        <w:tc>
          <w:tcPr>
            <w:tcW w:w="21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Gainesville, Virginia</w:t>
            </w:r>
          </w:p>
        </w:tc>
        <w:tc>
          <w:tcPr>
            <w:tcW w:w="13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664,000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215.0</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Giant Food / HomeGoods / Total</w:t>
            </w:r>
          </w:p>
        </w:tc>
      </w:tr>
      <w:tr>
        <w:trPr>
          <w:trHeight w:val="216"/>
        </w:trPr>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Wine &amp; More / Best Buy / Ulta</w:t>
            </w:r>
          </w:p>
        </w:tc>
      </w:tr>
      <w:tr>
        <w:trPr>
          <w:trHeight w:val="162"/>
        </w:trPr>
        <w:tc>
          <w:tcPr>
            <w:tcW w:w="17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July 31, 2024</w:t>
            </w:r>
          </w:p>
        </w:tc>
        <w:tc>
          <w:tcPr>
            <w:tcW w:w="20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Pinole Vista Crossing</w:t>
            </w:r>
          </w:p>
        </w:tc>
        <w:tc>
          <w:tcPr>
            <w:tcW w:w="21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Pinole, California</w:t>
            </w: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216,000</w:t>
            </w:r>
          </w:p>
        </w:tc>
        <w:tc>
          <w:tcPr>
            <w:tcW w:w="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60.0</w:t>
            </w:r>
          </w:p>
        </w:tc>
        <w:tc>
          <w:tcPr>
            <w:tcW w:w="80" w:type="dxa"/>
            <w:vAlign w:val="bottom"/>
          </w:tcPr>
          <w:p>
            <w:pPr>
              <w:spacing w:after="0"/>
              <w:rPr>
                <w:sz w:val="14"/>
                <w:szCs w:val="14"/>
                <w:color w:val="auto"/>
              </w:rPr>
            </w:pPr>
          </w:p>
        </w:tc>
        <w:tc>
          <w:tcPr>
            <w:tcW w:w="2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FoodMaxx / TJ Maxx / Nordstrom</w:t>
            </w:r>
          </w:p>
        </w:tc>
      </w:tr>
      <w:tr>
        <w:trPr>
          <w:trHeight w:val="210"/>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Rack / HomeGoods / Ulta</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Other Investment Transaction</w:t>
      </w:r>
    </w:p>
    <w:p>
      <w:pPr>
        <w:spacing w:after="0" w:line="183" w:lineRule="exact"/>
        <w:rPr>
          <w:sz w:val="20"/>
          <w:szCs w:val="20"/>
          <w:color w:val="auto"/>
        </w:rPr>
      </w:pPr>
    </w:p>
    <w:p>
      <w:pPr>
        <w:jc w:val="both"/>
        <w:ind w:right="40"/>
        <w:spacing w:after="0" w:line="280" w:lineRule="auto"/>
        <w:rPr>
          <w:sz w:val="20"/>
          <w:szCs w:val="20"/>
          <w:color w:val="auto"/>
        </w:rPr>
      </w:pPr>
      <w:r>
        <w:rPr>
          <w:rFonts w:ascii="Times New Roman" w:cs="Times New Roman" w:eastAsia="Times New Roman" w:hAnsi="Times New Roman"/>
          <w:sz w:val="16"/>
          <w:szCs w:val="16"/>
          <w:color w:val="auto"/>
        </w:rPr>
        <w:t>On April 1, 2024, we acquired the approximately 10% noncontrolling interest in the partnership that owns our CocoWalk property for $12.4 million, bringing our ownership to 100%.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Property Dispositions</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342"/>
        </w:trPr>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80" w:type="dxa"/>
            <w:vAlign w:val="bottom"/>
            <w:gridSpan w:val="2"/>
          </w:tcPr>
          <w:p>
            <w:pPr>
              <w:spacing w:after="0"/>
              <w:rPr>
                <w:sz w:val="24"/>
                <w:szCs w:val="24"/>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180" w:type="dxa"/>
            <w:vAlign w:val="bottom"/>
          </w:tcPr>
          <w:p>
            <w:pPr>
              <w:spacing w:after="0"/>
              <w:rPr>
                <w:sz w:val="24"/>
                <w:szCs w:val="24"/>
                <w:color w:val="auto"/>
              </w:rPr>
            </w:pPr>
          </w:p>
        </w:tc>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Sales Price</w:t>
            </w:r>
          </w:p>
        </w:tc>
      </w:tr>
      <w:tr>
        <w:trPr>
          <w:trHeight w:val="211"/>
        </w:trPr>
        <w:tc>
          <w:tcPr>
            <w:tcW w:w="15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80" w:type="dxa"/>
            <w:vAlign w:val="bottom"/>
          </w:tcPr>
          <w:p>
            <w:pPr>
              <w:spacing w:after="0"/>
              <w:rPr>
                <w:sz w:val="18"/>
                <w:szCs w:val="18"/>
                <w:color w:val="auto"/>
              </w:rPr>
            </w:pP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5, 2024</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Street Promenade</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 Monica, California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080" w:type="dxa"/>
            <w:vAlign w:val="bottom"/>
            <w:shd w:val="clear" w:color="auto" w:fill="CCEEFF"/>
          </w:tcPr>
          <w:p>
            <w:pPr>
              <w:spacing w:after="0"/>
              <w:rPr>
                <w:sz w:val="18"/>
                <w:szCs w:val="18"/>
                <w:color w:val="auto"/>
              </w:rPr>
            </w:pP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White Marsh Other (portion)</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Baltimore, Maryland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80" w:type="dxa"/>
            <w:vAlign w:val="bottom"/>
          </w:tcPr>
          <w:p>
            <w:pPr>
              <w:spacing w:after="0"/>
              <w:rPr>
                <w:sz w:val="18"/>
                <w:szCs w:val="18"/>
                <w:color w:val="auto"/>
              </w:rPr>
            </w:pPr>
          </w:p>
        </w:tc>
      </w:tr>
      <w:tr>
        <w:trPr>
          <w:trHeight w:val="219"/>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7, 2025</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White Marsh Other (portion)</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Baltimore, Maryland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Financing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Issuance of Common Shares</w:t>
      </w:r>
    </w:p>
    <w:p>
      <w:pPr>
        <w:spacing w:after="0" w:line="102" w:lineRule="exact"/>
        <w:rPr>
          <w:sz w:val="20"/>
          <w:szCs w:val="20"/>
          <w:color w:val="auto"/>
        </w:rPr>
      </w:pPr>
    </w:p>
    <w:p>
      <w:pPr>
        <w:jc w:val="both"/>
        <w:ind w:right="440"/>
        <w:spacing w:after="0" w:line="272" w:lineRule="auto"/>
        <w:rPr>
          <w:sz w:val="20"/>
          <w:szCs w:val="20"/>
          <w:color w:val="auto"/>
        </w:rPr>
      </w:pPr>
      <w:r>
        <w:rPr>
          <w:rFonts w:ascii="Times New Roman" w:cs="Times New Roman" w:eastAsia="Times New Roman" w:hAnsi="Times New Roman"/>
          <w:sz w:val="16"/>
          <w:szCs w:val="16"/>
          <w:color w:val="auto"/>
        </w:rPr>
        <w:t>During the year ended December 31, 2024, we issued 2,769,579 common shares at a weighted average gross offering price of $110.92. During the three months ended December 31, 2024, we entered into forward sales contracts for 476,497 common shares under our ATM equity program at a weighted average gross offering price of $115.43.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Issuance of Debt</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27"/>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Issuance Date</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Stated Interest Rate</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Date</w:t>
            </w:r>
          </w:p>
        </w:tc>
      </w:tr>
      <w:tr>
        <w:trPr>
          <w:trHeight w:val="211"/>
        </w:trPr>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11, 2024</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3.25% Exchangeable Senior Notes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8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January 15, 2029</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See our Form 8-K filing on January 11, 2024 and Note 5 of our December 31, 2024 Annual Report on Form 10-K for additional information on this transaction.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Repayment of Debt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senior unsecured note was repaid at maturity: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Repayment Date</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200" w:type="dxa"/>
            <w:vAlign w:val="bottom"/>
          </w:tcPr>
          <w:p>
            <w:pPr>
              <w:spacing w:after="0"/>
              <w:rPr>
                <w:sz w:val="18"/>
                <w:szCs w:val="18"/>
                <w:color w:val="auto"/>
              </w:rPr>
            </w:pPr>
          </w:p>
        </w:tc>
        <w:tc>
          <w:tcPr>
            <w:tcW w:w="6260" w:type="dxa"/>
            <w:vAlign w:val="bottom"/>
            <w:gridSpan w:val="2"/>
          </w:tcPr>
          <w:p>
            <w:pPr>
              <w:jc w:val="center"/>
              <w:ind w:right="5000"/>
              <w:spacing w:after="0"/>
              <w:rPr>
                <w:sz w:val="20"/>
                <w:szCs w:val="20"/>
                <w:color w:val="auto"/>
              </w:rPr>
            </w:pPr>
            <w:r>
              <w:rPr>
                <w:rFonts w:ascii="Times New Roman" w:cs="Times New Roman" w:eastAsia="Times New Roman" w:hAnsi="Times New Roman"/>
                <w:sz w:val="16"/>
                <w:szCs w:val="16"/>
                <w:b w:val="1"/>
                <w:bCs w:val="1"/>
                <w:color w:val="auto"/>
              </w:rPr>
              <w:t>Payoff Amount</w:t>
            </w:r>
          </w:p>
        </w:tc>
      </w:tr>
      <w:tr>
        <w:trPr>
          <w:trHeight w:val="211"/>
        </w:trPr>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800" w:type="dxa"/>
            <w:vAlign w:val="bottom"/>
          </w:tcPr>
          <w:p>
            <w:pPr>
              <w:spacing w:after="0"/>
              <w:rPr>
                <w:sz w:val="18"/>
                <w:szCs w:val="18"/>
                <w:color w:val="auto"/>
              </w:rPr>
            </w:pPr>
          </w:p>
        </w:tc>
      </w:tr>
      <w:tr>
        <w:trPr>
          <w:trHeight w:val="218"/>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16, 2024</w:t>
            </w: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3.95% Senior Notes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48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860"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1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880" w:type="dxa"/>
            <w:vAlign w:val="bottom"/>
            <w:vMerge w:val="continue"/>
          </w:tcPr>
          <w:p>
            <w:pPr>
              <w:spacing w:after="0"/>
              <w:rPr>
                <w:sz w:val="10"/>
                <w:szCs w:val="10"/>
                <w:color w:val="auto"/>
              </w:rPr>
            </w:pPr>
          </w:p>
        </w:tc>
        <w:tc>
          <w:tcPr>
            <w:tcW w:w="5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b w:val="1"/>
                <w:bCs w:val="1"/>
                <w:color w:val="auto"/>
              </w:rPr>
              <w:t>Rent</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16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Acreage</w:t>
            </w: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GLA (1)</w:t>
            </w: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(1)</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Occupied(1)</w:t>
            </w: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PSF (2)</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Grocery Anchor (3)</w:t>
            </w:r>
          </w:p>
        </w:tc>
        <w:tc>
          <w:tcPr>
            <w:tcW w:w="2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center"/>
              <w:ind w:right="18"/>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18"/>
              <w:spacing w:after="0"/>
              <w:rPr>
                <w:sz w:val="20"/>
                <w:szCs w:val="20"/>
                <w:color w:val="auto"/>
              </w:rPr>
            </w:pPr>
            <w:r>
              <w:rPr>
                <w:rFonts w:ascii="Times New Roman" w:cs="Times New Roman" w:eastAsia="Times New Roman" w:hAnsi="Times New Roman"/>
                <w:sz w:val="11"/>
                <w:szCs w:val="11"/>
                <w:color w:val="auto"/>
              </w:rPr>
              <w:t>thousands)</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740" w:type="dxa"/>
            <w:vAlign w:val="bottom"/>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Washington Metropolitan Area</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Barcroft Plaza</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51,735</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113,000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$31.15</w:t>
            </w:r>
          </w:p>
        </w:tc>
        <w:tc>
          <w:tcPr>
            <w:tcW w:w="66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46,000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Bethesda Row</w:t>
            </w:r>
          </w:p>
        </w:tc>
        <w:tc>
          <w:tcPr>
            <w:tcW w:w="16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(4)  Washington-Arlington-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270,857</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530,000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5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$58.81</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180</w:t>
            </w: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40,000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Apple / Anthropologie / Equinox /</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Birch &amp; Broad</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26,114</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144,000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$39.23</w:t>
            </w:r>
          </w:p>
        </w:tc>
        <w:tc>
          <w:tcPr>
            <w:tcW w:w="66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51,000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Staples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Chesterbrook</w:t>
            </w:r>
          </w:p>
        </w:tc>
        <w:tc>
          <w:tcPr>
            <w:tcW w:w="16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(5)  Washington-Arlington-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48,375</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9</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89,000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83 %</w:t>
            </w:r>
          </w:p>
        </w:tc>
        <w:tc>
          <w:tcPr>
            <w:tcW w:w="8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80 %</w:t>
            </w:r>
          </w:p>
        </w:tc>
        <w:tc>
          <w:tcPr>
            <w:tcW w:w="5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$28.70</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Starbucks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Congressional</w:t>
            </w:r>
          </w:p>
        </w:tc>
        <w:tc>
          <w:tcPr>
            <w:tcW w:w="16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(5)  Washington-Arlington-</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108,439</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325,000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$39.71</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194</w:t>
            </w: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25,000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The Fresh Market</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Ulta / Barnes &amp; Noble / Container Store</w:t>
            </w:r>
          </w:p>
        </w:tc>
        <w:tc>
          <w:tcPr>
            <w:tcW w:w="0" w:type="dxa"/>
            <w:vAlign w:val="bottom"/>
          </w:tcPr>
          <w:p>
            <w:pPr>
              <w:spacing w:after="0"/>
              <w:rPr>
                <w:sz w:val="1"/>
                <w:szCs w:val="1"/>
                <w:color w:val="auto"/>
              </w:rPr>
            </w:pPr>
          </w:p>
        </w:tc>
      </w:tr>
      <w:tr>
        <w:trPr>
          <w:trHeight w:val="122"/>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Courthouse Center</w:t>
            </w: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7,493</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33,000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8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5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$27.85</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Fairfax Junction</w:t>
            </w:r>
          </w:p>
        </w:tc>
        <w:tc>
          <w:tcPr>
            <w:tcW w:w="16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(6)  Washington-Arlington-</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46,551</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$28.82</w:t>
            </w:r>
          </w:p>
        </w:tc>
        <w:tc>
          <w:tcPr>
            <w:tcW w:w="66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23,000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Planet Fitness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Federal Plaza</w:t>
            </w: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74,294</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249,000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5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$39.81</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14,000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TJ Maxx / Micro Center / Ross Dress for</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Friendship Center</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39,472</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54,000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$28.43</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Maggiano's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Gaithersburg</w:t>
            </w: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39,651</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204,000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5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$32.78</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Marshalls / Ross Dress for Less / Ashley</w:t>
            </w:r>
          </w:p>
        </w:tc>
        <w:tc>
          <w:tcPr>
            <w:tcW w:w="0" w:type="dxa"/>
            <w:vAlign w:val="bottom"/>
          </w:tcPr>
          <w:p>
            <w:pPr>
              <w:spacing w:after="0"/>
              <w:rPr>
                <w:sz w:val="1"/>
                <w:szCs w:val="1"/>
                <w:color w:val="auto"/>
              </w:rPr>
            </w:pPr>
          </w:p>
        </w:tc>
      </w:tr>
      <w:tr>
        <w:trPr>
          <w:trHeight w:val="121"/>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Square</w:t>
            </w: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Furniture HomeStore / CVS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Graham Park Plaza</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27,976</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133,000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$39.64</w:t>
            </w:r>
          </w:p>
        </w:tc>
        <w:tc>
          <w:tcPr>
            <w:tcW w:w="66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58,000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Idylwood Plaza</w:t>
            </w: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18,122</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7</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5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$48.70</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30,000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Kingstowne Towne</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211,994</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45</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411,000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$28.36</w:t>
            </w:r>
          </w:p>
        </w:tc>
        <w:tc>
          <w:tcPr>
            <w:tcW w:w="66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135,000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HomeGoods / Five Below /</w:t>
            </w:r>
          </w:p>
        </w:tc>
        <w:tc>
          <w:tcPr>
            <w:tcW w:w="0" w:type="dxa"/>
            <w:vAlign w:val="bottom"/>
          </w:tcPr>
          <w:p>
            <w:pPr>
              <w:spacing w:after="0"/>
              <w:rPr>
                <w:sz w:val="1"/>
                <w:szCs w:val="1"/>
                <w:color w:val="auto"/>
              </w:rPr>
            </w:pPr>
          </w:p>
        </w:tc>
      </w:tr>
      <w:tr>
        <w:trPr>
          <w:trHeight w:val="122"/>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Center</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Ross Dress for Less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Laurel</w:t>
            </w: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62,062</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26</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367,000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5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$24.74</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61,000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L.A. Fitness / HomeGoods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Montrose Crossing</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172,162</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369,000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$34.83</w:t>
            </w:r>
          </w:p>
        </w:tc>
        <w:tc>
          <w:tcPr>
            <w:tcW w:w="66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 Target</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Marshalls / Home Depot Design Center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Old Navy / Burlington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Mount</w:t>
            </w:r>
          </w:p>
        </w:tc>
        <w:tc>
          <w:tcPr>
            <w:tcW w:w="16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(6)  Washington-Arlington-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97,703</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40</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565,000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5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$20.86</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62,000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Shoppers Food</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Home Depot / Old Navy /</w:t>
            </w:r>
          </w:p>
        </w:tc>
        <w:tc>
          <w:tcPr>
            <w:tcW w:w="0" w:type="dxa"/>
            <w:vAlign w:val="bottom"/>
          </w:tcPr>
          <w:p>
            <w:pPr>
              <w:spacing w:after="0"/>
              <w:rPr>
                <w:sz w:val="1"/>
                <w:szCs w:val="1"/>
                <w:color w:val="auto"/>
              </w:rPr>
            </w:pPr>
          </w:p>
        </w:tc>
      </w:tr>
      <w:tr>
        <w:trPr>
          <w:trHeight w:val="122"/>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Vernon/South</w:t>
            </w: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Warehouse</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30"/>
        </w:trPr>
        <w:tc>
          <w:tcPr>
            <w:tcW w:w="10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Valley/7770</w:t>
            </w:r>
          </w:p>
        </w:tc>
        <w:tc>
          <w:tcPr>
            <w:tcW w:w="1680" w:type="dxa"/>
            <w:vAlign w:val="bottom"/>
            <w:gridSpan w:val="2"/>
            <w:shd w:val="clear" w:color="auto" w:fill="CCEEFF"/>
          </w:tcPr>
          <w:p>
            <w:pPr>
              <w:ind w:left="340"/>
              <w:spacing w:after="0" w:line="131" w:lineRule="exact"/>
              <w:rPr>
                <w:sz w:val="20"/>
                <w:szCs w:val="20"/>
                <w:color w:val="auto"/>
              </w:rPr>
            </w:pPr>
            <w:r>
              <w:rPr>
                <w:rFonts w:ascii="Times New Roman" w:cs="Times New Roman" w:eastAsia="Times New Roman" w:hAnsi="Times New Roman"/>
                <w:sz w:val="13"/>
                <w:szCs w:val="13"/>
                <w:color w:val="auto"/>
              </w:rPr>
              <w:t>WV</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Richmond Hwy</w:t>
            </w: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Old Keene Mill</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19,214</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90,000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$45.74</w:t>
            </w:r>
          </w:p>
        </w:tc>
        <w:tc>
          <w:tcPr>
            <w:tcW w:w="66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14,000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 / Planet Fitness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Pike &amp; Rose</w:t>
            </w: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887,226</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854,000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5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$46.55</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765</w:t>
            </w: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Porsche / Uniqlo / REI / H&amp;M / L.L</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Bean / Multiple Restaurants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Pike 7 Plaza</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56,330</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175,000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$49.15</w:t>
            </w:r>
          </w:p>
        </w:tc>
        <w:tc>
          <w:tcPr>
            <w:tcW w:w="66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24,000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Lidl</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DSW / Ulta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 del Mercado</w:t>
            </w: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46,918</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116,000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5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$34.45</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18,000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Providence Place</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37,058</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25</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228,000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$23.93</w:t>
            </w:r>
          </w:p>
        </w:tc>
        <w:tc>
          <w:tcPr>
            <w:tcW w:w="66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65,000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Micro Center / CVS / Michaels</w:t>
            </w:r>
          </w:p>
        </w:tc>
        <w:tc>
          <w:tcPr>
            <w:tcW w:w="0" w:type="dxa"/>
            <w:vAlign w:val="bottom"/>
          </w:tcPr>
          <w:p>
            <w:pPr>
              <w:spacing w:after="0"/>
              <w:rPr>
                <w:sz w:val="1"/>
                <w:szCs w:val="1"/>
                <w:color w:val="auto"/>
              </w:rPr>
            </w:pPr>
          </w:p>
        </w:tc>
      </w:tr>
      <w:tr>
        <w:trPr>
          <w:trHeight w:val="121"/>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(formerly Pan Am)</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Quince Orchard</w:t>
            </w:r>
          </w:p>
        </w:tc>
        <w:tc>
          <w:tcPr>
            <w:tcW w:w="16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(4)  Washington-Arlington-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41,402</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271,000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8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5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$25.61</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19,000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HomeGoods / L.A. Fitness / Staples</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Tower Shopping</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28,875</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109,000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5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$29.61</w:t>
            </w:r>
          </w:p>
        </w:tc>
        <w:tc>
          <w:tcPr>
            <w:tcW w:w="66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26,000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L.A. Mart</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Total Wine &amp; More / Talbots</w:t>
            </w:r>
          </w:p>
        </w:tc>
        <w:tc>
          <w:tcPr>
            <w:tcW w:w="0" w:type="dxa"/>
            <w:vAlign w:val="bottom"/>
          </w:tcPr>
          <w:p>
            <w:pPr>
              <w:spacing w:after="0"/>
              <w:rPr>
                <w:sz w:val="1"/>
                <w:szCs w:val="1"/>
                <w:color w:val="auto"/>
              </w:rPr>
            </w:pPr>
          </w:p>
        </w:tc>
      </w:tr>
      <w:tr>
        <w:trPr>
          <w:trHeight w:val="121"/>
        </w:trPr>
        <w:tc>
          <w:tcPr>
            <w:tcW w:w="10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Center</w:t>
            </w:r>
          </w:p>
        </w:tc>
        <w:tc>
          <w:tcPr>
            <w:tcW w:w="168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Twinbrooke Centre</w:t>
            </w: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37,227</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101,000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5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w w:val="94"/>
              </w:rPr>
              <w:t>$27.84</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WV</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028" w:right="35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40" w:top="1028" w:right="35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8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1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Rent</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Occupied(1)</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PSF (2)</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Grocery Anchor (3)</w:t>
            </w:r>
          </w:p>
        </w:tc>
        <w:tc>
          <w:tcPr>
            <w:tcW w:w="2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Tyson's Station</w:t>
            </w:r>
          </w:p>
        </w:tc>
        <w:tc>
          <w:tcPr>
            <w:tcW w:w="360" w:type="dxa"/>
            <w:vAlign w:val="bottom"/>
          </w:tcPr>
          <w:p>
            <w:pPr>
              <w:spacing w:after="0"/>
              <w:rPr>
                <w:sz w:val="12"/>
                <w:szCs w:val="12"/>
                <w:color w:val="auto"/>
              </w:rPr>
            </w:pPr>
          </w:p>
        </w:tc>
        <w:tc>
          <w:tcPr>
            <w:tcW w:w="14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Washington-Arlington-</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6,623</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$52.70</w:t>
            </w:r>
          </w:p>
        </w:tc>
        <w:tc>
          <w:tcPr>
            <w:tcW w:w="66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15,000</w:t>
            </w:r>
          </w:p>
        </w:tc>
        <w:tc>
          <w:tcPr>
            <w:tcW w:w="11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Alexandria, DC-VA-MD-</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Village at</w:t>
            </w:r>
          </w:p>
        </w:tc>
        <w:tc>
          <w:tcPr>
            <w:tcW w:w="3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76,189</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$40.74</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28,000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AMC / Multiple Restaurants</w:t>
            </w:r>
          </w:p>
        </w:tc>
        <w:tc>
          <w:tcPr>
            <w:tcW w:w="0" w:type="dxa"/>
            <w:vAlign w:val="bottom"/>
          </w:tcPr>
          <w:p>
            <w:pPr>
              <w:spacing w:after="0"/>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Shirlington</w:t>
            </w: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Alexandria, DC-VA-MD-</w:t>
            </w: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Virginia Gateway</w:t>
            </w:r>
          </w:p>
        </w:tc>
        <w:tc>
          <w:tcPr>
            <w:tcW w:w="360" w:type="dxa"/>
            <w:vAlign w:val="bottom"/>
          </w:tcPr>
          <w:p>
            <w:pPr>
              <w:spacing w:after="0"/>
              <w:rPr>
                <w:sz w:val="10"/>
                <w:szCs w:val="10"/>
                <w:color w:val="auto"/>
              </w:rPr>
            </w:pP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208,696</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664,000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$27.15</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70,000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 Target</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HomeGoods / Total Wine &amp; More / Best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Alexandria, DC-VA-MD-</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 / BJ's Wholesale</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Buy / Ulta / Lowe's (S)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Club (S)</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Westpost</w:t>
            </w: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119,197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$34.14</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79,000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5"/>
              </w:rPr>
              <w:t>Harris Teeter / Target</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Ulta / Walgreens / DSW</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Alexandria, DC-VA-MD-</w:t>
            </w: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Wildwood</w:t>
            </w:r>
          </w:p>
        </w:tc>
        <w:tc>
          <w:tcPr>
            <w:tcW w:w="360" w:type="dxa"/>
            <w:vAlign w:val="bottom"/>
          </w:tcPr>
          <w:p>
            <w:pPr>
              <w:spacing w:after="0"/>
              <w:rPr>
                <w:sz w:val="10"/>
                <w:szCs w:val="10"/>
                <w:color w:val="auto"/>
              </w:rPr>
            </w:pP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28,503</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$110.97</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20,000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Balducci's</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Alexandria, DC-VA-MD-</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140"/>
              <w:spacing w:after="0" w:line="146" w:lineRule="exact"/>
              <w:rPr>
                <w:sz w:val="20"/>
                <w:szCs w:val="20"/>
                <w:color w:val="auto"/>
              </w:rPr>
            </w:pPr>
            <w:r>
              <w:rPr>
                <w:rFonts w:ascii="Times New Roman" w:cs="Times New Roman" w:eastAsia="Times New Roman" w:hAnsi="Times New Roman"/>
                <w:sz w:val="13"/>
                <w:szCs w:val="13"/>
                <w:b w:val="1"/>
                <w:bCs w:val="1"/>
                <w:color w:val="auto"/>
                <w:w w:val="95"/>
              </w:rPr>
              <w:t>Total Washington Metropolitan Area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2,896,458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7,102,000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$36.61</w:t>
            </w: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California</w:t>
            </w:r>
          </w:p>
        </w:tc>
        <w:tc>
          <w:tcPr>
            <w:tcW w:w="3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Azalea</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Los Angeles-Long Beach-</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109,522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$31.37</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Walmart (S)</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 Ulta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Michaels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Bell Gardens</w:t>
            </w:r>
          </w:p>
        </w:tc>
        <w:tc>
          <w:tcPr>
            <w:tcW w:w="3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(4)(5)</w:t>
            </w: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Los Angeles-Long Beach-</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119,895</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$24.01</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108,000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 / El</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 Bob's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Super</w:t>
            </w:r>
          </w:p>
        </w:tc>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Discount Furniture</w:t>
            </w: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Colorado Blvd</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Los Angeles-Long Beach-</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14,015</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73 %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73 %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$62.89</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Banana Republic / True Food Kitchen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Crow Canyon</w:t>
            </w: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San Francisco-Oakland-</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93,766</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85 %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85 %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$36.81</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32,000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Sprouts</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Total Wine &amp; More / Alamo Ace</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Commons</w:t>
            </w: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Hayward, CA</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Hardware</w:t>
            </w: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East Bay Bridge</w:t>
            </w:r>
          </w:p>
        </w:tc>
        <w:tc>
          <w:tcPr>
            <w:tcW w:w="360" w:type="dxa"/>
            <w:vAlign w:val="bottom"/>
          </w:tcPr>
          <w:p>
            <w:pPr>
              <w:spacing w:after="0"/>
              <w:rPr>
                <w:sz w:val="10"/>
                <w:szCs w:val="10"/>
                <w:color w:val="auto"/>
              </w:rPr>
            </w:pP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San Francisco-Oakland-</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178,907</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$21.26</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199,000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Pak-N-Save / Target</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Home Depot / Nordstrom Rack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Hayward, CA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Michaels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Escondido</w:t>
            </w: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San Diego-Carlsbad, CA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135,434</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$30.87</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 (S)</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TJ Maxx / Dick’s Sporting Goods / Ross</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Promenade</w:t>
            </w: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6"/>
              </w:rPr>
              <w:t>Dress for Less / Bob's Discount Furniture</w:t>
            </w: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Fourth Street</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San Francisco-Oakland-</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28,106</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47 %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47 %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$40.38</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CB2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Hayward, CA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Freedom Plaza</w:t>
            </w:r>
          </w:p>
        </w:tc>
        <w:tc>
          <w:tcPr>
            <w:tcW w:w="3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(4)(5)</w:t>
            </w: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Los Angeles-Long Beach-</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44,138</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$32.02</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31,000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Smart &amp; Final</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Nike / Blink Fitness / Ross Dress for</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w:t>
            </w:r>
          </w:p>
        </w:tc>
        <w:tc>
          <w:tcPr>
            <w:tcW w:w="0" w:type="dxa"/>
            <w:vAlign w:val="bottom"/>
          </w:tcPr>
          <w:p>
            <w:pPr>
              <w:spacing w:after="0"/>
              <w:rPr>
                <w:sz w:val="1"/>
                <w:szCs w:val="1"/>
                <w:color w:val="auto"/>
              </w:rPr>
            </w:pPr>
          </w:p>
        </w:tc>
      </w:tr>
      <w:tr>
        <w:trPr>
          <w:trHeight w:val="164"/>
        </w:trPr>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Grossmont Center</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w:t>
            </w: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 Diego-Carlsbad, CA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177,820</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294,000</w:t>
            </w:r>
          </w:p>
        </w:tc>
        <w:tc>
          <w:tcPr>
            <w:tcW w:w="1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Target / Walmart</w:t>
            </w:r>
          </w:p>
        </w:tc>
        <w:tc>
          <w:tcPr>
            <w:tcW w:w="2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Barnes &amp; Noble / Macy's / CVS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Hastings Ranch</w:t>
            </w:r>
          </w:p>
        </w:tc>
        <w:tc>
          <w:tcPr>
            <w:tcW w:w="3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Los Angeles-Long Beach-</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25,793</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$9.49</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HomeGoods / CVS</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Plaza</w:t>
            </w: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Hollywood Blvd</w:t>
            </w:r>
          </w:p>
        </w:tc>
        <w:tc>
          <w:tcPr>
            <w:tcW w:w="360" w:type="dxa"/>
            <w:vAlign w:val="bottom"/>
          </w:tcPr>
          <w:p>
            <w:pPr>
              <w:spacing w:after="0"/>
              <w:rPr>
                <w:sz w:val="10"/>
                <w:szCs w:val="10"/>
                <w:color w:val="auto"/>
              </w:rPr>
            </w:pP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Los Angeles-Long Beach-</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62,101</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$32.65</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39,000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L.A. Fitness / CVS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Old Town Center</w:t>
            </w: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San Jose-Sunnyvale-Santa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44,265</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$47.60</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Anthropologie / Sephora / Arhaus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Clara, CA</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Furniture / Teleferic Barcelona</w:t>
            </w: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Olivo at Mission</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Los Angeles-Long Beach-</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82,907</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$34.70</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32,000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24 Hour Fitness / Ross Dress for Less /</w:t>
            </w:r>
          </w:p>
        </w:tc>
        <w:tc>
          <w:tcPr>
            <w:tcW w:w="0" w:type="dxa"/>
            <w:vAlign w:val="bottom"/>
          </w:tcPr>
          <w:p>
            <w:pPr>
              <w:spacing w:after="0"/>
              <w:rPr>
                <w:sz w:val="1"/>
                <w:szCs w:val="1"/>
                <w:color w:val="auto"/>
              </w:rPr>
            </w:pPr>
          </w:p>
        </w:tc>
      </w:tr>
      <w:tr>
        <w:trPr>
          <w:trHeight w:val="164"/>
        </w:trPr>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Hills</w:t>
            </w:r>
          </w:p>
        </w:tc>
        <w:tc>
          <w:tcPr>
            <w:tcW w:w="3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Ulta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Pinole Vista</w:t>
            </w: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San Francisco-Oakland-</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58,504</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$22.42</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FoodMaxx</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Nordstrom Rack /</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Crossing</w:t>
            </w: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Hayward, CA</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HomeGoods / Ulta</w:t>
            </w:r>
          </w:p>
        </w:tc>
        <w:tc>
          <w:tcPr>
            <w:tcW w:w="0" w:type="dxa"/>
            <w:vAlign w:val="bottom"/>
          </w:tcPr>
          <w:p>
            <w:pPr>
              <w:spacing w:after="0"/>
              <w:rPr>
                <w:sz w:val="1"/>
                <w:szCs w:val="1"/>
                <w:color w:val="auto"/>
              </w:rPr>
            </w:pPr>
          </w:p>
        </w:tc>
      </w:tr>
      <w:tr>
        <w:trPr>
          <w:trHeight w:val="121"/>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 Del Sol</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Los Angeles-Long Beach-</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17,924</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$25.14</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9"/>
              </w:rPr>
              <w:t>Superior Grocers (S)</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Plaza El Segundo /</w:t>
            </w: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Los Angeles-Long Beach-</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311,551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502,000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$47.11</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66,000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Nordstrom Rack / HomeGoods / Dick's</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 Point</w:t>
            </w: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Sporting Goods / Multiple Restaurants</w:t>
            </w:r>
          </w:p>
        </w:tc>
        <w:tc>
          <w:tcPr>
            <w:tcW w:w="0" w:type="dxa"/>
            <w:vAlign w:val="bottom"/>
          </w:tcPr>
          <w:p>
            <w:pPr>
              <w:spacing w:after="0"/>
              <w:rPr>
                <w:sz w:val="1"/>
                <w:szCs w:val="1"/>
                <w:color w:val="auto"/>
              </w:rPr>
            </w:pPr>
          </w:p>
        </w:tc>
      </w:tr>
      <w:tr>
        <w:trPr>
          <w:trHeight w:val="121"/>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San Antonio</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(4)(6)</w:t>
            </w: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San Jose-Sunnyvale-Santa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52,250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$17.89</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141,000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 /</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24 Hour Fitness</w:t>
            </w:r>
          </w:p>
        </w:tc>
        <w:tc>
          <w:tcPr>
            <w:tcW w:w="0" w:type="dxa"/>
            <w:vAlign w:val="bottom"/>
          </w:tcPr>
          <w:p>
            <w:pPr>
              <w:spacing w:after="0"/>
              <w:rPr>
                <w:sz w:val="1"/>
                <w:szCs w:val="1"/>
                <w:color w:val="auto"/>
              </w:rPr>
            </w:pPr>
          </w:p>
        </w:tc>
      </w:tr>
      <w:tr>
        <w:trPr>
          <w:trHeight w:val="164"/>
        </w:trPr>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3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Clara, CA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Walmart</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Santana Row</w:t>
            </w:r>
          </w:p>
        </w:tc>
        <w:tc>
          <w:tcPr>
            <w:tcW w:w="3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4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San Jose-Sunnyvale-Santa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1,356,202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1,231,000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$58.49</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662</w:t>
            </w:r>
          </w:p>
        </w:tc>
        <w:tc>
          <w:tcPr>
            <w:tcW w:w="5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Crate &amp; Barrel / Container Store / Best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Clara, CA</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Buy / Sephora /Multiple Restaurants</w:t>
            </w: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Sylmar Towne</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4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Los Angeles-Long Beach-</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48,602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76 %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$20.14</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64"/>
        </w:trPr>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3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40" w:top="1028" w:right="35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8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1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Rent</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1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Occupied(1)</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PSF (2)</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Grocery Anchor (3)</w:t>
            </w:r>
          </w:p>
        </w:tc>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Westgate Center</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San Jose-Sunnyvale-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160,011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650,000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80 %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$22.72</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210,000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 / TBA</w:t>
            </w: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Nordstrom Rack / Nike Factory / TJ</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Santa Clara, CA</w:t>
            </w:r>
          </w:p>
        </w:tc>
        <w:tc>
          <w:tcPr>
            <w:tcW w:w="6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Maxx / Ross Dress for Less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500"/>
              <w:spacing w:after="0" w:line="146" w:lineRule="exact"/>
              <w:rPr>
                <w:sz w:val="20"/>
                <w:szCs w:val="20"/>
                <w:color w:val="auto"/>
              </w:rPr>
            </w:pPr>
            <w:r>
              <w:rPr>
                <w:rFonts w:ascii="Times New Roman" w:cs="Times New Roman" w:eastAsia="Times New Roman" w:hAnsi="Times New Roman"/>
                <w:sz w:val="13"/>
                <w:szCs w:val="13"/>
                <w:b w:val="1"/>
                <w:bCs w:val="1"/>
                <w:color w:val="auto"/>
                <w:w w:val="93"/>
              </w:rPr>
              <w:t>Total California</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3,121,713</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6,394,000</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100" w:type="dxa"/>
            <w:vAlign w:val="bottom"/>
          </w:tcPr>
          <w:p>
            <w:pPr>
              <w:spacing w:after="0"/>
              <w:rPr>
                <w:sz w:val="14"/>
                <w:szCs w:val="14"/>
                <w:color w:val="auto"/>
              </w:rPr>
            </w:pPr>
          </w:p>
        </w:tc>
        <w:tc>
          <w:tcPr>
            <w:tcW w:w="5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$32.53</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gridSpan w:val="4"/>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NY Metro/New Jersey</w:t>
            </w: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Brick Plaza</w:t>
            </w:r>
          </w:p>
        </w:tc>
        <w:tc>
          <w:tcPr>
            <w:tcW w:w="38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104,732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403,000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$23.10</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14,000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AMC / HomeGoods / Ulta / Burlington</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Brook 35</w:t>
            </w:r>
          </w:p>
        </w:tc>
        <w:tc>
          <w:tcPr>
            <w:tcW w:w="3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(5) (6)</w:t>
            </w:r>
          </w:p>
        </w:tc>
        <w:tc>
          <w:tcPr>
            <w:tcW w:w="1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53,952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10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$41.59</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Banana Republic / Gap / Tommy's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Tavern + Tap</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Darien Commons</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Bridgeport-Stamford-</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152,047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$47.68</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124</w:t>
            </w: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Equinox / Walgreens / Multiple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Norwalk, CT</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21"/>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Fresh Meadows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96,719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10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$41.03</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43,000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Lidl / Island of Gold</w:t>
            </w:r>
          </w:p>
        </w:tc>
        <w:tc>
          <w:tcPr>
            <w:tcW w:w="2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AMC / Kohl's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Georgetowne</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86,793</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$44.02</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43,000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Foodway</w:t>
            </w: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Five Below / IHOP</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Shopping Center</w:t>
            </w: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Greenlawn Plaza</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34,164</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10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$18.39</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46,000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Greenlawn Farms</w:t>
            </w:r>
          </w:p>
        </w:tc>
        <w:tc>
          <w:tcPr>
            <w:tcW w:w="2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Greenwich Avenue</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Bridgeport-Stamford-</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23,748</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$96.19</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Saks Fifth Avenue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Norwalk, CT</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Hauppauge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42,388</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10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$27.17</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61,000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Shop Rite</w:t>
            </w:r>
          </w:p>
        </w:tc>
        <w:tc>
          <w:tcPr>
            <w:tcW w:w="2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Five Below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Hoboken</w:t>
            </w:r>
          </w:p>
        </w:tc>
        <w:tc>
          <w:tcPr>
            <w:tcW w:w="38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229,896</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$59.69</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129</w:t>
            </w: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CVS / New York Sports Club / Sephora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Huntington</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111,279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10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$36.01</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43,000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Petsmart / REI / Ulta / Container Store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Huntington Square</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52,508</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$24.21</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20,000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Aldi / Stop &amp; Shop</w:t>
            </w: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At Home / AMC</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w:t>
            </w: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Melville Mall</w:t>
            </w:r>
          </w:p>
        </w:tc>
        <w:tc>
          <w:tcPr>
            <w:tcW w:w="3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105,177</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$30.04</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53,000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Uncle Giuseppe's</w:t>
            </w:r>
          </w:p>
        </w:tc>
        <w:tc>
          <w:tcPr>
            <w:tcW w:w="2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Dick's Sporting Goods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Marketplace</w:t>
            </w: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Public Lands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Mercer on One</w:t>
            </w:r>
          </w:p>
        </w:tc>
        <w:tc>
          <w:tcPr>
            <w:tcW w:w="38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Trenton, NJ</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121,445</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549,000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$27.04</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75,000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Shop Rite</w:t>
            </w: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Nike / Ross Dress for Less / Nordstrom</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Rack / REI / Tesla</w:t>
            </w:r>
          </w:p>
        </w:tc>
        <w:tc>
          <w:tcPr>
            <w:tcW w:w="0" w:type="dxa"/>
            <w:vAlign w:val="bottom"/>
          </w:tcPr>
          <w:p>
            <w:pPr>
              <w:spacing w:after="0"/>
              <w:rPr>
                <w:sz w:val="1"/>
                <w:szCs w:val="1"/>
                <w:color w:val="auto"/>
              </w:rPr>
            </w:pPr>
          </w:p>
        </w:tc>
      </w:tr>
      <w:tr>
        <w:trPr>
          <w:trHeight w:val="121"/>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The Grove at</w:t>
            </w:r>
          </w:p>
        </w:tc>
        <w:tc>
          <w:tcPr>
            <w:tcW w:w="3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(5) (6)</w:t>
            </w:r>
          </w:p>
        </w:tc>
        <w:tc>
          <w:tcPr>
            <w:tcW w:w="1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136,701</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$53.76</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9"/>
              </w:rPr>
              <w:t>Bloomies / Lululemon / Anthropologie /</w:t>
            </w:r>
          </w:p>
        </w:tc>
        <w:tc>
          <w:tcPr>
            <w:tcW w:w="0" w:type="dxa"/>
            <w:vAlign w:val="bottom"/>
          </w:tcPr>
          <w:p>
            <w:pPr>
              <w:spacing w:after="0"/>
              <w:rPr>
                <w:sz w:val="1"/>
                <w:szCs w:val="1"/>
                <w:color w:val="auto"/>
              </w:rPr>
            </w:pPr>
          </w:p>
        </w:tc>
      </w:tr>
      <w:tr>
        <w:trPr>
          <w:trHeight w:val="164"/>
        </w:trPr>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Shrewsbury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Pottery Barn / Williams-Sonoma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Troy Hills</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New York-Newark-Jersey</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36,641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$19.75</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65,000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w:t>
            </w: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Floor &amp; Décor / Michaels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w w:val="73"/>
              </w:rPr>
              <w:t>Total NY Metro/New</w:t>
            </w:r>
            <w:r>
              <w:rPr>
                <w:rFonts w:ascii="Times New Roman" w:cs="Times New Roman" w:eastAsia="Times New Roman" w:hAnsi="Times New Roman"/>
                <w:sz w:val="24"/>
                <w:szCs w:val="24"/>
                <w:b w:val="1"/>
                <w:bCs w:val="1"/>
                <w:color w:val="auto"/>
                <w:w w:val="73"/>
                <w:vertAlign w:val="subscript"/>
              </w:rPr>
              <w:t>Jersey</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1,388,190</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3,279,000</w:t>
            </w:r>
          </w:p>
        </w:tc>
        <w:tc>
          <w:tcPr>
            <w:tcW w:w="80" w:type="dxa"/>
            <w:vAlign w:val="bottom"/>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tcPr>
          <w:p>
            <w:pPr>
              <w:spacing w:after="0"/>
              <w:rPr>
                <w:sz w:val="24"/>
                <w:szCs w:val="24"/>
                <w:color w:val="auto"/>
              </w:rPr>
            </w:pPr>
          </w:p>
        </w:tc>
        <w:tc>
          <w:tcPr>
            <w:tcW w:w="5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$34.16</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0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New England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Assembly Row /</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1,138,531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1,230,000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$40.76</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947</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18,000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TJ Maxx / AMC / Nike / Bob's Discount</w:t>
            </w:r>
          </w:p>
        </w:tc>
        <w:tc>
          <w:tcPr>
            <w:tcW w:w="0" w:type="dxa"/>
            <w:vAlign w:val="bottom"/>
          </w:tcPr>
          <w:p>
            <w:pPr>
              <w:spacing w:after="0"/>
              <w:rPr>
                <w:sz w:val="1"/>
                <w:szCs w:val="1"/>
                <w:color w:val="auto"/>
              </w:rPr>
            </w:pPr>
          </w:p>
        </w:tc>
      </w:tr>
      <w:tr>
        <w:trPr>
          <w:trHeight w:val="121"/>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Assembly Square</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Newton, MA-NH</w:t>
            </w: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Furniture / Multiple Restaurants</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Marketplace</w:t>
            </w: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Campus Plaza</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32,002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10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$19.44</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46,000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Roche Bros.</w:t>
            </w:r>
          </w:p>
        </w:tc>
        <w:tc>
          <w:tcPr>
            <w:tcW w:w="2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Burlington / Five Below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Newton, MA-NH</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Chelsea Commons</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40,762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$15.64</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Home Depot / Planet Fitness / CVS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Newton, MA-NH</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Dedham Plaza</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52,731</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10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$23.41</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80,000</w:t>
            </w:r>
          </w:p>
        </w:tc>
        <w:tc>
          <w:tcPr>
            <w:tcW w:w="1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Star Market</w:t>
            </w:r>
          </w:p>
        </w:tc>
        <w:tc>
          <w:tcPr>
            <w:tcW w:w="2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Newton, MA-NH</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Linden Square</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158,853</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$52.81</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7</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50,000</w:t>
            </w:r>
          </w:p>
        </w:tc>
        <w:tc>
          <w:tcPr>
            <w:tcW w:w="1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Roche Bros.</w:t>
            </w:r>
          </w:p>
        </w:tc>
        <w:tc>
          <w:tcPr>
            <w:tcW w:w="21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Newton, MA-NH</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40" w:top="1028" w:right="35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82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Rent</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Anchor</w:t>
            </w: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17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Occupied(1)</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PSF (2)</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w w:val="96"/>
              </w:rPr>
              <w:t>Grocery Anchor (3)</w:t>
            </w:r>
          </w:p>
        </w:tc>
        <w:tc>
          <w:tcPr>
            <w:tcW w:w="2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80" w:type="dxa"/>
            <w:vAlign w:val="bottom"/>
            <w:gridSpan w:val="4"/>
          </w:tcPr>
          <w:p>
            <w:pPr>
              <w:ind w:left="20"/>
              <w:spacing w:after="0" w:line="144" w:lineRule="exact"/>
              <w:rPr>
                <w:sz w:val="20"/>
                <w:szCs w:val="20"/>
                <w:color w:val="auto"/>
              </w:rPr>
            </w:pPr>
            <w:r>
              <w:rPr>
                <w:rFonts w:ascii="Times New Roman" w:cs="Times New Roman" w:eastAsia="Times New Roman" w:hAnsi="Times New Roman"/>
                <w:sz w:val="13"/>
                <w:szCs w:val="13"/>
                <w:color w:val="auto"/>
              </w:rPr>
              <w:t>North Dartmouth</w:t>
            </w:r>
          </w:p>
        </w:tc>
        <w:tc>
          <w:tcPr>
            <w:tcW w:w="1720" w:type="dxa"/>
            <w:vAlign w:val="bottom"/>
            <w:gridSpan w:val="2"/>
          </w:tcPr>
          <w:p>
            <w:pPr>
              <w:ind w:left="340"/>
              <w:spacing w:after="0" w:line="144" w:lineRule="exact"/>
              <w:rPr>
                <w:sz w:val="20"/>
                <w:szCs w:val="20"/>
                <w:color w:val="auto"/>
              </w:rPr>
            </w:pPr>
            <w:r>
              <w:rPr>
                <w:rFonts w:ascii="Times New Roman" w:cs="Times New Roman" w:eastAsia="Times New Roman" w:hAnsi="Times New Roman"/>
                <w:sz w:val="13"/>
                <w:szCs w:val="13"/>
                <w:color w:val="auto"/>
              </w:rPr>
              <w:t>Providence-Warwick, RI-</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9,369</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2"/>
                <w:szCs w:val="12"/>
                <w:color w:val="auto"/>
              </w:rPr>
            </w:pPr>
          </w:p>
        </w:tc>
        <w:tc>
          <w:tcPr>
            <w:tcW w:w="5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w w:val="94"/>
              </w:rPr>
              <w:t>$17.22</w:t>
            </w:r>
          </w:p>
        </w:tc>
        <w:tc>
          <w:tcPr>
            <w:tcW w:w="660" w:type="dxa"/>
            <w:vAlign w:val="bottom"/>
          </w:tcPr>
          <w:p>
            <w:pPr>
              <w:spacing w:after="0"/>
              <w:rPr>
                <w:sz w:val="12"/>
                <w:szCs w:val="12"/>
                <w:color w:val="auto"/>
              </w:rPr>
            </w:pP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48,000</w:t>
            </w:r>
          </w:p>
        </w:tc>
        <w:tc>
          <w:tcPr>
            <w:tcW w:w="11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Stop &amp; Shop</w:t>
            </w: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MA</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Queen Anne Plaza</w:t>
            </w: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19,762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149,000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$21.55</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50,000</w:t>
            </w:r>
          </w:p>
        </w:tc>
        <w:tc>
          <w:tcPr>
            <w:tcW w:w="11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Big Y Foods</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HomeGoods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Total New England</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1,452,010</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2,251,000</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4"/>
                <w:szCs w:val="14"/>
                <w:color w:val="auto"/>
              </w:rPr>
            </w:pPr>
          </w:p>
        </w:tc>
        <w:tc>
          <w:tcPr>
            <w:tcW w:w="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4"/>
              </w:rPr>
              <w:t>$34.46</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5"/>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Philadelphia Metropolitan Area</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Andorra</w:t>
            </w: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34,028</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252,000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$16.01</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31,000</w:t>
            </w:r>
          </w:p>
        </w:tc>
        <w:tc>
          <w:tcPr>
            <w:tcW w:w="11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TBA</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Kohl's / L.A. Fitness / Five</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Below</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Bala Cynwyd on</w:t>
            </w:r>
          </w:p>
        </w:tc>
        <w:tc>
          <w:tcPr>
            <w:tcW w:w="172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87,509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$37.82</w:t>
            </w:r>
          </w:p>
        </w:tc>
        <w:tc>
          <w:tcPr>
            <w:tcW w:w="660" w:type="dxa"/>
            <w:vAlign w:val="bottom"/>
          </w:tcPr>
          <w:p>
            <w:pPr>
              <w:jc w:val="right"/>
              <w:ind w:right="217"/>
              <w:spacing w:after="0" w:line="122" w:lineRule="exact"/>
              <w:rPr>
                <w:sz w:val="20"/>
                <w:szCs w:val="20"/>
                <w:color w:val="auto"/>
              </w:rPr>
            </w:pPr>
            <w:r>
              <w:rPr>
                <w:rFonts w:ascii="Times New Roman" w:cs="Times New Roman" w:eastAsia="Times New Roman" w:hAnsi="Times New Roman"/>
                <w:sz w:val="13"/>
                <w:szCs w:val="13"/>
                <w:color w:val="auto"/>
              </w:rPr>
              <w:t>87</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45,000</w:t>
            </w:r>
          </w:p>
        </w:tc>
        <w:tc>
          <w:tcPr>
            <w:tcW w:w="11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Acme Markets</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Michaels / L.A. Fitness</w:t>
            </w:r>
          </w:p>
        </w:tc>
        <w:tc>
          <w:tcPr>
            <w:tcW w:w="0" w:type="dxa"/>
            <w:vAlign w:val="bottom"/>
          </w:tcPr>
          <w:p>
            <w:pPr>
              <w:spacing w:after="0"/>
              <w:rPr>
                <w:sz w:val="1"/>
                <w:szCs w:val="1"/>
                <w:color w:val="auto"/>
              </w:rPr>
            </w:pPr>
          </w:p>
        </w:tc>
      </w:tr>
      <w:tr>
        <w:trPr>
          <w:trHeight w:val="121"/>
        </w:trPr>
        <w:tc>
          <w:tcPr>
            <w:tcW w:w="10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City Avenue</w:t>
            </w:r>
          </w:p>
        </w:tc>
        <w:tc>
          <w:tcPr>
            <w:tcW w:w="172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Ellisburg</w:t>
            </w: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39,038</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$18.64</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47,000</w:t>
            </w:r>
          </w:p>
        </w:tc>
        <w:tc>
          <w:tcPr>
            <w:tcW w:w="11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Five Below / RH Outlet</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Flourtown</w:t>
            </w:r>
          </w:p>
        </w:tc>
        <w:tc>
          <w:tcPr>
            <w:tcW w:w="172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19,798</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$23.23</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75,000</w:t>
            </w:r>
          </w:p>
        </w:tc>
        <w:tc>
          <w:tcPr>
            <w:tcW w:w="11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Movie Tavern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Langhorne Square</w:t>
            </w: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24,464</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223,000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$20.10</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55,000</w:t>
            </w:r>
          </w:p>
        </w:tc>
        <w:tc>
          <w:tcPr>
            <w:tcW w:w="11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w w:val="99"/>
              </w:rPr>
              <w:t>Redner's Warehouse</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Planet Fitness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Markets</w:t>
            </w: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Lawrence Park</w:t>
            </w:r>
          </w:p>
        </w:tc>
        <w:tc>
          <w:tcPr>
            <w:tcW w:w="172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65,697</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$25.15</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53,000</w:t>
            </w:r>
          </w:p>
        </w:tc>
        <w:tc>
          <w:tcPr>
            <w:tcW w:w="11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Acme Markets</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HomeGoods / Barnes &amp;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Noble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Northeast</w:t>
            </w: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35,671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209,000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$21.70</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Lidl (S)</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Ulta / Skechers / Crunch</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Willow Grove</w:t>
            </w:r>
          </w:p>
        </w:tc>
        <w:tc>
          <w:tcPr>
            <w:tcW w:w="172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53,699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$25.59</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31,000</w:t>
            </w:r>
          </w:p>
        </w:tc>
        <w:tc>
          <w:tcPr>
            <w:tcW w:w="11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Amazon Food</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Five Below</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Wynnewood</w:t>
            </w: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44,252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237,000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76 %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$32.03</w:t>
            </w:r>
          </w:p>
        </w:tc>
        <w:tc>
          <w:tcPr>
            <w:tcW w:w="660" w:type="dxa"/>
            <w:vAlign w:val="bottom"/>
            <w:shd w:val="clear" w:color="auto" w:fill="CCEEFF"/>
          </w:tcPr>
          <w:p>
            <w:pPr>
              <w:jc w:val="right"/>
              <w:ind w:right="237"/>
              <w:spacing w:after="0" w:line="122" w:lineRule="exact"/>
              <w:rPr>
                <w:sz w:val="20"/>
                <w:szCs w:val="20"/>
                <w:color w:val="auto"/>
              </w:rPr>
            </w:pPr>
            <w:r>
              <w:rPr>
                <w:rFonts w:ascii="Times New Roman" w:cs="Times New Roman" w:eastAsia="Times New Roman" w:hAnsi="Times New Roman"/>
                <w:sz w:val="13"/>
                <w:szCs w:val="13"/>
                <w:color w:val="auto"/>
              </w:rPr>
              <w:t>9</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98,000</w:t>
            </w:r>
          </w:p>
        </w:tc>
        <w:tc>
          <w:tcPr>
            <w:tcW w:w="11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Old Navy / DSW</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80" w:type="dxa"/>
            <w:vAlign w:val="bottom"/>
            <w:gridSpan w:val="4"/>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Total Philadelphia Metropolitan Area</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404,156</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1,956,000</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4"/>
                <w:szCs w:val="14"/>
                <w:color w:val="auto"/>
              </w:rPr>
            </w:pPr>
          </w:p>
        </w:tc>
        <w:tc>
          <w:tcPr>
            <w:tcW w:w="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4"/>
              </w:rPr>
              <w:t>$23.94</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South Florida</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CocoWalk</w:t>
            </w:r>
          </w:p>
        </w:tc>
        <w:tc>
          <w:tcPr>
            <w:tcW w:w="172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(8)  Miami-Fort Lauderdale-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205,536</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278,000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$48.82</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Cinepolis Theaters / Youfit Health Club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West Palm Beach, FL</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22"/>
        </w:trPr>
        <w:tc>
          <w:tcPr>
            <w:tcW w:w="10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Del Mar Village</w:t>
            </w:r>
          </w:p>
        </w:tc>
        <w:tc>
          <w:tcPr>
            <w:tcW w:w="172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Miami-Fort Lauderdale-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76,121</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$24.53</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44,000</w:t>
            </w:r>
          </w:p>
        </w:tc>
        <w:tc>
          <w:tcPr>
            <w:tcW w:w="11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Winn Dixie</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West Palm Beach, FL</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Shops at Pembroke</w:t>
            </w: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Miami-Fort Lauderdale-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186,815</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391,000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$31.98</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Nike Factory / Old Navy / DSW / Barnes</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Gardens</w:t>
            </w:r>
          </w:p>
        </w:tc>
        <w:tc>
          <w:tcPr>
            <w:tcW w:w="1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West Palm Beach, FL</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&amp; Noble</w:t>
            </w:r>
          </w:p>
        </w:tc>
        <w:tc>
          <w:tcPr>
            <w:tcW w:w="0" w:type="dxa"/>
            <w:vAlign w:val="bottom"/>
          </w:tcPr>
          <w:p>
            <w:pPr>
              <w:spacing w:after="0"/>
              <w:rPr>
                <w:sz w:val="1"/>
                <w:szCs w:val="1"/>
                <w:color w:val="auto"/>
              </w:rPr>
            </w:pPr>
          </w:p>
        </w:tc>
      </w:tr>
      <w:tr>
        <w:trPr>
          <w:trHeight w:val="121"/>
        </w:trPr>
        <w:tc>
          <w:tcPr>
            <w:tcW w:w="10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Tower Shops</w:t>
            </w:r>
          </w:p>
        </w:tc>
        <w:tc>
          <w:tcPr>
            <w:tcW w:w="172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Miami-Fort Lauderdale-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106,330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431,000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$28.17</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12,000</w:t>
            </w:r>
          </w:p>
        </w:tc>
        <w:tc>
          <w:tcPr>
            <w:tcW w:w="11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w w:val="97"/>
              </w:rPr>
              <w:t>Trader Joe's / Costco</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Ross Dress For Less / Best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West Palm Beach, FL</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w:t>
            </w:r>
          </w:p>
        </w:tc>
        <w:tc>
          <w:tcPr>
            <w:tcW w:w="2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Buy / Ulta</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Total South Florida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574,802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1,287,000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4"/>
              </w:rPr>
              <w:t>$33.33</w:t>
            </w: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Baltimore</w:t>
            </w:r>
          </w:p>
        </w:tc>
        <w:tc>
          <w:tcPr>
            <w:tcW w:w="460" w:type="dxa"/>
            <w:vAlign w:val="bottom"/>
            <w:tcBorders>
              <w:bottom w:val="single" w:sz="8" w:color="CCEEFF"/>
            </w:tcBorders>
            <w:gridSpan w:val="2"/>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Governor Plaza</w:t>
            </w:r>
          </w:p>
        </w:tc>
        <w:tc>
          <w:tcPr>
            <w:tcW w:w="172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35,452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$19.96</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16,500</w:t>
            </w:r>
          </w:p>
        </w:tc>
        <w:tc>
          <w:tcPr>
            <w:tcW w:w="11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Dick's Sporting Goods / Ross Dress for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 Petco / Bob's Discount Furniture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Perring Plaza</w:t>
            </w: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42,009</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398,000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$16.97</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57,000</w:t>
            </w:r>
          </w:p>
        </w:tc>
        <w:tc>
          <w:tcPr>
            <w:tcW w:w="11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1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Home Depot / Dick's Sporting Goods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Micro Center</w:t>
            </w:r>
          </w:p>
        </w:tc>
        <w:tc>
          <w:tcPr>
            <w:tcW w:w="0" w:type="dxa"/>
            <w:vAlign w:val="bottom"/>
          </w:tcPr>
          <w:p>
            <w:pPr>
              <w:spacing w:after="0"/>
              <w:rPr>
                <w:sz w:val="1"/>
                <w:szCs w:val="1"/>
                <w:color w:val="auto"/>
              </w:rPr>
            </w:pPr>
          </w:p>
        </w:tc>
      </w:tr>
      <w:tr>
        <w:trPr>
          <w:trHeight w:val="121"/>
        </w:trPr>
        <w:tc>
          <w:tcPr>
            <w:tcW w:w="10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THE AVENUE at</w:t>
            </w:r>
          </w:p>
        </w:tc>
        <w:tc>
          <w:tcPr>
            <w:tcW w:w="17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(6)  Baltimore-Columbia-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137,200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315,000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$28.97</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AMC / Ulta / Old Navy / Nike</w:t>
            </w:r>
          </w:p>
        </w:tc>
        <w:tc>
          <w:tcPr>
            <w:tcW w:w="0" w:type="dxa"/>
            <w:vAlign w:val="bottom"/>
          </w:tcPr>
          <w:p>
            <w:pPr>
              <w:spacing w:after="0"/>
              <w:rPr>
                <w:sz w:val="1"/>
                <w:szCs w:val="1"/>
                <w:color w:val="auto"/>
              </w:rPr>
            </w:pPr>
          </w:p>
        </w:tc>
      </w:tr>
      <w:tr>
        <w:trPr>
          <w:trHeight w:val="164"/>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White Marsh</w:t>
            </w: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The Shoppes at</w:t>
            </w:r>
          </w:p>
        </w:tc>
        <w:tc>
          <w:tcPr>
            <w:tcW w:w="1720" w:type="dxa"/>
            <w:vAlign w:val="bottom"/>
            <w:gridSpan w:val="2"/>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19,612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$54.96</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Nottingham Square</w:t>
            </w:r>
          </w:p>
        </w:tc>
        <w:tc>
          <w:tcPr>
            <w:tcW w:w="1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40" w:top="1028" w:right="35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Rent</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Anchor</w:t>
            </w:r>
          </w:p>
        </w:tc>
        <w:tc>
          <w:tcPr>
            <w:tcW w:w="11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Occupied(1)</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PSF (2)</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w w:val="96"/>
              </w:rPr>
              <w:t>Grocery Anchor (3)</w:t>
            </w:r>
          </w:p>
        </w:tc>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80" w:type="dxa"/>
            <w:vAlign w:val="bottom"/>
            <w:gridSpan w:val="4"/>
          </w:tcPr>
          <w:p>
            <w:pPr>
              <w:ind w:left="20"/>
              <w:spacing w:after="0" w:line="144" w:lineRule="exact"/>
              <w:rPr>
                <w:sz w:val="20"/>
                <w:szCs w:val="20"/>
                <w:color w:val="auto"/>
              </w:rPr>
            </w:pPr>
            <w:r>
              <w:rPr>
                <w:rFonts w:ascii="Times New Roman" w:cs="Times New Roman" w:eastAsia="Times New Roman" w:hAnsi="Times New Roman"/>
                <w:sz w:val="13"/>
                <w:szCs w:val="13"/>
                <w:color w:val="auto"/>
              </w:rPr>
              <w:t>White Marsh</w:t>
            </w:r>
          </w:p>
        </w:tc>
        <w:tc>
          <w:tcPr>
            <w:tcW w:w="380" w:type="dxa"/>
            <w:vAlign w:val="bottom"/>
          </w:tcPr>
          <w:p>
            <w:pPr>
              <w:spacing w:after="0"/>
              <w:rPr>
                <w:sz w:val="12"/>
                <w:szCs w:val="12"/>
                <w:color w:val="auto"/>
              </w:rPr>
            </w:pPr>
          </w:p>
        </w:tc>
        <w:tc>
          <w:tcPr>
            <w:tcW w:w="13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Baltimore-Columbia-</w:t>
            </w:r>
          </w:p>
        </w:tc>
        <w:tc>
          <w:tcPr>
            <w:tcW w:w="7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26,209</w:t>
            </w: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51,000</w:t>
            </w:r>
          </w:p>
        </w:tc>
        <w:tc>
          <w:tcPr>
            <w:tcW w:w="8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86</w:t>
            </w:r>
          </w:p>
        </w:tc>
        <w:tc>
          <w:tcPr>
            <w:tcW w:w="1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w w:val="94"/>
              </w:rPr>
              <w:t>$39.79</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Towson, MD</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White Marsh</w:t>
            </w:r>
          </w:p>
        </w:tc>
        <w:tc>
          <w:tcPr>
            <w:tcW w:w="380" w:type="dxa"/>
            <w:vAlign w:val="bottom"/>
            <w:shd w:val="clear" w:color="auto" w:fill="CCEEFF"/>
          </w:tcPr>
          <w:p>
            <w:pPr>
              <w:spacing w:after="0"/>
              <w:rPr>
                <w:sz w:val="10"/>
                <w:szCs w:val="10"/>
                <w:color w:val="auto"/>
              </w:rPr>
            </w:pPr>
          </w:p>
        </w:tc>
        <w:tc>
          <w:tcPr>
            <w:tcW w:w="13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27,090</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80,000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$24.07</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54,000</w:t>
            </w:r>
          </w:p>
        </w:tc>
        <w:tc>
          <w:tcPr>
            <w:tcW w:w="11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Plaza</w:t>
            </w:r>
          </w:p>
        </w:tc>
        <w:tc>
          <w:tcPr>
            <w:tcW w:w="3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Towson, MD</w:t>
            </w:r>
          </w:p>
        </w:tc>
        <w:tc>
          <w:tcPr>
            <w:tcW w:w="7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Baltimore</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287,572</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1,120,000</w:t>
            </w:r>
          </w:p>
        </w:tc>
        <w:tc>
          <w:tcPr>
            <w:tcW w:w="8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4"/>
              </w:rPr>
              <w:t>$23.70</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Chicago</w:t>
            </w:r>
          </w:p>
        </w:tc>
        <w:tc>
          <w:tcPr>
            <w:tcW w:w="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Crossroads</w:t>
            </w:r>
          </w:p>
        </w:tc>
        <w:tc>
          <w:tcPr>
            <w:tcW w:w="380" w:type="dxa"/>
            <w:vAlign w:val="bottom"/>
            <w:shd w:val="clear" w:color="auto" w:fill="CCEEFF"/>
          </w:tcPr>
          <w:p>
            <w:pPr>
              <w:spacing w:after="0"/>
              <w:rPr>
                <w:sz w:val="10"/>
                <w:szCs w:val="10"/>
                <w:color w:val="auto"/>
              </w:rPr>
            </w:pPr>
          </w:p>
        </w:tc>
        <w:tc>
          <w:tcPr>
            <w:tcW w:w="13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Chicago-Naperville-Elgin,</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37,787</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168,000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$23.56</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 Fitness / Ulta / Binny's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IL-IN-WI</w:t>
            </w:r>
          </w:p>
        </w:tc>
        <w:tc>
          <w:tcPr>
            <w:tcW w:w="7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Ferguson's Bath, Kitchen &amp; Lighting</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Gallery</w:t>
            </w:r>
          </w:p>
        </w:tc>
        <w:tc>
          <w:tcPr>
            <w:tcW w:w="0" w:type="dxa"/>
            <w:vAlign w:val="bottom"/>
          </w:tcPr>
          <w:p>
            <w:pPr>
              <w:spacing w:after="0"/>
              <w:rPr>
                <w:sz w:val="1"/>
                <w:szCs w:val="1"/>
                <w:color w:val="auto"/>
              </w:rPr>
            </w:pPr>
          </w:p>
        </w:tc>
      </w:tr>
      <w:tr>
        <w:trPr>
          <w:trHeight w:val="122"/>
        </w:trPr>
        <w:tc>
          <w:tcPr>
            <w:tcW w:w="9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Finley Square</w:t>
            </w:r>
          </w:p>
        </w:tc>
        <w:tc>
          <w:tcPr>
            <w:tcW w:w="380" w:type="dxa"/>
            <w:vAlign w:val="bottom"/>
          </w:tcPr>
          <w:p>
            <w:pPr>
              <w:spacing w:after="0"/>
              <w:rPr>
                <w:sz w:val="10"/>
                <w:szCs w:val="10"/>
                <w:color w:val="auto"/>
              </w:rPr>
            </w:pPr>
          </w:p>
        </w:tc>
        <w:tc>
          <w:tcPr>
            <w:tcW w:w="1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Chicago-Naperville-Elgin,</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39,177</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258,000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79</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58</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$21.04</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Michaels / Five Below / Portillo's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IL-IN-WI</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Garden Market</w:t>
            </w:r>
          </w:p>
        </w:tc>
        <w:tc>
          <w:tcPr>
            <w:tcW w:w="380" w:type="dxa"/>
            <w:vAlign w:val="bottom"/>
            <w:shd w:val="clear" w:color="auto" w:fill="CCEEFF"/>
          </w:tcPr>
          <w:p>
            <w:pPr>
              <w:spacing w:after="0"/>
              <w:rPr>
                <w:sz w:val="10"/>
                <w:szCs w:val="10"/>
                <w:color w:val="auto"/>
              </w:rPr>
            </w:pPr>
          </w:p>
        </w:tc>
        <w:tc>
          <w:tcPr>
            <w:tcW w:w="13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Chicago-Naperville-Elgin,</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16,802</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139,000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$15.91</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63,000</w:t>
            </w:r>
          </w:p>
        </w:tc>
        <w:tc>
          <w:tcPr>
            <w:tcW w:w="11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Mariano's Fresh</w:t>
            </w:r>
          </w:p>
        </w:tc>
        <w:tc>
          <w:tcPr>
            <w:tcW w:w="20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IL-IN-WI</w:t>
            </w: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Market</w:t>
            </w:r>
          </w:p>
        </w:tc>
        <w:tc>
          <w:tcPr>
            <w:tcW w:w="2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Riverpoint Center</w:t>
            </w:r>
          </w:p>
        </w:tc>
        <w:tc>
          <w:tcPr>
            <w:tcW w:w="380" w:type="dxa"/>
            <w:vAlign w:val="bottom"/>
          </w:tcPr>
          <w:p>
            <w:pPr>
              <w:spacing w:after="0"/>
              <w:rPr>
                <w:sz w:val="10"/>
                <w:szCs w:val="10"/>
                <w:color w:val="auto"/>
              </w:rPr>
            </w:pPr>
          </w:p>
        </w:tc>
        <w:tc>
          <w:tcPr>
            <w:tcW w:w="1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Chicago-Naperville-Elgin,</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122,844</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211,000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$21.47</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86,000</w:t>
            </w:r>
          </w:p>
        </w:tc>
        <w:tc>
          <w:tcPr>
            <w:tcW w:w="11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Jewel Osco</w:t>
            </w:r>
          </w:p>
        </w:tc>
        <w:tc>
          <w:tcPr>
            <w:tcW w:w="20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Marshalls / Old Navy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IL-IN-WI</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Chicago</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216,610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776,000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4"/>
              </w:rPr>
              <w:t>$20.71</w:t>
            </w: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960" w:type="dxa"/>
            <w:vAlign w:val="bottom"/>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3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Barracks Road</w:t>
            </w:r>
          </w:p>
        </w:tc>
        <w:tc>
          <w:tcPr>
            <w:tcW w:w="380" w:type="dxa"/>
            <w:vAlign w:val="bottom"/>
          </w:tcPr>
          <w:p>
            <w:pPr>
              <w:spacing w:after="0"/>
              <w:rPr>
                <w:sz w:val="10"/>
                <w:szCs w:val="10"/>
                <w:color w:val="auto"/>
              </w:rPr>
            </w:pPr>
          </w:p>
        </w:tc>
        <w:tc>
          <w:tcPr>
            <w:tcW w:w="1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Charlottesville, VA</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75,481</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495,000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$29.22</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99,000</w:t>
            </w:r>
          </w:p>
        </w:tc>
        <w:tc>
          <w:tcPr>
            <w:tcW w:w="11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 /</w:t>
            </w:r>
          </w:p>
        </w:tc>
        <w:tc>
          <w:tcPr>
            <w:tcW w:w="20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Anthropologie / Old Navy / Ulta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Kroger</w:t>
            </w:r>
          </w:p>
        </w:tc>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Michaels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Bristol Plaza</w:t>
            </w:r>
          </w:p>
        </w:tc>
        <w:tc>
          <w:tcPr>
            <w:tcW w:w="380" w:type="dxa"/>
            <w:vAlign w:val="bottom"/>
            <w:shd w:val="clear" w:color="auto" w:fill="CCEEFF"/>
          </w:tcPr>
          <w:p>
            <w:pPr>
              <w:spacing w:after="0"/>
              <w:rPr>
                <w:sz w:val="10"/>
                <w:szCs w:val="10"/>
                <w:color w:val="auto"/>
              </w:rPr>
            </w:pPr>
          </w:p>
        </w:tc>
        <w:tc>
          <w:tcPr>
            <w:tcW w:w="13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Hartford-West Hartford-</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36,889</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264,000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$15.63</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74,000</w:t>
            </w:r>
          </w:p>
        </w:tc>
        <w:tc>
          <w:tcPr>
            <w:tcW w:w="11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Stop &amp; Shop</w:t>
            </w:r>
          </w:p>
        </w:tc>
        <w:tc>
          <w:tcPr>
            <w:tcW w:w="20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TJ Maxx / Burlington</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East Hartford, CT</w:t>
            </w: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Camelback</w:t>
            </w: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Phoenix-Mesa-Chandler,</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182,538</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642,000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$18.40</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82,000</w:t>
            </w:r>
          </w:p>
        </w:tc>
        <w:tc>
          <w:tcPr>
            <w:tcW w:w="11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Fry's Food &amp; Drug</w:t>
            </w:r>
          </w:p>
        </w:tc>
        <w:tc>
          <w:tcPr>
            <w:tcW w:w="20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Marshalls / Nordstrom Last Chance /</w:t>
            </w:r>
          </w:p>
        </w:tc>
        <w:tc>
          <w:tcPr>
            <w:tcW w:w="0" w:type="dxa"/>
            <w:vAlign w:val="bottom"/>
          </w:tcPr>
          <w:p>
            <w:pPr>
              <w:spacing w:after="0"/>
              <w:rPr>
                <w:sz w:val="1"/>
                <w:szCs w:val="1"/>
                <w:color w:val="auto"/>
              </w:rPr>
            </w:pPr>
          </w:p>
        </w:tc>
      </w:tr>
      <w:tr>
        <w:trPr>
          <w:trHeight w:val="164"/>
        </w:trPr>
        <w:tc>
          <w:tcPr>
            <w:tcW w:w="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Colonnade</w:t>
            </w:r>
          </w:p>
        </w:tc>
        <w:tc>
          <w:tcPr>
            <w:tcW w:w="38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AZ</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Best Buy / Floor &amp; Décor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Gratiot Plaza</w:t>
            </w:r>
          </w:p>
        </w:tc>
        <w:tc>
          <w:tcPr>
            <w:tcW w:w="380" w:type="dxa"/>
            <w:vAlign w:val="bottom"/>
            <w:shd w:val="clear" w:color="auto" w:fill="CCEEFF"/>
          </w:tcPr>
          <w:p>
            <w:pPr>
              <w:spacing w:after="0"/>
              <w:rPr>
                <w:sz w:val="10"/>
                <w:szCs w:val="10"/>
                <w:color w:val="auto"/>
              </w:rPr>
            </w:pPr>
          </w:p>
        </w:tc>
        <w:tc>
          <w:tcPr>
            <w:tcW w:w="13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Detroit-Warren-Dearborn,</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20,864</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205,000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$14.23</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69,000</w:t>
            </w:r>
          </w:p>
        </w:tc>
        <w:tc>
          <w:tcPr>
            <w:tcW w:w="11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Kroger</w:t>
            </w:r>
          </w:p>
        </w:tc>
        <w:tc>
          <w:tcPr>
            <w:tcW w:w="20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Best Buy / DSW</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w:t>
            </w: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Lancaster</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w:t>
            </w: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Lancaster, PA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8,657</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4"/>
              </w:rPr>
              <w:t>$19.46</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75,000</w:t>
            </w:r>
          </w:p>
        </w:tc>
        <w:tc>
          <w:tcPr>
            <w:tcW w:w="1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AutoZone</w:t>
            </w:r>
          </w:p>
        </w:tc>
        <w:tc>
          <w:tcPr>
            <w:tcW w:w="0" w:type="dxa"/>
            <w:vAlign w:val="bottom"/>
          </w:tcPr>
          <w:p>
            <w:pPr>
              <w:spacing w:after="0"/>
              <w:rPr>
                <w:sz w:val="1"/>
                <w:szCs w:val="1"/>
                <w:color w:val="auto"/>
              </w:rPr>
            </w:pPr>
          </w:p>
        </w:tc>
      </w:tr>
      <w:tr>
        <w:trPr>
          <w:trHeight w:val="127"/>
        </w:trPr>
        <w:tc>
          <w:tcPr>
            <w:tcW w:w="980" w:type="dxa"/>
            <w:vAlign w:val="bottom"/>
            <w:gridSpan w:val="4"/>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The Shops at</w:t>
            </w:r>
          </w:p>
        </w:tc>
        <w:tc>
          <w:tcPr>
            <w:tcW w:w="38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2"/>
              </w:rPr>
              <w:t>(4)(5)</w:t>
            </w:r>
          </w:p>
        </w:tc>
        <w:tc>
          <w:tcPr>
            <w:tcW w:w="13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Phoenix-Mesa-Chandler,</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87,985</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305,000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86</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85</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w w:val="94"/>
              </w:rPr>
              <w:t>$36.25</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CVS / Houston's</w:t>
            </w:r>
          </w:p>
        </w:tc>
        <w:tc>
          <w:tcPr>
            <w:tcW w:w="0" w:type="dxa"/>
            <w:vAlign w:val="bottom"/>
          </w:tcPr>
          <w:p>
            <w:pPr>
              <w:spacing w:after="0"/>
              <w:rPr>
                <w:sz w:val="1"/>
                <w:szCs w:val="1"/>
                <w:color w:val="auto"/>
              </w:rPr>
            </w:pPr>
          </w:p>
        </w:tc>
      </w:tr>
      <w:tr>
        <w:trPr>
          <w:trHeight w:val="169"/>
        </w:trPr>
        <w:tc>
          <w:tcPr>
            <w:tcW w:w="9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Hilton Village</w:t>
            </w:r>
          </w:p>
        </w:tc>
        <w:tc>
          <w:tcPr>
            <w:tcW w:w="3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AZ</w:t>
            </w: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29th Place</w:t>
            </w:r>
          </w:p>
        </w:tc>
        <w:tc>
          <w:tcPr>
            <w:tcW w:w="38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Charlottesville, VA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40,893</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4"/>
              </w:rPr>
              <w:t>$21.50</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HomeGoods / DSW / Staples</w:t>
            </w:r>
          </w:p>
        </w:tc>
        <w:tc>
          <w:tcPr>
            <w:tcW w:w="0" w:type="dxa"/>
            <w:vAlign w:val="bottom"/>
          </w:tcPr>
          <w:p>
            <w:pPr>
              <w:spacing w:after="0"/>
              <w:rPr>
                <w:sz w:val="1"/>
                <w:szCs w:val="1"/>
                <w:color w:val="auto"/>
              </w:rPr>
            </w:pPr>
          </w:p>
        </w:tc>
      </w:tr>
      <w:tr>
        <w:trPr>
          <w:trHeight w:val="127"/>
        </w:trPr>
        <w:tc>
          <w:tcPr>
            <w:tcW w:w="980" w:type="dxa"/>
            <w:vAlign w:val="bottom"/>
            <w:gridSpan w:val="4"/>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Willow Lawn</w:t>
            </w:r>
          </w:p>
        </w:tc>
        <w:tc>
          <w:tcPr>
            <w:tcW w:w="38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Richmond, VA</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108,895</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462,000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w w:val="94"/>
              </w:rPr>
              <w:t>$23.48</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66,000</w:t>
            </w:r>
          </w:p>
        </w:tc>
        <w:tc>
          <w:tcPr>
            <w:tcW w:w="114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Kroger</w:t>
            </w:r>
          </w:p>
        </w:tc>
        <w:tc>
          <w:tcPr>
            <w:tcW w:w="20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7"/>
              </w:rPr>
              <w:t>Old Navy / Ross Dress for Less / Gold's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Gym / Dick's Sporting Goods / Ulta</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Other</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562,202</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2,667,000</w:t>
            </w:r>
          </w:p>
        </w:tc>
        <w:tc>
          <w:tcPr>
            <w:tcW w:w="8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4"/>
              </w:rPr>
              <w:t>$22.94</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gridSpan w:val="2"/>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2"/>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20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9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Grand Total</w:t>
            </w: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$ 10,903,713</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2,166</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26,832,000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96 %</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94 %</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w w:val="94"/>
              </w:rPr>
              <w:t>$31.81</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3,104</w:t>
            </w: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1" w:lineRule="exact"/>
        <w:rPr>
          <w:sz w:val="20"/>
          <w:szCs w:val="20"/>
          <w:color w:val="auto"/>
        </w:rPr>
      </w:pPr>
    </w:p>
    <w:p>
      <w:pPr>
        <w:ind w:left="580" w:right="180" w:hanging="561"/>
        <w:spacing w:after="0" w:line="239" w:lineRule="auto"/>
        <w:tabs>
          <w:tab w:leader="none" w:pos="5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Represents the GLA, percentage leased, and percentage occupied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4" w:lineRule="exact"/>
        <w:rPr>
          <w:rFonts w:ascii="Times New Roman" w:cs="Times New Roman" w:eastAsia="Times New Roman" w:hAnsi="Times New Roman"/>
          <w:sz w:val="14"/>
          <w:szCs w:val="14"/>
          <w:color w:val="auto"/>
        </w:rPr>
      </w:pPr>
    </w:p>
    <w:p>
      <w:pPr>
        <w:ind w:left="580" w:right="40" w:hanging="561"/>
        <w:spacing w:after="0" w:line="239" w:lineRule="auto"/>
        <w:tabs>
          <w:tab w:leader="none" w:pos="5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Calculated as the aggregate, annualized in-place contractual (defined as cash basis excluding rent abatements) minimum rents for all occupied spaces divided by the aggregate GLA of all occupied spaces.</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TBA indicates that a lease is signed.</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this property is owned pursuant to a ground lease.</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Trust has a controlling financial interest in this property.</w:t>
      </w:r>
    </w:p>
    <w:p>
      <w:pPr>
        <w:spacing w:after="0" w:line="41" w:lineRule="exact"/>
        <w:rPr>
          <w:rFonts w:ascii="Times New Roman" w:cs="Times New Roman" w:eastAsia="Times New Roman" w:hAnsi="Times New Roman"/>
          <w:sz w:val="14"/>
          <w:szCs w:val="14"/>
          <w:color w:val="auto"/>
        </w:rPr>
      </w:pPr>
    </w:p>
    <w:p>
      <w:pPr>
        <w:ind w:left="580" w:right="340" w:hanging="561"/>
        <w:spacing w:after="0" w:line="239" w:lineRule="auto"/>
        <w:tabs>
          <w:tab w:leader="none" w:pos="5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40 buildings primarily along Washington Street and 14th Street in Hoboken, New Jersey.</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CocoWalk and four buildings in Coconut Grove.</w:t>
      </w:r>
    </w:p>
    <w:p>
      <w:pPr>
        <w:spacing w:after="0" w:line="42" w:lineRule="exact"/>
        <w:rPr>
          <w:sz w:val="20"/>
          <w:szCs w:val="20"/>
          <w:color w:val="auto"/>
        </w:rPr>
      </w:pPr>
    </w:p>
    <w:p>
      <w:pPr>
        <w:ind w:left="580" w:hanging="561"/>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Grocer is a shadow anchor located adjacent to the property, but is not part of the owned property.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40" w:top="102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Retail Leasing Summary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Total Lease Summary - Comparable (2)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1"/>
                <w:szCs w:val="11"/>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Leases</w:t>
            </w:r>
          </w:p>
        </w:tc>
        <w:tc>
          <w:tcPr>
            <w:tcW w:w="1020" w:type="dxa"/>
            <w:vAlign w:val="bottom"/>
            <w:gridSpan w:val="4"/>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6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Rent (3) Per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Signed</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Sq. Ft. (PSF)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2024</w:t>
            </w:r>
          </w:p>
        </w:tc>
        <w:tc>
          <w:tcPr>
            <w:tcW w:w="72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649,372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34.29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2,020,370</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16,035,867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2024</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580,977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34.94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30.51</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2,570,061</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15,265,974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2024</w:t>
            </w: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37.72</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2,039,521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15,045,191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2024</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566,865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36.39</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33.30</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1,750,831</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15,902,708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0" w:type="dxa"/>
            <w:vAlign w:val="bottom"/>
          </w:tcPr>
          <w:p>
            <w:pPr>
              <w:spacing w:after="0"/>
              <w:rPr>
                <w:sz w:val="1"/>
                <w:szCs w:val="1"/>
                <w:color w:val="auto"/>
              </w:rPr>
            </w:pPr>
          </w:p>
        </w:tc>
      </w:tr>
      <w:tr>
        <w:trPr>
          <w:trHeight w:val="228"/>
        </w:trPr>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2,391,575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8,380,783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62,249,740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9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New Lease Summary - Comparable (2)</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Leases</w:t>
            </w:r>
          </w:p>
        </w:tc>
        <w:tc>
          <w:tcPr>
            <w:tcW w:w="1020" w:type="dxa"/>
            <w:vAlign w:val="bottom"/>
            <w:gridSpan w:val="4"/>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Signed</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2024</w:t>
            </w:r>
          </w:p>
        </w:tc>
        <w:tc>
          <w:tcPr>
            <w:tcW w:w="72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49 %</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213,306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39.60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866,876</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13,999,311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2024</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229,736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39.27</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32.77</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1,493,915</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15,140,988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65.91</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2024</w:t>
            </w: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34.58</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1,173,072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14,209,970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2024</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222,415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39.45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32.99</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1,438,272</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14,313,788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w:t>
            </w:r>
          </w:p>
        </w:tc>
        <w:tc>
          <w:tcPr>
            <w:tcW w:w="0" w:type="dxa"/>
            <w:vAlign w:val="bottom"/>
          </w:tcPr>
          <w:p>
            <w:pPr>
              <w:spacing w:after="0"/>
              <w:rPr>
                <w:sz w:val="1"/>
                <w:szCs w:val="1"/>
                <w:color w:val="auto"/>
              </w:rPr>
            </w:pPr>
          </w:p>
        </w:tc>
      </w:tr>
      <w:tr>
        <w:trPr>
          <w:trHeight w:val="228"/>
        </w:trPr>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978,822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4,972,135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57,664,057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58.91</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9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Renewal Lease Summary - Comparable (2) (7)</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Leases</w:t>
            </w:r>
          </w:p>
        </w:tc>
        <w:tc>
          <w:tcPr>
            <w:tcW w:w="1020" w:type="dxa"/>
            <w:vAlign w:val="bottom"/>
            <w:gridSpan w:val="4"/>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Signed</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2024</w:t>
            </w:r>
          </w:p>
        </w:tc>
        <w:tc>
          <w:tcPr>
            <w:tcW w:w="72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51 %</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436,066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31.69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1,153,494</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2,036,556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2024</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52 %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351,241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32.10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29.04</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1,076,146</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124,986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2024</w:t>
            </w: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41.24</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866,449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2024</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344,450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34.41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33.51</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312,559</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1,588,920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228"/>
        </w:trPr>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3,408,648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4,585,683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and Non-comparable (2) (8)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9"/>
                <w:szCs w:val="9"/>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of Comparable</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Leases</w:t>
            </w:r>
          </w:p>
        </w:tc>
        <w:tc>
          <w:tcPr>
            <w:tcW w:w="160" w:type="dxa"/>
            <w:vAlign w:val="bottom"/>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2024</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653,869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34.53</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16,702,801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592,527</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35.04</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15,952,885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600,669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37.77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15,045,191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1st Quarter 2024</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587,329</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36.94</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16,427,528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0" w:type="dxa"/>
            <w:vAlign w:val="bottom"/>
          </w:tcPr>
          <w:p>
            <w:pPr>
              <w:spacing w:after="0"/>
              <w:rPr>
                <w:sz w:val="1"/>
                <w:szCs w:val="1"/>
                <w:color w:val="auto"/>
              </w:rPr>
            </w:pPr>
          </w:p>
        </w:tc>
      </w:tr>
      <w:tr>
        <w:trPr>
          <w:trHeight w:val="228"/>
        </w:trPr>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2,434,394</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36.04</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64,128,405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6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Non-comparable, and Option Exercises (2) (8) (9)</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2024</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883,840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31.94</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16,702,801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813,665</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33.17</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15,952,885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805,880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36.03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15,045,191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1st Quarter 2024</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831,076</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34.55</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16,427,528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w:t>
            </w:r>
          </w:p>
        </w:tc>
        <w:tc>
          <w:tcPr>
            <w:tcW w:w="0" w:type="dxa"/>
            <w:vAlign w:val="bottom"/>
          </w:tcPr>
          <w:p>
            <w:pPr>
              <w:spacing w:after="0"/>
              <w:rPr>
                <w:sz w:val="1"/>
                <w:szCs w:val="1"/>
                <w:color w:val="auto"/>
              </w:rPr>
            </w:pPr>
          </w:p>
        </w:tc>
      </w:tr>
      <w:tr>
        <w:trPr>
          <w:trHeight w:val="228"/>
        </w:trPr>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3,334,461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33.88</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64,128,405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42" w:lineRule="exact"/>
        <w:rPr>
          <w:sz w:val="20"/>
          <w:szCs w:val="20"/>
          <w:color w:val="auto"/>
        </w:rPr>
      </w:pPr>
    </w:p>
    <w:p>
      <w:pPr>
        <w:ind w:left="580" w:right="60" w:hanging="567"/>
        <w:spacing w:after="0" w:line="251" w:lineRule="auto"/>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reflects activity in retail spaces only for consolidated properties; office and residential spaces are not included. See Glossary of Terms for further discussion of information included above.</w:t>
      </w:r>
    </w:p>
    <w:p>
      <w:pPr>
        <w:ind w:left="580" w:hanging="567"/>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Comparable leases represent those leases signed on spaces for which there was a former tenant. Contractual option exercises are not included unless they are fair market value options.</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rent represents annual rent under the new lease.</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rent represents contractual rent, including percentage rent considered part of base rent, from the prior tenant in the final 12 months of the term.</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is determined on the basis of contractual rent for the lease.</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Glossary of Terms.</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 leases represent expiring leases rolling over with the same tenant in the same location. All other leases are categorized as new.</w:t>
      </w:r>
    </w:p>
    <w:p>
      <w:pPr>
        <w:spacing w:after="0" w:line="41" w:lineRule="exact"/>
        <w:rPr>
          <w:rFonts w:ascii="Times New Roman" w:cs="Times New Roman" w:eastAsia="Times New Roman" w:hAnsi="Times New Roman"/>
          <w:sz w:val="14"/>
          <w:szCs w:val="14"/>
          <w:color w:val="auto"/>
        </w:rPr>
      </w:pPr>
    </w:p>
    <w:p>
      <w:pPr>
        <w:ind w:left="580" w:right="160" w:hanging="567"/>
        <w:spacing w:after="0" w:line="241" w:lineRule="auto"/>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Leases Signed, GLA Signed, Contractual Rent Per Sq. Ft. and Weighted Average Lease Term columns include information for leases signed at Phase III of Assembly Row and Phase IV of Pike &amp; Rose. The Tenant Improvements &amp; Incentives and Tenant Improvements &amp; Incentives Per Sq. Ft. columns do not include the tenant improvements and incentives on leases signed for those projects; these amounts for leases signed are included in the projected costs for the respective projects.</w:t>
      </w:r>
    </w:p>
    <w:p>
      <w:pPr>
        <w:spacing w:after="0" w:line="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exercises reflect a fixed rate contractual option under the lease agreement that was exercised during the period reflected.</w:t>
      </w:r>
    </w:p>
    <w:p>
      <w:pPr>
        <w:sectPr>
          <w:pgSz w:w="11900" w:h="16838" w:orient="portrait"/>
          <w:cols w:equalWidth="0" w:num="1">
            <w:col w:w="11180"/>
          </w:cols>
          <w:pgMar w:left="360" w:top="704" w:right="35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0"/>
          </w:cols>
          <w:pgMar w:left="360" w:top="704" w:right="359" w:bottom="1440" w:gutter="0" w:footer="0" w:header="0"/>
          <w:type w:val="continuous"/>
        </w:sectPr>
      </w:pPr>
    </w:p>
    <w:bookmarkStart w:id="27" w:name="page28"/>
    <w:bookmarkEnd w:id="27"/>
    <w:p>
      <w:pPr>
        <w:ind w:left="1"/>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2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6828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2875" cy="154305"/>
                    </a:xfrm>
                    <a:prstGeom prst="rect">
                      <a:avLst/>
                    </a:prstGeom>
                    <a:noFill/>
                  </pic:spPr>
                </pic:pic>
              </a:graphicData>
            </a:graphic>
          </wp:anchor>
        </w:drawing>
      </w:r>
    </w:p>
    <w:p>
      <w:pPr>
        <w:spacing w:after="0" w:line="230"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118" w:lineRule="exact"/>
        <w:rPr>
          <w:sz w:val="20"/>
          <w:szCs w:val="20"/>
          <w:color w:val="auto"/>
        </w:rPr>
      </w:pPr>
    </w:p>
    <w:tbl>
      <w:tblPr>
        <w:tblLayout w:type="fixed"/>
        <w:tblInd w:w="11"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860" w:type="dxa"/>
            <w:vAlign w:val="bottom"/>
            <w:tcBorders>
              <w:top w:val="single" w:sz="8" w:color="auto"/>
            </w:tcBorders>
          </w:tcPr>
          <w:p>
            <w:pPr>
              <w:jc w:val="right"/>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969,000</w:t>
            </w:r>
          </w:p>
        </w:tc>
        <w:tc>
          <w:tcPr>
            <w:tcW w:w="10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871,000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1,840,000</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7 %</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1,061,000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2,635,000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3,109,000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1,048,000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2,822,000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1,179,000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3,529,000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766,000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2,152,000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538,000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1,405,000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612,000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2,280,000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523,000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1,485,000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446,000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$48.87</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1,253,000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2,396,000</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335,000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2,731,000</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16,762,000</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8,479,000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$47.75</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25,241,000</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00" w:type="dxa"/>
            <w:vAlign w:val="bottom"/>
            <w:tcBorders>
              <w:left w:val="single" w:sz="8" w:color="auto"/>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tc>
        <w:tc>
          <w:tcPr>
            <w:tcW w:w="102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80" w:type="dxa"/>
            <w:vAlign w:val="bottom"/>
          </w:tcPr>
          <w:p>
            <w:pPr>
              <w:spacing w:after="0"/>
              <w:rPr>
                <w:sz w:val="22"/>
                <w:szCs w:val="22"/>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860" w:type="dxa"/>
            <w:vAlign w:val="bottom"/>
            <w:tcBorders>
              <w:top w:val="single" w:sz="8" w:color="auto"/>
            </w:tcBorders>
          </w:tcPr>
          <w:p>
            <w:pPr>
              <w:jc w:val="right"/>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468,000</w:t>
            </w:r>
          </w:p>
        </w:tc>
        <w:tc>
          <w:tcPr>
            <w:tcW w:w="10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794,000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1,262,000</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5 %</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658,000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1,402,000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598,000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1,156,000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566,000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1,038,000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666,000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1,298,000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489,000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814,000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840,000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464,000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824,000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456,000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772,000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477,000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1,083,000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11,871,000</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71 %</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2,881,000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14,752,000</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16,762,000</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8,479,000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$47.75</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25,241,000</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781" w:hanging="781"/>
        <w:spacing w:after="0"/>
        <w:tabs>
          <w:tab w:leader="none" w:pos="78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Anchor is defined as a commercial tenant leasing 10,000 square feet or more.</w:t>
      </w:r>
    </w:p>
    <w:p>
      <w:pPr>
        <w:spacing w:after="0" w:line="32" w:lineRule="exact"/>
        <w:rPr>
          <w:rFonts w:ascii="Times New Roman" w:cs="Times New Roman" w:eastAsia="Times New Roman" w:hAnsi="Times New Roman"/>
          <w:sz w:val="16"/>
          <w:szCs w:val="16"/>
          <w:color w:val="auto"/>
        </w:rPr>
      </w:pPr>
    </w:p>
    <w:p>
      <w:pPr>
        <w:ind w:left="781" w:right="180" w:hanging="781"/>
        <w:spacing w:after="0" w:line="245" w:lineRule="auto"/>
        <w:tabs>
          <w:tab w:leader="none" w:pos="78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 reflects in-place contractual (defined as rents on a cash-basis without taking the impacts of rent abatements into account) rent as of December 31, 2024.</w:t>
      </w:r>
    </w:p>
    <w:p>
      <w:pPr>
        <w:spacing w:after="0" w:line="2" w:lineRule="exact"/>
        <w:rPr>
          <w:rFonts w:ascii="Times New Roman" w:cs="Times New Roman" w:eastAsia="Times New Roman" w:hAnsi="Times New Roman"/>
          <w:sz w:val="16"/>
          <w:szCs w:val="16"/>
          <w:color w:val="auto"/>
        </w:rPr>
      </w:pPr>
    </w:p>
    <w:p>
      <w:pPr>
        <w:ind w:left="781" w:hanging="781"/>
        <w:spacing w:after="0"/>
        <w:tabs>
          <w:tab w:leader="none" w:pos="78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occupied square footage of the commercial portion of our portfolio as of December 31, 2024.</w:t>
      </w:r>
    </w:p>
    <w:p>
      <w:pPr>
        <w:spacing w:after="0" w:line="32" w:lineRule="exact"/>
        <w:rPr>
          <w:rFonts w:ascii="Times New Roman" w:cs="Times New Roman" w:eastAsia="Times New Roman" w:hAnsi="Times New Roman"/>
          <w:sz w:val="16"/>
          <w:szCs w:val="16"/>
          <w:color w:val="auto"/>
        </w:rPr>
      </w:pPr>
    </w:p>
    <w:p>
      <w:pPr>
        <w:ind w:left="781" w:hanging="781"/>
        <w:spacing w:after="0"/>
        <w:tabs>
          <w:tab w:leader="none" w:pos="78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1"/>
          </w:cols>
          <w:pgMar w:left="359" w:top="1022" w:right="35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Portfolio Leased Statistics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9"/>
        </w:trPr>
        <w:tc>
          <w:tcPr>
            <w:tcW w:w="5460" w:type="dxa"/>
            <w:vAlign w:val="bottom"/>
          </w:tcPr>
          <w:p>
            <w:pPr>
              <w:spacing w:after="0"/>
              <w:rPr>
                <w:sz w:val="18"/>
                <w:szCs w:val="18"/>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4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Properties</w:t>
            </w: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32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Overall Portfolio (1)(2)</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Leasable Area (GLA)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26,832,000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26,826,000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26,039,000</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Occupied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92.2 %</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 - anchor tenants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 - small shop tenants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90.7 %</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Active commercial tenant leases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w:t>
            </w:r>
          </w:p>
        </w:tc>
      </w:tr>
      <w:tr>
        <w:trPr>
          <w:trHeight w:val="219"/>
        </w:trPr>
        <w:tc>
          <w:tcPr>
            <w:tcW w:w="5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Comparable Properties (1)</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25,402,000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25,396,000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25,387,000</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Occupied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92.3 %</w:t>
            </w:r>
          </w:p>
        </w:tc>
      </w:tr>
      <w:tr>
        <w:trPr>
          <w:trHeight w:val="46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Properties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Overall Portfolio (1)(2)(3)</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units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r>
      <w:tr>
        <w:trPr>
          <w:trHeight w:val="2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95.9 %</w:t>
            </w:r>
          </w:p>
        </w:tc>
      </w:tr>
    </w:tbl>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800" w:hanging="774"/>
        <w:spacing w:after="0"/>
        <w:tabs>
          <w:tab w:leader="none" w:pos="8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800" w:hanging="774"/>
        <w:spacing w:after="0"/>
        <w:tabs>
          <w:tab w:leader="none" w:pos="8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and residential units not yet placed in service.</w:t>
      </w:r>
    </w:p>
    <w:p>
      <w:pPr>
        <w:spacing w:after="0" w:line="32" w:lineRule="exact"/>
        <w:rPr>
          <w:rFonts w:ascii="Times New Roman" w:cs="Times New Roman" w:eastAsia="Times New Roman" w:hAnsi="Times New Roman"/>
          <w:sz w:val="16"/>
          <w:szCs w:val="16"/>
          <w:color w:val="auto"/>
        </w:rPr>
      </w:pPr>
    </w:p>
    <w:p>
      <w:pPr>
        <w:ind w:left="800" w:hanging="774"/>
        <w:spacing w:after="0"/>
        <w:tabs>
          <w:tab w:leader="none" w:pos="8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all of our residential units are considered comparable.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9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Top 25 Tenants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Ratings</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960" w:type="dxa"/>
            <w:vAlign w:val="bottom"/>
          </w:tcPr>
          <w:p>
            <w:pPr>
              <w:spacing w:after="0"/>
              <w:rPr>
                <w:sz w:val="13"/>
                <w:szCs w:val="13"/>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Rank</w:t>
            </w: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Tenant Name</w:t>
            </w:r>
          </w:p>
        </w:tc>
        <w:tc>
          <w:tcPr>
            <w:tcW w:w="1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Annualized Base Rent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Tenant GLA</w:t>
            </w:r>
          </w:p>
        </w:tc>
        <w:tc>
          <w:tcPr>
            <w:tcW w:w="1320" w:type="dxa"/>
            <w:vAlign w:val="bottom"/>
            <w:vMerge w:val="continue"/>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0" w:type="dxa"/>
            <w:vAlign w:val="bottom"/>
          </w:tcPr>
          <w:p>
            <w:pPr>
              <w:spacing w:after="0"/>
              <w:rPr>
                <w:sz w:val="1"/>
                <w:szCs w:val="1"/>
                <w:color w:val="auto"/>
              </w:rPr>
            </w:pPr>
          </w:p>
        </w:tc>
      </w:tr>
      <w:tr>
        <w:trPr>
          <w:trHeight w:val="196"/>
        </w:trPr>
        <w:tc>
          <w:tcPr>
            <w:tcW w:w="560" w:type="dxa"/>
            <w:vAlign w:val="bottom"/>
            <w:tcBorders>
              <w:bottom w:val="single" w:sz="8" w:color="auto"/>
            </w:tcBorders>
            <w:vMerge w:val="continue"/>
          </w:tcPr>
          <w:p>
            <w:pPr>
              <w:spacing w:after="0"/>
              <w:rPr>
                <w:sz w:val="17"/>
                <w:szCs w:val="17"/>
                <w:color w:val="auto"/>
              </w:rPr>
            </w:pPr>
          </w:p>
        </w:tc>
        <w:tc>
          <w:tcPr>
            <w:tcW w:w="2940" w:type="dxa"/>
            <w:vAlign w:val="bottom"/>
            <w:tcBorders>
              <w:bottom w:val="single" w:sz="8" w:color="auto"/>
            </w:tcBorders>
            <w:vMerge w:val="continue"/>
          </w:tcPr>
          <w:p>
            <w:pPr>
              <w:spacing w:after="0"/>
              <w:rPr>
                <w:sz w:val="17"/>
                <w:szCs w:val="17"/>
                <w:color w:val="auto"/>
              </w:rPr>
            </w:pPr>
          </w:p>
        </w:tc>
        <w:tc>
          <w:tcPr>
            <w:tcW w:w="2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(S&amp;P/Moody's) (1)   Annualized Base Rent</w:t>
            </w:r>
          </w:p>
        </w:tc>
        <w:tc>
          <w:tcPr>
            <w:tcW w:w="1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w:t>
            </w:r>
          </w:p>
        </w:tc>
        <w:tc>
          <w:tcPr>
            <w:tcW w:w="9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GLA (3)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TJX Companies, The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 / 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23,939,000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2.62 %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4.10 %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Ahold Delhaize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17,326,000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1.90 %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3.04 %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NetApp,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Baa2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15,212,000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1.67 %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Cisco Systems,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AA- / 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14,076,000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1.54 %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0.90 %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Gap, Inc., The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 / Ba3</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11,273,000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CVS 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Baa3</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11,018,000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1.21 %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0.92 %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Fitness International LLC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 / B2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9,484,000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62"/>
        </w:trPr>
        <w:tc>
          <w:tcPr>
            <w:tcW w:w="5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8</w:t>
            </w:r>
          </w:p>
        </w:tc>
        <w:tc>
          <w:tcPr>
            <w:tcW w:w="294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Albertsons Companies Inc. (Acme,</w:t>
            </w:r>
          </w:p>
        </w:tc>
        <w:tc>
          <w:tcPr>
            <w:tcW w:w="14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BB+ / Ba1</w:t>
            </w:r>
          </w:p>
        </w:tc>
        <w:tc>
          <w:tcPr>
            <w:tcW w:w="300" w:type="dxa"/>
            <w:vAlign w:val="bottom"/>
          </w:tcPr>
          <w:p>
            <w:pPr>
              <w:jc w:val="right"/>
              <w:ind w:right="139"/>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8,610,000</w:t>
            </w:r>
          </w:p>
        </w:tc>
        <w:tc>
          <w:tcPr>
            <w:tcW w:w="1660" w:type="dxa"/>
            <w:vAlign w:val="bottom"/>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0.94 %</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544,000</w:t>
            </w:r>
          </w:p>
        </w:tc>
        <w:tc>
          <w:tcPr>
            <w:tcW w:w="1320" w:type="dxa"/>
            <w:vAlign w:val="bottom"/>
          </w:tcPr>
          <w:p>
            <w:pPr>
              <w:jc w:val="right"/>
              <w:ind w:right="100"/>
              <w:spacing w:after="0" w:line="162" w:lineRule="exact"/>
              <w:rPr>
                <w:sz w:val="20"/>
                <w:szCs w:val="20"/>
                <w:color w:val="auto"/>
              </w:rPr>
            </w:pPr>
            <w:r>
              <w:rPr>
                <w:rFonts w:ascii="Times New Roman" w:cs="Times New Roman" w:eastAsia="Times New Roman" w:hAnsi="Times New Roman"/>
                <w:sz w:val="16"/>
                <w:szCs w:val="16"/>
                <w:color w:val="auto"/>
              </w:rPr>
              <w:t>1.83 %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Balducci's, Safeway)</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Ross Stores,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0.86 %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1.23 %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Home Depot,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 / A2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7,587,000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0.83 %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1.61 %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5"/>
        </w:trPr>
        <w:tc>
          <w:tcPr>
            <w:tcW w:w="560" w:type="dxa"/>
            <w:vAlign w:val="bottom"/>
            <w:shd w:val="clear" w:color="auto" w:fill="CCEEFF"/>
          </w:tcPr>
          <w:p>
            <w:pPr>
              <w:jc w:val="right"/>
              <w:ind w:right="39"/>
              <w:spacing w:after="0" w:line="165" w:lineRule="exact"/>
              <w:rPr>
                <w:sz w:val="20"/>
                <w:szCs w:val="20"/>
                <w:color w:val="auto"/>
              </w:rPr>
            </w:pPr>
            <w:r>
              <w:rPr>
                <w:rFonts w:ascii="Times New Roman" w:cs="Times New Roman" w:eastAsia="Times New Roman" w:hAnsi="Times New Roman"/>
                <w:sz w:val="16"/>
                <w:szCs w:val="16"/>
                <w:color w:val="auto"/>
              </w:rPr>
              <w:t>11</w:t>
            </w:r>
          </w:p>
        </w:tc>
        <w:tc>
          <w:tcPr>
            <w:tcW w:w="294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KnitWell Group (Ann Taylor, Chico's,</w:t>
            </w:r>
          </w:p>
        </w:tc>
        <w:tc>
          <w:tcPr>
            <w:tcW w:w="148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shd w:val="clear" w:color="auto" w:fill="CCEEFF"/>
          </w:tcPr>
          <w:p>
            <w:pPr>
              <w:jc w:val="right"/>
              <w:ind w:right="139"/>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7,571,000</w:t>
            </w:r>
          </w:p>
        </w:tc>
        <w:tc>
          <w:tcPr>
            <w:tcW w:w="1660" w:type="dxa"/>
            <w:vAlign w:val="bottom"/>
            <w:shd w:val="clear" w:color="auto" w:fill="CCEEFF"/>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0.83 %</w:t>
            </w:r>
          </w:p>
        </w:tc>
        <w:tc>
          <w:tcPr>
            <w:tcW w:w="9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187,000</w:t>
            </w:r>
          </w:p>
        </w:tc>
        <w:tc>
          <w:tcPr>
            <w:tcW w:w="1320" w:type="dxa"/>
            <w:vAlign w:val="bottom"/>
            <w:shd w:val="clear" w:color="auto" w:fill="CCEEFF"/>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0.63 %</w:t>
            </w:r>
          </w:p>
        </w:tc>
        <w:tc>
          <w:tcPr>
            <w:tcW w:w="8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62"/>
        </w:trPr>
        <w:tc>
          <w:tcPr>
            <w:tcW w:w="560" w:type="dxa"/>
            <w:vAlign w:val="bottom"/>
            <w:shd w:val="clear" w:color="auto" w:fill="CCEEFF"/>
          </w:tcPr>
          <w:p>
            <w:pPr>
              <w:spacing w:after="0"/>
              <w:rPr>
                <w:sz w:val="14"/>
                <w:szCs w:val="14"/>
                <w:color w:val="auto"/>
              </w:rPr>
            </w:pPr>
          </w:p>
        </w:tc>
        <w:tc>
          <w:tcPr>
            <w:tcW w:w="294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Loft, Talbots, White House Black Market,</w:t>
            </w:r>
          </w:p>
        </w:tc>
        <w:tc>
          <w:tcPr>
            <w:tcW w:w="1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Soma, Lane Bryant)</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AMC Entertainment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CCC+ / Caa2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7,399,000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0.81 %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0.95 %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Dick's Sporting Goods,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Baa2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7,349,000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0.81 %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Kroger Co., The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7,172,000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0.79 %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2.06 %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PUMA North America,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0.78 %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0.52 %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Ulta Beauty,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6,597,000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0.72 %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0.65 %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Bank of America, N.A.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 / A1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0.38 %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Target 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 / A2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6,375,000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0.70 %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2.11 %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Whole Foods Market,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AA- / A1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5,947,000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0.65 %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0.63 %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Bob's Discount Furniture, LLC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0.65 %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0.67 %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Michaels Stores,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 / B3</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5,806,000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0.64 %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Choice Hotels International,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Baa3</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0.61 %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0.37 %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JPMorgan Chase Bank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 / A1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0.61 %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0.29 %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Starbucks 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5,525,000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0.61 %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0.26 %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J.Crew Group, LLC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 / B2</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5,002,000</w:t>
            </w:r>
          </w:p>
        </w:tc>
        <w:tc>
          <w:tcPr>
            <w:tcW w:w="16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0.55 %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102,000</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0.34 %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Totals - Top 25 Tenants</w:t>
            </w:r>
          </w:p>
        </w:tc>
        <w:tc>
          <w:tcPr>
            <w:tcW w:w="148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221,768,000</w:t>
            </w:r>
          </w:p>
        </w:tc>
        <w:tc>
          <w:tcPr>
            <w:tcW w:w="1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24.31 %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8,672,000</w:t>
            </w: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29.18 %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(5):</w:t>
            </w:r>
          </w:p>
        </w:tc>
        <w:tc>
          <w:tcPr>
            <w:tcW w:w="148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912,413,000</w:t>
            </w:r>
          </w:p>
        </w:tc>
        <w:tc>
          <w:tcPr>
            <w:tcW w:w="1660" w:type="dxa"/>
            <w:vAlign w:val="bottom"/>
          </w:tcPr>
          <w:p>
            <w:pPr>
              <w:jc w:val="right"/>
              <w:ind w:right="1380"/>
              <w:spacing w:after="0"/>
              <w:rPr>
                <w:sz w:val="20"/>
                <w:szCs w:val="20"/>
                <w:color w:val="auto"/>
              </w:rPr>
            </w:pPr>
            <w:r>
              <w:rPr>
                <w:rFonts w:ascii="Times New Roman" w:cs="Times New Roman" w:eastAsia="Times New Roman" w:hAnsi="Times New Roman"/>
                <w:sz w:val="16"/>
                <w:szCs w:val="16"/>
                <w:color w:val="auto"/>
                <w:w w:val="96"/>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29,722,000</w:t>
            </w:r>
          </w:p>
        </w:tc>
        <w:tc>
          <w:tcPr>
            <w:tcW w:w="1320" w:type="dxa"/>
            <w:vAlign w:val="bottom"/>
          </w:tcPr>
          <w:p>
            <w:pPr>
              <w:jc w:val="right"/>
              <w:ind w:right="1040"/>
              <w:spacing w:after="0"/>
              <w:rPr>
                <w:sz w:val="20"/>
                <w:szCs w:val="20"/>
                <w:color w:val="auto"/>
              </w:rPr>
            </w:pPr>
            <w:r>
              <w:rPr>
                <w:rFonts w:ascii="Times New Roman" w:cs="Times New Roman" w:eastAsia="Times New Roman" w:hAnsi="Times New Roman"/>
                <w:sz w:val="16"/>
                <w:szCs w:val="16"/>
                <w:color w:val="auto"/>
                <w:w w:val="96"/>
              </w:rPr>
              <w:t>(4)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620" w:hanging="614"/>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Ratings are as of December 31, 2024. Subsequent rating changes have not been reflected.</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80"/>
          </w:cols>
          <w:pgMar w:left="360" w:top="1022" w:right="35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FFO Guidance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range of estimated earnings per diluted share to estimated FFO per diluted share for the full year 2025.</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Full Year 2025 Guidance Range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Low</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High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net income available to common shareholders, per diluted share</w:t>
            </w:r>
          </w:p>
        </w:tc>
        <w:tc>
          <w:tcPr>
            <w:tcW w:w="17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Estimated depreciation and amortization</w:t>
            </w:r>
          </w:p>
        </w:tc>
        <w:tc>
          <w:tcPr>
            <w:tcW w:w="1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FFO per diluted share</w:t>
            </w:r>
          </w:p>
        </w:tc>
        <w:tc>
          <w:tcPr>
            <w:tcW w:w="1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Note:</w:t>
            </w:r>
          </w:p>
        </w:tc>
        <w:tc>
          <w:tcPr>
            <w:tcW w:w="1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560" w:type="dxa"/>
            <w:vAlign w:val="bottom"/>
            <w:gridSpan w:val="4"/>
            <w:vMerge w:val="continue"/>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See Glossary of Terms. Individual items may not add up to total due to rounding.</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Guidance Assumptions:</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4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properties growth (1)</w:t>
            </w:r>
          </w:p>
        </w:tc>
        <w:tc>
          <w:tcPr>
            <w:tcW w:w="17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 - 4%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$124 million</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termination fees</w:t>
            </w:r>
          </w:p>
        </w:tc>
        <w:tc>
          <w:tcPr>
            <w:tcW w:w="1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$4 - $5 million</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Incremental redevelopment/expansion POI (2)</w:t>
            </w:r>
          </w:p>
        </w:tc>
        <w:tc>
          <w:tcPr>
            <w:tcW w:w="1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$3 - $5 million</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$45 - $48 million</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Development/redevelopment capital</w:t>
            </w:r>
          </w:p>
        </w:tc>
        <w:tc>
          <w:tcPr>
            <w:tcW w:w="324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$175 - $225 million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$12 - $14 million</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credit transaction income, net</w:t>
            </w:r>
          </w:p>
        </w:tc>
        <w:tc>
          <w:tcPr>
            <w:tcW w:w="1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$13 million</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Disposed Properties - 2024 POI</w:t>
            </w:r>
          </w:p>
        </w:tc>
        <w:tc>
          <w:tcPr>
            <w:tcW w:w="1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 million</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7" w:lineRule="exact"/>
        <w:rPr>
          <w:sz w:val="20"/>
          <w:szCs w:val="20"/>
          <w:color w:val="auto"/>
        </w:rPr>
      </w:pPr>
    </w:p>
    <w:p>
      <w:pPr>
        <w:ind w:left="500" w:right="60" w:hanging="492"/>
        <w:spacing w:after="0" w:line="250" w:lineRule="auto"/>
        <w:tabs>
          <w:tab w:leader="none" w:pos="4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0.4% negative impact from lower collection of prior period rents which were contractually deferred, specifically related to the COVID-19 pandemic.</w:t>
      </w:r>
    </w:p>
    <w:p>
      <w:pPr>
        <w:ind w:left="500" w:right="140" w:hanging="492"/>
        <w:spacing w:after="0" w:line="260" w:lineRule="auto"/>
        <w:tabs>
          <w:tab w:leader="none" w:pos="4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expected additional POI to be recognized in 2025 compared to the amount recognized in 2024 from all of the redevelopments listed on page 16 except those labeled as "stabilized." Does not include any additional POI from "Active Property Improvement Projects."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927"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3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EBITDA for Real Estate ("EBITDAre"): </w:t>
      </w:r>
      <w:r>
        <w:rPr>
          <w:rFonts w:ascii="Times New Roman" w:cs="Times New Roman" w:eastAsia="Times New Roman" w:hAnsi="Times New Roman"/>
          <w:sz w:val="16"/>
          <w:szCs w:val="16"/>
          <w:color w:val="auto"/>
        </w:rPr>
        <w:t>EBITDAre is a non-GAAP measure that the National Association of Real Estate Investment Trusts ("NAREIT") defines as: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and year ended December 31, 2024 and 2023 is as follows: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42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r>
      <w:tr>
        <w:trPr>
          <w:trHeight w:val="203"/>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r>
      <w:tr>
        <w:trPr>
          <w:trHeight w:val="23"/>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247,217</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175,476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167,809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interest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(4,687)</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 provision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342,598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321,763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Gain on sale of real estate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(9,881)</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of EBITDAre of unconsolidated affiliates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10,306</w:t>
            </w:r>
          </w:p>
        </w:tc>
      </w:tr>
      <w:tr>
        <w:trPr>
          <w:trHeight w:val="210"/>
        </w:trPr>
        <w:tc>
          <w:tcPr>
            <w:tcW w:w="5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EBITDAre</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197,868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184,881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771,982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732,694</w:t>
            </w:r>
          </w:p>
        </w:tc>
      </w:tr>
      <w:tr>
        <w:trPr>
          <w:trHeight w:val="21"/>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Funds From Operations (FFO): </w:t>
      </w:r>
      <w:r>
        <w:rPr>
          <w:rFonts w:ascii="Times New Roman" w:cs="Times New Roman" w:eastAsia="Times New Roman" w:hAnsi="Times New Roman"/>
          <w:sz w:val="16"/>
          <w:szCs w:val="16"/>
          <w:color w:val="auto"/>
        </w:rPr>
        <w:t>FFO is a supplemental measure of real estate companies' operating performances. NAREIT defines FFO as follows: net income, computed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Property Operating Income: </w:t>
      </w:r>
      <w:r>
        <w:rPr>
          <w:rFonts w:ascii="Times New Roman" w:cs="Times New Roman" w:eastAsia="Times New Roman" w:hAnsi="Times New Roman"/>
          <w:sz w:val="16"/>
          <w:szCs w:val="16"/>
          <w:color w:val="auto"/>
        </w:rPr>
        <w:t>Rental income and mortgage interest income, less rental expenses and real estate taxes.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Overall Portfolio: </w:t>
      </w:r>
      <w:r>
        <w:rPr>
          <w:rFonts w:ascii="Times New Roman" w:cs="Times New Roman" w:eastAsia="Times New Roman" w:hAnsi="Times New Roman"/>
          <w:sz w:val="16"/>
          <w:szCs w:val="16"/>
          <w:color w:val="auto"/>
        </w:rPr>
        <w:t>Includes all operating properties owned in reporting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Comparable Properties: </w:t>
      </w:r>
      <w:r>
        <w:rPr>
          <w:rFonts w:ascii="Times New Roman" w:cs="Times New Roman" w:eastAsia="Times New Roman" w:hAnsi="Times New Roman"/>
          <w:sz w:val="16"/>
          <w:szCs w:val="16"/>
          <w:color w:val="auto"/>
        </w:rPr>
        <w:t>Represents our consolidated property portfolio other than those properties that distort comparability between periods in two primary categories:</w:t>
      </w:r>
    </w:p>
    <w:p>
      <w:pPr>
        <w:spacing w:after="0" w:line="25" w:lineRule="exact"/>
        <w:rPr>
          <w:sz w:val="20"/>
          <w:szCs w:val="20"/>
          <w:color w:val="auto"/>
        </w:rPr>
      </w:pPr>
    </w:p>
    <w:p>
      <w:pPr>
        <w:ind w:right="160" w:firstLine="8"/>
        <w:spacing w:after="0" w:line="257" w:lineRule="auto"/>
        <w:tabs>
          <w:tab w:leader="none" w:pos="22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99"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Annualized Base Rent (ABR): </w:t>
      </w:r>
      <w:r>
        <w:rPr>
          <w:rFonts w:ascii="Times New Roman" w:cs="Times New Roman" w:eastAsia="Times New Roman" w:hAnsi="Times New Roman"/>
          <w:sz w:val="16"/>
          <w:szCs w:val="16"/>
          <w:color w:val="auto"/>
        </w:rPr>
        <w:t>Represents aggregate, annualized in-place contractual (defined as rents billed on a cash basis without taking the impact of rent abatements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account) minimum rent for all occupied spaces as of the reporting period.</w:t>
      </w:r>
    </w:p>
    <w:p>
      <w:pPr>
        <w:spacing w:after="0" w:line="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Retail Leasing Summary - Lease Rollover Calculation: </w:t>
      </w:r>
      <w:r>
        <w:rPr>
          <w:rFonts w:ascii="Times New Roman" w:cs="Times New Roman" w:eastAsia="Times New Roman" w:hAnsi="Times New Roman"/>
          <w:sz w:val="16"/>
          <w:szCs w:val="16"/>
          <w:color w:val="auto"/>
        </w:rPr>
        <w:t>The rental increases associated with comparable spaces generally include all leases signed for retail space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considered to be part of base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84"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Tenant Improvements and Incentives: </w:t>
      </w:r>
      <w:r>
        <w:rPr>
          <w:rFonts w:ascii="Times New Roman" w:cs="Times New Roman" w:eastAsia="Times New Roman" w:hAnsi="Times New Roman"/>
          <w:sz w:val="16"/>
          <w:szCs w:val="16"/>
          <w:color w:val="auto"/>
        </w:rPr>
        <w:t>Represents the total dollars committed for the improvement (fit-out) of a space as it relates to a specific lease. Incentives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paid to tenants as an inducement to sign a lease that do not represent building improvements.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General: </w:t>
      </w:r>
      <w:r>
        <w:rPr>
          <w:rFonts w:ascii="Times New Roman" w:cs="Times New Roman" w:eastAsia="Times New Roman" w:hAnsi="Times New Roman"/>
          <w:sz w:val="16"/>
          <w:szCs w:val="16"/>
          <w:color w:val="auto"/>
        </w:rPr>
        <w:t>Property related statistics are the for the consolidated property portfolio except where noted.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3"/>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lvl w:ilvl="1">
      <w:lvlJc w:val="left"/>
      <w:lvlText w:val="◦"/>
      <w:numFmt w:val="bullet"/>
      <w:start w:val="1"/>
    </w:lvl>
  </w:abstractNum>
  <w:abstractNum w:abstractNumId="4">
    <w:nsid w:val="7FDCC233"/>
    <w:multiLevelType w:val="hybridMultilevel"/>
    <w:lvl w:ilvl="0">
      <w:lvlJc w:val="left"/>
      <w:lvlText w:val="•"/>
      <w:numFmt w:val="bullet"/>
      <w:start w:val="1"/>
    </w:lvl>
    <w:lvl w:ilvl="1">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3"/>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upperLetter"/>
      <w:start w:val="19"/>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2025-02-13T15:31:39Z</dcterms:created>
  <dcterms:modified xsi:type="dcterms:W3CDTF">2025-02-13T15:31:39Z</dcterms:modified>
</cp:coreProperties>
</file>