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2018</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4" w:right="239" w:bottom="1440" w:gutter="0" w:footer="0" w:header="0"/>
        </w:sectPr>
      </w:pPr>
    </w:p>
    <w:p>
      <w:pPr>
        <w:spacing w:after="0" w:line="5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26" w:lineRule="exact"/>
        <w:rPr>
          <w:sz w:val="24"/>
          <w:szCs w:val="24"/>
          <w:color w:val="auto"/>
        </w:rPr>
      </w:pPr>
    </w:p>
    <w:p>
      <w:pPr>
        <w:sectPr>
          <w:pgSz w:w="11900" w:h="16838" w:orient="portrait"/>
          <w:cols w:equalWidth="0" w:num="2">
            <w:col w:w="6240" w:space="700"/>
            <w:col w:w="4480"/>
          </w:cols>
          <w:pgMar w:left="240" w:top="234" w:right="239" w:bottom="1440" w:gutter="0" w:footer="0" w:header="0"/>
          <w:type w:val="continuous"/>
        </w:sect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ectPr>
          <w:pgSz w:w="11900" w:h="16838" w:orient="portrait"/>
          <w:cols w:equalWidth="0" w:num="1">
            <w:col w:w="11420"/>
          </w:cols>
          <w:pgMar w:left="240" w:top="234" w:right="239" w:bottom="1440" w:gutter="0" w:footer="0" w:header="0"/>
          <w:type w:val="continuous"/>
        </w:sectPr>
      </w:pPr>
    </w:p>
    <w:p>
      <w:pPr>
        <w:spacing w:after="0" w:line="248" w:lineRule="exact"/>
        <w:rPr>
          <w:sz w:val="24"/>
          <w:szCs w:val="24"/>
          <w:color w:val="auto"/>
        </w:rPr>
      </w:pPr>
    </w:p>
    <w:p>
      <w:pPr>
        <w:ind w:left="2220"/>
        <w:spacing w:after="0"/>
        <w:rPr>
          <w:sz w:val="20"/>
          <w:szCs w:val="20"/>
          <w:color w:val="auto"/>
        </w:rPr>
      </w:pPr>
      <w:r>
        <w:rPr>
          <w:rFonts w:ascii="Arial" w:cs="Arial" w:eastAsia="Arial" w:hAnsi="Arial"/>
          <w:sz w:val="19"/>
          <w:szCs w:val="19"/>
          <w:b w:val="1"/>
          <w:bCs w:val="1"/>
          <w:color w:val="auto"/>
        </w:rPr>
        <w:t>Maryland</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108" w:lineRule="exact"/>
        <w:rPr>
          <w:sz w:val="24"/>
          <w:szCs w:val="24"/>
          <w:color w:val="auto"/>
        </w:rPr>
      </w:pPr>
    </w:p>
    <w:p>
      <w:pPr>
        <w:sectPr>
          <w:pgSz w:w="11900" w:h="16838" w:orient="portrait"/>
          <w:cols w:equalWidth="0" w:num="2">
            <w:col w:w="7380" w:space="720"/>
            <w:col w:w="3320"/>
          </w:cols>
          <w:pgMar w:left="240" w:top="234" w:right="23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(State of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234" w:right="239" w:bottom="1440" w:gutter="0" w:footer="0" w:header="0"/>
          <w:type w:val="continuous"/>
        </w:sectPr>
      </w:pPr>
    </w:p>
    <w:p>
      <w:pPr>
        <w:spacing w:after="0" w:line="105"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w:t>
      </w:r>
    </w:p>
    <w:p>
      <w:pPr>
        <w:spacing w:after="0" w:line="108" w:lineRule="exact"/>
        <w:rPr>
          <w:sz w:val="24"/>
          <w:szCs w:val="24"/>
          <w:color w:val="auto"/>
        </w:rPr>
      </w:pPr>
    </w:p>
    <w:p>
      <w:pPr>
        <w:sectPr>
          <w:pgSz w:w="11900" w:h="16838" w:orient="portrait"/>
          <w:cols w:equalWidth="0" w:num="2">
            <w:col w:w="7600" w:space="720"/>
            <w:col w:w="3100"/>
          </w:cols>
          <w:pgMar w:left="240" w:top="234" w:right="239" w:bottom="1440" w:gutter="0" w:footer="0" w:header="0"/>
          <w:type w:val="continuous"/>
        </w:sectPr>
      </w:pPr>
    </w:p>
    <w:p>
      <w:pPr>
        <w:ind w:left="12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5" w:lineRule="exact"/>
        <w:rPr>
          <w:sz w:val="24"/>
          <w:szCs w:val="24"/>
          <w:color w:val="auto"/>
        </w:rPr>
      </w:pPr>
    </w:p>
    <w:p>
      <w:pPr>
        <w:sectPr>
          <w:pgSz w:w="11900" w:h="16838" w:orient="portrait"/>
          <w:cols w:equalWidth="0" w:num="2">
            <w:col w:w="7480" w:space="720"/>
            <w:col w:w="322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420"/>
          </w:cols>
          <w:pgMar w:left="240" w:top="234" w:right="239" w:bottom="1440" w:gutter="0" w:footer="0" w:header="0"/>
          <w:type w:val="continuous"/>
        </w:sectPr>
      </w:pPr>
    </w:p>
    <w:p>
      <w:pPr>
        <w:spacing w:after="0" w:line="103"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w w:val="94"/>
              </w:rPr>
              <w:t>submit and post such files).</w:t>
            </w:r>
          </w:p>
        </w:tc>
        <w:tc>
          <w:tcPr>
            <w:tcW w:w="502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5"/>
        </w:trPr>
        <w:tc>
          <w:tcPr>
            <w:tcW w:w="11080" w:type="dxa"/>
            <w:vAlign w:val="bottom"/>
            <w:gridSpan w:val="3"/>
          </w:tcPr>
          <w:p>
            <w:pPr>
              <w:spacing w:after="0"/>
              <w:rPr>
                <w:sz w:val="20"/>
                <w:szCs w:val="20"/>
                <w:color w:val="auto"/>
              </w:rPr>
            </w:pPr>
            <w:r>
              <w:rPr>
                <w:rFonts w:ascii="Arial" w:cs="Arial" w:eastAsia="Arial" w:hAnsi="Arial"/>
                <w:sz w:val="18"/>
                <w:szCs w:val="18"/>
                <w:color w:val="auto"/>
                <w:w w:val="90"/>
              </w:rPr>
              <w:t>Indicate by check mark whether the Registrant is a large accelerated filer, an accelerated filer, a non-accelerated filer or a smaller reporting company. See</w:t>
            </w:r>
          </w:p>
        </w:tc>
        <w:tc>
          <w:tcPr>
            <w:tcW w:w="200" w:type="dxa"/>
            <w:vAlign w:val="bottom"/>
          </w:tcPr>
          <w:p>
            <w:pPr>
              <w:spacing w:after="0"/>
              <w:rPr>
                <w:sz w:val="23"/>
                <w:szCs w:val="23"/>
                <w:color w:val="auto"/>
              </w:rPr>
            </w:pPr>
          </w:p>
        </w:tc>
      </w:tr>
      <w:tr>
        <w:trPr>
          <w:trHeight w:val="230"/>
        </w:trPr>
        <w:tc>
          <w:tcPr>
            <w:tcW w:w="11080" w:type="dxa"/>
            <w:vAlign w:val="bottom"/>
            <w:gridSpan w:val="3"/>
          </w:tcPr>
          <w:p>
            <w:pPr>
              <w:spacing w:after="0"/>
              <w:rPr>
                <w:sz w:val="20"/>
                <w:szCs w:val="20"/>
                <w:color w:val="auto"/>
              </w:rPr>
            </w:pPr>
            <w:r>
              <w:rPr>
                <w:rFonts w:ascii="Arial" w:cs="Arial" w:eastAsia="Arial" w:hAnsi="Arial"/>
                <w:sz w:val="18"/>
                <w:szCs w:val="18"/>
                <w:color w:val="auto"/>
              </w:rPr>
              <w:t>definitions of “large accelerated filer,” “accelerated filer” and “smaller reporting company” in Rule 12b-2 of the Exchange Act. (Check one):</w:t>
            </w:r>
          </w:p>
        </w:tc>
        <w:tc>
          <w:tcPr>
            <w:tcW w:w="200" w:type="dxa"/>
            <w:vAlign w:val="bottom"/>
          </w:tcPr>
          <w:p>
            <w:pPr>
              <w:spacing w:after="0"/>
              <w:rPr>
                <w:sz w:val="20"/>
                <w:szCs w:val="20"/>
                <w:color w:val="auto"/>
              </w:rPr>
            </w:pPr>
          </w:p>
        </w:tc>
      </w:tr>
      <w:tr>
        <w:trPr>
          <w:trHeight w:val="398"/>
        </w:trPr>
        <w:tc>
          <w:tcPr>
            <w:tcW w:w="208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
              <w:spacing w:after="0"/>
              <w:rPr>
                <w:sz w:val="20"/>
                <w:szCs w:val="20"/>
                <w:color w:val="auto"/>
              </w:rPr>
            </w:pPr>
            <w:r>
              <w:rPr>
                <w:rFonts w:ascii="Arial" w:cs="Arial" w:eastAsia="Arial" w:hAnsi="Arial"/>
                <w:sz w:val="18"/>
                <w:szCs w:val="18"/>
                <w:color w:val="auto"/>
              </w:rPr>
              <w:t>Accelerated filer</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360"/>
              <w:spacing w:after="0"/>
              <w:rPr>
                <w:sz w:val="20"/>
                <w:szCs w:val="20"/>
                <w:color w:val="auto"/>
              </w:rPr>
            </w:pPr>
            <w:r>
              <w:rPr>
                <w:rFonts w:ascii="Arial" w:cs="Arial" w:eastAsia="Arial" w:hAnsi="Arial"/>
                <w:sz w:val="18"/>
                <w:szCs w:val="18"/>
                <w:color w:val="auto"/>
              </w:rPr>
              <w:t>o (Do not check if a smaller reporting company)</w:t>
            </w:r>
          </w:p>
        </w:tc>
        <w:tc>
          <w:tcPr>
            <w:tcW w:w="3980" w:type="dxa"/>
            <w:vAlign w:val="bottom"/>
          </w:tcPr>
          <w:p>
            <w:pPr>
              <w:ind w:left="2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Emerging growth company</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7"/>
        </w:trPr>
        <w:tc>
          <w:tcPr>
            <w:tcW w:w="11080" w:type="dxa"/>
            <w:vAlign w:val="bottom"/>
            <w:gridSpan w:val="3"/>
          </w:tcPr>
          <w:p>
            <w:pPr>
              <w:ind w:left="40"/>
              <w:spacing w:after="0"/>
              <w:rPr>
                <w:sz w:val="20"/>
                <w:szCs w:val="20"/>
                <w:color w:val="auto"/>
              </w:rPr>
            </w:pPr>
            <w:r>
              <w:rPr>
                <w:rFonts w:ascii="Arial" w:cs="Arial" w:eastAsia="Arial" w:hAnsi="Arial"/>
                <w:sz w:val="18"/>
                <w:szCs w:val="18"/>
                <w:color w:val="auto"/>
                <w:w w:val="92"/>
              </w:rPr>
              <w:t>If an emerging growth company, indicate by checkmark if the registrant has elected not use the extended transition period for complying with any new</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7100" w:type="dxa"/>
            <w:vAlign w:val="bottom"/>
            <w:gridSpan w:val="2"/>
          </w:tcPr>
          <w:p>
            <w:pPr>
              <w:ind w:left="40"/>
              <w:spacing w:after="0"/>
              <w:rPr>
                <w:sz w:val="20"/>
                <w:szCs w:val="20"/>
                <w:color w:val="auto"/>
              </w:rPr>
            </w:pPr>
            <w:r>
              <w:rPr>
                <w:rFonts w:ascii="Arial" w:cs="Arial" w:eastAsia="Arial" w:hAnsi="Arial"/>
                <w:sz w:val="18"/>
                <w:szCs w:val="18"/>
                <w:color w:val="auto"/>
                <w:w w:val="90"/>
              </w:rPr>
              <w:t>or revised financial accounting standards provided pursuant to Section 13(a) of the Exchange Act.</w:t>
            </w: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15" w:lineRule="exact"/>
        <w:rPr>
          <w:sz w:val="24"/>
          <w:szCs w:val="24"/>
          <w:color w:val="auto"/>
        </w:rPr>
      </w:pPr>
    </w:p>
    <w:p>
      <w:pPr>
        <w:ind w:right="1800"/>
        <w:spacing w:after="0" w:line="30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Registrant’s common shares outstanding on July 27, 2018 was 73,491,303.</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9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1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6"/>
              </w:rPr>
              <w:t>QUARTER ENDED JUNE 30, 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Balance Sheets as of June 30, 2018 (unaudited) and December 31, 2017</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w w:val="97"/>
              </w:rPr>
              <w:t>Consolidated Statements of Comprehensive Income (unaudited) for the three and six months ended June 30, 2018 and 2017</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 of Shareholders' Equity (unaudited) for the six months ended June 30, 2018</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Statements of Cash Flows (unaudited) for the six months ended June 30, 2018 and 2017</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5.</w:t>
            </w:r>
          </w:p>
        </w:tc>
        <w:tc>
          <w:tcPr>
            <w:tcW w:w="98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6.</w:t>
            </w:r>
          </w:p>
        </w:tc>
        <w:tc>
          <w:tcPr>
            <w:tcW w:w="98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574"/>
        </w:trPr>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SIGNATURES</w:t>
            </w:r>
          </w:p>
        </w:tc>
        <w:tc>
          <w:tcPr>
            <w:tcW w:w="98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939"/>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gridSpan w:val="4"/>
          </w:tcPr>
          <w:p>
            <w:pPr>
              <w:jc w:val="right"/>
              <w:ind w:right="111"/>
              <w:spacing w:after="0" w:line="153" w:lineRule="exact"/>
              <w:rPr>
                <w:sz w:val="20"/>
                <w:szCs w:val="20"/>
                <w:color w:val="auto"/>
              </w:rPr>
            </w:pPr>
            <w:r>
              <w:rPr>
                <w:rFonts w:ascii="Arial" w:cs="Arial" w:eastAsia="Arial" w:hAnsi="Arial"/>
                <w:sz w:val="14"/>
                <w:szCs w:val="14"/>
                <w:b w:val="1"/>
                <w:bCs w:val="1"/>
                <w:color w:val="auto"/>
                <w:w w:val="92"/>
              </w:rPr>
              <w:t>(In thousands, except share and per</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4"/>
          </w:tcPr>
          <w:p>
            <w:pPr>
              <w:jc w:val="right"/>
              <w:ind w:right="87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$1,660,403 and $1,639,486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7,181,679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6,950,188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Construction-in-progress (including $47,251 and $43,393 of consolidated variable interest entities,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535,658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684,873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27,773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7,745,110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7,635,061</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1"/>
              </w:rPr>
              <w:t>Less accumulated depreciation and amortization (including $268,723 and $247,410 of consolidated variable interest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(1,970,173)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(1,876,544)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5,774,937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5,758,517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56,116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209,877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23,941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268,747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237,803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6,302,703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rPr>
              <w:t>Mortgages payable, net (including $447,246 and $460,372 of consolidated variable interest entities,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477,706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491,505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71,556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 net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368,389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320,265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 net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2,402,851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2,401,440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178,665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196,332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75,931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16,667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181,601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169,388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3,773,694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3,743,084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141,417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141,157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shares issued and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2"/>
              </w:rPr>
              <w:t>Common shares of beneficial interest, $.01 par, 100,000,000 shares authorized, 73,434,943 and 73,090,877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2,884,771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2,855,321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(780,973)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(749,367)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2,264,944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2,266,706</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122,648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124,808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2,387,592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2,391,514</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6,302,703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6,275,755</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2900"/>
              <w:spacing w:after="0"/>
              <w:rPr>
                <w:sz w:val="20"/>
                <w:szCs w:val="20"/>
                <w:color w:val="auto"/>
              </w:rPr>
            </w:pPr>
            <w:r>
              <w:rPr>
                <w:rFonts w:ascii="Arial" w:cs="Arial" w:eastAsia="Arial" w:hAnsi="Arial"/>
                <w:sz w:val="18"/>
                <w:szCs w:val="18"/>
                <w:color w:val="auto"/>
                <w:w w:val="93"/>
              </w:rPr>
              <w:t>The accompanying notes are an integral part of these consolidated statements.</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82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6" w:right="239" w:bottom="827"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rPr>
              <w:t>REVENUE</w:t>
            </w: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441,057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408,693</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7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224,902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208,049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450,307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415,438</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39,905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84,678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78,237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51,612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16,342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116,491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104,045</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7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135,006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124,959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274,266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250,804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164,634</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(47,665)</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Loss from real estate partnerships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117,029</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Gain on sale of real estate, net</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18,996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19,174</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136,203</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132,481</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120,821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132,210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w:t>
            </w: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72,990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72,001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72,948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71,928</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7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72,061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128,854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137,680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7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76,684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125,232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133,958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6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64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2860" w:type="dxa"/>
            <w:vAlign w:val="bottom"/>
          </w:tcPr>
          <w:p>
            <w:pPr>
              <w:spacing w:after="0"/>
              <w:rPr>
                <w:sz w:val="13"/>
                <w:szCs w:val="13"/>
                <w:color w:val="auto"/>
              </w:rPr>
            </w:pPr>
          </w:p>
        </w:tc>
        <w:tc>
          <w:tcPr>
            <w:tcW w:w="1640" w:type="dxa"/>
            <w:vAlign w:val="bottom"/>
            <w:tcBorders>
              <w:bottom w:val="single" w:sz="8" w:color="auto"/>
            </w:tcBorders>
            <w:gridSpan w:val="3"/>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180" w:type="dxa"/>
            <w:vAlign w:val="bottom"/>
          </w:tcPr>
          <w:p>
            <w:pPr>
              <w:spacing w:after="0"/>
              <w:rPr>
                <w:sz w:val="13"/>
                <w:szCs w:val="13"/>
                <w:color w:val="auto"/>
              </w:rPr>
            </w:pPr>
          </w:p>
        </w:tc>
        <w:tc>
          <w:tcPr>
            <w:tcW w:w="9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7"/>
          </w:tcPr>
          <w:p>
            <w:pPr>
              <w:ind w:left="360"/>
              <w:spacing w:after="0"/>
              <w:rPr>
                <w:sz w:val="20"/>
                <w:szCs w:val="20"/>
                <w:color w:val="auto"/>
              </w:rPr>
            </w:pPr>
            <w:r>
              <w:rPr>
                <w:rFonts w:ascii="Arial" w:cs="Arial" w:eastAsia="Arial" w:hAnsi="Arial"/>
                <w:sz w:val="14"/>
                <w:szCs w:val="14"/>
                <w:b w:val="1"/>
                <w:bCs w:val="1"/>
                <w:color w:val="auto"/>
                <w:w w:val="97"/>
              </w:rPr>
              <w:t>(In thousands, except share data)</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405,896</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$159,997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73,090,877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$2,855,321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(749,367)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124,808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$ 2,391,514</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January 1, 2018 adoption of new</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accounting standard - See Note 2</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(6,028)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income, excluding $1,998 attributable</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124,842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1,624</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126,466</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5"/>
              </w:rPr>
              <w:t>Other comprehensive income - change in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fair value of interest rate swaps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(146,399)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(146,399)</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Common shares issued, net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148,614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18,318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18,320</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93,593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4,041</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plan</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9,292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Share-based compensation expense, net of</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forfeitures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99,574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7,143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7,144</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Shares withheld for employee taxes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 of OP units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(4,386)</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Contributions from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3,009</w:t>
            </w: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3,009</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2018</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405,896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2"/>
              </w:rPr>
              <w:t>$159,997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73,434,943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$2,884,771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(780,973)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122,648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$ 2,387,592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190"/>
        </w:trPr>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128,464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136,203</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104,045</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(19,174)</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from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Proceeds from new market tax credit transaction, net of deferred costs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accounts receivable,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3,467</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10,077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9,928</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Increase in security deposits and other liabilities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4,773</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263,111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238,660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(165,065)</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(229,198)</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(33,622)</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Proceeds from sale of real estate and real estate partnership interests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121,391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46,731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1,672</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(6,273)</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Issuance of mortgage and other notes receivable,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(386,699)</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399,410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mortgages and capital leases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(53,924)</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22,492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17,390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(140,447)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Shares withheld for employee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(4,077)</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13,068</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(10,312)</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(100,654)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221,108</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83,762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73,069</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34,849</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108,962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107,918</w:t>
            </w:r>
          </w:p>
        </w:tc>
      </w:tr>
      <w:tr>
        <w:trPr>
          <w:trHeight w:val="27"/>
        </w:trPr>
        <w:tc>
          <w:tcPr>
            <w:tcW w:w="8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6"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2018</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June 30, 2018, we owned or had a majority interest in community and neighborhood shopping centers and mixed-use properties which are operated as 105 predominantly retail real estate projects.</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consolidated balance sheet as of December 31, 2017,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and six months ended June 30, 2018 are not necessarily indicative of the results that may be expected for the full year.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2017 amounts have been reclassified to conform to current period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6"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230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628"/>
        </w:trPr>
        <w:tc>
          <w:tcPr>
            <w:tcW w:w="6620" w:type="dxa"/>
            <w:vAlign w:val="bottom"/>
            <w:gridSpan w:val="5"/>
          </w:tcPr>
          <w:p>
            <w:pPr>
              <w:spacing w:after="0"/>
              <w:rPr>
                <w:sz w:val="20"/>
                <w:szCs w:val="20"/>
                <w:color w:val="auto"/>
              </w:rPr>
            </w:pPr>
            <w:r>
              <w:rPr>
                <w:rFonts w:ascii="Arial" w:cs="Arial" w:eastAsia="Arial" w:hAnsi="Arial"/>
                <w:sz w:val="18"/>
                <w:szCs w:val="18"/>
                <w:b w:val="1"/>
                <w:bCs w:val="1"/>
                <w:color w:val="auto"/>
              </w:rPr>
              <w:t>Recently Adopted and Issued Accounting Pronouncements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60"/>
        </w:trPr>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of</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Effect on the financial statements or</w:t>
            </w:r>
          </w:p>
        </w:tc>
      </w:tr>
      <w:tr>
        <w:trPr>
          <w:trHeight w:val="234"/>
        </w:trPr>
        <w:tc>
          <w:tcPr>
            <w:tcW w:w="2300" w:type="dxa"/>
            <w:vAlign w:val="bottom"/>
            <w:gridSpan w:val="3"/>
          </w:tcPr>
          <w:p>
            <w:pPr>
              <w:ind w:left="40"/>
              <w:spacing w:after="0"/>
              <w:rPr>
                <w:sz w:val="20"/>
                <w:szCs w:val="20"/>
                <w:color w:val="auto"/>
              </w:rPr>
            </w:pPr>
            <w:r>
              <w:rPr>
                <w:rFonts w:ascii="Arial" w:cs="Arial" w:eastAsia="Arial" w:hAnsi="Arial"/>
                <w:sz w:val="18"/>
                <w:szCs w:val="18"/>
                <w:b w:val="1"/>
                <w:bCs w:val="1"/>
                <w:color w:val="auto"/>
              </w:rPr>
              <w:t>Standard</w:t>
            </w:r>
          </w:p>
        </w:tc>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Adoption</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significant matters</w:t>
            </w:r>
          </w:p>
        </w:tc>
      </w:tr>
      <w:tr>
        <w:trPr>
          <w:trHeight w:val="27"/>
        </w:trPr>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bl>
    <w:p>
      <w:pPr>
        <w:spacing w:after="0" w:line="131"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u w:val="single" w:color="auto"/>
          <w:color w:val="auto"/>
        </w:rPr>
        <w:t>Recently Adopted:</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ind w:left="40"/>
        <w:spacing w:after="0" w:line="286" w:lineRule="auto"/>
        <w:rPr>
          <w:sz w:val="20"/>
          <w:szCs w:val="20"/>
          <w:color w:val="auto"/>
        </w:rPr>
      </w:pPr>
      <w:r>
        <w:rPr>
          <w:rFonts w:ascii="Arial" w:cs="Arial" w:eastAsia="Arial" w:hAnsi="Arial"/>
          <w:sz w:val="17"/>
          <w:szCs w:val="17"/>
          <w:color w:val="auto"/>
        </w:rPr>
        <w:t>Revenue from Contracts with Customers (Topic 606) and related updates:</w:t>
      </w:r>
    </w:p>
    <w:p>
      <w:pPr>
        <w:spacing w:after="0" w:line="166" w:lineRule="exact"/>
        <w:rPr>
          <w:sz w:val="20"/>
          <w:szCs w:val="20"/>
          <w:color w:val="auto"/>
        </w:rPr>
      </w:pPr>
    </w:p>
    <w:p>
      <w:pPr>
        <w:ind w:left="40" w:right="580"/>
        <w:spacing w:after="0" w:line="279" w:lineRule="auto"/>
        <w:rPr>
          <w:sz w:val="20"/>
          <w:szCs w:val="20"/>
          <w:color w:val="auto"/>
        </w:rPr>
      </w:pPr>
      <w:r>
        <w:rPr>
          <w:rFonts w:ascii="Arial" w:cs="Arial" w:eastAsia="Arial" w:hAnsi="Arial"/>
          <w:sz w:val="17"/>
          <w:szCs w:val="17"/>
          <w:color w:val="auto"/>
        </w:rPr>
        <w:t xml:space="preserve">ASU 2014-09, May 2014,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p>
    <w:p>
      <w:pPr>
        <w:spacing w:after="0" w:line="171" w:lineRule="exact"/>
        <w:rPr>
          <w:sz w:val="20"/>
          <w:szCs w:val="20"/>
          <w:color w:val="auto"/>
        </w:rPr>
      </w:pPr>
    </w:p>
    <w:p>
      <w:pPr>
        <w:ind w:left="40" w:right="520"/>
        <w:spacing w:after="0" w:line="293" w:lineRule="auto"/>
        <w:rPr>
          <w:sz w:val="20"/>
          <w:szCs w:val="20"/>
          <w:color w:val="auto"/>
        </w:rPr>
      </w:pPr>
      <w:r>
        <w:rPr>
          <w:rFonts w:ascii="Arial" w:cs="Arial" w:eastAsia="Arial" w:hAnsi="Arial"/>
          <w:sz w:val="16"/>
          <w:szCs w:val="16"/>
          <w:color w:val="auto"/>
        </w:rPr>
        <w:t xml:space="preserve">ASU 2015-14, August 2015, </w:t>
      </w:r>
      <w:r>
        <w:rPr>
          <w:rFonts w:ascii="Arial" w:cs="Arial" w:eastAsia="Arial" w:hAnsi="Arial"/>
          <w:sz w:val="16"/>
          <w:szCs w:val="16"/>
          <w:i w:val="1"/>
          <w:iCs w:val="1"/>
          <w:color w:val="auto"/>
        </w:rPr>
        <w:t>Revenue from Contracts with Customers: Deferral of the Effective Date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 2016-08,</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2016,</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from</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Contracts with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Customers: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versus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Agent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Considerations</w:t>
      </w:r>
    </w:p>
    <w:p>
      <w:pPr>
        <w:spacing w:after="0" w:line="211" w:lineRule="exact"/>
        <w:rPr>
          <w:sz w:val="20"/>
          <w:szCs w:val="20"/>
          <w:color w:val="auto"/>
        </w:rPr>
      </w:pPr>
    </w:p>
    <w:p>
      <w:pPr>
        <w:ind w:left="40" w:right="540"/>
        <w:spacing w:after="0" w:line="271" w:lineRule="auto"/>
        <w:rPr>
          <w:sz w:val="20"/>
          <w:szCs w:val="20"/>
          <w:color w:val="auto"/>
        </w:rPr>
      </w:pPr>
      <w:r>
        <w:rPr>
          <w:rFonts w:ascii="Arial" w:cs="Arial" w:eastAsia="Arial" w:hAnsi="Arial"/>
          <w:sz w:val="17"/>
          <w:szCs w:val="17"/>
          <w:color w:val="auto"/>
        </w:rPr>
        <w:t xml:space="preserve">ASU 2016-10, April 2016,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 Identifying Performance Obligations and Licensing</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ASU 2016-12, May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Revenue from</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Contracts with</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Customers:</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Narrow-Scope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Improvements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Practical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Expedients</w:t>
      </w:r>
    </w:p>
    <w:p>
      <w:pPr>
        <w:spacing w:after="0" w:line="211" w:lineRule="exact"/>
        <w:rPr>
          <w:sz w:val="20"/>
          <w:szCs w:val="20"/>
          <w:color w:val="auto"/>
        </w:rPr>
      </w:pPr>
    </w:p>
    <w:p>
      <w:pPr>
        <w:ind w:left="40" w:right="840"/>
        <w:spacing w:after="0" w:line="285" w:lineRule="auto"/>
        <w:rPr>
          <w:sz w:val="20"/>
          <w:szCs w:val="20"/>
          <w:color w:val="auto"/>
        </w:rPr>
      </w:pPr>
      <w:r>
        <w:rPr>
          <w:rFonts w:ascii="Arial" w:cs="Arial" w:eastAsia="Arial" w:hAnsi="Arial"/>
          <w:sz w:val="16"/>
          <w:szCs w:val="16"/>
          <w:color w:val="auto"/>
        </w:rPr>
        <w:t xml:space="preserve">ASU 2016-20, December 2016, </w:t>
      </w:r>
      <w:r>
        <w:rPr>
          <w:rFonts w:ascii="Arial" w:cs="Arial" w:eastAsia="Arial" w:hAnsi="Arial"/>
          <w:sz w:val="16"/>
          <w:szCs w:val="16"/>
          <w:i w:val="1"/>
          <w:iCs w:val="1"/>
          <w:color w:val="auto"/>
        </w:rPr>
        <w:t>Revenue from Contracts with Customers:</w:t>
      </w:r>
    </w:p>
    <w:p>
      <w:pPr>
        <w:spacing w:after="0" w:line="2" w:lineRule="exact"/>
        <w:rPr>
          <w:sz w:val="20"/>
          <w:szCs w:val="20"/>
          <w:color w:val="auto"/>
        </w:rPr>
      </w:pPr>
    </w:p>
    <w:p>
      <w:pPr>
        <w:ind w:left="40" w:right="860"/>
        <w:spacing w:after="0" w:line="302" w:lineRule="auto"/>
        <w:rPr>
          <w:sz w:val="20"/>
          <w:szCs w:val="20"/>
          <w:color w:val="auto"/>
        </w:rPr>
      </w:pPr>
      <w:r>
        <w:rPr>
          <w:rFonts w:ascii="Arial" w:cs="Arial" w:eastAsia="Arial" w:hAnsi="Arial"/>
          <w:sz w:val="16"/>
          <w:szCs w:val="16"/>
          <w:i w:val="1"/>
          <w:iCs w:val="1"/>
          <w:color w:val="auto"/>
        </w:rPr>
        <w:t>Technical Corrections and Improvements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4300" w:val="left"/>
          <w:tab w:leader="none" w:pos="5640" w:val="left"/>
        </w:tabs>
        <w:rPr>
          <w:sz w:val="20"/>
          <w:szCs w:val="20"/>
          <w:color w:val="auto"/>
        </w:rPr>
      </w:pPr>
      <w:r>
        <w:rPr>
          <w:rFonts w:ascii="Arial" w:cs="Arial" w:eastAsia="Arial" w:hAnsi="Arial"/>
          <w:sz w:val="18"/>
          <w:szCs w:val="18"/>
          <w:color w:val="auto"/>
        </w:rPr>
        <w:t>In May 2014, the the FASB issued ASU 2014-09,</w:t>
      </w:r>
      <w:r>
        <w:rPr>
          <w:sz w:val="20"/>
          <w:szCs w:val="20"/>
          <w:color w:val="auto"/>
        </w:rPr>
        <w:tab/>
      </w:r>
      <w:r>
        <w:rPr>
          <w:rFonts w:ascii="Arial" w:cs="Arial" w:eastAsia="Arial" w:hAnsi="Arial"/>
          <w:sz w:val="18"/>
          <w:szCs w:val="18"/>
          <w:color w:val="auto"/>
        </w:rPr>
        <w:t>January 2018</w:t>
      </w:r>
      <w:r>
        <w:rPr>
          <w:sz w:val="20"/>
          <w:szCs w:val="20"/>
          <w:color w:val="auto"/>
        </w:rPr>
        <w:tab/>
      </w:r>
      <w:r>
        <w:rPr>
          <w:rFonts w:ascii="Arial" w:cs="Arial" w:eastAsia="Arial" w:hAnsi="Arial"/>
          <w:sz w:val="16"/>
          <w:szCs w:val="16"/>
          <w:color w:val="auto"/>
        </w:rPr>
        <w:t>We implemented the new revenue recognition</w:t>
      </w:r>
    </w:p>
    <w:p>
      <w:pPr>
        <w:spacing w:after="0" w:line="23"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"Revenue from Contracts with Customers." ASU 2014-</w:t>
      </w:r>
      <w:r>
        <w:rPr>
          <w:sz w:val="20"/>
          <w:szCs w:val="20"/>
          <w:color w:val="auto"/>
        </w:rPr>
        <w:tab/>
      </w:r>
      <w:r>
        <w:rPr>
          <w:rFonts w:ascii="Arial" w:cs="Arial" w:eastAsia="Arial" w:hAnsi="Arial"/>
          <w:sz w:val="16"/>
          <w:szCs w:val="16"/>
          <w:color w:val="auto"/>
        </w:rPr>
        <w:t>guidance retrospectively with the cumulative</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09 as amended and interpreted by ASU 2015-14, ASU</w:t>
      </w:r>
      <w:r>
        <w:rPr>
          <w:sz w:val="20"/>
          <w:szCs w:val="20"/>
          <w:color w:val="auto"/>
        </w:rPr>
        <w:tab/>
      </w:r>
      <w:r>
        <w:rPr>
          <w:rFonts w:ascii="Arial" w:cs="Arial" w:eastAsia="Arial" w:hAnsi="Arial"/>
          <w:sz w:val="16"/>
          <w:szCs w:val="16"/>
          <w:color w:val="auto"/>
        </w:rPr>
        <w:t>effect recognized in accumulated dividends in</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2016-08, ASU 2016-10, ASU 2016-12, and ASU 2016-</w:t>
      </w:r>
      <w:r>
        <w:rPr>
          <w:sz w:val="20"/>
          <w:szCs w:val="20"/>
          <w:color w:val="auto"/>
        </w:rPr>
        <w:tab/>
      </w:r>
      <w:r>
        <w:rPr>
          <w:rFonts w:ascii="Arial" w:cs="Arial" w:eastAsia="Arial" w:hAnsi="Arial"/>
          <w:sz w:val="16"/>
          <w:szCs w:val="16"/>
          <w:color w:val="auto"/>
        </w:rPr>
        <w:t>excess of net income at the date of initial</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20, supersedes nearly all existing revenue recognition</w:t>
      </w:r>
      <w:r>
        <w:rPr>
          <w:sz w:val="20"/>
          <w:szCs w:val="20"/>
          <w:color w:val="auto"/>
        </w:rPr>
        <w:tab/>
      </w:r>
      <w:r>
        <w:rPr>
          <w:rFonts w:ascii="Arial" w:cs="Arial" w:eastAsia="Arial" w:hAnsi="Arial"/>
          <w:sz w:val="16"/>
          <w:szCs w:val="16"/>
          <w:color w:val="auto"/>
        </w:rPr>
        <w:t>application. The primary impact relates to</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guidance under GAAP and replaces it with a core</w:t>
      </w:r>
      <w:r>
        <w:rPr>
          <w:sz w:val="20"/>
          <w:szCs w:val="20"/>
          <w:color w:val="auto"/>
        </w:rPr>
        <w:tab/>
      </w:r>
      <w:r>
        <w:rPr>
          <w:rFonts w:ascii="Arial" w:cs="Arial" w:eastAsia="Arial" w:hAnsi="Arial"/>
          <w:sz w:val="16"/>
          <w:szCs w:val="16"/>
          <w:color w:val="auto"/>
        </w:rPr>
        <w:t>condominium sales. Most of our revenue is</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revenue recognition principle, that an entity will</w:t>
      </w:r>
      <w:r>
        <w:rPr>
          <w:sz w:val="20"/>
          <w:szCs w:val="20"/>
          <w:color w:val="auto"/>
        </w:rPr>
        <w:tab/>
      </w:r>
      <w:r>
        <w:rPr>
          <w:rFonts w:ascii="Arial" w:cs="Arial" w:eastAsia="Arial" w:hAnsi="Arial"/>
          <w:sz w:val="16"/>
          <w:szCs w:val="16"/>
          <w:color w:val="auto"/>
        </w:rPr>
        <w:t>accounted for under the leasing standard, and</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recognize revenue when it transfers control of promised</w:t>
      </w:r>
      <w:r>
        <w:rPr>
          <w:sz w:val="20"/>
          <w:szCs w:val="20"/>
          <w:color w:val="auto"/>
        </w:rPr>
        <w:tab/>
      </w:r>
      <w:r>
        <w:rPr>
          <w:rFonts w:ascii="Arial" w:cs="Arial" w:eastAsia="Arial" w:hAnsi="Arial"/>
          <w:sz w:val="16"/>
          <w:szCs w:val="16"/>
          <w:color w:val="auto"/>
        </w:rPr>
        <w:t>therefore is not subject to this standard.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goods or services to customers in an amount that reflects</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the consideration to which the entity expects to be</w:t>
      </w:r>
      <w:r>
        <w:rPr>
          <w:sz w:val="20"/>
          <w:szCs w:val="20"/>
          <w:color w:val="auto"/>
        </w:rPr>
        <w:tab/>
      </w:r>
      <w:r>
        <w:rPr>
          <w:rFonts w:ascii="Arial" w:cs="Arial" w:eastAsia="Arial" w:hAnsi="Arial"/>
          <w:sz w:val="16"/>
          <w:szCs w:val="16"/>
          <w:color w:val="auto"/>
        </w:rPr>
        <w:t>In 2017, gains on contracted condominium</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entitled in exchange for those goods or services, and</w:t>
      </w:r>
      <w:r>
        <w:rPr>
          <w:sz w:val="20"/>
          <w:szCs w:val="20"/>
          <w:color w:val="auto"/>
        </w:rPr>
        <w:tab/>
      </w:r>
      <w:r>
        <w:rPr>
          <w:rFonts w:ascii="Arial" w:cs="Arial" w:eastAsia="Arial" w:hAnsi="Arial"/>
          <w:sz w:val="15"/>
          <w:szCs w:val="15"/>
          <w:color w:val="auto"/>
        </w:rPr>
        <w:t>sales were recognized using the percentage-</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creates a five-step model for revenue recognition in</w:t>
      </w:r>
      <w:r>
        <w:rPr>
          <w:sz w:val="20"/>
          <w:szCs w:val="20"/>
          <w:color w:val="auto"/>
        </w:rPr>
        <w:tab/>
      </w:r>
      <w:r>
        <w:rPr>
          <w:rFonts w:ascii="Arial" w:cs="Arial" w:eastAsia="Arial" w:hAnsi="Arial"/>
          <w:sz w:val="16"/>
          <w:szCs w:val="16"/>
          <w:color w:val="auto"/>
        </w:rPr>
        <w:t>of-completion method, with the gain</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accordance with this principle. ASU 2014-09 also</w:t>
      </w:r>
      <w:r>
        <w:rPr>
          <w:sz w:val="20"/>
          <w:szCs w:val="20"/>
          <w:color w:val="auto"/>
        </w:rPr>
        <w:tab/>
      </w:r>
      <w:r>
        <w:rPr>
          <w:rFonts w:ascii="Arial" w:cs="Arial" w:eastAsia="Arial" w:hAnsi="Arial"/>
          <w:sz w:val="16"/>
          <w:szCs w:val="16"/>
          <w:color w:val="auto"/>
        </w:rPr>
        <w:t>recognized once certain criteria were met in</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requires new disclosures in both interim and annual</w:t>
      </w:r>
      <w:r>
        <w:rPr>
          <w:sz w:val="20"/>
          <w:szCs w:val="20"/>
          <w:color w:val="auto"/>
        </w:rPr>
        <w:tab/>
      </w:r>
      <w:r>
        <w:rPr>
          <w:rFonts w:ascii="Arial" w:cs="Arial" w:eastAsia="Arial" w:hAnsi="Arial"/>
          <w:sz w:val="16"/>
          <w:szCs w:val="16"/>
          <w:color w:val="auto"/>
        </w:rPr>
        <w:t>advance of legal closing. Under the new</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reporting periods. The guidance in ASU 2014-09 does</w:t>
      </w:r>
      <w:r>
        <w:rPr>
          <w:sz w:val="20"/>
          <w:szCs w:val="20"/>
          <w:color w:val="auto"/>
        </w:rPr>
        <w:tab/>
      </w:r>
      <w:r>
        <w:rPr>
          <w:rFonts w:ascii="Arial" w:cs="Arial" w:eastAsia="Arial" w:hAnsi="Arial"/>
          <w:sz w:val="16"/>
          <w:szCs w:val="16"/>
          <w:color w:val="auto"/>
        </w:rPr>
        <w:t>guidance, condominium sale gains are</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not apply to contracts within the scope of ASC 840,</w:t>
      </w:r>
      <w:r>
        <w:rPr>
          <w:sz w:val="20"/>
          <w:szCs w:val="20"/>
          <w:color w:val="auto"/>
        </w:rPr>
        <w:tab/>
      </w:r>
      <w:r>
        <w:rPr>
          <w:rFonts w:ascii="Arial" w:cs="Arial" w:eastAsia="Arial" w:hAnsi="Arial"/>
          <w:sz w:val="16"/>
          <w:szCs w:val="16"/>
          <w:color w:val="auto"/>
        </w:rPr>
        <w:t>recognized as the condominium units are</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7"/>
          <w:szCs w:val="17"/>
          <w:color w:val="auto"/>
        </w:rPr>
        <w:t>Leases.</w:t>
      </w:r>
      <w:r>
        <w:rPr>
          <w:sz w:val="20"/>
          <w:szCs w:val="20"/>
          <w:color w:val="auto"/>
        </w:rPr>
        <w:tab/>
      </w:r>
      <w:r>
        <w:rPr>
          <w:rFonts w:ascii="Arial" w:cs="Arial" w:eastAsia="Arial" w:hAnsi="Arial"/>
          <w:sz w:val="17"/>
          <w:szCs w:val="17"/>
          <w:color w:val="auto"/>
        </w:rPr>
        <w:t>legally sold, which is typically upon closing.</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$5.4 million of condominium gains (net of</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ASU 2016-08 clarifies how to identify the unit of</w:t>
      </w:r>
      <w:r>
        <w:rPr>
          <w:sz w:val="20"/>
          <w:szCs w:val="20"/>
          <w:color w:val="auto"/>
        </w:rPr>
        <w:tab/>
      </w:r>
      <w:r>
        <w:rPr>
          <w:rFonts w:ascii="Arial" w:cs="Arial" w:eastAsia="Arial" w:hAnsi="Arial"/>
          <w:sz w:val="16"/>
          <w:szCs w:val="16"/>
          <w:color w:val="auto"/>
        </w:rPr>
        <w:t>$1.4 million of income taxes) recorded under</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accounting for the principal versus agent evaluation, how</w:t>
      </w:r>
      <w:r>
        <w:rPr>
          <w:sz w:val="20"/>
          <w:szCs w:val="20"/>
          <w:color w:val="auto"/>
        </w:rPr>
        <w:tab/>
      </w:r>
      <w:r>
        <w:rPr>
          <w:rFonts w:ascii="Arial" w:cs="Arial" w:eastAsia="Arial" w:hAnsi="Arial"/>
          <w:sz w:val="16"/>
          <w:szCs w:val="16"/>
          <w:color w:val="auto"/>
        </w:rPr>
        <w:t>the percentage-of-completion method in 2017</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to apply the control principle to certain types of</w:t>
      </w:r>
      <w:r>
        <w:rPr>
          <w:sz w:val="20"/>
          <w:szCs w:val="20"/>
          <w:color w:val="auto"/>
        </w:rPr>
        <w:tab/>
      </w:r>
      <w:r>
        <w:rPr>
          <w:rFonts w:ascii="Arial" w:cs="Arial" w:eastAsia="Arial" w:hAnsi="Arial"/>
          <w:sz w:val="16"/>
          <w:szCs w:val="16"/>
          <w:color w:val="auto"/>
        </w:rPr>
        <w:t>were reversed through opening accumulated</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arrangements, such as service transactions, and reframed</w:t>
      </w:r>
      <w:r>
        <w:rPr>
          <w:sz w:val="20"/>
          <w:szCs w:val="20"/>
          <w:color w:val="auto"/>
        </w:rPr>
        <w:tab/>
      </w:r>
      <w:r>
        <w:rPr>
          <w:rFonts w:ascii="Arial" w:cs="Arial" w:eastAsia="Arial" w:hAnsi="Arial"/>
          <w:sz w:val="16"/>
          <w:szCs w:val="16"/>
          <w:color w:val="auto"/>
        </w:rPr>
        <w:t>dividends in excess of 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indicators in the guidance to focus on evidence that</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an entity is acting as a principal rather than as an agent.</w:t>
      </w:r>
      <w:r>
        <w:rPr>
          <w:sz w:val="20"/>
          <w:szCs w:val="20"/>
          <w:color w:val="auto"/>
        </w:rPr>
        <w:tab/>
      </w:r>
      <w:r>
        <w:rPr>
          <w:rFonts w:ascii="Arial" w:cs="Arial" w:eastAsia="Arial" w:hAnsi="Arial"/>
          <w:sz w:val="16"/>
          <w:szCs w:val="16"/>
          <w:color w:val="auto"/>
        </w:rPr>
        <w:t>With the exception of condominium sales, the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adoption of the standard did not have a</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ASU 2016-10 clarifies the existing guidance on</w:t>
      </w:r>
      <w:r>
        <w:rPr>
          <w:sz w:val="20"/>
          <w:szCs w:val="20"/>
          <w:color w:val="auto"/>
        </w:rPr>
        <w:tab/>
      </w:r>
      <w:r>
        <w:rPr>
          <w:rFonts w:ascii="Arial" w:cs="Arial" w:eastAsia="Arial" w:hAnsi="Arial"/>
          <w:sz w:val="16"/>
          <w:szCs w:val="16"/>
          <w:color w:val="auto"/>
        </w:rPr>
        <w:t>significant impact on our consolidated</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identifying performance obligations and licensing</w:t>
      </w:r>
      <w:r>
        <w:rPr>
          <w:sz w:val="20"/>
          <w:szCs w:val="20"/>
          <w:color w:val="auto"/>
        </w:rPr>
        <w:tab/>
      </w:r>
      <w:r>
        <w:rPr>
          <w:rFonts w:ascii="Arial" w:cs="Arial" w:eastAsia="Arial" w:hAnsi="Arial"/>
          <w:sz w:val="16"/>
          <w:szCs w:val="16"/>
          <w:color w:val="auto"/>
        </w:rPr>
        <w:t>financial statements, with an additional</w:t>
      </w:r>
    </w:p>
    <w:p>
      <w:pPr>
        <w:spacing w:after="0" w:line="9" w:lineRule="exact"/>
        <w:rPr>
          <w:sz w:val="20"/>
          <w:szCs w:val="20"/>
          <w:color w:val="auto"/>
        </w:rPr>
      </w:pPr>
    </w:p>
    <w:p>
      <w:pPr>
        <w:spacing w:after="0"/>
        <w:tabs>
          <w:tab w:leader="none" w:pos="5640" w:val="left"/>
        </w:tabs>
        <w:rPr>
          <w:sz w:val="20"/>
          <w:szCs w:val="20"/>
          <w:color w:val="auto"/>
        </w:rPr>
      </w:pPr>
      <w:r>
        <w:rPr>
          <w:rFonts w:ascii="Arial" w:cs="Arial" w:eastAsia="Arial" w:hAnsi="Arial"/>
          <w:sz w:val="17"/>
          <w:szCs w:val="17"/>
          <w:color w:val="auto"/>
        </w:rPr>
        <w:t>implementation.</w:t>
      </w:r>
      <w:r>
        <w:rPr>
          <w:sz w:val="20"/>
          <w:szCs w:val="20"/>
          <w:color w:val="auto"/>
        </w:rPr>
        <w:tab/>
      </w:r>
      <w:r>
        <w:rPr>
          <w:rFonts w:ascii="Arial" w:cs="Arial" w:eastAsia="Arial" w:hAnsi="Arial"/>
          <w:sz w:val="17"/>
          <w:szCs w:val="17"/>
          <w:color w:val="auto"/>
        </w:rPr>
        <w:t>cumulative effect of $0.6 million reflected in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opening accumulated dividends in excess of</w:t>
      </w:r>
    </w:p>
    <w:p>
      <w:pPr>
        <w:spacing w:after="0" w:line="32"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ASU 2016-12 adds practical expedients related to the</w:t>
      </w:r>
      <w:r>
        <w:rPr>
          <w:sz w:val="20"/>
          <w:szCs w:val="20"/>
          <w:color w:val="auto"/>
        </w:rPr>
        <w:tab/>
      </w:r>
      <w:r>
        <w:rPr>
          <w:rFonts w:ascii="Arial" w:cs="Arial" w:eastAsia="Arial" w:hAnsi="Arial"/>
          <w:sz w:val="16"/>
          <w:szCs w:val="16"/>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transition for contract modifications and further defines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completed contract, clarifies the objective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collectability assessment and how revenue is recognized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collectability is not probable,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when non-cash considerations should be measured.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ASU 2016-20 corrects or improves guidance in thirteen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narrowly focused aspects of the guidance.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standard allows for either "full retrospective"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adoption, meaning the standard is applied to all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periods presented, or "modified retrospective" adoption,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meaning the cumulative impact of applying the standard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 recognized in accumulated dividends in excess of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on the date of application.</w:t>
      </w:r>
    </w:p>
    <w:p>
      <w:pPr>
        <w:spacing w:after="0" w:line="1551" w:lineRule="exact"/>
        <w:rPr>
          <w:sz w:val="20"/>
          <w:szCs w:val="20"/>
          <w:color w:val="auto"/>
        </w:rPr>
      </w:pPr>
    </w:p>
    <w:p>
      <w:pPr>
        <w:sectPr>
          <w:pgSz w:w="11900" w:h="16838" w:orient="portrait"/>
          <w:cols w:equalWidth="0" w:num="2">
            <w:col w:w="2060" w:space="260"/>
            <w:col w:w="9040"/>
          </w:cols>
          <w:pgMar w:left="240" w:top="118" w:right="299" w:bottom="1440" w:gutter="0" w:footer="0" w:header="0"/>
          <w:type w:val="continuous"/>
        </w:sectPr>
      </w:pP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118" w:right="2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of</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Effect on the financial statements or</w:t>
            </w:r>
          </w:p>
        </w:tc>
      </w:tr>
      <w:tr>
        <w:trPr>
          <w:trHeight w:val="234"/>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Standard</w:t>
            </w:r>
          </w:p>
        </w:tc>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Adoption</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significant matters</w:t>
            </w:r>
          </w:p>
        </w:tc>
      </w:tr>
      <w:tr>
        <w:trPr>
          <w:trHeight w:val="27"/>
        </w:trPr>
        <w:tc>
          <w:tcPr>
            <w:tcW w:w="2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22"/>
        </w:trPr>
        <w:tc>
          <w:tcPr>
            <w:tcW w:w="2300" w:type="dxa"/>
            <w:vAlign w:val="bottom"/>
            <w:gridSpan w:val="2"/>
          </w:tcPr>
          <w:p>
            <w:pPr>
              <w:ind w:left="40"/>
              <w:spacing w:after="0"/>
              <w:rPr>
                <w:sz w:val="20"/>
                <w:szCs w:val="20"/>
                <w:color w:val="auto"/>
              </w:rPr>
            </w:pPr>
            <w:r>
              <w:rPr>
                <w:rFonts w:ascii="Arial" w:cs="Arial" w:eastAsia="Arial" w:hAnsi="Arial"/>
                <w:sz w:val="18"/>
                <w:szCs w:val="18"/>
                <w:color w:val="auto"/>
                <w:w w:val="99"/>
              </w:rPr>
              <w:t>ASU 2016-15, August 2016,</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This ASU provides classification guidance for eight</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January 2018</w:t>
            </w:r>
          </w:p>
        </w:tc>
        <w:tc>
          <w:tcPr>
            <w:tcW w:w="3400" w:type="dxa"/>
            <w:vAlign w:val="bottom"/>
          </w:tcPr>
          <w:p>
            <w:pPr>
              <w:ind w:left="20"/>
              <w:spacing w:after="0"/>
              <w:rPr>
                <w:sz w:val="20"/>
                <w:szCs w:val="20"/>
                <w:color w:val="auto"/>
              </w:rPr>
            </w:pPr>
            <w:r>
              <w:rPr>
                <w:rFonts w:ascii="Arial" w:cs="Arial" w:eastAsia="Arial" w:hAnsi="Arial"/>
                <w:sz w:val="18"/>
                <w:szCs w:val="18"/>
                <w:color w:val="auto"/>
                <w:w w:val="95"/>
              </w:rPr>
              <w:t>This standard did not have an impact on our</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Statement of Cash Flows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specific topics including debt extinguishment costs,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(Topic 230): Classification</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2"/>
              </w:rPr>
              <w:t>contingent consideration payments made after a business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of Certain Cash Receipts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combination, and distributions received from equity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30"/>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and Cash Payments</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method investees.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377"/>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ASU 2016-18, November</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This ASU requires that the statement of cash flows</w:t>
            </w: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January 2018</w:t>
            </w:r>
          </w:p>
        </w:tc>
        <w:tc>
          <w:tcPr>
            <w:tcW w:w="3400" w:type="dxa"/>
            <w:vAlign w:val="bottom"/>
          </w:tcPr>
          <w:p>
            <w:pPr>
              <w:ind w:left="20"/>
              <w:spacing w:after="0"/>
              <w:rPr>
                <w:sz w:val="20"/>
                <w:szCs w:val="20"/>
                <w:color w:val="auto"/>
              </w:rPr>
            </w:pPr>
            <w:r>
              <w:rPr>
                <w:rFonts w:ascii="Arial" w:cs="Arial" w:eastAsia="Arial" w:hAnsi="Arial"/>
                <w:sz w:val="18"/>
                <w:szCs w:val="18"/>
                <w:color w:val="auto"/>
              </w:rPr>
              <w:t>Prior to the adoption of this standard, "net</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Statement of Cash</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5"/>
              </w:rPr>
              <w:t>explain the change during the period in the total of cash,</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cash provided by operating activities" was</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Flows (Topic 203) -</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cash equivalents, and amounts generally described as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2"/>
              </w:rPr>
              <w:t>$241.8 million and "net cash used in investing</w:t>
            </w:r>
          </w:p>
        </w:tc>
      </w:tr>
      <w:tr>
        <w:trPr>
          <w:trHeight w:val="216"/>
        </w:trPr>
        <w:tc>
          <w:tcPr>
            <w:tcW w:w="2300" w:type="dxa"/>
            <w:vAlign w:val="bottom"/>
            <w:gridSpan w:val="2"/>
          </w:tcPr>
          <w:p>
            <w:pPr>
              <w:ind w:left="40"/>
              <w:spacing w:after="0"/>
              <w:rPr>
                <w:sz w:val="20"/>
                <w:szCs w:val="20"/>
                <w:color w:val="auto"/>
              </w:rPr>
            </w:pPr>
            <w:r>
              <w:rPr>
                <w:rFonts w:ascii="Arial" w:cs="Arial" w:eastAsia="Arial" w:hAnsi="Arial"/>
                <w:sz w:val="18"/>
                <w:szCs w:val="18"/>
                <w:i w:val="1"/>
                <w:iCs w:val="1"/>
                <w:color w:val="auto"/>
              </w:rPr>
              <w:t>Restricted Cash</w:t>
            </w: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8"/>
              </w:rPr>
              <w:t>restricted cash or cash equivalents. Amounts generally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activities" was $390.0 million, for the six</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w w:val="97"/>
              </w:rPr>
              <w:t>described as restricted cash and equivalents should be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months ended June 30, 2017. After the</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included with cash and cash equivalents when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adoption, "net cash provided by operating</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reconciling the beginning and end of period total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w w:val="97"/>
              </w:rPr>
              <w:t>activities" was $238.7 million and "net cash</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amounts on the statement of cash flows.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used in investing activities" was $386.7</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million, for the six months ended June 30,</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2017. The reclassification is reflected in</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"increase in cash, cash equivalents, and</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restricted cash" in the Consolidated</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Statements of Cash Flows. See additional</w:t>
            </w:r>
          </w:p>
        </w:tc>
      </w:tr>
      <w:tr>
        <w:trPr>
          <w:trHeight w:val="216"/>
        </w:trPr>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disclosures in "Consolidated Statement of</w:t>
            </w:r>
          </w:p>
        </w:tc>
      </w:tr>
      <w:tr>
        <w:trPr>
          <w:trHeight w:val="230"/>
        </w:trPr>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Cash Flows - Supplemental Disclosures."</w:t>
            </w:r>
          </w:p>
        </w:tc>
      </w:tr>
    </w:tbl>
    <w:p>
      <w:pPr>
        <w:spacing w:after="0" w:line="200" w:lineRule="exact"/>
        <w:rPr>
          <w:sz w:val="20"/>
          <w:szCs w:val="20"/>
          <w:color w:val="auto"/>
        </w:rPr>
      </w:pPr>
    </w:p>
    <w:p>
      <w:pPr>
        <w:sectPr>
          <w:pgSz w:w="11900" w:h="16838" w:orient="portrait"/>
          <w:cols w:equalWidth="0" w:num="1">
            <w:col w:w="11360"/>
          </w:cols>
          <w:pgMar w:left="240" w:top="126" w:right="299" w:bottom="1440" w:gutter="0" w:footer="0" w:header="0"/>
        </w:sectPr>
      </w:pPr>
    </w:p>
    <w:p>
      <w:pPr>
        <w:spacing w:after="0" w:line="2" w:lineRule="exact"/>
        <w:rPr>
          <w:sz w:val="20"/>
          <w:szCs w:val="20"/>
          <w:color w:val="auto"/>
        </w:rPr>
      </w:pPr>
    </w:p>
    <w:p>
      <w:pPr>
        <w:ind w:left="40"/>
        <w:spacing w:after="0" w:line="289" w:lineRule="auto"/>
        <w:rPr>
          <w:sz w:val="20"/>
          <w:szCs w:val="20"/>
          <w:color w:val="auto"/>
        </w:rPr>
      </w:pPr>
      <w:r>
        <w:rPr>
          <w:rFonts w:ascii="Arial" w:cs="Arial" w:eastAsia="Arial" w:hAnsi="Arial"/>
          <w:sz w:val="16"/>
          <w:szCs w:val="16"/>
          <w:color w:val="auto"/>
        </w:rPr>
        <w:t xml:space="preserve">ASU 2017-05, February 2017, </w:t>
      </w:r>
      <w:r>
        <w:rPr>
          <w:rFonts w:ascii="Arial" w:cs="Arial" w:eastAsia="Arial" w:hAnsi="Arial"/>
          <w:sz w:val="16"/>
          <w:szCs w:val="16"/>
          <w:i w:val="1"/>
          <w:iCs w:val="1"/>
          <w:color w:val="auto"/>
        </w:rPr>
        <w:t>Other Income - Gains</w:t>
      </w:r>
      <w:r>
        <w:rPr>
          <w:rFonts w:ascii="Arial" w:cs="Arial" w:eastAsia="Arial" w:hAnsi="Arial"/>
          <w:sz w:val="16"/>
          <w:szCs w:val="16"/>
          <w:color w:val="auto"/>
        </w:rPr>
        <w:t xml:space="preserve"> </w:t>
      </w:r>
      <w:r>
        <w:rPr>
          <w:rFonts w:ascii="Arial" w:cs="Arial" w:eastAsia="Arial" w:hAnsi="Arial"/>
          <w:sz w:val="16"/>
          <w:szCs w:val="16"/>
          <w:i w:val="1"/>
          <w:iCs w:val="1"/>
          <w:color w:val="auto"/>
        </w:rPr>
        <w:t>and Losses from the Recognition of Nonfinancial Assets (Subtopic 610-20): Clarifying the Scope of Asset Derecognition Guidance and Accounting for Partial Sales of Nonfinancial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right="120"/>
        <w:spacing w:after="0" w:line="288" w:lineRule="auto"/>
        <w:rPr>
          <w:sz w:val="20"/>
          <w:szCs w:val="20"/>
          <w:color w:val="auto"/>
        </w:rPr>
      </w:pPr>
      <w:r>
        <w:rPr>
          <w:rFonts w:ascii="Arial" w:cs="Arial" w:eastAsia="Arial" w:hAnsi="Arial"/>
          <w:sz w:val="16"/>
          <w:szCs w:val="16"/>
          <w:color w:val="auto"/>
        </w:rPr>
        <w:t xml:space="preserve">ASU 2017-09, May 2017, </w:t>
      </w:r>
      <w:r>
        <w:rPr>
          <w:rFonts w:ascii="Arial" w:cs="Arial" w:eastAsia="Arial" w:hAnsi="Arial"/>
          <w:sz w:val="16"/>
          <w:szCs w:val="16"/>
          <w:i w:val="1"/>
          <w:iCs w:val="1"/>
          <w:color w:val="auto"/>
        </w:rPr>
        <w:t>Compensation-Stock Compensation (Topic 718):</w:t>
      </w:r>
    </w:p>
    <w:p>
      <w:pPr>
        <w:ind w:left="40" w:right="500"/>
        <w:spacing w:after="0" w:line="323" w:lineRule="auto"/>
        <w:rPr>
          <w:sz w:val="20"/>
          <w:szCs w:val="20"/>
          <w:color w:val="auto"/>
        </w:rPr>
      </w:pPr>
      <w:r>
        <w:rPr>
          <w:rFonts w:ascii="Arial" w:cs="Arial" w:eastAsia="Arial" w:hAnsi="Arial"/>
          <w:sz w:val="16"/>
          <w:szCs w:val="16"/>
          <w:i w:val="1"/>
          <w:iCs w:val="1"/>
          <w:color w:val="auto"/>
        </w:rPr>
        <w:t>Scope of Modification Accounting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This ASU clarifies that ASC 610-20 applies to all</w:t>
            </w:r>
          </w:p>
        </w:tc>
        <w:tc>
          <w:tcPr>
            <w:tcW w:w="1260" w:type="dxa"/>
            <w:vAlign w:val="bottom"/>
          </w:tcPr>
          <w:p>
            <w:pPr>
              <w:ind w:left="100"/>
              <w:spacing w:after="0"/>
              <w:rPr>
                <w:sz w:val="20"/>
                <w:szCs w:val="20"/>
                <w:color w:val="auto"/>
              </w:rPr>
            </w:pPr>
            <w:r>
              <w:rPr>
                <w:rFonts w:ascii="Arial" w:cs="Arial" w:eastAsia="Arial" w:hAnsi="Arial"/>
                <w:sz w:val="18"/>
                <w:szCs w:val="18"/>
                <w:color w:val="auto"/>
              </w:rPr>
              <w:t>January 2018</w:t>
            </w:r>
          </w:p>
        </w:tc>
        <w:tc>
          <w:tcPr>
            <w:tcW w:w="3520" w:type="dxa"/>
            <w:vAlign w:val="bottom"/>
          </w:tcPr>
          <w:p>
            <w:pPr>
              <w:ind w:left="180"/>
              <w:spacing w:after="0"/>
              <w:rPr>
                <w:sz w:val="20"/>
                <w:szCs w:val="20"/>
                <w:color w:val="auto"/>
              </w:rPr>
            </w:pPr>
            <w:r>
              <w:rPr>
                <w:rFonts w:ascii="Arial" w:cs="Arial" w:eastAsia="Arial" w:hAnsi="Arial"/>
                <w:sz w:val="18"/>
                <w:szCs w:val="18"/>
                <w:color w:val="auto"/>
              </w:rPr>
              <w:t>The new guidance impacts the gain</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6"/>
              </w:rPr>
              <w:t>nonfinancial assets (including real estate) for which the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87"/>
              </w:rPr>
              <w:t>recognized when a real estate asset is sold to 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5"/>
              </w:rPr>
              <w:t>counterparty is not a customer and also clarifies that all</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2"/>
              </w:rPr>
              <w:t>non-customer and a noncontrolling interest is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4"/>
              </w:rPr>
              <w:t>businesses are derecognized using the deconsolidation</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retained.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guidance. Additionally, it defines an insubstance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4"/>
              </w:rPr>
              <w:t>The adoption of this standard did not have a</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2"/>
              </w:rPr>
              <w:t>nonfinancial asset as a financial asset that is promised to</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significant impact on our consolidated</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6"/>
              </w:rPr>
              <w:t>a counterparty in a contract in which substantially all of</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financial statements.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8"/>
              </w:rPr>
              <w:t>the fair value of the assets promised in the contract is</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2"/>
              </w:rPr>
              <w:t>concentrated in nonfinancial assets, which excludes cash</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or cash equivalents and liabilities.</w:t>
            </w:r>
          </w:p>
        </w:tc>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w w:val="95"/>
              </w:rPr>
              <w:t>Under the current guidance, a partial sale is recognized</w:t>
            </w: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and carryover basis is used for the retained interest,</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however, the new guidance eliminates the use of</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7"/>
              </w:rPr>
              <w:t>carryover basis and generally requires a full gain to be</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recognized for prospective disposals of nonfinancial</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18"/>
        </w:trPr>
        <w:tc>
          <w:tcPr>
            <w:tcW w:w="4220" w:type="dxa"/>
            <w:vAlign w:val="bottom"/>
          </w:tcPr>
          <w:p>
            <w:pPr>
              <w:spacing w:after="0"/>
              <w:rPr>
                <w:sz w:val="20"/>
                <w:szCs w:val="20"/>
                <w:color w:val="auto"/>
              </w:rPr>
            </w:pPr>
            <w:r>
              <w:rPr>
                <w:rFonts w:ascii="Arial" w:cs="Arial" w:eastAsia="Arial" w:hAnsi="Arial"/>
                <w:sz w:val="18"/>
                <w:szCs w:val="18"/>
                <w:color w:val="auto"/>
              </w:rPr>
              <w:t>The ASU clarifies when changes to the terms or</w:t>
            </w:r>
          </w:p>
        </w:tc>
        <w:tc>
          <w:tcPr>
            <w:tcW w:w="1260" w:type="dxa"/>
            <w:vAlign w:val="bottom"/>
          </w:tcPr>
          <w:p>
            <w:pPr>
              <w:ind w:left="100"/>
              <w:spacing w:after="0"/>
              <w:rPr>
                <w:sz w:val="20"/>
                <w:szCs w:val="20"/>
                <w:color w:val="auto"/>
              </w:rPr>
            </w:pPr>
            <w:r>
              <w:rPr>
                <w:rFonts w:ascii="Arial" w:cs="Arial" w:eastAsia="Arial" w:hAnsi="Arial"/>
                <w:sz w:val="18"/>
                <w:szCs w:val="18"/>
                <w:color w:val="auto"/>
              </w:rPr>
              <w:t>January 2018</w:t>
            </w:r>
          </w:p>
        </w:tc>
        <w:tc>
          <w:tcPr>
            <w:tcW w:w="3520" w:type="dxa"/>
            <w:vAlign w:val="bottom"/>
          </w:tcPr>
          <w:p>
            <w:pPr>
              <w:ind w:left="180"/>
              <w:spacing w:after="0"/>
              <w:rPr>
                <w:sz w:val="20"/>
                <w:szCs w:val="20"/>
                <w:color w:val="auto"/>
              </w:rPr>
            </w:pPr>
            <w:r>
              <w:rPr>
                <w:rFonts w:ascii="Arial" w:cs="Arial" w:eastAsia="Arial" w:hAnsi="Arial"/>
                <w:sz w:val="18"/>
                <w:szCs w:val="18"/>
                <w:color w:val="auto"/>
                <w:w w:val="91"/>
              </w:rPr>
              <w:t>The adoption of this standard did not have an</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conditions of a share-based payment award must be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6"/>
              </w:rPr>
              <w:t>impact to our financial statements, as there</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2"/>
              </w:rPr>
              <w:t>accounted for as modifications. Under the new guidance,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w w:val="92"/>
              </w:rPr>
              <w:t>have been no modifications to awards for the</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an entity will not apply modification accounting if the</w:t>
            </w:r>
          </w:p>
        </w:tc>
        <w:tc>
          <w:tcPr>
            <w:tcW w:w="1260" w:type="dxa"/>
            <w:vAlign w:val="bottom"/>
          </w:tcPr>
          <w:p>
            <w:pPr>
              <w:spacing w:after="0"/>
              <w:rPr>
                <w:sz w:val="18"/>
                <w:szCs w:val="18"/>
                <w:color w:val="auto"/>
              </w:rPr>
            </w:pPr>
          </w:p>
        </w:tc>
        <w:tc>
          <w:tcPr>
            <w:tcW w:w="3520" w:type="dxa"/>
            <w:vAlign w:val="bottom"/>
          </w:tcPr>
          <w:p>
            <w:pPr>
              <w:ind w:left="180"/>
              <w:spacing w:after="0"/>
              <w:rPr>
                <w:sz w:val="20"/>
                <w:szCs w:val="20"/>
                <w:color w:val="auto"/>
              </w:rPr>
            </w:pPr>
            <w:r>
              <w:rPr>
                <w:rFonts w:ascii="Arial" w:cs="Arial" w:eastAsia="Arial" w:hAnsi="Arial"/>
                <w:sz w:val="18"/>
                <w:szCs w:val="18"/>
                <w:color w:val="auto"/>
              </w:rPr>
              <w:t>six months ended June 30, 2018.</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awards' fair value, vesting conditions, and the</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5"/>
              </w:rPr>
              <w:t>classification of the award as equity or a liability are the</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3"/>
              </w:rPr>
              <w:t>same immediately before and after the change. The new</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6"/>
              </w:rPr>
              <w:t>guidance is applied prospectively to awards granted or</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modified after the adoption date.</w:t>
            </w:r>
          </w:p>
        </w:tc>
        <w:tc>
          <w:tcPr>
            <w:tcW w:w="126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120" w:space="200"/>
            <w:col w:w="9040"/>
          </w:cols>
          <w:pgMar w:left="240" w:top="12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126" w:right="2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u w:val="single" w:color="auto"/>
          <w:color w:val="auto"/>
        </w:rPr>
        <w:t>Not Yet Adopted:</w:t>
      </w:r>
    </w:p>
    <w:p>
      <w:pPr>
        <w:spacing w:after="0" w:line="20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Leases (Topic 842) and related updates: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ASU 2016-02,</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February 2016,</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Leases (Topic 842)</w:t>
      </w:r>
    </w:p>
    <w:p>
      <w:pPr>
        <w:spacing w:after="0" w:line="196" w:lineRule="exact"/>
        <w:rPr>
          <w:sz w:val="20"/>
          <w:szCs w:val="20"/>
          <w:color w:val="auto"/>
        </w:rPr>
      </w:pPr>
    </w:p>
    <w:p>
      <w:pPr>
        <w:ind w:left="120" w:right="60"/>
        <w:spacing w:after="0" w:line="257" w:lineRule="auto"/>
        <w:rPr>
          <w:sz w:val="20"/>
          <w:szCs w:val="20"/>
          <w:color w:val="auto"/>
        </w:rPr>
      </w:pPr>
      <w:r>
        <w:rPr>
          <w:rFonts w:ascii="Arial" w:cs="Arial" w:eastAsia="Arial" w:hAnsi="Arial"/>
          <w:sz w:val="17"/>
          <w:szCs w:val="17"/>
          <w:color w:val="auto"/>
        </w:rPr>
        <w:t xml:space="preserve">ASU 2018-10, July 2018,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Topic 842, Leases</w:t>
      </w:r>
    </w:p>
    <w:p>
      <w:pPr>
        <w:spacing w:after="0" w:line="176" w:lineRule="exact"/>
        <w:rPr>
          <w:sz w:val="20"/>
          <w:szCs w:val="20"/>
          <w:color w:val="auto"/>
        </w:rPr>
      </w:pPr>
    </w:p>
    <w:p>
      <w:pPr>
        <w:jc w:val="both"/>
        <w:ind w:left="120" w:right="240" w:hanging="9"/>
        <w:spacing w:after="0" w:line="285" w:lineRule="auto"/>
        <w:rPr>
          <w:sz w:val="20"/>
          <w:szCs w:val="20"/>
          <w:color w:val="auto"/>
        </w:rPr>
      </w:pPr>
      <w:r>
        <w:rPr>
          <w:rFonts w:ascii="Arial" w:cs="Arial" w:eastAsia="Arial" w:hAnsi="Arial"/>
          <w:sz w:val="16"/>
          <w:szCs w:val="16"/>
          <w:color w:val="auto"/>
        </w:rPr>
        <w:t xml:space="preserve">ASU 2018-11, July 2018,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 of</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Effect on the financial statements or</w:t>
            </w:r>
          </w:p>
        </w:tc>
      </w:tr>
      <w:tr>
        <w:trPr>
          <w:trHeight w:val="234"/>
        </w:trPr>
        <w:tc>
          <w:tcPr>
            <w:tcW w:w="4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Adoption</w:t>
            </w:r>
          </w:p>
        </w:tc>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significant matters</w:t>
            </w:r>
          </w:p>
        </w:tc>
      </w:tr>
      <w:tr>
        <w:trPr>
          <w:trHeight w:val="27"/>
        </w:trPr>
        <w:tc>
          <w:tcPr>
            <w:tcW w:w="4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597"/>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5"/>
              </w:rPr>
              <w:t>This ASU significantly changes the accounting for leases by</w:t>
            </w:r>
          </w:p>
        </w:tc>
        <w:tc>
          <w:tcPr>
            <w:tcW w:w="1340" w:type="dxa"/>
            <w:vAlign w:val="bottom"/>
            <w:gridSpan w:val="2"/>
          </w:tcPr>
          <w:p>
            <w:pPr>
              <w:ind w:left="20"/>
              <w:spacing w:after="0"/>
              <w:rPr>
                <w:sz w:val="20"/>
                <w:szCs w:val="20"/>
                <w:color w:val="auto"/>
              </w:rPr>
            </w:pPr>
            <w:r>
              <w:rPr>
                <w:rFonts w:ascii="Arial" w:cs="Arial" w:eastAsia="Arial" w:hAnsi="Arial"/>
                <w:sz w:val="17"/>
                <w:szCs w:val="17"/>
                <w:color w:val="auto"/>
              </w:rPr>
              <w:t>January 2019</w:t>
            </w:r>
          </w:p>
        </w:tc>
        <w:tc>
          <w:tcPr>
            <w:tcW w:w="3400" w:type="dxa"/>
            <w:vAlign w:val="bottom"/>
          </w:tcPr>
          <w:p>
            <w:pPr>
              <w:ind w:left="20"/>
              <w:spacing w:after="0"/>
              <w:rPr>
                <w:sz w:val="20"/>
                <w:szCs w:val="20"/>
                <w:color w:val="auto"/>
              </w:rPr>
            </w:pPr>
            <w:r>
              <w:rPr>
                <w:rFonts w:ascii="Arial" w:cs="Arial" w:eastAsia="Arial" w:hAnsi="Arial"/>
                <w:sz w:val="17"/>
                <w:szCs w:val="17"/>
                <w:color w:val="auto"/>
                <w:w w:val="92"/>
              </w:rPr>
              <w:t>We are currently assessing the full impact of this</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3"/>
              </w:rPr>
              <w:t>requiring lessees to recognize assets and liabilities for leases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standard to our consolidated financial</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8"/>
              </w:rPr>
              <w:t>greater than 12 months on their balance sheet. The lessor</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1"/>
              </w:rPr>
              <w:t>statements. We have, however, identified certain</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model stays substantially the same; however, there were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areas which will be impacted as follows:</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7"/>
              </w:rPr>
              <w:t>modifications to conform lessor accounting with the lessee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4"/>
              </w:rPr>
              <w:t>model, eliminate real estate specific guidance, further define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1"/>
              </w:rPr>
              <w:t>We are currently a lessee for land underneath all</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8"/>
              </w:rPr>
              <w:t>certain lease and non-lease components, and change the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6"/>
              </w:rPr>
              <w:t>or a portion of 14 properties that are subject to</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definition of initial direct costs of leases requiring</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5"/>
              </w:rPr>
              <w:t>ground leases (in addition to 4 other properties</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significantly more leasing related costs to be expensed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4"/>
              </w:rPr>
              <w:t>that we currently account for as capital leases).</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upfront.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Upon adoption, we will recognize the lease</w:t>
            </w: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obligation for the 14 ground leases and a</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5"/>
              </w:rPr>
              <w:t>ASU 2018-10 provides narrow amendments that clarify how</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corresponding right of use asset on our</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9"/>
              </w:rPr>
              <w:t>to apply certain aspects of the guidance in ASU 2016-02.</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consolidated balance sheet.</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6"/>
              </w:rPr>
              <w:t>ASU 2018-11 provides the option of an additional transition</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5"/>
              </w:rPr>
              <w:t>method, by allowing entities to initially apply the new leases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Additionally, we will no longer be able to</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7"/>
              </w:rPr>
              <w:t>standard at the adoption date and recognize a cumulative-</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7"/>
              </w:rPr>
              <w:t>capitalize certain internal leasing and external</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effect adjustment to the opening balance of retained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w w:val="98"/>
              </w:rPr>
              <w:t>legal leasing costs. For the six months ended</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8"/>
              </w:rPr>
              <w:t>earnings in the period of adoption. It also provides lessors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June 30, 2018, we have capitalized</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w w:val="96"/>
              </w:rPr>
              <w:t>an option to not separate lease and non-lease components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approximately $3.6 million of internal leasing</w:t>
            </w:r>
          </w:p>
        </w:tc>
      </w:tr>
      <w:tr>
        <w:trPr>
          <w:trHeight w:val="203"/>
        </w:trPr>
        <w:tc>
          <w:tcPr>
            <w:tcW w:w="4320" w:type="dxa"/>
            <w:vAlign w:val="bottom"/>
            <w:gridSpan w:val="2"/>
          </w:tcPr>
          <w:p>
            <w:pPr>
              <w:ind w:left="20"/>
              <w:spacing w:after="0"/>
              <w:rPr>
                <w:sz w:val="20"/>
                <w:szCs w:val="20"/>
                <w:color w:val="auto"/>
              </w:rPr>
            </w:pPr>
            <w:r>
              <w:rPr>
                <w:rFonts w:ascii="Arial" w:cs="Arial" w:eastAsia="Arial" w:hAnsi="Arial"/>
                <w:sz w:val="17"/>
                <w:szCs w:val="17"/>
                <w:color w:val="auto"/>
              </w:rPr>
              <w:t>when certain criteria are met.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and external legal leasing costs, of which a</w:t>
            </w: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portion will will be expensed when we adopt</w:t>
            </w:r>
          </w:p>
        </w:tc>
      </w:t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ind w:left="20"/>
              <w:spacing w:after="0"/>
              <w:rPr>
                <w:sz w:val="20"/>
                <w:szCs w:val="20"/>
                <w:color w:val="auto"/>
              </w:rPr>
            </w:pPr>
            <w:r>
              <w:rPr>
                <w:rFonts w:ascii="Arial" w:cs="Arial" w:eastAsia="Arial" w:hAnsi="Arial"/>
                <w:sz w:val="17"/>
                <w:szCs w:val="17"/>
                <w:color w:val="auto"/>
              </w:rPr>
              <w:t>ASU 2016-02.</w:t>
            </w:r>
          </w:p>
        </w:tc>
      </w:tr>
    </w:tbl>
    <w:p>
      <w:pPr>
        <w:spacing w:after="0" w:line="200" w:lineRule="exact"/>
        <w:rPr>
          <w:sz w:val="20"/>
          <w:szCs w:val="20"/>
          <w:color w:val="auto"/>
        </w:rPr>
      </w:pPr>
    </w:p>
    <w:p>
      <w:pPr>
        <w:sectPr>
          <w:pgSz w:w="11900" w:h="16838" w:orient="portrait"/>
          <w:cols w:equalWidth="0" w:num="2">
            <w:col w:w="1720" w:space="580"/>
            <w:col w:w="9120"/>
          </w:cols>
          <w:pgMar w:left="240" w:top="126"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59,304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53,950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47,665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52,997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47,995</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 refinanced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DownREIT operating partnership units issued with acquisition of noncontrolling 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420"/>
        </w:trPr>
        <w:tc>
          <w:tcPr>
            <w:tcW w:w="8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4"/>
          </w:tcPr>
          <w:p>
            <w:pPr>
              <w:jc w:val="right"/>
              <w:ind w:right="87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CASH, CASH 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56,116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(1)</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52,846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108,962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25,200</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w w:val="90"/>
              </w:rPr>
              <w:t>(1) Restricted cash balances are included in "prepaid expenses and other assets" on our consolidated balance sheets.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June 15, 2018, we formed a new joint venture to develop Jordan Downs Plaza which, when completed, will be an approximately 113,000 square foot grocery anchored shopping center located in Los Angeles County, California. The total investment at June 30, 2018 was $34.4 million as a result of a pre-funding requirement for equity to be advanced prior to the start of construction. We own approximately 91% of the venture, and control the 9.4 acre land parcel on which the shopping center will be constructed under a long-term ground lease that expires June 15, 2093 (including two 10-year option periods which may be exercised at our option). The Jordan Downs Plaza development is expected to generate income tax credits under the New Market Tax Credit Program ("NMTC") which was provided for in the Community Renewal Tax Relief Act of 2000 ("the Act") and is intended to induce investment in underserved areas of the United States. The Act permits taxpayers to claim credits against their Federal income taxes for qualified investments. A third party bank contributed $13.9 million to the development, and is entitled to the related tax credit benefits, but they do not have an interest in the underlying economics of the property. The transaction also includes a put/call provision whereby we may be obligated or entitled to purchase the third party bank’s interest. We believe the put will be exercised at its $1,000 strike price. Based on our assessment of control, we concluded that the project and certain other transaction related entities should be consolidated. The $13.9 million in proceeds received in exchange for the transfer of the tax credits has been deferred and will be recognized when the tax benefits are delivered to the third party bank without risk of recapture. Direct and incremental costs of $1.6 million incurred in structuring the NMTC transaction have also been deferred. The Trust anticipates recognizing the net cash received as revenue upon completion of the seven-year NMTC compliance period. Cash in escrow at June 30, 2018 of $41.6 million reflects cash that will ultimately be used for the development of the shopping center. The cash is held in escrow pursuant to the new market tax credit transaction documents and will be released as qualified development expenditures are incurred.</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three and six months ended June 30, 2018, we closed on the sale of 86 and 159 condominium units, respectively, at our Assembly Row and Pike &amp; Rose properties (combined) and received proceeds net of closing costs of $69.9 million and $121.4 million, respectively, resulting in a $4.0 million and $7.3 million gain, respectively, net of $0.7 million and $1.7 million of income taxes, respectively. The cost basis for remaining condominium units that are ready for their intended use as of June 30, 2018 is $27.8 million, and is included in "assets held for sale" on our consolidated balance sheets.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March 1, 2018, we repaid the $10.5 million mortgage loan on The Grove at Shrewsbury (West) at par.</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and six months ended June 30, 2018, the maximum amount of borrowings outstanding under our $800.0 million revolving credit facility was $177.0 million for both periods and the weighted average interest rate, before amortization of debt fees, was 2.7% and 2.5%, respectively. During the three and six months ended June 30, 2018, the weighted average borrowings outstanding were $119.8 million and $109.9 million, respectively. At June 30, 2018, the outstanding balance was $89.0 million. Our revolving credit facility, term loan and certain notes require us to comply with various financial covenants, including the maintenance of minimum shareholders' equity and debt coverage ratios and a maximum ratio of debt to net worth. As of June 30, 2018, we were in compliance with all default related debt covenants.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1080" w:type="dxa"/>
            <w:vAlign w:val="bottom"/>
          </w:tcPr>
          <w:p>
            <w:pPr>
              <w:jc w:val="right"/>
              <w:ind w:right="441"/>
              <w:spacing w:after="0" w:line="153"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846,095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844,756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811,770</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824,419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2,402,851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2,371,478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1"/>
              <w:spacing w:after="0"/>
              <w:rPr>
                <w:sz w:val="20"/>
                <w:szCs w:val="20"/>
                <w:color w:val="auto"/>
              </w:rPr>
            </w:pPr>
            <w:r>
              <w:rPr>
                <w:rFonts w:ascii="Arial" w:cs="Arial" w:eastAsia="Arial" w:hAnsi="Arial"/>
                <w:sz w:val="18"/>
                <w:szCs w:val="18"/>
                <w:color w:val="auto"/>
              </w:rPr>
              <w:t>2,401,440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2,498,445</w:t>
            </w:r>
          </w:p>
        </w:tc>
        <w:tc>
          <w:tcPr>
            <w:tcW w:w="0" w:type="dxa"/>
            <w:vAlign w:val="bottom"/>
          </w:tcPr>
          <w:p>
            <w:pPr>
              <w:spacing w:after="0"/>
              <w:rPr>
                <w:sz w:val="1"/>
                <w:szCs w:val="1"/>
                <w:color w:val="auto"/>
              </w:rPr>
            </w:pPr>
          </w:p>
        </w:tc>
      </w:tr>
      <w:tr>
        <w:trPr>
          <w:trHeight w:val="702"/>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June 30, 2018,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$0.4 million as a decrease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June 30, 2018, and we do not anticipate it will have a significant effect in the future.</w:t>
      </w:r>
    </w:p>
    <w:p>
      <w:pPr>
        <w:spacing w:after="0" w:line="20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2018 was an asset of $0.4 million and is included in "prepaid expenses and other assets" on our consolidated balance sheets. For the three and six months ended June 30, 2018, the change in valuation on our interest rate swaps resulted in a $0.1 million decrease in our derivative asset and a $0.4 million increase in our derivative asset, respectively, (including $0.2 million and $0.1 million, respectively, reclassified from other comprehensive income as a decrease to interest expense). The change in valuation on our interest rate swaps is included in "accumulated other comprehensive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assets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June 30, 2018</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2017</w:t>
            </w: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752,036 downREIT operating partnership units are outstanding which have a total fair value of $95.2 million, based on our closing stock price on June 30,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9"/>
              </w:rPr>
              <w:t>2018</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2017</w:t>
            </w:r>
          </w:p>
        </w:tc>
        <w:tc>
          <w:tcPr>
            <w:tcW w:w="70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Paid</w:t>
            </w: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1.960</w:t>
            </w:r>
          </w:p>
        </w:tc>
      </w:tr>
      <w:tr>
        <w:trPr>
          <w:trHeight w:val="243"/>
        </w:trPr>
        <w:tc>
          <w:tcPr>
            <w:tcW w:w="20" w:type="dxa"/>
            <w:vAlign w:val="bottom"/>
          </w:tcPr>
          <w:p>
            <w:pPr>
              <w:spacing w:after="0"/>
              <w:rPr>
                <w:sz w:val="21"/>
                <w:szCs w:val="21"/>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0.677</w:t>
            </w: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 Series C Cumulative Redeemable Preferred shares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0.625</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0.681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24"/>
        </w:trPr>
        <w:tc>
          <w:tcPr>
            <w:tcW w:w="20" w:type="dxa"/>
            <w:vAlign w:val="bottom"/>
          </w:tcPr>
          <w:p>
            <w:pPr>
              <w:spacing w:after="0"/>
              <w:rPr>
                <w:sz w:val="19"/>
                <w:szCs w:val="19"/>
                <w:color w:val="auto"/>
              </w:rPr>
            </w:pPr>
          </w:p>
        </w:tc>
        <w:tc>
          <w:tcPr>
            <w:tcW w:w="7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(1) Amount represents dividends per depository share, each representing 1/1000th of a share.</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bl>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May 7, 2018, we replaced our existing at-the-market (“ATM”) equity program with a new ATM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and six months ended June 30, 2018, we sold 199,263 common shares (of which, 50,700 settled on July 2, 2018) at a weighted average price per share of $125.46 for net cash proceeds of $24.6 million and paid $0.3 million in commissions and $0.1 million in additional offering expenses related to the sales of these common shares. As of June 30, 2018, we had the capacity to issue up to $375.0 million in common shares under our ATM equity program.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154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153,423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144,276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305,573</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286,419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33,120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26,944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6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42,531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39,877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87,735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81,395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4,710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9,148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220,476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204,246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441,057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408,693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Minimum rents include the following: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4"/>
                <w:szCs w:val="24"/>
                <w:color w:val="auto"/>
              </w:rPr>
            </w:pPr>
          </w:p>
        </w:tc>
        <w:tc>
          <w:tcPr>
            <w:tcW w:w="154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675"/>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2017</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3,274</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2,908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7,144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2,786</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2,527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6,218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5,759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six months ended June 30, 2018, we had 0.3 million weighted average unvested shares outstanding, which are considered participating securities. For the three and six months ended June 30, 2017,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the dilutive EPS calculation, dilutive stock options were calculated using the treasury stock method consistent with prior periods. There were 682 anti-dilutive stock options for the three and six months ended June 30, 2018, and no anti-dilutive stock options for the three and six months ended June 30, 2017.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94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7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20" w:type="dxa"/>
            <w:vAlign w:val="bottom"/>
            <w:gridSpan w:val="8"/>
          </w:tcPr>
          <w:p>
            <w:pPr>
              <w:jc w:val="center"/>
              <w:ind w:right="70"/>
              <w:spacing w:after="0"/>
              <w:rPr>
                <w:sz w:val="20"/>
                <w:szCs w:val="20"/>
                <w:color w:val="auto"/>
              </w:rPr>
            </w:pPr>
            <w:r>
              <w:rPr>
                <w:rFonts w:ascii="Arial" w:cs="Arial" w:eastAsia="Arial" w:hAnsi="Arial"/>
                <w:sz w:val="14"/>
                <w:szCs w:val="14"/>
                <w:b w:val="1"/>
                <w:bCs w:val="1"/>
                <w:color w:val="auto"/>
                <w:w w:val="91"/>
              </w:rPr>
              <w:t>(In thousands, except per share data)</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61,561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59,137</w:t>
            </w:r>
          </w:p>
        </w:tc>
        <w:tc>
          <w:tcPr>
            <w:tcW w:w="100" w:type="dxa"/>
            <w:vAlign w:val="bottom"/>
          </w:tcPr>
          <w:p>
            <w:pPr>
              <w:spacing w:after="0"/>
              <w:rPr>
                <w:sz w:val="21"/>
                <w:szCs w:val="21"/>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121,176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117,029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57,357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57,091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113,025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112,858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18,814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18,884</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61,329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75,905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120,313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131,742</w:t>
            </w:r>
          </w:p>
        </w:tc>
        <w:tc>
          <w:tcPr>
            <w:tcW w:w="0" w:type="dxa"/>
            <w:vAlign w:val="bottom"/>
          </w:tcPr>
          <w:p>
            <w:pPr>
              <w:spacing w:after="0"/>
              <w:rPr>
                <w:sz w:val="1"/>
                <w:szCs w:val="1"/>
                <w:color w:val="auto"/>
              </w:rPr>
            </w:pPr>
          </w:p>
        </w:tc>
      </w:tr>
      <w:tr>
        <w:trPr>
          <w:trHeight w:val="67"/>
        </w:trPr>
        <w:tc>
          <w:tcPr>
            <w:tcW w:w="7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72,990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72,001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72,948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71,928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73,025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72,124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72,997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72,061</w:t>
            </w:r>
          </w:p>
        </w:tc>
        <w:tc>
          <w:tcPr>
            <w:tcW w:w="0" w:type="dxa"/>
            <w:vAlign w:val="bottom"/>
          </w:tcPr>
          <w:p>
            <w:pPr>
              <w:spacing w:after="0"/>
              <w:rPr>
                <w:sz w:val="1"/>
                <w:szCs w:val="1"/>
                <w:color w:val="auto"/>
              </w:rPr>
            </w:pPr>
          </w:p>
        </w:tc>
      </w:tr>
      <w:tr>
        <w:trPr>
          <w:trHeight w:val="67"/>
        </w:trPr>
        <w:tc>
          <w:tcPr>
            <w:tcW w:w="7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0.84</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0.84</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59,623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57,477</w:t>
            </w:r>
          </w:p>
        </w:tc>
        <w:tc>
          <w:tcPr>
            <w:tcW w:w="10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117,554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113,597</w:t>
            </w:r>
          </w:p>
        </w:tc>
        <w:tc>
          <w:tcPr>
            <w:tcW w:w="0" w:type="dxa"/>
            <w:vAlign w:val="bottom"/>
          </w:tcPr>
          <w:p>
            <w:pPr>
              <w:spacing w:after="0"/>
              <w:rPr>
                <w:sz w:val="1"/>
                <w:szCs w:val="1"/>
                <w:color w:val="auto"/>
              </w:rPr>
            </w:pPr>
          </w:p>
        </w:tc>
      </w:tr>
      <w:tr>
        <w:trPr>
          <w:trHeight w:val="702"/>
        </w:trPr>
        <w:tc>
          <w:tcPr>
            <w:tcW w:w="7200" w:type="dxa"/>
            <w:vAlign w:val="bottom"/>
          </w:tcPr>
          <w:p>
            <w:pPr>
              <w:ind w:left="56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2017 filed with the Securities and Exchange Commission (the “SEC”) on February 13, 2018.</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2017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June 30, 2018, we owned or had a majority interest in community and neighborhood shopping centers and mixed-use properties which are operated as 105 predominantly retail real estate projects comprising approximately 24.3 million square feet. In total, the real estate projects were 95.0% leased and 93.7% occupied at June 30,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Property Acquisitions and Dispositions</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June 15, 2018, we formed a new joint venture to develop Jordan Downs Plaza which, when completed, will be an approximately 113,000 square foot grocery anchored shopping center located in Los Angeles County, California. The total investment at June 30, 2018 was $34.4 million as a result of a pre-funding requirement for equity to be advanced prior to the start of construction. We own approximately 91% of the venture, and control the 9.4 acre land parcel on which the shopping center will be constructed under a long-term ground lease that expires June 15, 2093 (including two 10-year option periods which may be exercised at our option). The Jordan Downs Plaza development is expected to generate income tax credits under the New Market Tax Credit Program ("NMTC") which was provided for in the Community Renewal Tax Relief Act of 2000 ("the Act") and is intended to induce investment in underserved areas of the United States. The Act permits taxpayers to claim credits against their Federal income taxes for qualified investments. A third party bank contributed $13.9 million to the development, and is entitled to the related tax credit benefits, but they do not have an interest in the underlying economics of the property. The transaction also includes a put/call provision whereby we may be obligated or entitled to purchase the third party bank’s interest. We believe the put will be exercised at its $1,000 strike price. Based on our assessment of control, we concluded that the project and certain other transaction related entities should be consolidated. The $13.9 million in proceeds received in exchange for the transfer of the tax credits has been deferred and will be recognized when the tax benefits are delivered to the third party bank without risk of recapture. Direct and incremental costs of $1.6 million incurred in structuring the NMTC transaction have also been deferred. The Trust anticipates recognizing the net cash received as revenue upon completion of the seven-year NMTC compliance period. Cash in escrow at June 30, 2018 of $41.6 million reflects cash that will ultimately be used for the development of the shopping center. The cash is held in escrow pursuant to the new market tax credit transaction documents and will be released as qualified development expenditures are incurred.</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and six months ended June 30, 2018, we closed on the sale of 86 and 159 condominium units, respectively, at our Assembly Row and Pike &amp; Rose properties (combined) and received proceeds net of closing costs of $69.9 million and $121.4 million, respectively, resulting in a $4.0 million and $7.3 million gain, respectively, net of $0.7 million and $1.7 million of income taxes,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Significant Debt and Equity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On March 1, 2018, we repaid the $10.5 million mortgage loan on The Grove at Shrewsbury (West) at par.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May 7, 2018, we replaced our existing at-the-market (“ATM”) equity program with a new ATM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and six months ended June 30, 2018, we sold 199,263 common shares (of which, 50,700 settled on July 2, 2018) at a weighted average price per share of $125.46 for net cash proceeds of $24.6 million and paid $0.3 million in commissions and $0.1 million in additional offering expenses related to the sales of these common shares. As of June 30, 2018, we had the capacity to issue up to $375.0 million in common shares under our ATM equity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$137 million and $5 million, respectively, for the six months ended June 30, 2018, and $212 million and $4 million, respectively, for the six months ended June 30, 2017. We capitalized external and internal costs related to other property improvements of $28 million and $2 million, respectively, for the six months ended June 30, 2018, and $30 million and $1 million for the six months ended June 30, 2017. We capitalized external and internal costs related to leasing activities of $9 million and $3 million, respectively, for the six months ended June 30, 2018, and $3 million and $3 million, respectively, for the six months ended June 30, 2017. The amount of capitalized internal costs for salaries and related benefits for development and redevelopment activities, other property improvements, and leasing activities were $4 million, $1 million, and $3 million, for both the six months ended June 30, 2018 and 2017. Total capitalized costs were $184 million and $254 million for the six months ended June 30, 2018 and 2017,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comparable property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comparable property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generally increase rental rates. We continue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an uptick in the number of retail tenants closing early and/or filing for bankruptcy. 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June 30, 2018, no single tenant accounted for more than 2.6% of annualized base rent.</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total cost of approximately $195 million that we expect to stabilize in the next several years.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continue our ongoing redevelopment efforts at Santana Row and are under construction on an eight story 284,000 square foot office building which will include an additional 29,000 square feet of retail space and 1,300 parking spaces. The building is expected to cost between $205 million and $215 million and to be delivered in 2019. After current phases, we have approximately 4 acres remaining for further redevelopment and entitlements in place for an additional 395 residential units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6"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321,000 square feet of commercial space. Additionally, we control 12 acres of land across from Santana Row, which has approximately 1 million square feet of commercial space entitlements.</w:t>
      </w:r>
    </w:p>
    <w:p>
      <w:pPr>
        <w:spacing w:after="0" w:line="1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continue to invest in our long-term multi-phased mixed-use development projects at Assembly Row in Somerville, Massachusetts and Pike &amp; Rose in North Bethesda, Maryland which we expect to be involved in over the coming years.</w:t>
      </w:r>
    </w:p>
    <w:p>
      <w:pPr>
        <w:spacing w:after="0" w:line="11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Construction continues on Phase II of Assembly Row which will include approximately 161,000 square feet of retail space, 447 residential units, and a 158 room boutique hotel (which will be owned and operated by a joint venture in which we are a partner). Total expected costs range from $290 million to $305 million and delivery is expected through 2018. As of June 30, 2018, approximately 110,000 square feet of retail space has opened and 363 residential units have been completed. Phase II also includes 122 for-sale condominium units of which 107 units have closed as of June 30, 2018. The condominium units have an expected total cost of $80 million to $81 million. Additionally, Partners HealthCare built a 741,500 square foot office building as a part of Phase II.</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Construction also continues on Phase II of Pike &amp; Rose which will include approximately 216,000 square feet of retail space, 272 residential units, and a 177 room boutique hotel (owned and operated by a joint venture in which we are a partner). As of June 30, 2018, approximately 166,000 square feet of retail space and the 177 room hotel have opened, and all of the residential units have been completed. Total expected costs range from $200 million to $207 million and remaining delivery is expected through 2018. As of June 30, 2018, we closed on the sale of 52 of the 99 for-sale condominium units in Phase II. The condominium units have an expected cost of $60 million to $62 million.</w:t>
      </w:r>
    </w:p>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Including costs incurred in the first six months of 2018, we expect to invest between $75 million and $100 million at Assembly Row and Pike &amp; Rose in 2018.</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 and property sales.</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June 30, 2018, the leasable square feet in our properties was 95.0% leased and 93.7%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For the second quarter of 2018, we signed leases for a total of 475,000 square feet of retail space including 449,000 square feet of comparable space leases (leases for which there was a prior tenant) at an average rental increase of 10% on a cash basis and 20% on a straight-line basis. New leases for comparable spaces were signed for 204,000 square feet at an average rental increase of 15% on a cash basis and 28% on a straight-line basis. Renewals for comparable spaces were signed for 245,000 square feet at an average rental increase of 5% on a cash basis and 13% on a straight-line basis. Tenant improvements and incentives for comparable spaces were $38.88 per square foot, of which, $81.94 per square foot was for new leases and $3.10 per square foot was for renewals for the three months ended June 30, 2018.</w:t>
      </w:r>
    </w:p>
    <w:p>
      <w:pPr>
        <w:spacing w:after="0" w:line="26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the six months ended June 30, 2018, we signed leases for a total of 880,000 square feet of retail space including 852,000 square feet of comparable space leases (leases for which there was a prior tenant) at an average rental increase of 15% on a cash basis and 25% on a straight-line basis. New leases for comparable spaces were signed for 407,000 square feet at an average rental increase of 26% on a cash basis and 38% on a straight-line basis. Renewals for comparable spaces were signed for 446,000 square feet at an average rental increase of 6% on a cash basis and 15% on a straight-line basis. Tenant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6" w:right="27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improvements and incentives for comparable spaces were $29.20 per square foot, of which, $58.57 per square foot was for new leases and $2.37 per square foot was for renewals for the six months ended June 30, 2018.</w:t>
      </w:r>
    </w:p>
    <w:p>
      <w:pPr>
        <w:spacing w:after="0" w:line="1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leases signed in 2018 generally become effective over the following two years though some may not become effective until 2021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Historically, we have executed comparable space leases for 1.2 to 1.6 million square feet of retail space each year, and expect that volume for 2018 will be in line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Properties</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six months ended June 30, 2018, all or a portion of 93 and 91 properties, respectively, were considered comparable properties and seven properties were considered non-comparable properties. For the six months ended June 30, 2018, six properties were moved from acquisitions to comparable properties and one portion of a property was moved from non-comparable to comparable properties, compared to the designations for the year ended December 31, 2017, which were 85 properties or portions of properties considered comparable and seven considered non-comparable. For the three months ended June 30, 2018, two properties were moved from acquisitions to comparable properties.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to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Comparable property information replaces our previous same center designations.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JUNE 30,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204,246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16,230</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224,902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208,049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16,853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1,785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156,690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144,399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12,291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(5,715)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from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(538.6)%</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61,561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59,137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(15,024)</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65,533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78,133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63,595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76,291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(12,696)</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8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Total property revenue increased $16.9 million, or 8.1%, to $224.9 million in the three months ended June 30, 2018 compared to $208.0 million in the three months ended June 30, 2017. The percentage occupied at our shopping centers was 93.7% at June 30, 2018 compared to 93.0% at June 30, 2017.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$16.2 million, or 7.9%, to $220.5 million in the three months ended June 30, 2018 compared to $204.2 million in the three months ended June 30, 2017 due primarily to the following:</w:t>
      </w:r>
    </w:p>
    <w:p>
      <w:pPr>
        <w:ind w:left="1140" w:right="420" w:hanging="241"/>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$8.0 million from acquisitions, primarily related to the six shopping centers acquired in Los Angeles County, California in August 2017,</w:t>
      </w:r>
    </w:p>
    <w:p>
      <w:pPr>
        <w:spacing w:after="0" w:line="8" w:lineRule="exact"/>
        <w:rPr>
          <w:rFonts w:ascii="Arial" w:cs="Arial" w:eastAsia="Arial" w:hAnsi="Arial"/>
          <w:sz w:val="18"/>
          <w:szCs w:val="18"/>
          <w:color w:val="auto"/>
        </w:rPr>
      </w:pPr>
    </w:p>
    <w:p>
      <w:pPr>
        <w:ind w:left="1140" w:right="620" w:hanging="241"/>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$5.4 million at comparable properties due primarily to higher rental rates of approximately $2.8 million, higher average occupancy of approximately $1.3 million, and higher recoveries of $0.5 million, and</w:t>
      </w:r>
    </w:p>
    <w:p>
      <w:pPr>
        <w:spacing w:after="0" w:line="8" w:lineRule="exact"/>
        <w:rPr>
          <w:rFonts w:ascii="Arial" w:cs="Arial" w:eastAsia="Arial" w:hAnsi="Arial"/>
          <w:sz w:val="18"/>
          <w:szCs w:val="18"/>
          <w:color w:val="auto"/>
        </w:rPr>
      </w:pPr>
    </w:p>
    <w:p>
      <w:pPr>
        <w:ind w:left="1140" w:right="180" w:hanging="241"/>
        <w:spacing w:after="0" w:line="26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$4.6 million at non-comparable properties due primarily to the opening of Phase II at Assembly Row and Pike &amp; Rose during the second half of 2017 into 2018 partially offset by lower occupancy at two of our Florida properties in the beginning stages of redevelopment,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$1.9 million from 2017 property sales.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Other property income increased $0.6 million or 20.3% to $3.7 million in the three months ended June 30, 2018 compared to $3.1 million in the three months ended June 30, 2017. Included in other property income are items which, although recurring, inherently tend to fluctuate more than rental income from period to period, such as lease termination fees. This increase is primarily related to higher lease termination fees.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property expenses increased $4.6 million, or 7.2%, to $68.2 million in the three months ended June 30, 2018 compared to $63.7 million in the three months ended June 30, 2017.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Rental expenses increased $2.8 million, or 7.5%, to $39.9 million in the three months ended June 30, 2018 compared to $37.1 million in the three months ended June 30, 2017. This increase is primarily due to the following:</w:t>
      </w:r>
    </w:p>
    <w:p>
      <w:pPr>
        <w:spacing w:after="0" w:line="8" w:lineRule="exact"/>
        <w:rPr>
          <w:sz w:val="20"/>
          <w:szCs w:val="20"/>
          <w:color w:val="auto"/>
        </w:rPr>
      </w:pPr>
    </w:p>
    <w:p>
      <w:pPr>
        <w:ind w:left="1140" w:right="120" w:hanging="241"/>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$1.8 million from acquisitions, primarily related to six shopping centers acquired in Los Angeles County, California in August 2017,</w:t>
      </w:r>
    </w:p>
    <w:p>
      <w:pPr>
        <w:spacing w:after="0" w:line="8" w:lineRule="exact"/>
        <w:rPr>
          <w:rFonts w:ascii="Arial" w:cs="Arial" w:eastAsia="Arial" w:hAnsi="Arial"/>
          <w:sz w:val="18"/>
          <w:szCs w:val="18"/>
          <w:color w:val="auto"/>
        </w:rPr>
      </w:pPr>
    </w:p>
    <w:p>
      <w:pPr>
        <w:ind w:left="1140" w:right="480" w:hanging="241"/>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$1.1 million from non-comparable properties due primarily to the opening of Phase II at Assembly Row and Pike &amp; Rose during the second half of 2017 into 2018,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$0.4 million from 2017 property sales.</w:t>
      </w:r>
    </w:p>
    <w:p>
      <w:pPr>
        <w:spacing w:after="0" w:line="17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decreased to 17.8% in the three months ended June 30, 2018 from 17.9% in the three months ended June 30,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Real estate tax expense increased $1.8 million, or 6.7%, to $28.3 million in the three months ended June 30, 2018 compared to $26.5 million in the three months ended June 30, 2017 due primarily to the following:</w:t>
      </w:r>
    </w:p>
    <w:p>
      <w:pPr>
        <w:spacing w:after="0" w:line="8" w:lineRule="exact"/>
        <w:rPr>
          <w:sz w:val="20"/>
          <w:szCs w:val="20"/>
          <w:color w:val="auto"/>
        </w:rPr>
      </w:pPr>
    </w:p>
    <w:p>
      <w:pPr>
        <w:ind w:left="1140" w:right="40" w:hanging="241"/>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$1.2 million from acquisitions, primarily related to our acquisition of six shopping centers in Los Angeles County, California in August 2017, and</w:t>
      </w:r>
    </w:p>
    <w:p>
      <w:pPr>
        <w:spacing w:after="0" w:line="8" w:lineRule="exact"/>
        <w:rPr>
          <w:rFonts w:ascii="Arial" w:cs="Arial" w:eastAsia="Arial" w:hAnsi="Arial"/>
          <w:sz w:val="18"/>
          <w:szCs w:val="18"/>
          <w:color w:val="auto"/>
        </w:rPr>
      </w:pPr>
    </w:p>
    <w:p>
      <w:pPr>
        <w:ind w:right="100" w:firstLine="899"/>
        <w:spacing w:after="0" w:line="313" w:lineRule="auto"/>
        <w:tabs>
          <w:tab w:leader="none" w:pos="113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$1.1 million at non-comparable properties due primarily to increases in assessments as a result of our redevelopment activities, partially offset by</w:t>
      </w:r>
    </w:p>
    <w:p>
      <w:pPr>
        <w:ind w:left="1140" w:hanging="24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$0.3 million from 2017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Property operating income increased $12.3 million, or 8.5%, to $156.7 million in the three months ended June 30, 2018 compared to $144.4 million in the three months ended June 30, 2017. This increase is primarily due to our acquisition of six shopping centers in Los Angeles County, California in August 2017, growth in earnings at comparable properties, and the opening of Phase II at Assembly Row and Pike &amp; Rose, partially offset by 2017 property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Depreciation and amortization expense increased $5.7 million, or 10.9%, to $58.4 million in the three months ended June 30, 2018 from $52.7 million in the three months ended June 30, 2017. This increase is primarily due to our acquisition of six shopping centers in Los Angeles County, California in August 2017, portions of Phase II of Assembly Row and Pike &amp; Rose being placed in service, and investment in comparable properties, partially offset by 2017 property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income increased $6.8 million, or 8.2%, to $89.9 million in the three months ended June 30, 2018 compared to $83.1 million in the three months ended June 30, 2017. This increase is primarily due to growth in earnings at our comparable properties, our acquisition of six shopping centers in Los Angeles County, California in August 2017, and the opening of Phase II of Assembly Row and Pike &amp; Rose.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expense increased $3.9 million, or 16.1%, to $27.8 million in the three months ended June 30, 2018 compared to $23.9 million in the three months ended June 30, 2017. This increase is due primarily to the following:</w:t>
      </w:r>
    </w:p>
    <w:p>
      <w:pPr>
        <w:spacing w:after="0" w:line="8" w:lineRule="exact"/>
        <w:rPr>
          <w:sz w:val="20"/>
          <w:szCs w:val="20"/>
          <w:color w:val="auto"/>
        </w:rPr>
      </w:pPr>
    </w:p>
    <w:p>
      <w:pPr>
        <w:ind w:left="1140" w:right="80" w:hanging="241"/>
        <w:spacing w:after="0" w:line="264"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$2.8 million due to higher borrowings primarily attributable to the $475 million issuance of 3.25% senior notes ($300 million issued in June 2017 and $175 million issued in December 2017) and the $100 million reopening in June 2017 of the 4.50% senior notes, partially offset by the early redemption of our $150 million 5.90% senior notes in December 2017, and</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$1.5 million in capitalized interest,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$0.5 million due to a lower overall weighted average borrowing rate.</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Gross interest costs were $32.4 million and $30.1 million in the three months ended June 30, 2018 and 2017, respectively. Capitalized interest was $4.6 million and $6.2 million in the three months ended June 30,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Real Estate Partnerships</w:t>
      </w:r>
    </w:p>
    <w:p>
      <w:pPr>
        <w:spacing w:after="0" w:line="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$0.7 million loss from real estate partnerships for the three months ended June 30, 2018 is due primarily to our share of losses related to the hotel joint venture at our Pike &amp; Rose property (hotel opened in March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$4.0 million net gain for the three months ended June 30, 2018 is related to condominium unit sales that have closed at our Assembly Row and Pike and Rose properties.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$19.0 million gain for the three months ended June 30, 2017 is primarily due to the following:</w:t>
      </w:r>
    </w:p>
    <w:p>
      <w:pPr>
        <w:spacing w:after="0" w:line="63" w:lineRule="exact"/>
        <w:rPr>
          <w:sz w:val="20"/>
          <w:szCs w:val="20"/>
          <w:color w:val="auto"/>
        </w:rPr>
      </w:pPr>
    </w:p>
    <w:p>
      <w:pPr>
        <w:ind w:left="1140" w:hanging="241"/>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$15.4 million gain related to the sale of ground lease parcels at our Assembly Row property in Somerville, Massachusetts, and</w:t>
      </w:r>
    </w:p>
    <w:p>
      <w:pPr>
        <w:spacing w:after="0" w:line="63" w:lineRule="exact"/>
        <w:rPr>
          <w:rFonts w:ascii="Arial" w:cs="Arial" w:eastAsia="Arial" w:hAnsi="Arial"/>
          <w:sz w:val="18"/>
          <w:szCs w:val="18"/>
          <w:color w:val="auto"/>
        </w:rPr>
      </w:pPr>
    </w:p>
    <w:p>
      <w:pPr>
        <w:ind w:left="1140" w:right="600" w:hanging="241"/>
        <w:spacing w:after="0" w:line="342"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$3.3 million net percentage-of-completion gain, related to condominiums under binding contract at our Assembly Row property (see discussion in Note 2 to the Consolidated Financial Statements with respect to the change in accounting for condominium gains).</w:t>
      </w: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126"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2018 AND 2017</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408,693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32,364</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2,501</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450,307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415,438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34,869</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51,612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5,143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129,849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11,584</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308,874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285,589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23,285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(116,491)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(12,446)</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11,407</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from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999.1 %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121,176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117,029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4,147</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128,464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136,203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(7,739)</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124,842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132,481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80" w:hanging="332"/>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property revenue increased $34.9 million, or 8.4%, to $450.3 million in the six months ended June 30, 2018 compared to $415.4 million in the six months ended June 30, 2017. The percentage occupied at our shopping centers was 93.7% at June 30, 2018 compared to 93.0% at June 30, 2017.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$32.4 million, or 7.9%, to $441.1 million in the six months ended June 30, 2018 compared to $408.7 million in the six months ended June 30, 2017 due primarily to the following:</w:t>
      </w:r>
    </w:p>
    <w:p>
      <w:pPr>
        <w:ind w:left="1140" w:right="340" w:hanging="241"/>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$17.6 million from acquisitions, primarily related to the six shopping centers acquired in Los Angeles County, California in August 2017 and Riverpoint Center in March 2017,</w:t>
      </w:r>
    </w:p>
    <w:p>
      <w:pPr>
        <w:spacing w:after="0" w:line="8" w:lineRule="exact"/>
        <w:rPr>
          <w:rFonts w:ascii="Arial" w:cs="Arial" w:eastAsia="Arial" w:hAnsi="Arial"/>
          <w:sz w:val="18"/>
          <w:szCs w:val="18"/>
          <w:color w:val="auto"/>
        </w:rPr>
      </w:pPr>
    </w:p>
    <w:p>
      <w:pPr>
        <w:ind w:left="1140" w:right="540" w:hanging="241"/>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$10.7 million at comparable properties due primarily to higher rental rates of approximately $6.0 million, higher average occupancy of approximately $2.6 million, and higher recoveries of $1.4 million, and</w:t>
      </w:r>
    </w:p>
    <w:p>
      <w:pPr>
        <w:spacing w:after="0" w:line="8" w:lineRule="exact"/>
        <w:rPr>
          <w:rFonts w:ascii="Arial" w:cs="Arial" w:eastAsia="Arial" w:hAnsi="Arial"/>
          <w:sz w:val="18"/>
          <w:szCs w:val="18"/>
          <w:color w:val="auto"/>
        </w:rPr>
      </w:pPr>
    </w:p>
    <w:p>
      <w:pPr>
        <w:ind w:left="1140" w:right="180" w:hanging="241"/>
        <w:spacing w:after="0" w:line="264"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$7.9 million at non-comparable properties due primarily to the opening of Phase II at Assembly Row and Pike &amp; Rose during the second half of 2017 into 2018 and the lease-up of two other redevelopments, partially offset by lower occupancy at two of our Florida properties in the beginning stages of redevelopment,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$3.9 million from 2017 property sales.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Other property income increased $2.5 million, or 47.6%, to $7.8 million in the six months ended June 30, 2018 compared to $5.3 million in the six months ended June 30, 2017. Included in other property income are items which, although recurring, inherently tend to fluctuate more than rental income from period to period, such as lease termination fees. This increase is primarily related to higher lease termination fees.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property expenses increased $11.6 million, or 8.9%, to $141.4 million in the six months ended June 30, 2018 compared to $129.8 million in the six months ended June 30, 2017.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$6.4 million, or 8.2%, to $84.7 million in the six months ended June 30, 2018 compared to $78.2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This increase is primarily due to the following:</w:t>
      </w:r>
    </w:p>
    <w:p>
      <w:pPr>
        <w:spacing w:after="0" w:line="49" w:lineRule="exact"/>
        <w:rPr>
          <w:sz w:val="20"/>
          <w:szCs w:val="20"/>
          <w:color w:val="auto"/>
        </w:rPr>
      </w:pPr>
    </w:p>
    <w:p>
      <w:pPr>
        <w:ind w:left="1140" w:right="100" w:hanging="241"/>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$4.1 million from acquisitions, primarily related to six shopping centers acquired in Los Angeles County, California in August 2017 and Riverpoint Center in March 2017,</w:t>
      </w:r>
    </w:p>
    <w:p>
      <w:pPr>
        <w:spacing w:after="0" w:line="8" w:lineRule="exact"/>
        <w:rPr>
          <w:rFonts w:ascii="Arial" w:cs="Arial" w:eastAsia="Arial" w:hAnsi="Arial"/>
          <w:sz w:val="18"/>
          <w:szCs w:val="18"/>
          <w:color w:val="auto"/>
        </w:rPr>
      </w:pPr>
    </w:p>
    <w:p>
      <w:pPr>
        <w:ind w:left="1140" w:right="400" w:hanging="241"/>
        <w:spacing w:after="0" w:line="264"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$2.1 million from non-comparable properties, due primarily to the opening of Phase II at Assembly Row and Pike &amp; Rose during the second half of 2017 into 2018, partially offset by lower expenses at two of our Florida properties in the beginning stages of redevelopment, and</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$0.8 million from comparable properties, primarily due to higher bad debt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$0.7 million from 2017 property sales.</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the changes in rental income and rental expenses as discussed above, rental expenses as a percentage of rental income plus other property income was 18.9% for both the six months ended June 30, 2018 and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Real estate tax expense increased $5.1 million, or 10.0%, to $56.8 million in the six months ended June 30, 2018 compared to $51.6 million in the six months ended June 30, 2017 due primarily to:</w:t>
      </w:r>
    </w:p>
    <w:p>
      <w:pPr>
        <w:spacing w:after="0" w:line="8" w:lineRule="exact"/>
        <w:rPr>
          <w:sz w:val="20"/>
          <w:szCs w:val="20"/>
          <w:color w:val="auto"/>
        </w:rPr>
      </w:pPr>
    </w:p>
    <w:p>
      <w:pPr>
        <w:ind w:left="1140" w:right="2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$3.2 million from acquisitions, primarily related to our acquisition of six shopping centers in Los Angeles County, California in August 2017 and Riverpoint Center in March 2017,</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$1.7 million at non-comparable properties due primarily to increases in assessments as a result of our redevelopment activities,</w:t>
      </w:r>
    </w:p>
    <w:p>
      <w:pPr>
        <w:spacing w:after="0" w:line="86" w:lineRule="exact"/>
        <w:rPr>
          <w:rFonts w:ascii="Arial" w:cs="Arial" w:eastAsia="Arial" w:hAnsi="Arial"/>
          <w:sz w:val="16"/>
          <w:szCs w:val="16"/>
          <w:color w:val="auto"/>
        </w:rPr>
      </w:pPr>
    </w:p>
    <w:p>
      <w:pPr>
        <w:ind w:left="1140" w:hanging="24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$1.0 million at comparable properties due to higher assessments,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$0.8 million from 2017 property sales.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Property operating income increased $23.3 million, or 8.2%, to $308.9 million in the six months ended June 30, 2018 compared to $285.6 million in the six months ended June 30, 2017. This increase is primarily due to our acquisition of six shopping centers in Los Angeles County, California in August 2017 and Riverpoint Center in March 2017, growth in earnings at comparable properties, and the opening of Phase II at Assembly Row and Pike &amp; Rose, partially offset by 2017 property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General and administrative expense decreased $0.6 million, or 3.4%, to $16.3 million in the six months ended June 30, 2018 from $16.9 million in the six months ended June 30, 2017. The decrease is primarily due to lower costs from 2017 acquisitions and other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Depreciation and amortization expense increased $12.4 million, or 12.0%, to $116.5 million in the six months ended June 30, 2018 from $104.0 million in the six months ended June 30, 2017. This increase is primarily due to our acquisition of six shopping centers in Los Angeles County, California in August 2017, Phase II of Assembly Row and Pike &amp; Rose being placed in service, and investment in comparable properties, partially offset by 2017 property sales.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6"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income increased $11.4 million, or 6.9%, to $176.0 million in the six months ended June 30, 2018 compared to $164.6 million in the six months ended June 30, 2017. This increase is primarily due to growth in earnings at comparable properties, our acquisition of six shopping centers in Los Angeles County, California in August 2017 and Riverpoint Center in March 2017, and the opening of Phase II at Assembly Row and Pike &amp; Rose, partially offset by 2017 property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$6.3 million, or 13.2%, to $54.0 million in the six months ended June 30, 2018 compared to $47.7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This increase is due primarily to the following:</w:t>
      </w:r>
    </w:p>
    <w:p>
      <w:pPr>
        <w:spacing w:after="0" w:line="49" w:lineRule="exact"/>
        <w:rPr>
          <w:sz w:val="20"/>
          <w:szCs w:val="20"/>
          <w:color w:val="auto"/>
        </w:rPr>
      </w:pPr>
    </w:p>
    <w:p>
      <w:pPr>
        <w:ind w:left="1140" w:right="120" w:hanging="241"/>
        <w:spacing w:after="0" w:line="26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$7.2 million due to higher borrowings primarily attributable to the $475 million issuance of 3.25% senior notes ($300 million issued in June 2017 and $175 million issued in December 2017) and the $100 million reopening in June 2017 of the 4.50% senior notes, partially offset by the early redemption of our $150 million 5.90% senior notes in December 2017, and</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$0.9 million in capitalized interest,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$1.9 million due to a lower overall weighted average borrowing rate.</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Gross interest costs were $64.7 million and $59.3 million in the six months ended June 30, 2018 and 2017, respectively. Capitalized interest was $10.7 million and $11.6 million in the six months ended June 30,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Real Estate Partnerships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$1.3 million loss from real estate partnerships for the six months ended June 30, 2018 is due primarily to our share of losses related to start-up expenses and the initial opening of the hotel joint venture at our Pike &amp; Rose property (hotel opened in March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Interests, Net</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$7.3 million net gain on sale of real estate and change in control of interests, net for the six months ended June 30, 2018 is related to condominium unit sales that have closed at our Assembly Row and Pike and Rose properties.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$19.2 million gain on sale of real estate and change in control of interests, net for the six months ended June 30, 2017 is primarily due to the following:</w:t>
      </w:r>
    </w:p>
    <w:p>
      <w:pPr>
        <w:spacing w:after="0" w:line="86" w:lineRule="exact"/>
        <w:rPr>
          <w:sz w:val="20"/>
          <w:szCs w:val="20"/>
          <w:color w:val="auto"/>
        </w:rPr>
      </w:pPr>
    </w:p>
    <w:p>
      <w:pPr>
        <w:ind w:left="1140" w:right="180" w:hanging="241"/>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$15.4 million gain related to the sale transactions on our ground lease parcels at our Assembly Row property in Somerville, Massachusetts, and</w:t>
      </w:r>
    </w:p>
    <w:p>
      <w:pPr>
        <w:spacing w:after="0" w:line="8" w:lineRule="exact"/>
        <w:rPr>
          <w:rFonts w:ascii="Arial" w:cs="Arial" w:eastAsia="Arial" w:hAnsi="Arial"/>
          <w:sz w:val="18"/>
          <w:szCs w:val="18"/>
          <w:color w:val="auto"/>
        </w:rPr>
      </w:pPr>
    </w:p>
    <w:p>
      <w:pPr>
        <w:ind w:left="1140" w:right="640" w:hanging="241"/>
        <w:spacing w:after="0" w:line="342"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$3.3 million net percentage-of-completion gain, related to condominiums under binding contract at our Assembly Row property (see discussion in Note 2 to the Consolidated Financial Statements with respect to the change in accounting for condominium gains).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largely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126" w:right="31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At June 30, 2018, we had cash and cash equivalents of $56.1 million and $89.0 million outstanding on our $800.0 million unsecured revolving credit facility which matures on April 20, 2020, subject to two six-month extensions at our option. In addition, we have an option (subject to bank approval) to increase the credit facility through an accordion feature to $1.5 billion. For the six months ended June 30, 2018, the maximum amount of borrowings outstanding under our revolving credit facility was $177.0 million, the weighted average amount of borrowings outstanding was $109.9 million and the weighted average interest rate, before amortization of debt fees, was 2.5%. Our only remaining debt maturing in 2018 is our $275.0 million unsecured term loan which matures on November 21, 2018, subject to a one-year extension at our option. During the first six months of 2018, we raised $24.6 million, after fees and other costs, under our ATM equity program, which as of June 30, 2018, had the capacity to issue up to $375.0 million in common shares. We currently believe that cash flows from operations, cash on hand, our ATM program, our revolving credit facility and our general ability to access the capital markets will be sufficient to finance our operations and fund our debt service requirements and capital expenditures.</w:t>
      </w:r>
    </w:p>
    <w:p>
      <w:pPr>
        <w:spacing w:after="0" w:line="12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overall capital requirements for the remainder of 2018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to see a reduced level of capital investments in our properties under development and redevelopment compared to recent years, which is the result of completing construction on Phase II at both Assembly Row and Pike &amp; Rose in 2018.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delay the timing of certain development and redevelopment projects as well as limit future acquisitions, reduce our operating expenditures, or re-evaluate our dividend policy.</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263,111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238,660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(78,695)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(386,699)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221,108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in cash,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83,762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73,069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25,200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34,849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108,962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107,918</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operating activities increased $24.5 million to $263.1 million during the six months ended June 30, 2018 from $238.7 million during the six months ended June 30, 2017. The increase was primarily attributable to higher net income before certain non-cash items and $12.4 million in net proceeds from the Jordan Downs new market tax credit transaction (see Note 3 to the Consolidated Financial Statements for further discussion), partially offset by timing of cash receipts.</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used in investing activities decreased $308.0 million to $78.7 million during the six months ended June 30, 2018 from $386.7 million during the six months ended June 30, 2017. The decrease was primarily attributable to:</w:t>
      </w:r>
    </w:p>
    <w:p>
      <w:pPr>
        <w:spacing w:after="0" w:line="8" w:lineRule="exact"/>
        <w:rPr>
          <w:sz w:val="20"/>
          <w:szCs w:val="20"/>
          <w:color w:val="auto"/>
        </w:rPr>
      </w:pPr>
    </w:p>
    <w:p>
      <w:pPr>
        <w:ind w:left="1140" w:right="160" w:hanging="241"/>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$163.3 million decrease in acquisitions of real estate, primarily due to the 2017 acquisitions of our Riverpoint Center, Hastings Ranch, and Fourth Street properties,</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$77.0 million decrease in capital expenditures as we complete portions of Phase II of both our Assembly Row and Pike &amp; Rose projects, and</w:t>
      </w:r>
    </w:p>
    <w:p>
      <w:pPr>
        <w:spacing w:after="0" w:line="86" w:lineRule="exact"/>
        <w:rPr>
          <w:rFonts w:ascii="Arial" w:cs="Arial" w:eastAsia="Arial" w:hAnsi="Arial"/>
          <w:sz w:val="16"/>
          <w:szCs w:val="16"/>
          <w:color w:val="auto"/>
        </w:rPr>
      </w:pPr>
    </w:p>
    <w:p>
      <w:pPr>
        <w:ind w:left="1140" w:right="20" w:hanging="241"/>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$74.7 million increase in proceeds from sale of real estate primarily due to the sale of condominiums at our Assembly Row and Pike &amp; Rose properties in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cash used in financing activities increased $321.8 million to $100.7 million used during the six months ended June 30, 2018 from $221.1 million provided during the six months ended June 30, 2017. The increase was primarily attributable to:</w:t>
      </w:r>
    </w:p>
    <w:p>
      <w:pPr>
        <w:spacing w:after="0" w:line="8" w:lineRule="exact"/>
        <w:rPr>
          <w:sz w:val="20"/>
          <w:szCs w:val="20"/>
          <w:color w:val="auto"/>
        </w:rPr>
      </w:pPr>
    </w:p>
    <w:p>
      <w:pPr>
        <w:ind w:left="1140" w:right="100" w:hanging="241"/>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$399.4 million in net proceeds from the June 2017 issuance of $300.0 million of 3.25% senior unsecured notes and $100.0 million of 4.50% notes,</w:t>
      </w:r>
    </w:p>
    <w:p>
      <w:pPr>
        <w:spacing w:after="0" w:line="8" w:lineRule="exact"/>
        <w:rPr>
          <w:rFonts w:ascii="Arial" w:cs="Arial" w:eastAsia="Arial" w:hAnsi="Arial"/>
          <w:sz w:val="18"/>
          <w:szCs w:val="18"/>
          <w:color w:val="auto"/>
        </w:rPr>
      </w:pPr>
    </w:p>
    <w:p>
      <w:pPr>
        <w:ind w:left="1140" w:hanging="241"/>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$11.3 million decrease in contributions from noncontrolling interests primarily due to contributions to fund the $50.0 million repayment of the Plaza El Segundo mortgage loan in June 2017, and</w:t>
      </w:r>
    </w:p>
    <w:p>
      <w:pPr>
        <w:spacing w:after="0" w:line="8" w:lineRule="exact"/>
        <w:rPr>
          <w:rFonts w:ascii="Arial" w:cs="Arial" w:eastAsia="Arial" w:hAnsi="Arial"/>
          <w:sz w:val="18"/>
          <w:szCs w:val="18"/>
          <w:color w:val="auto"/>
        </w:rPr>
      </w:pPr>
    </w:p>
    <w:p>
      <w:pPr>
        <w:ind w:left="1140" w:right="120" w:hanging="241"/>
        <w:spacing w:after="0" w:line="317"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$9.2 million increase in dividends paid to shareholders due to an increase in the common share dividend rate, an increase in the number of common shares outstanding, and preferred dividends related to the issuance of our Series C Preferred Shares in September 2017,</w:t>
      </w: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$48.0 million increase in net borrowings on our revolving credit facility, and</w:t>
      </w:r>
    </w:p>
    <w:p>
      <w:pPr>
        <w:spacing w:after="0" w:line="63" w:lineRule="exact"/>
        <w:rPr>
          <w:rFonts w:ascii="Arial" w:cs="Arial" w:eastAsia="Arial" w:hAnsi="Arial"/>
          <w:sz w:val="18"/>
          <w:szCs w:val="18"/>
          <w:color w:val="auto"/>
        </w:rPr>
      </w:pPr>
    </w:p>
    <w:p>
      <w:pPr>
        <w:ind w:left="1140" w:right="180" w:hanging="241"/>
        <w:spacing w:after="0" w:line="342" w:lineRule="auto"/>
        <w:tabs>
          <w:tab w:leader="none" w:pos="11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$40.5 million decrease in repayment of mortgages and capital leases due to the $10.5 million payoff of the mortgage loan on the Grove at Shrewsbury (West) in March 2018, as compared to the $50.0 million paydown of the Plaza El Segundo mortgage loan in June 2017.</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126" w:right="31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80"/>
              <w:spacing w:after="0"/>
              <w:rPr>
                <w:sz w:val="20"/>
                <w:szCs w:val="20"/>
                <w:color w:val="auto"/>
              </w:rPr>
            </w:pPr>
            <w:r>
              <w:rPr>
                <w:rFonts w:ascii="Arial" w:cs="Arial" w:eastAsia="Arial" w:hAnsi="Arial"/>
                <w:sz w:val="14"/>
                <w:szCs w:val="14"/>
                <w:b w:val="1"/>
                <w:bCs w:val="1"/>
                <w:color w:val="auto"/>
              </w:rPr>
              <w:t>Original</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Principal Balance as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80" w:type="dxa"/>
            <w:vAlign w:val="bottom"/>
          </w:tcPr>
          <w:p>
            <w:pPr>
              <w:spacing w:after="0"/>
              <w:rPr>
                <w:sz w:val="12"/>
                <w:szCs w:val="12"/>
                <w:color w:val="auto"/>
              </w:rPr>
            </w:pPr>
          </w:p>
        </w:tc>
        <w:tc>
          <w:tcPr>
            <w:tcW w:w="96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14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4"/>
                <w:szCs w:val="14"/>
                <w:b w:val="1"/>
                <w:bCs w:val="1"/>
                <w:color w:val="auto"/>
                <w:w w:val="92"/>
              </w:rPr>
              <w:t>of June 30, 2018</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June 30, 2018</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24,050</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20,578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Shops at Sunset Place</w:t>
            </w:r>
          </w:p>
        </w:tc>
        <w:tc>
          <w:tcPr>
            <w:tcW w:w="1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65,538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29th Place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Sylmar Towne Center</w:t>
            </w:r>
          </w:p>
        </w:tc>
        <w:tc>
          <w:tcPr>
            <w:tcW w:w="1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17,185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Del Sol</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8,496</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AVENUE at White Marsh</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52,705</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70,191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Azalea</w:t>
            </w:r>
          </w:p>
        </w:tc>
        <w:tc>
          <w:tcPr>
            <w:tcW w:w="180" w:type="dxa"/>
            <w:vAlign w:val="bottom"/>
          </w:tcPr>
          <w:p>
            <w:pPr>
              <w:spacing w:after="0"/>
              <w:rPr>
                <w:sz w:val="20"/>
                <w:szCs w:val="20"/>
                <w:color w:val="auto"/>
              </w:rPr>
            </w:pPr>
          </w:p>
        </w:tc>
        <w:tc>
          <w:tcPr>
            <w:tcW w:w="960" w:type="dxa"/>
            <w:vAlign w:val="bottom"/>
          </w:tcPr>
          <w:p>
            <w:pPr>
              <w:ind w:left="14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Bell Gardens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13,061</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Plaza El Segundo</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125,000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43,600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Brook 35</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11,500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478,190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mortgages payable, net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477,706</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Term loan (1)</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LIBOR + 0.90%</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Various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7,239</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4,672</w:t>
            </w:r>
          </w:p>
        </w:tc>
        <w:tc>
          <w:tcPr>
            <w:tcW w:w="1740" w:type="dxa"/>
            <w:vAlign w:val="bottom"/>
            <w:gridSpan w:val="2"/>
          </w:tcPr>
          <w:p>
            <w:pPr>
              <w:jc w:val="right"/>
              <w:ind w:right="83"/>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Revolving credit facility (2)</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800,000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+ 0.825%</w:t>
            </w:r>
          </w:p>
        </w:tc>
        <w:tc>
          <w:tcPr>
            <w:tcW w:w="1820" w:type="dxa"/>
            <w:vAlign w:val="bottom"/>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368,672</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debt issuance costs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368,389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3.25%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475,000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80" w:type="dxa"/>
            <w:vAlign w:val="bottom"/>
          </w:tcPr>
          <w:p>
            <w:pPr>
              <w:spacing w:after="0"/>
              <w:rPr>
                <w:sz w:val="20"/>
                <w:szCs w:val="20"/>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550,000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2,419,200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(16,349)</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senior notes and debentures, net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2,402,851</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600"/>
              <w:spacing w:after="0"/>
              <w:rPr>
                <w:sz w:val="20"/>
                <w:szCs w:val="20"/>
                <w:color w:val="auto"/>
              </w:rPr>
            </w:pPr>
            <w:r>
              <w:rPr>
                <w:rFonts w:ascii="Arial" w:cs="Arial" w:eastAsia="Arial" w:hAnsi="Arial"/>
                <w:sz w:val="16"/>
                <w:szCs w:val="16"/>
                <w:color w:val="auto"/>
              </w:rPr>
              <w:t>Various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71,538</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182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3,320,484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8"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six months ended June 30, 2018 was $177.0 million, and the weighted average interest rate on borrowings under our revolving credit facility, before amortization of debt fees, was 2.5%.</w:t>
      </w:r>
    </w:p>
    <w:p>
      <w:pPr>
        <w:spacing w:after="0" w:line="11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revolving credit facility, term loan and other debt agreements include financial and other covenants that may limit our operating activities in the future. As of June 30, 2018, we were in compliance with all financial and other covenants related to our revolving credit facility, term loan and senior notes. Additionally, as of June 30, 2018, we were in compliance with all of</w:t>
      </w:r>
    </w:p>
    <w:p>
      <w:pPr>
        <w:sectPr>
          <w:pgSz w:w="11900" w:h="16838" w:orient="portrait"/>
          <w:cols w:equalWidth="0" w:num="1">
            <w:col w:w="11420"/>
          </w:cols>
          <w:pgMar w:left="240" w:top="126" w:right="239" w:bottom="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6" w:right="239" w:bottom="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2018:</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275,359</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2,857</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278,239</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563</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25,820</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26,425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89,624</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(2)</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65,539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155,209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250,694</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30,541</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281,286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250,771</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117,018</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367,845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1,920,861</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236,415</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71,320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2,228,596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2,787,872</w:t>
            </w:r>
          </w:p>
        </w:tc>
        <w:tc>
          <w:tcPr>
            <w:tcW w:w="4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478,190</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71,538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3,337,600</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$275.0 million unsecured term loan matures on November 21, 2018, subject to a one-year extension at our option.</w:t>
      </w:r>
    </w:p>
    <w:p>
      <w:pPr>
        <w:spacing w:after="0" w:line="63"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June 30, 2018, there was $89.0 million outstanding under this credit facility.</w:t>
      </w:r>
    </w:p>
    <w:p>
      <w:pPr>
        <w:spacing w:after="0" w:line="8"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due to the unamortized net premium/discount and debt issuance costs on mortgage loans, notes payable, and senior notes as of June 30,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of June 30, 2018, we are party to two interest rate swap agreements that effectively fixed the rate on the term loan at 2.62%. Both swaps were designated and qualified as cash flow hedges and were recorded at fair value. Hedge ineffectiveness has not impacted earnings as of June 30, 2018, and we do not anticipate it will have a significant effect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580" w:type="dxa"/>
            <w:vAlign w:val="bottom"/>
            <w:gridSpan w:val="7"/>
          </w:tcPr>
          <w:p>
            <w:pPr>
              <w:ind w:left="100"/>
              <w:spacing w:after="0"/>
              <w:rPr>
                <w:sz w:val="20"/>
                <w:szCs w:val="20"/>
                <w:color w:val="auto"/>
              </w:rPr>
            </w:pPr>
            <w:r>
              <w:rPr>
                <w:rFonts w:ascii="Arial" w:cs="Arial" w:eastAsia="Arial" w:hAnsi="Arial"/>
                <w:sz w:val="14"/>
                <w:szCs w:val="14"/>
                <w:b w:val="1"/>
                <w:bCs w:val="1"/>
                <w:color w:val="auto"/>
                <w:w w:val="99"/>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65,533</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128,464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136,203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52,011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45,634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103,362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90,316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116,336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108,177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230,218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213,663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 (1)</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37"/>
        </w:trPr>
        <w:tc>
          <w:tcPr>
            <w:tcW w:w="640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114,822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108,603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227,216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214,523</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(1)</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73,880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73,859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72,956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00" w:hanging="652"/>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Dividends on our Series 1 preferred shares are not deducted in the calculation of FFO available to common shareholders, as the related shares are dilutive and included in "weighted average common shares, diluted" and 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June 30, 2018,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our outstanding debt obligations (maturing at various times through 2046 or, with respect to capital lease obligations, through 2106) have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fixed interest rates which limit the risk of fluctuating interest rates. However, interest rate fluctuations may affect the fair value of our fixed rate debt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instruments. At June 30, 2018, we had $3.2 billion of fixed-rate debt outstanding, including our $275.0 million term loan as the rate is effectively fixed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two interest rate swap agreements; we also had $71.5 million of capital lease obligations. If market interest rates used to calculate the fair value on our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debt instruments at June 30, 2018 had been 1.0% higher, the fair value of those debt instruments on that date would have decreased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$213.8 million. If market interest rates used to calculate the fair value on our fixed-rate debt instruments at June 30, 2018 had been 1.0% lower,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those debt instruments on that date would have increased by approximately $246.0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outstanding variable rate debt. At June 30, 2018, we had $89.0 million of variable rate debt outstanding on our revolving credit facility. Based upon this amount of variable rate debt and the specific terms, if market interest rates increased 1.0%, our annual interest expense would increase by approximately $0.9 million with a corresponding decrease in our net income and cash flows for the year. Conversely, if market interest rates decreased 1.0%, our annual interest expense would decrease by approximately $0.9 million with a corresponding increase in our net income and cash flows for the year.</w:t>
      </w:r>
    </w:p>
    <w:p>
      <w:pPr>
        <w:spacing w:after="0" w:line="21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2018. Based on this evaluation, our management, including our Chief Executive Officer and Chief Financial Officer, concluded that our disclosure controls and procedures were effective as of June 30, 2018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2017.</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2017 filed with the SEC on February 13, 2018.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right="2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4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20" w:hanging="807"/>
        <w:spacing w:after="0" w:line="277"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20" w:hanging="807"/>
        <w:spacing w:after="0" w:line="277"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40" w:hanging="801"/>
        <w:spacing w:after="0" w:line="286"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6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an equivalent number of common shares, at our option. During the three months ended June 30, 2018, we redeemed 10,451 downREIT operating partnership units for cash.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6" w:right="27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could be deemed to have repurchased shares as a result of shares withheld for tax purposes upon a stock compensation related vesting event.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126" w:right="37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9260" w:type="dxa"/>
            <w:vAlign w:val="bottom"/>
          </w:tcPr>
          <w:p>
            <w:pPr>
              <w:spacing w:after="0"/>
              <w:rPr>
                <w:sz w:val="24"/>
                <w:szCs w:val="24"/>
                <w:color w:val="auto"/>
              </w:rPr>
            </w:pPr>
          </w:p>
        </w:tc>
      </w:tr>
      <w:tr>
        <w:trPr>
          <w:trHeight w:val="324"/>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85"/>
              </w:rPr>
            </w:pPr>
            <w:hyperlink w:anchor="page3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60" w:type="dxa"/>
            <w:vAlign w:val="bottom"/>
            <w:gridSpan w:val="2"/>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right="340" w:hanging="1165"/>
        <w:spacing w:after="0" w:line="259" w:lineRule="auto"/>
        <w:tabs>
          <w:tab w:leader="none" w:pos="1200" w:val="left"/>
        </w:tabs>
        <w:numPr>
          <w:ilvl w:val="0"/>
          <w:numId w:val="25"/>
        </w:numPr>
        <w:rPr>
          <w:rFonts w:ascii="Arial" w:cs="Arial" w:eastAsia="Arial" w:hAnsi="Arial"/>
          <w:sz w:val="18"/>
          <w:szCs w:val="18"/>
          <w:u w:val="single" w:color="auto"/>
          <w:color w:val="0000FF"/>
        </w:rPr>
      </w:pPr>
      <w:r>
        <w:rPr>
          <w:rFonts w:ascii="Arial" w:cs="Arial" w:eastAsia="Arial" w:hAnsi="Arial"/>
          <w:sz w:val="18"/>
          <w:szCs w:val="18"/>
          <w:color w:val="auto"/>
        </w:rPr>
        <w:t>The following materials from Federal Realty Investment Trust’s Quarterly Report on Form 10-Q for the quarter ended June 30, 2018,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6"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600" w:val="left"/>
          <w:tab w:leader="none" w:pos="794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33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126"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2018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2018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August 1, 2018</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lvl w:ilvl="1">
      <w:lvlJc w:val="left"/>
      <w:lvlText w:val="•"/>
      <w:numFmt w:val="bullet"/>
      <w:start w:val="1"/>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2019-12-28T20:31:12Z</dcterms:created>
  <dcterms:modified xsi:type="dcterms:W3CDTF">2019-12-28T20:31:12Z</dcterms:modified>
</cp:coreProperties>
</file>