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April 15,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2"/>
              <w:spacing w:after="0"/>
              <w:rPr>
                <w:sz w:val="20"/>
                <w:szCs w:val="20"/>
                <w:color w:val="auto"/>
              </w:rPr>
            </w:pPr>
            <w:r>
              <w:rPr>
                <w:rFonts w:ascii="Arial" w:cs="Arial" w:eastAsia="Arial" w:hAnsi="Arial"/>
                <w:sz w:val="18"/>
                <w:szCs w:val="18"/>
                <w:b w:val="1"/>
                <w:bCs w:val="1"/>
                <w:color w:val="auto"/>
                <w:w w:val="93"/>
              </w:rPr>
              <w:t>Maryland</w:t>
            </w:r>
          </w:p>
        </w:tc>
        <w:tc>
          <w:tcPr>
            <w:tcW w:w="3660" w:type="dxa"/>
            <w:vAlign w:val="bottom"/>
          </w:tcPr>
          <w:p>
            <w:pPr>
              <w:jc w:val="right"/>
              <w:ind w:right="1442"/>
              <w:spacing w:after="0"/>
              <w:rPr>
                <w:sz w:val="20"/>
                <w:szCs w:val="20"/>
                <w:color w:val="auto"/>
              </w:rPr>
            </w:pPr>
            <w:r>
              <w:rPr>
                <w:rFonts w:ascii="Arial" w:cs="Arial" w:eastAsia="Arial" w:hAnsi="Arial"/>
                <w:sz w:val="18"/>
                <w:szCs w:val="18"/>
                <w:b w:val="1"/>
                <w:bCs w:val="1"/>
                <w:color w:val="auto"/>
              </w:rPr>
              <w:t>001-07533</w:t>
            </w:r>
          </w:p>
        </w:tc>
        <w:tc>
          <w:tcPr>
            <w:tcW w:w="2380" w:type="dxa"/>
            <w:vAlign w:val="bottom"/>
          </w:tcPr>
          <w:p>
            <w:pPr>
              <w:jc w:val="center"/>
              <w:ind w:left="1264"/>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900" w:type="dxa"/>
            <w:vAlign w:val="bottom"/>
          </w:tcPr>
          <w:p>
            <w:pPr>
              <w:jc w:val="center"/>
              <w:ind w:right="128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6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380" w:type="dxa"/>
            <w:vAlign w:val="bottom"/>
          </w:tcPr>
          <w:p>
            <w:pPr>
              <w:jc w:val="center"/>
              <w:ind w:left="12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2"/>
              <w:spacing w:after="0"/>
              <w:rPr>
                <w:sz w:val="20"/>
                <w:szCs w:val="20"/>
                <w:color w:val="auto"/>
              </w:rPr>
            </w:pPr>
            <w:r>
              <w:rPr>
                <w:rFonts w:ascii="Arial" w:cs="Arial" w:eastAsia="Arial" w:hAnsi="Arial"/>
                <w:sz w:val="14"/>
                <w:szCs w:val="14"/>
                <w:b w:val="1"/>
                <w:bCs w:val="1"/>
                <w:color w:val="auto"/>
                <w:w w:val="87"/>
              </w:rPr>
              <w:t>of incorporation)</w:t>
            </w:r>
          </w:p>
        </w:tc>
        <w:tc>
          <w:tcPr>
            <w:tcW w:w="3660" w:type="dxa"/>
            <w:vAlign w:val="bottom"/>
          </w:tcPr>
          <w:p>
            <w:pPr>
              <w:spacing w:after="0"/>
              <w:rPr>
                <w:sz w:val="15"/>
                <w:szCs w:val="15"/>
                <w:color w:val="auto"/>
              </w:rPr>
            </w:pPr>
          </w:p>
        </w:tc>
        <w:tc>
          <w:tcPr>
            <w:tcW w:w="2380" w:type="dxa"/>
            <w:vAlign w:val="bottom"/>
          </w:tcPr>
          <w:p>
            <w:pPr>
              <w:jc w:val="center"/>
              <w:ind w:left="12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900" w:type="dxa"/>
            <w:vAlign w:val="bottom"/>
          </w:tcPr>
          <w:p>
            <w:pPr>
              <w:jc w:val="center"/>
              <w:ind w:left="382"/>
              <w:spacing w:after="0"/>
              <w:rPr>
                <w:sz w:val="20"/>
                <w:szCs w:val="20"/>
                <w:color w:val="auto"/>
              </w:rPr>
            </w:pPr>
            <w:r>
              <w:rPr>
                <w:rFonts w:ascii="Arial" w:cs="Arial" w:eastAsia="Arial" w:hAnsi="Arial"/>
                <w:sz w:val="18"/>
                <w:szCs w:val="18"/>
                <w:b w:val="1"/>
                <w:bCs w:val="1"/>
                <w:color w:val="auto"/>
                <w:w w:val="87"/>
              </w:rPr>
              <w:t>1626 East Jefferson Street</w:t>
            </w:r>
          </w:p>
        </w:tc>
        <w:tc>
          <w:tcPr>
            <w:tcW w:w="36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1"/>
        </w:trPr>
        <w:tc>
          <w:tcPr>
            <w:tcW w:w="2900" w:type="dxa"/>
            <w:vAlign w:val="bottom"/>
          </w:tcPr>
          <w:p>
            <w:pPr>
              <w:jc w:val="center"/>
              <w:ind w:left="402"/>
              <w:spacing w:after="0"/>
              <w:rPr>
                <w:sz w:val="20"/>
                <w:szCs w:val="20"/>
                <w:color w:val="auto"/>
              </w:rPr>
            </w:pPr>
            <w:r>
              <w:rPr>
                <w:rFonts w:ascii="Arial" w:cs="Arial" w:eastAsia="Arial" w:hAnsi="Arial"/>
                <w:sz w:val="18"/>
                <w:szCs w:val="18"/>
                <w:b w:val="1"/>
                <w:bCs w:val="1"/>
                <w:color w:val="auto"/>
                <w:w w:val="91"/>
              </w:rPr>
              <w:t>Rockville, Maryland</w:t>
            </w:r>
          </w:p>
        </w:tc>
        <w:tc>
          <w:tcPr>
            <w:tcW w:w="3660" w:type="dxa"/>
            <w:vAlign w:val="bottom"/>
          </w:tcPr>
          <w:p>
            <w:pPr>
              <w:spacing w:after="0"/>
              <w:rPr>
                <w:sz w:val="20"/>
                <w:szCs w:val="20"/>
                <w:color w:val="auto"/>
              </w:rPr>
            </w:pPr>
          </w:p>
        </w:tc>
        <w:tc>
          <w:tcPr>
            <w:tcW w:w="2380" w:type="dxa"/>
            <w:vAlign w:val="bottom"/>
          </w:tcPr>
          <w:p>
            <w:pPr>
              <w:jc w:val="right"/>
              <w:ind w:right="944"/>
              <w:spacing w:after="0"/>
              <w:rPr>
                <w:sz w:val="20"/>
                <w:szCs w:val="20"/>
                <w:color w:val="auto"/>
              </w:rPr>
            </w:pPr>
            <w:r>
              <w:rPr>
                <w:rFonts w:ascii="Arial" w:cs="Arial" w:eastAsia="Arial" w:hAnsi="Arial"/>
                <w:sz w:val="18"/>
                <w:szCs w:val="18"/>
                <w:b w:val="1"/>
                <w:bCs w:val="1"/>
                <w:color w:val="auto"/>
              </w:rPr>
              <w:t>20852-4041</w:t>
            </w:r>
          </w:p>
        </w:tc>
      </w:tr>
      <w:tr>
        <w:trPr>
          <w:trHeight w:val="174"/>
        </w:trPr>
        <w:tc>
          <w:tcPr>
            <w:tcW w:w="2900" w:type="dxa"/>
            <w:vAlign w:val="bottom"/>
          </w:tcPr>
          <w:p>
            <w:pPr>
              <w:jc w:val="center"/>
              <w:ind w:left="38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660" w:type="dxa"/>
            <w:vAlign w:val="bottom"/>
          </w:tcPr>
          <w:p>
            <w:pPr>
              <w:spacing w:after="0"/>
              <w:rPr>
                <w:sz w:val="15"/>
                <w:szCs w:val="15"/>
                <w:color w:val="auto"/>
              </w:rPr>
            </w:pPr>
          </w:p>
        </w:tc>
        <w:tc>
          <w:tcPr>
            <w:tcW w:w="2380" w:type="dxa"/>
            <w:vAlign w:val="bottom"/>
          </w:tcPr>
          <w:p>
            <w:pPr>
              <w:jc w:val="center"/>
              <w:ind w:right="4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900" w:type="dxa"/>
            <w:vAlign w:val="bottom"/>
          </w:tcPr>
          <w:p>
            <w:pPr>
              <w:spacing w:after="0"/>
              <w:rPr>
                <w:sz w:val="24"/>
                <w:szCs w:val="24"/>
                <w:color w:val="auto"/>
              </w:rPr>
            </w:pPr>
          </w:p>
        </w:tc>
        <w:tc>
          <w:tcPr>
            <w:tcW w:w="3660" w:type="dxa"/>
            <w:vAlign w:val="bottom"/>
          </w:tcPr>
          <w:p>
            <w:pPr>
              <w:jc w:val="right"/>
              <w:ind w:right="1402"/>
              <w:spacing w:after="0"/>
              <w:rPr>
                <w:sz w:val="20"/>
                <w:szCs w:val="20"/>
                <w:color w:val="auto"/>
              </w:rPr>
            </w:pPr>
            <w:r>
              <w:rPr>
                <w:rFonts w:ascii="Arial" w:cs="Arial" w:eastAsia="Arial" w:hAnsi="Arial"/>
                <w:sz w:val="18"/>
                <w:szCs w:val="18"/>
                <w:b w:val="1"/>
                <w:bCs w:val="1"/>
                <w:color w:val="auto"/>
              </w:rPr>
              <w:t>(301) 998-8100</w:t>
            </w:r>
          </w:p>
        </w:tc>
        <w:tc>
          <w:tcPr>
            <w:tcW w:w="2380" w:type="dxa"/>
            <w:vAlign w:val="bottom"/>
          </w:tcPr>
          <w:p>
            <w:pPr>
              <w:spacing w:after="0"/>
              <w:rPr>
                <w:sz w:val="24"/>
                <w:szCs w:val="24"/>
                <w:color w:val="auto"/>
              </w:rPr>
            </w:pPr>
          </w:p>
        </w:tc>
      </w:tr>
      <w:tr>
        <w:trPr>
          <w:trHeight w:val="174"/>
        </w:trPr>
        <w:tc>
          <w:tcPr>
            <w:tcW w:w="2900" w:type="dxa"/>
            <w:vAlign w:val="bottom"/>
          </w:tcPr>
          <w:p>
            <w:pPr>
              <w:spacing w:after="0"/>
              <w:rPr>
                <w:sz w:val="15"/>
                <w:szCs w:val="15"/>
                <w:color w:val="auto"/>
              </w:rPr>
            </w:pPr>
          </w:p>
        </w:tc>
        <w:tc>
          <w:tcPr>
            <w:tcW w:w="3660" w:type="dxa"/>
            <w:vAlign w:val="bottom"/>
          </w:tcPr>
          <w:p>
            <w:pPr>
              <w:jc w:val="center"/>
              <w:ind w:right="32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380" w:type="dxa"/>
            <w:vAlign w:val="bottom"/>
          </w:tcPr>
          <w:p>
            <w:pPr>
              <w:spacing w:after="0"/>
              <w:rPr>
                <w:sz w:val="15"/>
                <w:szCs w:val="15"/>
                <w:color w:val="auto"/>
              </w:rPr>
            </w:pP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April 15, 2009, Federal Realty Investment Trust (the “Registrant”) issued a press release announcing updates on its financing and operating activities and 2009 guidance. The press release is attached hereto as Exhibit 99.1. The press release is being furnished and shall not be deemed “filed” for purposes of Section 18 of the Securities Exchange Act of 1934 (“Exchange Act”) or otherwise subject to the liabilities of such section, nor shall such information be deemed to be incorporated by reference in any filing under the Securities Act of 1933, as amended, or the Exchange Act, except as shall be expressly set forth by specific reference in such filing.</w:t>
      </w:r>
    </w:p>
    <w:p>
      <w:pPr>
        <w:spacing w:after="0" w:line="2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Federal Realty Investment Trust, dated April 15, 2009.</w:t>
      </w:r>
    </w:p>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Dawn M. Becker</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Dawn M. Becker</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w:t>
            </w:r>
          </w:p>
        </w:tc>
      </w:tr>
      <w:tr>
        <w:trPr>
          <w:trHeight w:val="222"/>
        </w:trPr>
        <w:tc>
          <w:tcPr>
            <w:tcW w:w="6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Dated: April 15, 2009</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037580" cy="130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7580" cy="130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Investor and Media Inquiries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Gina Birdsall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301/998-8265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gbirdsall@federalrealty.com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REALTY INVESTMENT TRUST PROVIDES AN UPDATE FOR THE FIRST QUARTER 2009</w:t>
      </w:r>
    </w:p>
    <w:p>
      <w:pPr>
        <w:spacing w:after="0" w:line="9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ROCKVILLE, Md. (April 15, 2009) – Federal Realty Investment Trust (NYSE:FRT), an equity real estate investment trust specializing in the ownership, management, and redevelopment of high quality retail assets, is providing updates on its financing and operating activities and 2009 guidance.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Strong First Quarter 2009 Leasing Results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During the first quarter of 2009, Federal Realty signed 69 leases for 233,000 square feet of retail space. On a comparable space basis (i.e., spaces for which there was a former tenant), the Trust leased 232,000 square feet at an average cash-basis contractual rent increase per square foot (i.e., excluding the impact of straight-line rents) of 16%. The average contractual rent on this comparable space for the first year of the new leases is $31.42 per square foot, compared to the average contractual rent of $26.99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26% for first quarter 2009.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Federal Realty’s portfolio was 94.2% leased as of March 31, 2009, as compared to 95.0% as of December 31, 2008.</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 couldn’t be happier with the leasing results we achieved in the quarter during these tough economic times,” said Donald C. Wood, president and chief executive officer of the Trust. “These results clearly demonstrate the strength and quality of our portfolio.”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Refinancing Exceeding Expectations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Marketing of Unsecured Term Loan. </w:t>
      </w:r>
      <w:r>
        <w:rPr>
          <w:rFonts w:ascii="Arial" w:cs="Arial" w:eastAsia="Arial" w:hAnsi="Arial"/>
          <w:sz w:val="18"/>
          <w:szCs w:val="18"/>
          <w:color w:val="auto"/>
        </w:rPr>
        <w:t>Federal Realty has current commitments aggregating $250 million from five banks, all of which have increased their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exposure to the Trust, for a new unsecured term loan being marketed by the Trust. The term loan is expected to bear interest at an annual rate of LIBOR (subject to a 1.50%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PROVIDES AN UPDATE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plus 300 basis points and will mature in July 2011. The unsecured term loan was initially marketed as a $200 million loan, but Federal Realty continues to work with other banks to secure additional commitments up to $350 million. Closing and funding of the term loan is expected in early May.</w:t>
      </w:r>
    </w:p>
    <w:p>
      <w:pPr>
        <w:spacing w:after="0" w:line="8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Secured Financings. </w:t>
      </w:r>
      <w:r>
        <w:rPr>
          <w:rFonts w:ascii="Arial" w:cs="Arial" w:eastAsia="Arial" w:hAnsi="Arial"/>
          <w:sz w:val="18"/>
          <w:szCs w:val="18"/>
          <w:color w:val="auto"/>
        </w:rPr>
        <w:t>Federal Realty has closed a $24.1 million, ten-year loan secured by Rollingwood Apartments in Silver Spring, Maryland at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interest rate of 5.73%. The Trust has also obtained commitments aggregating approximately $139 million for a five-year loan secured by four retail assets located in Northern Virginia that is expected to bear interest at an annual effective rate of 7.72%. This secured financing is expected to close during the second quarter of 2009.</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extremely pleased with the response we received from the lending community and the fact that so many lenders are increasing their exposure to the Trust,” said Andrew P. Blocher, senior vice president-chief financial officer and treasurer of the Trust. “With the anticipated proceeds from these financings, we’ll be in the enviable position of maintaining our low leverage, being able to fully repay our 2009 debt maturities and substantially decreasing the balance on our line of credit.”</w:t>
      </w:r>
    </w:p>
    <w:p>
      <w:pPr>
        <w:spacing w:after="0" w:line="143"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i w:val="1"/>
          <w:iCs w:val="1"/>
          <w:color w:val="auto"/>
        </w:rPr>
        <w:t xml:space="preserve">Other Activities. </w:t>
      </w:r>
      <w:r>
        <w:rPr>
          <w:rFonts w:ascii="Arial" w:cs="Arial" w:eastAsia="Arial" w:hAnsi="Arial"/>
          <w:sz w:val="15"/>
          <w:szCs w:val="15"/>
          <w:color w:val="auto"/>
        </w:rPr>
        <w:t>Federal Realty evaluated the possibility of opportunistically completing a modest common equity raise, which included discussions about our</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with select investors, but elected not to proceed with the transaction given the substantial decline yesterday in the general market and the Trust’s shares.</w:t>
      </w:r>
    </w:p>
    <w:p>
      <w:pPr>
        <w:spacing w:after="0" w:line="6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“With all the progress we made on our financings, we expect to be in a position to satisfy all of our debt maturities into 2011 and have adequate capital to fund operations, redevelopment opportunities and selective acquisitions,” said Mr. Wood. “With the recent increase in our stock price we saw a unique opportunity to pursue a modest equity offering to provide us with additional balance sheet flexibility over and above the comfort provided by our debt financing activities. Our decision not to execute the transaction reflects our comfort with our anticipated capital position and our belief that issuing equity capital at this price without a specific use of proceeds was not in the best interest of our shareholders.”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FFO Guidance Update Remains Unchanged</w:t>
      </w:r>
    </w:p>
    <w:p>
      <w:pPr>
        <w:spacing w:after="0" w:line="9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On February 18, 2009, Federal Realty provided guidance for 2009 funds from operations per diluted share, a widely accepted supplemental measure of REIT performance, at a range of $3.80 to $3.92. Guidance for 2009 assumed an $8 million to $9 million ($0.13 to $0.15 per diluted share) impact associated with addressing the Trust’s fourth quarter 2009 debt maturities significantly in advance of the actual maturity dates and did not include potential damages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00"/>
          </w:cols>
          <w:pgMar w:left="240" w:top="2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PROVIDES AN UPDATE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associated with the lawsuit related to a property adjacent to Santana Row as further described in Note 8 (Commitments and Contingencies) to the Trust’s audited financial statements for the year ended December 31, 2008, which are included in the Trust’s most recent Annual Report on Form 10-K and filed with the Securities and Exchange Commission.</w:t>
      </w:r>
    </w:p>
    <w:p>
      <w:pPr>
        <w:spacing w:after="0" w:line="14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Trust is maintaining its guidance for 2009 funds from operations per diluted share at a range of $3.80 to $3.92. This guidance does not include potential damages associated with the lawsuit described above. A reconciliation of net income to funds from operation is provided in the table accompanying this press release.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continued confidence in our business allows us to leave FFO guidance for 2009 unchanged,” commented Mr. Wood.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Maintain Current Regular Quarterly Dividend Level</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April 15, 2009, Federal Realty will pay a cash dividend on its common shares to shareholders of record at the close of business on March 19, 2009 of $0.65 per share, resulting in an indicated annualized dividend of $2.60 per share. Federal Realty expects to maintain paying a cash dividend at that rate for the dividend payable in the third quarter of 2009. Actual dividends will be determined by our Board of Trustees based upon the circumstances at the time of declaration and the actual dividend payable may vary from the Trust’s current expectations.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1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December 31, 2008, Federal Realty owned or had a majority interest in community and neighborhood shopping centers and mixed-use properties which are operated as 84 predominantly retail real estate projects comprising approximately 18.1 million square feet. A joint venture in which Federal Realty owns a 30% interest owns seven retail real estate projects totaling approximately 1.0 million square feet as of December 31, 2008. Federal Realty is an S&amp;P MidCap 400 company and its shares are traded on the NYSE under the symbol FRT.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PROVIDES AN UPDATE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26, 2009 and include the following:</w:t>
      </w:r>
    </w:p>
    <w:p>
      <w:pPr>
        <w:spacing w:after="0" w:line="184"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February 26, 2009.</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2019-12-10T00:22:08Z</dcterms:created>
  <dcterms:modified xsi:type="dcterms:W3CDTF">2019-12-10T00:22:08Z</dcterms:modified>
</cp:coreProperties>
</file>