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199390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Federal Realty Investment Trust</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484"/>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52-0782497</w:t>
      </w:r>
    </w:p>
    <w:p>
      <w:pPr>
        <w:spacing w:after="0" w:line="23" w:lineRule="exact"/>
        <w:rPr>
          <w:sz w:val="24"/>
          <w:szCs w:val="24"/>
          <w:color w:val="auto"/>
        </w:rPr>
      </w:pPr>
    </w:p>
    <w:p>
      <w:pPr>
        <w:sectPr>
          <w:pgSz w:w="11900" w:h="16838" w:orient="portrait"/>
          <w:cols w:equalWidth="0" w:num="3">
            <w:col w:w="4604" w:space="720"/>
            <w:col w:w="2780" w:space="720"/>
            <w:col w:w="2200"/>
          </w:cols>
          <w:pgMar w:left="436" w:top="362"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62" w:right="439" w:bottom="1440" w:gutter="0" w:footer="0" w:header="0"/>
          <w:type w:val="continuous"/>
        </w:sectPr>
      </w:pPr>
    </w:p>
    <w:p>
      <w:pPr>
        <w:spacing w:after="0" w:line="1" w:lineRule="exact"/>
        <w:rPr>
          <w:sz w:val="24"/>
          <w:szCs w:val="24"/>
          <w:color w:val="auto"/>
        </w:rPr>
      </w:pPr>
    </w:p>
    <w:p>
      <w:pPr>
        <w:ind w:left="1764"/>
        <w:spacing w:after="0"/>
        <w:rPr>
          <w:sz w:val="20"/>
          <w:szCs w:val="20"/>
          <w:color w:val="auto"/>
        </w:rPr>
      </w:pPr>
      <w:r>
        <w:rPr>
          <w:rFonts w:ascii="Times New Roman" w:cs="Times New Roman" w:eastAsia="Times New Roman" w:hAnsi="Times New Roman"/>
          <w:sz w:val="17"/>
          <w:szCs w:val="17"/>
          <w:b w:val="1"/>
          <w:bCs w:val="1"/>
          <w:color w:val="auto"/>
        </w:rPr>
        <w:t>909 Rose Avenue Suite 200</w:t>
      </w:r>
    </w:p>
    <w:p>
      <w:pPr>
        <w:spacing w:after="0" w:line="43" w:lineRule="exact"/>
        <w:rPr>
          <w:sz w:val="24"/>
          <w:szCs w:val="24"/>
          <w:color w:val="auto"/>
        </w:rPr>
      </w:pPr>
    </w:p>
    <w:p>
      <w:pPr>
        <w:ind w:left="1744"/>
        <w:spacing w:after="0"/>
        <w:rPr>
          <w:sz w:val="20"/>
          <w:szCs w:val="20"/>
          <w:color w:val="auto"/>
        </w:rPr>
      </w:pPr>
      <w:r>
        <w:rPr>
          <w:rFonts w:ascii="Times New Roman" w:cs="Times New Roman" w:eastAsia="Times New Roman" w:hAnsi="Times New Roman"/>
          <w:sz w:val="17"/>
          <w:szCs w:val="17"/>
          <w:b w:val="1"/>
          <w:bCs w:val="1"/>
          <w:color w:val="auto"/>
        </w:rPr>
        <w:t>North Bethesda, Maryland</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20852</w:t>
      </w:r>
    </w:p>
    <w:p>
      <w:pPr>
        <w:spacing w:after="0" w:line="42" w:lineRule="exact"/>
        <w:rPr>
          <w:sz w:val="24"/>
          <w:szCs w:val="24"/>
          <w:color w:val="auto"/>
        </w:rPr>
      </w:pPr>
    </w:p>
    <w:p>
      <w:pPr>
        <w:sectPr>
          <w:pgSz w:w="11900" w:h="16838" w:orient="portrait"/>
          <w:cols w:equalWidth="0" w:num="2">
            <w:col w:w="7404" w:space="720"/>
            <w:col w:w="2900"/>
          </w:cols>
          <w:pgMar w:left="436" w:top="362"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62"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182880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Shares of Beneficial Interest $.01 par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FRT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value per share, with associated Common 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Purchase Rights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Depositary Shares, each representing 1/1000 of a</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FRT-C</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 of 5.00% Series C Cumulative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Redeemable Preferred Share of Beneficial</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Interest, $.01 par value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4"/>
          <w:szCs w:val="24"/>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92" w:lineRule="exact"/>
        <w:rPr>
          <w:sz w:val="24"/>
          <w:szCs w:val="24"/>
          <w:color w:val="auto"/>
        </w:rPr>
      </w:pPr>
    </w:p>
    <w:p>
      <w:pPr>
        <w:ind w:left="8804"/>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w:t>
      </w:r>
    </w:p>
    <w:p>
      <w:pPr>
        <w:spacing w:after="0" w:line="213" w:lineRule="exact"/>
        <w:rPr>
          <w:sz w:val="24"/>
          <w:szCs w:val="24"/>
          <w:color w:val="auto"/>
        </w:rPr>
      </w:pPr>
    </w:p>
    <w:p>
      <w:pPr>
        <w:ind w:left="4" w:right="1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checkmark if the registrant has elected not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February 24, 2021, Federal Realty Investment Trust (the “Company”) entered into a new Equity Distribution Agreement (the “New Agreement”) with BofA Securities, Inc., Citigroup Global Markets Inc., J.P. Morgan Securities LLC, Wells Fargo Securities, LLC and Jefferies LLC (the “agents”) and the forward purchasers (as defined below), under which an aggregate offering price of up to $500,000,000 of the Company’s common shares of beneficial interest, par value $.01 per share (“Shares”), may be offered to or through the agents, acting as sales agents, principals, or forward sellers. The New Agreement replaces the Company’s existing Equity Distribution Agreements dated May 7, 2018 (the “Prior Agreements”), and no further issuances or sales may be made under the Prior Agreements.</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Sales of Shares, if any, under the New Agreement will be made by the agents, acting as agents for the Company or, if applicable, as forward sellers, in transactions that are deemed to be “at the market” offerings, including sales made directly on the New York Stock Exchange or sales made to or through a market maker other than on an exchange, or in negotiated transactions, which may include block trades. The Company will pay the agents compensation for sales of Shares at a mutually agreed rate that will not exceed, but may be lower than, 2.0% of the gross sales price of the Shares. Under the New Agreement, the Company may also sell Shares to the agents for their own account.</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New Agreement contemplates that, in addition to the issuance and sale by the Company of Shares to or through the agents, the Company may enter into separate forward sale agreements with any agents, or one of their respective affiliates (the “forward purchasers”). If the Company enters into a forward sale agreement with any forward purchaser, the Company expects that such forward purchaser (or its affiliate) will attempt to borrow from third parties and sell, through the relevant agent, acting as sales agent (in such capacity, a forward seller) for such forward purchaser, Shares to hedge such forward purchaser’s exposure under such forward sale agreement. The Company will not initially receive any proceeds from any sale of Shares borrowed by a forward purchaser (or its affiliate) and sold through a forward seller.</w:t>
      </w:r>
    </w:p>
    <w:p>
      <w:pPr>
        <w:spacing w:after="0" w:line="18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The Company currently expects to fully physically settle each forward sale agreement, if any, with the relevant forward purchaser on one or more dates specified by the Company on or prior to the maturity date of such forward sale agreement, although the Company will generally have the right, subject to certain exceptions, to elect cash settlement or net share settlement instead of physical settlement under such forward sale agreement. If the Company elects or is deemed to have elected to physically settle any forward sale agreement, the Company will receive an amount of cash from the relevant forward purchaser equal to the product of (1) the forward price per share under such forward sale agreement and (2) the number of Shares as to which the Company has elected or is deemed to have elected physical settlement, subject to the price adjustment and other provisions of such forward sale agreement. Each forward sale agreement will provide that the forward price will be subject to adjustment on a daily basis based on a floating interest rate factor equal to a specified daily rate less a spread. In addition, the forward price will be subject to decrease on certain dates specified in the relevant forward sale agreement to reflect quarterly dividends the Company expects to declare on its Shares during the term of such forward sale agreement. If the specified daily rate is less than the applicable spread on any day, the interest rate factor will result in a daily reduction of the forward price.</w:t>
      </w:r>
    </w:p>
    <w:p>
      <w:pPr>
        <w:spacing w:after="0" w:line="17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New Agreement is filed as Exhibit 1.1 to this Current Report on Form 8-K and is incorporated herein by reference. A form of the forward sale agreement is included as Exhibit B-1 to the New Agreement. The foregoing description of the material terms of the New Agreement is qualified in its entirety by reference to such exhibits.</w:t>
      </w:r>
    </w:p>
    <w:p>
      <w:pPr>
        <w:sectPr>
          <w:pgSz w:w="11900" w:h="16838" w:orient="portrait"/>
          <w:cols w:equalWidth="0" w:num="1">
            <w:col w:w="11000"/>
          </w:cols>
          <w:pgMar w:left="440" w:top="293" w:right="459" w:bottom="1440" w:gutter="0" w:footer="0" w:header="0"/>
        </w:sectPr>
      </w:pPr>
    </w:p>
    <w:bookmarkStart w:id="2" w:name="page3"/>
    <w:bookmarkEnd w:id="2"/>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ectPr>
          <w:pgSz w:w="11900" w:h="16838" w:orient="portrait"/>
          <w:cols w:equalWidth="0" w:num="1">
            <w:col w:w="10664"/>
          </w:cols>
          <w:pgMar w:left="436" w:top="293" w:right="799" w:bottom="1440" w:gutter="0" w:footer="0" w:header="0"/>
        </w:sectPr>
      </w:pPr>
    </w:p>
    <w:p>
      <w:pPr>
        <w:spacing w:after="0" w:line="246" w:lineRule="exact"/>
        <w:rPr>
          <w:sz w:val="20"/>
          <w:szCs w:val="20"/>
          <w:color w:val="auto"/>
        </w:rPr>
      </w:pPr>
    </w:p>
    <w:p>
      <w:pPr>
        <w:jc w:val="center"/>
        <w:ind w:right="4396"/>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center"/>
        <w:ind w:right="4396"/>
        <w:spacing w:after="0"/>
        <w:rPr>
          <w:sz w:val="20"/>
          <w:szCs w:val="20"/>
          <w:color w:val="auto"/>
        </w:rPr>
      </w:pPr>
      <w:r>
        <w:rPr>
          <w:rFonts w:ascii="Times New Roman" w:cs="Times New Roman" w:eastAsia="Times New Roman" w:hAnsi="Times New Roman"/>
          <w:sz w:val="14"/>
          <w:szCs w:val="14"/>
          <w:b w:val="1"/>
          <w:bCs w:val="1"/>
          <w:u w:val="single" w:color="auto"/>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w:t>
      </w:r>
    </w:p>
    <w:p>
      <w:pPr>
        <w:spacing w:after="0" w:line="115" w:lineRule="exact"/>
        <w:rPr>
          <w:sz w:val="20"/>
          <w:szCs w:val="20"/>
          <w:color w:val="auto"/>
        </w:rPr>
      </w:pPr>
    </w:p>
    <w:p>
      <w:pPr>
        <w:sectPr>
          <w:pgSz w:w="11900" w:h="16838" w:orient="portrait"/>
          <w:cols w:equalWidth="0" w:num="2">
            <w:col w:w="4864" w:space="720"/>
            <w:col w:w="5080"/>
          </w:cols>
          <w:pgMar w:left="436" w:top="293" w:right="799" w:bottom="1440" w:gutter="0" w:footer="0" w:header="0"/>
          <w:type w:val="continuous"/>
        </w:sectPr>
      </w:pPr>
    </w:p>
    <w:p>
      <w:pPr>
        <w:ind w:left="884" w:hanging="786"/>
        <w:spacing w:after="0" w:line="282" w:lineRule="auto"/>
        <w:tabs>
          <w:tab w:leader="none" w:pos="86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1.1</w:t>
      </w:r>
      <w:r>
        <w:rPr>
          <w:sz w:val="20"/>
          <w:szCs w:val="20"/>
          <w:color w:val="auto"/>
        </w:rPr>
        <w:tab/>
      </w:r>
      <w:hyperlink w:anchor="page5">
        <w:r>
          <w:rPr>
            <w:rFonts w:ascii="Times New Roman" w:cs="Times New Roman" w:eastAsia="Times New Roman" w:hAnsi="Times New Roman"/>
            <w:sz w:val="18"/>
            <w:szCs w:val="18"/>
            <w:u w:val="single" w:color="auto"/>
            <w:color w:val="0000EE"/>
          </w:rPr>
          <w:t>Equity Distribution Agreement, dated February 24, 2021 between Federal Realty Investment Trust and the forward purchasers and sales</w:t>
        </w:r>
      </w:hyperlink>
      <w:r>
        <w:rPr>
          <w:rFonts w:ascii="Times New Roman" w:cs="Times New Roman" w:eastAsia="Times New Roman" w:hAnsi="Times New Roman"/>
          <w:sz w:val="18"/>
          <w:szCs w:val="18"/>
          <w:u w:val="single" w:color="auto"/>
          <w:color w:val="0000EE"/>
        </w:rPr>
        <w:t xml:space="preserve"> </w:t>
      </w:r>
      <w:hyperlink w:anchor="page5">
        <w:r>
          <w:rPr>
            <w:rFonts w:ascii="Times New Roman" w:cs="Times New Roman" w:eastAsia="Times New Roman" w:hAnsi="Times New Roman"/>
            <w:sz w:val="18"/>
            <w:szCs w:val="18"/>
            <w:u w:val="single" w:color="auto"/>
            <w:color w:val="0000EE"/>
          </w:rPr>
          <w:t>agents identified therein</w:t>
        </w:r>
      </w:hyperlink>
    </w:p>
    <w:p>
      <w:pPr>
        <w:spacing w:after="0" w:line="54" w:lineRule="exact"/>
        <w:rPr>
          <w:sz w:val="20"/>
          <w:szCs w:val="20"/>
          <w:color w:val="auto"/>
        </w:rPr>
      </w:pPr>
    </w:p>
    <w:p>
      <w:pPr>
        <w:ind w:left="84"/>
        <w:spacing w:after="0"/>
        <w:tabs>
          <w:tab w:leader="none" w:pos="86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1.2</w:t>
      </w:r>
      <w:r>
        <w:rPr>
          <w:sz w:val="20"/>
          <w:szCs w:val="20"/>
          <w:color w:val="auto"/>
        </w:rPr>
        <w:tab/>
      </w:r>
      <w:hyperlink w:anchor="page5">
        <w:r>
          <w:rPr>
            <w:rFonts w:ascii="Times New Roman" w:cs="Times New Roman" w:eastAsia="Times New Roman" w:hAnsi="Times New Roman"/>
            <w:sz w:val="17"/>
            <w:szCs w:val="17"/>
            <w:u w:val="single" w:color="auto"/>
            <w:color w:val="0000EE"/>
          </w:rPr>
          <w:t>Form of Forward Sale Agreement (included as Exhibit B-1 to the Equity Distribution Agreement filed as Exhibit 1.1 hereto)</w:t>
        </w:r>
      </w:hyperlink>
    </w:p>
    <w:p>
      <w:pPr>
        <w:spacing w:after="0" w:line="117" w:lineRule="exact"/>
        <w:rPr>
          <w:sz w:val="20"/>
          <w:szCs w:val="20"/>
          <w:color w:val="auto"/>
        </w:rPr>
      </w:pPr>
    </w:p>
    <w:p>
      <w:pPr>
        <w:ind w:left="84"/>
        <w:spacing w:after="0"/>
        <w:tabs>
          <w:tab w:leader="none" w:pos="86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5.1</w:t>
      </w:r>
      <w:r>
        <w:rPr>
          <w:sz w:val="20"/>
          <w:szCs w:val="20"/>
          <w:color w:val="auto"/>
        </w:rPr>
        <w:tab/>
      </w:r>
      <w:hyperlink w:anchor="page100">
        <w:r>
          <w:rPr>
            <w:rFonts w:ascii="Times New Roman" w:cs="Times New Roman" w:eastAsia="Times New Roman" w:hAnsi="Times New Roman"/>
            <w:sz w:val="17"/>
            <w:szCs w:val="17"/>
            <w:u w:val="single" w:color="auto"/>
            <w:color w:val="0000EE"/>
          </w:rPr>
          <w:t>Opinion of Pillsbury Winthrop Shaw Pittman LLP relating to legality of the Shares</w:t>
        </w:r>
      </w:hyperlink>
    </w:p>
    <w:p>
      <w:pPr>
        <w:spacing w:after="0" w:line="117" w:lineRule="exact"/>
        <w:rPr>
          <w:sz w:val="20"/>
          <w:szCs w:val="20"/>
          <w:color w:val="auto"/>
        </w:rPr>
      </w:pPr>
    </w:p>
    <w:p>
      <w:pPr>
        <w:ind w:left="84"/>
        <w:spacing w:after="0"/>
        <w:tabs>
          <w:tab w:leader="none" w:pos="86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8.1</w:t>
      </w:r>
      <w:r>
        <w:rPr>
          <w:sz w:val="20"/>
          <w:szCs w:val="20"/>
          <w:color w:val="auto"/>
        </w:rPr>
        <w:tab/>
      </w:r>
      <w:hyperlink w:anchor="page101">
        <w:r>
          <w:rPr>
            <w:rFonts w:ascii="Times New Roman" w:cs="Times New Roman" w:eastAsia="Times New Roman" w:hAnsi="Times New Roman"/>
            <w:sz w:val="17"/>
            <w:szCs w:val="17"/>
            <w:u w:val="single" w:color="auto"/>
            <w:color w:val="0000EE"/>
          </w:rPr>
          <w:t>Opinion of Pillsbury Winthrop Shaw Pittman LLP relating to certain tax matters</w:t>
        </w:r>
      </w:hyperlink>
    </w:p>
    <w:p>
      <w:pPr>
        <w:spacing w:after="0" w:line="117" w:lineRule="exact"/>
        <w:rPr>
          <w:sz w:val="20"/>
          <w:szCs w:val="20"/>
          <w:color w:val="auto"/>
        </w:rPr>
      </w:pPr>
    </w:p>
    <w:p>
      <w:pPr>
        <w:ind w:left="4"/>
        <w:spacing w:after="0"/>
        <w:tabs>
          <w:tab w:leader="none" w:pos="864"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color w:val="auto"/>
        </w:rPr>
        <w:t xml:space="preserve">Consents of Pillsbury Winthrop Shaw Pittman LLP (contained in the opinions filed as Exhibits </w:t>
      </w:r>
      <w:hyperlink w:anchor="page100">
        <w:r>
          <w:rPr>
            <w:rFonts w:ascii="Times New Roman" w:cs="Times New Roman" w:eastAsia="Times New Roman" w:hAnsi="Times New Roman"/>
            <w:sz w:val="17"/>
            <w:szCs w:val="17"/>
            <w:u w:val="single" w:color="auto"/>
            <w:color w:val="0000EE"/>
          </w:rPr>
          <w:t>5.1</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and </w:t>
      </w:r>
      <w:hyperlink w:anchor="page101">
        <w:r>
          <w:rPr>
            <w:rFonts w:ascii="Times New Roman" w:cs="Times New Roman" w:eastAsia="Times New Roman" w:hAnsi="Times New Roman"/>
            <w:sz w:val="17"/>
            <w:szCs w:val="17"/>
            <w:u w:val="single" w:color="auto"/>
            <w:color w:val="0000EE"/>
          </w:rPr>
          <w:t>8.1</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hereto)</w:t>
      </w:r>
    </w:p>
    <w:p>
      <w:pPr>
        <w:spacing w:after="0" w:line="117" w:lineRule="exact"/>
        <w:rPr>
          <w:sz w:val="20"/>
          <w:szCs w:val="20"/>
          <w:color w:val="auto"/>
        </w:rPr>
      </w:pPr>
    </w:p>
    <w:p>
      <w:pPr>
        <w:ind w:left="884" w:right="2520" w:hanging="884"/>
        <w:spacing w:after="0" w:line="282" w:lineRule="auto"/>
        <w:tabs>
          <w:tab w:leader="none" w:pos="8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Interactive Data File is embedded within the Inline XBRL document)</w:t>
      </w:r>
    </w:p>
    <w:p>
      <w:pPr>
        <w:sectPr>
          <w:pgSz w:w="11900" w:h="16838" w:orient="portrait"/>
          <w:cols w:equalWidth="0" w:num="1">
            <w:col w:w="10664"/>
          </w:cols>
          <w:pgMar w:left="436" w:top="293" w:right="799" w:bottom="1440" w:gutter="0" w:footer="0" w:header="0"/>
          <w:type w:val="continuous"/>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25" w:lineRule="exact"/>
        <w:rPr>
          <w:sz w:val="20"/>
          <w:szCs w:val="20"/>
          <w:color w:val="auto"/>
        </w:rPr>
      </w:pPr>
    </w:p>
    <w:p>
      <w:pPr>
        <w:spacing w:after="0"/>
        <w:tabs>
          <w:tab w:leader="none" w:pos="5280" w:val="left"/>
          <w:tab w:leader="none" w:pos="5720" w:val="left"/>
        </w:tabs>
        <w:rPr>
          <w:sz w:val="20"/>
          <w:szCs w:val="20"/>
          <w:color w:val="auto"/>
        </w:rPr>
      </w:pPr>
      <w:r>
        <w:rPr>
          <w:rFonts w:ascii="Times New Roman" w:cs="Times New Roman" w:eastAsia="Times New Roman" w:hAnsi="Times New Roman"/>
          <w:sz w:val="18"/>
          <w:szCs w:val="18"/>
          <w:color w:val="auto"/>
        </w:rPr>
        <w:t>Date: February 24, 2021</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17145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Dawn M. Becker</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Executive Vice President-General Counsel and Secretary</w:t>
      </w:r>
    </w:p>
    <w:p>
      <w:pPr>
        <w:sectPr>
          <w:pgSz w:w="11900" w:h="16838" w:orient="portrait"/>
          <w:cols w:equalWidth="0" w:num="1">
            <w:col w:w="10940"/>
          </w:cols>
          <w:pgMar w:left="440" w:top="297" w:right="5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225425</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Shares of Beneficial Interest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EQUITY DISTRIBUTION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222885</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6140" w:type="dxa"/>
            <w:vAlign w:val="bottom"/>
            <w:gridSpan w:val="2"/>
          </w:tcPr>
          <w:p>
            <w:pPr>
              <w:jc w:val="center"/>
              <w:ind w:right="42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1.</w:t>
            </w:r>
          </w:p>
        </w:tc>
        <w:tc>
          <w:tcPr>
            <w:tcW w:w="3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Description of Securities</w:t>
            </w:r>
          </w:p>
        </w:tc>
        <w:tc>
          <w:tcPr>
            <w:tcW w:w="1920" w:type="dxa"/>
            <w:vAlign w:val="bottom"/>
            <w:tcBorders>
              <w:top w:val="single" w:sz="8" w:color="auto"/>
            </w:tcBorders>
            <w:vMerge w:val="restart"/>
          </w:tcPr>
          <w:p>
            <w:pPr>
              <w:spacing w:after="0"/>
              <w:rPr>
                <w:sz w:val="24"/>
                <w:szCs w:val="24"/>
                <w:color w:val="auto"/>
              </w:rPr>
            </w:pPr>
          </w:p>
        </w:tc>
        <w:tc>
          <w:tcPr>
            <w:tcW w:w="4220" w:type="dxa"/>
            <w:vAlign w:val="bottom"/>
            <w:vMerge w:val="restart"/>
          </w:tcPr>
          <w:p>
            <w:pPr>
              <w:spacing w:after="0"/>
              <w:rPr>
                <w:sz w:val="24"/>
                <w:szCs w:val="24"/>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228"/>
        </w:trPr>
        <w:tc>
          <w:tcPr>
            <w:tcW w:w="1100" w:type="dxa"/>
            <w:vAlign w:val="bottom"/>
            <w:vMerge w:val="continue"/>
          </w:tcPr>
          <w:p>
            <w:pPr>
              <w:spacing w:after="0"/>
              <w:rPr>
                <w:sz w:val="19"/>
                <w:szCs w:val="19"/>
                <w:color w:val="auto"/>
              </w:rPr>
            </w:pPr>
          </w:p>
        </w:tc>
        <w:tc>
          <w:tcPr>
            <w:tcW w:w="3440" w:type="dxa"/>
            <w:vAlign w:val="bottom"/>
            <w:vMerge w:val="continue"/>
          </w:tcPr>
          <w:p>
            <w:pPr>
              <w:spacing w:after="0"/>
              <w:rPr>
                <w:sz w:val="19"/>
                <w:szCs w:val="19"/>
                <w:color w:val="auto"/>
              </w:rPr>
            </w:pPr>
          </w:p>
        </w:tc>
        <w:tc>
          <w:tcPr>
            <w:tcW w:w="1920" w:type="dxa"/>
            <w:vAlign w:val="bottom"/>
            <w:tcBorders>
              <w:top w:val="single" w:sz="8" w:color="auto"/>
            </w:tcBorders>
            <w:vMerge w:val="continue"/>
          </w:tcPr>
          <w:p>
            <w:pPr>
              <w:spacing w:after="0"/>
              <w:rPr>
                <w:sz w:val="19"/>
                <w:szCs w:val="19"/>
                <w:color w:val="auto"/>
              </w:rPr>
            </w:pPr>
          </w:p>
        </w:tc>
        <w:tc>
          <w:tcPr>
            <w:tcW w:w="4220" w:type="dxa"/>
            <w:vAlign w:val="bottom"/>
            <w:vMerge w:val="continue"/>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c>
          <w:tcPr>
            <w:tcW w:w="9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Placements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w:t>
            </w:r>
          </w:p>
        </w:tc>
        <w:tc>
          <w:tcPr>
            <w:tcW w:w="9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Sale of Securities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w:t>
            </w:r>
          </w:p>
        </w:tc>
        <w:tc>
          <w:tcPr>
            <w:tcW w:w="9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Suspension of Sales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w:t>
            </w:r>
          </w:p>
        </w:tc>
        <w:tc>
          <w:tcPr>
            <w:tcW w:w="9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w:t>
            </w:r>
          </w:p>
        </w:tc>
        <w:tc>
          <w:tcPr>
            <w:tcW w:w="9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Sale and Delivery; Settlement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w:t>
            </w:r>
          </w:p>
        </w:tc>
        <w:tc>
          <w:tcPr>
            <w:tcW w:w="9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Covenants of the Company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8.</w:t>
            </w:r>
          </w:p>
        </w:tc>
        <w:tc>
          <w:tcPr>
            <w:tcW w:w="9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Payment of Expenses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w:t>
            </w:r>
          </w:p>
        </w:tc>
        <w:tc>
          <w:tcPr>
            <w:tcW w:w="9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Conditions of the Obligations of the Sales Agents and the Forward Sellers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10.</w:t>
            </w:r>
          </w:p>
        </w:tc>
        <w:tc>
          <w:tcPr>
            <w:tcW w:w="9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Indemnification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9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Contribution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9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Representations, Warranties and Agreements to Survive Delivery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13.</w:t>
            </w:r>
          </w:p>
        </w:tc>
        <w:tc>
          <w:tcPr>
            <w:tcW w:w="9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Termination of Agreement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14.</w:t>
            </w:r>
          </w:p>
        </w:tc>
        <w:tc>
          <w:tcPr>
            <w:tcW w:w="9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15.</w:t>
            </w:r>
          </w:p>
        </w:tc>
        <w:tc>
          <w:tcPr>
            <w:tcW w:w="9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Parties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16.</w:t>
            </w:r>
          </w:p>
        </w:tc>
        <w:tc>
          <w:tcPr>
            <w:tcW w:w="9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Adjustments for Stock Splits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17.</w:t>
            </w:r>
          </w:p>
        </w:tc>
        <w:tc>
          <w:tcPr>
            <w:tcW w:w="9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Governing Law and Time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18.</w:t>
            </w:r>
          </w:p>
        </w:tc>
        <w:tc>
          <w:tcPr>
            <w:tcW w:w="9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Counterparts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19.</w:t>
            </w:r>
          </w:p>
        </w:tc>
        <w:tc>
          <w:tcPr>
            <w:tcW w:w="9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Recognition of the U.S. Special Resolution Regimes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w:t>
            </w:r>
          </w:p>
        </w:tc>
        <w:tc>
          <w:tcPr>
            <w:tcW w:w="9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Effect of Headings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9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Definitions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9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Permitted Free Writing Prospectuses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23.</w:t>
            </w:r>
          </w:p>
        </w:tc>
        <w:tc>
          <w:tcPr>
            <w:tcW w:w="9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Absence of Fiduciary Relationship</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365"/>
        </w:trPr>
        <w:tc>
          <w:tcPr>
            <w:tcW w:w="11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140" w:type="dxa"/>
            <w:vAlign w:val="bottom"/>
            <w:gridSpan w:val="2"/>
          </w:tcPr>
          <w:p>
            <w:pPr>
              <w:jc w:val="center"/>
              <w:ind w:right="4220"/>
              <w:spacing w:after="0"/>
              <w:rPr>
                <w:sz w:val="20"/>
                <w:szCs w:val="20"/>
                <w:color w:val="auto"/>
              </w:rPr>
            </w:pPr>
            <w:r>
              <w:rPr>
                <w:rFonts w:ascii="Times New Roman" w:cs="Times New Roman" w:eastAsia="Times New Roman" w:hAnsi="Times New Roman"/>
                <w:sz w:val="18"/>
                <w:szCs w:val="18"/>
                <w:color w:val="auto"/>
                <w:w w:val="93"/>
              </w:rPr>
              <w:t>-i-</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57"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r>
      <w:tr>
        <w:trPr>
          <w:trHeight w:val="237"/>
        </w:trPr>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(Continued)</w:t>
            </w:r>
          </w:p>
        </w:tc>
        <w:tc>
          <w:tcPr>
            <w:tcW w:w="120" w:type="dxa"/>
            <w:vAlign w:val="bottom"/>
          </w:tcPr>
          <w:p>
            <w:pPr>
              <w:spacing w:after="0"/>
              <w:rPr>
                <w:sz w:val="20"/>
                <w:szCs w:val="20"/>
                <w:color w:val="auto"/>
              </w:rPr>
            </w:pPr>
          </w:p>
        </w:tc>
      </w:tr>
      <w:tr>
        <w:trPr>
          <w:trHeight w:val="459"/>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56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Form of Placement Notice</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B-1</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Form of Confirmation</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B-2</w:t>
            </w:r>
          </w:p>
        </w:tc>
        <w:tc>
          <w:tcPr>
            <w:tcW w:w="56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Authorized Individuals for Placement Notices and Acceptances</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Compensation</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D-1</w:t>
            </w:r>
          </w:p>
        </w:tc>
        <w:tc>
          <w:tcPr>
            <w:tcW w:w="56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Form of Opinion of Pillsbury Winthrop Shaw Pittman LLP (Corporate)</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D-2</w:t>
            </w:r>
          </w:p>
        </w:tc>
        <w:tc>
          <w:tcPr>
            <w:tcW w:w="56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Form of Opinion of Pillsbury Winthrop Shaw Pittman LLP (Tax)</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Officer’s Certificate</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56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Permitted Free Writing Prospectuses</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540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019"/>
          </w:cols>
          <w:pgMar w:left="440" w:top="257" w:right="1440"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Federal Realty Investment Trust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 Maryland Real Estate Investment Trust)</w:t>
      </w: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Common Shares of Beneficial Interest</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EQUITY DISTRIBUTION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24, 2021</w:t>
      </w:r>
    </w:p>
    <w:p>
      <w:pPr>
        <w:sectPr>
          <w:pgSz w:w="11900" w:h="16838" w:orient="portrait"/>
          <w:cols w:equalWidth="0" w:num="1">
            <w:col w:w="11020"/>
          </w:cols>
          <w:pgMar w:left="440" w:top="266" w:right="439" w:bottom="1440" w:gutter="0" w:footer="0" w:header="0"/>
        </w:sect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 10036</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 10017</w:t>
      </w:r>
    </w:p>
    <w:p>
      <w:pPr>
        <w:spacing w:after="0" w:line="124"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Citigroup Global Markets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Wells Fargo Securities,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West 33rd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 10001</w:t>
      </w:r>
    </w:p>
    <w:p>
      <w:pPr>
        <w:spacing w:after="0" w:line="123"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ind w:left="5740"/>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New York, New York 10022</w:t>
      </w:r>
    </w:p>
    <w:p>
      <w:pPr>
        <w:spacing w:after="0" w:line="2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Forward Sellers and Sales Agents</w:t>
      </w:r>
    </w:p>
    <w:p>
      <w:pPr>
        <w:sectPr>
          <w:pgSz w:w="11900" w:h="16838" w:orient="portrait"/>
          <w:cols w:equalWidth="0" w:num="1">
            <w:col w:w="11020"/>
          </w:cols>
          <w:pgMar w:left="440" w:top="266" w:right="439" w:bottom="1440" w:gutter="0" w:footer="0" w:header="0"/>
          <w:type w:val="continuous"/>
        </w:sectPr>
      </w:pP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 10036</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JPMorgan Chase Bank, National Association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10179</w:t>
      </w:r>
    </w:p>
    <w:p>
      <w:pPr>
        <w:spacing w:after="0" w:line="112"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 10013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Wells Fargo Bank, National Association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West 33rd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112"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ind w:left="5740"/>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New York, New York 10022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Forward Purchasers</w:t>
      </w:r>
    </w:p>
    <w:p>
      <w:pPr>
        <w:sectPr>
          <w:pgSz w:w="11900" w:h="16838" w:orient="portrait"/>
          <w:cols w:equalWidth="0" w:num="1">
            <w:col w:w="11020"/>
          </w:cols>
          <w:pgMar w:left="440" w:top="266" w:right="43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180" w:firstLine="440"/>
        <w:spacing w:after="0" w:line="255" w:lineRule="auto"/>
        <w:rPr>
          <w:sz w:val="20"/>
          <w:szCs w:val="20"/>
          <w:color w:val="auto"/>
        </w:rPr>
      </w:pPr>
      <w:r>
        <w:rPr>
          <w:rFonts w:ascii="Times New Roman" w:cs="Times New Roman" w:eastAsia="Times New Roman" w:hAnsi="Times New Roman"/>
          <w:sz w:val="18"/>
          <w:szCs w:val="18"/>
          <w:color w:val="auto"/>
        </w:rPr>
        <w:t>Federal Realty Investment Trust, a Maryland real estate investment trust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confirms its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with each of Bank of America, N.A., Citibank, N.A., JPMorgan Chase Bank, National Association, Wells Fargo Bank, National Association and Jefferies LLC (each in its capacity as forward purchaser, a “</w:t>
      </w:r>
      <w:r>
        <w:rPr>
          <w:rFonts w:ascii="Times New Roman" w:cs="Times New Roman" w:eastAsia="Times New Roman" w:hAnsi="Times New Roman"/>
          <w:sz w:val="18"/>
          <w:szCs w:val="18"/>
          <w:u w:val="single" w:color="auto"/>
          <w:color w:val="auto"/>
        </w:rPr>
        <w:t>Forward Purchaser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Forward Purchasers</w:t>
      </w:r>
      <w:r>
        <w:rPr>
          <w:rFonts w:ascii="Times New Roman" w:cs="Times New Roman" w:eastAsia="Times New Roman" w:hAnsi="Times New Roman"/>
          <w:sz w:val="18"/>
          <w:szCs w:val="18"/>
          <w:color w:val="auto"/>
        </w:rPr>
        <w:t>”) and BofA Securities, Inc., Citigroup Global Markets Inc., J.P. Morgan Securities LLC, Wells Fargo Securities, LLC and Jefferies LLC (each in its capacity as agent for the Company and/or principal in connection with the offering and sale of any Issuance Securities (as defined below) hereunder, a “</w:t>
      </w:r>
      <w:r>
        <w:rPr>
          <w:rFonts w:ascii="Times New Roman" w:cs="Times New Roman" w:eastAsia="Times New Roman" w:hAnsi="Times New Roman"/>
          <w:sz w:val="18"/>
          <w:szCs w:val="18"/>
          <w:u w:val="single" w:color="auto"/>
          <w:color w:val="auto"/>
        </w:rPr>
        <w:t>Sales Agent</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Sales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and each in its capacity as agent for the related Forward Purchaser in connection with the offering and sale of any Forward Hedge Securities (as defined below) hereunder, a “</w:t>
      </w:r>
      <w:r>
        <w:rPr>
          <w:rFonts w:ascii="Times New Roman" w:cs="Times New Roman" w:eastAsia="Times New Roman" w:hAnsi="Times New Roman"/>
          <w:sz w:val="18"/>
          <w:szCs w:val="18"/>
          <w:u w:val="single" w:color="auto"/>
          <w:color w:val="auto"/>
        </w:rPr>
        <w:t>Forward Seller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Forward Sellers</w:t>
      </w:r>
      <w:r>
        <w:rPr>
          <w:rFonts w:ascii="Times New Roman" w:cs="Times New Roman" w:eastAsia="Times New Roman" w:hAnsi="Times New Roman"/>
          <w:sz w:val="18"/>
          <w:szCs w:val="18"/>
          <w:color w:val="auto"/>
        </w:rPr>
        <w:t>”) as follows:</w:t>
      </w:r>
    </w:p>
    <w:p>
      <w:pPr>
        <w:spacing w:after="0" w:line="1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type w:val="continuous"/>
        </w:sectPr>
      </w:pPr>
    </w:p>
    <w:bookmarkStart w:id="8" w:name="page9"/>
    <w:bookmarkEnd w:id="8"/>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 </w:t>
      </w:r>
      <w:r>
        <w:rPr>
          <w:rFonts w:ascii="Times New Roman" w:cs="Times New Roman" w:eastAsia="Times New Roman" w:hAnsi="Times New Roman"/>
          <w:sz w:val="18"/>
          <w:szCs w:val="18"/>
          <w:u w:val="single" w:color="auto"/>
          <w:color w:val="auto"/>
        </w:rPr>
        <w:t>Description of Securities</w:t>
      </w:r>
      <w:r>
        <w:rPr>
          <w:rFonts w:ascii="Times New Roman" w:cs="Times New Roman" w:eastAsia="Times New Roman" w:hAnsi="Times New Roman"/>
          <w:sz w:val="18"/>
          <w:szCs w:val="18"/>
          <w:color w:val="auto"/>
        </w:rPr>
        <w:t>. The Company agrees that, from time to time during the term of this Agreement, on the terms and subject to the conditions set forth herein, Securities having an aggregate offering price of up to $500,000,000 (the “</w:t>
      </w:r>
      <w:r>
        <w:rPr>
          <w:rFonts w:ascii="Times New Roman" w:cs="Times New Roman" w:eastAsia="Times New Roman" w:hAnsi="Times New Roman"/>
          <w:sz w:val="18"/>
          <w:szCs w:val="18"/>
          <w:u w:val="single" w:color="auto"/>
          <w:color w:val="auto"/>
        </w:rPr>
        <w:t>Maximum Amount</w:t>
      </w:r>
      <w:r>
        <w:rPr>
          <w:rFonts w:ascii="Times New Roman" w:cs="Times New Roman" w:eastAsia="Times New Roman" w:hAnsi="Times New Roman"/>
          <w:sz w:val="18"/>
          <w:szCs w:val="18"/>
          <w:color w:val="auto"/>
        </w:rPr>
        <w:t>”) may be offered and sold in the manner contemplated by this Agreement. Notwithstanding anything to the contrary contained herein, the parties hereto agree that compliance with the limitations set forth in this Section 1 regarding the aggregate offering price of the Securities offered and sold under this Agreement shall be the sole responsibility of the Company, and the Sales Agents or the Forward Sellers, as applicable, shall have no obligation in connection with such compliance. The offering and sale of the Securities by the Sales Agents and the Forward Sellers will be effected pursuant to the Registration Statement (as defined below) that was filed by the Company and became effective upon filing under Rule 462(e) of the Securities Act of 1933, as amended, and the rules and regulations thereunder (collectively,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although nothing in this Agreement shall be construed as requiring the Company to use the Registration Statement to issue the Securities.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filed, in accordance with the provisions of the Securities Act, with the Securities and Exchange Commission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an automatic shelf registration statement on Form S-3 (File No. 333-224701), including a base prospectus, relating to certain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Securities, to be issued from time to time by the Company, and which incorporates by reference documents that the Company has filed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file in accordance with the provisions of the Securities Exchange Act of 1934, as amended, and the rules and regulations thereunder (collectively,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Company has prepared a prospectus supplement specifically relating to the Securities (the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 prospectus included as part of such registration statement. The Company will furnish to the Sales Agents or the Forward Sellers, as applicable,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by such Sales Agents or such Forward Sellers, as applicable, copies of the prospectus included as part of such registration statement,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supplemented by the Prospectus Supplement, relating to the Securities. Except where the context otherwise requires, such registration statement,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when it became effective, including all documents filed as part thereof or incorporated by reference therein, and including any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contained in a Prospectus (as defined below) subsequently filed with the Commission pursuant to Rule 424(b) under the Securities Act or deemed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part of such registration statement pursuant to Rule 430B (the “</w:t>
      </w:r>
      <w:r>
        <w:rPr>
          <w:rFonts w:ascii="Times New Roman" w:cs="Times New Roman" w:eastAsia="Times New Roman" w:hAnsi="Times New Roman"/>
          <w:sz w:val="18"/>
          <w:szCs w:val="18"/>
          <w:u w:val="single" w:color="auto"/>
          <w:color w:val="auto"/>
        </w:rPr>
        <w:t>Rule 430B Information</w:t>
      </w:r>
      <w:r>
        <w:rPr>
          <w:rFonts w:ascii="Times New Roman" w:cs="Times New Roman" w:eastAsia="Times New Roman" w:hAnsi="Times New Roman"/>
          <w:sz w:val="18"/>
          <w:szCs w:val="18"/>
          <w:color w:val="auto"/>
        </w:rPr>
        <w:t>”) of the Securities Act, is herein called the “</w:t>
      </w:r>
      <w:r>
        <w:rPr>
          <w:rFonts w:ascii="Times New Roman" w:cs="Times New Roman" w:eastAsia="Times New Roman" w:hAnsi="Times New Roman"/>
          <w:sz w:val="18"/>
          <w:szCs w:val="18"/>
          <w:u w:val="single" w:color="auto"/>
          <w:color w:val="auto"/>
        </w:rPr>
        <w:t>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The Registration Statement at the time it originally became effective is herein called the “</w:t>
      </w:r>
      <w:r>
        <w:rPr>
          <w:rFonts w:ascii="Times New Roman" w:cs="Times New Roman" w:eastAsia="Times New Roman" w:hAnsi="Times New Roman"/>
          <w:sz w:val="18"/>
          <w:szCs w:val="18"/>
          <w:u w:val="single" w:color="auto"/>
          <w:color w:val="auto"/>
        </w:rPr>
        <w:t>Original Registration Statement</w:t>
      </w:r>
      <w:r>
        <w:rPr>
          <w:rFonts w:ascii="Times New Roman" w:cs="Times New Roman" w:eastAsia="Times New Roman" w:hAnsi="Times New Roman"/>
          <w:sz w:val="18"/>
          <w:szCs w:val="18"/>
          <w:color w:val="auto"/>
        </w:rPr>
        <w:t>.” The base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including all documents incorporated therein by reference, included in the Registration Statement, as it may be supplemented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Supplement, in the form in which such prospectus and/or Prospectus Supplement have most recently been filed by the Company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pursuant to Rule 424(b) under the Securities Act is herein called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Any reference herein to the Registration Statement,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or any amendment or supplement thereto shall be deemed to refer to and include the documents incorporated by reference therein, and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herein to the terms “amend,” “amendment”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9" w:name="page10"/>
    <w:bookmarkEnd w:id="9"/>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EDGAR.</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Placements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5" w:lineRule="auto"/>
        <w:tabs>
          <w:tab w:leader="none" w:pos="6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time that the Company wishes that Securities be offered and sold hereunder (each, a “</w:t>
      </w:r>
      <w:r>
        <w:rPr>
          <w:rFonts w:ascii="Times New Roman" w:cs="Times New Roman" w:eastAsia="Times New Roman" w:hAnsi="Times New Roman"/>
          <w:sz w:val="18"/>
          <w:szCs w:val="18"/>
          <w:u w:val="single" w:color="auto"/>
          <w:color w:val="auto"/>
        </w:rPr>
        <w:t>Placement</w:t>
      </w:r>
      <w:r>
        <w:rPr>
          <w:rFonts w:ascii="Times New Roman" w:cs="Times New Roman" w:eastAsia="Times New Roman" w:hAnsi="Times New Roman"/>
          <w:sz w:val="18"/>
          <w:szCs w:val="18"/>
          <w:color w:val="auto"/>
        </w:rPr>
        <w:t>”), it will notify the applicable Sales Agent (in the case of an Issuance) or the applicable Forward Seller and the applicable Forward Purchaser (in the case of a Forward), in each case by email (or other method mutually agreed to in writing by the parties), of the same in a notice (a “</w:t>
      </w:r>
      <w:r>
        <w:rPr>
          <w:rFonts w:ascii="Times New Roman" w:cs="Times New Roman" w:eastAsia="Times New Roman" w:hAnsi="Times New Roman"/>
          <w:sz w:val="18"/>
          <w:szCs w:val="18"/>
          <w:u w:val="single" w:color="auto"/>
          <w:color w:val="auto"/>
        </w:rPr>
        <w:t>Placement Notice</w:t>
      </w:r>
      <w:r>
        <w:rPr>
          <w:rFonts w:ascii="Times New Roman" w:cs="Times New Roman" w:eastAsia="Times New Roman" w:hAnsi="Times New Roman"/>
          <w:sz w:val="18"/>
          <w:szCs w:val="18"/>
          <w:color w:val="auto"/>
        </w:rPr>
        <w:t xml:space="preserve">”) in substantially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Placement Notice shall originate from any of the individuals from the Company set forth on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(with a copy to each of the other individuals from the Company listed on such schedule) and shall be addressed to each of the individuals from the applicable Sales Agent or the applicable Forward Seller and the applicable Forward Purchaser set forth on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(any reference to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contained herein shall refer to such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as may be amended from time to time).</w:t>
      </w:r>
    </w:p>
    <w:p>
      <w:pPr>
        <w:spacing w:after="0" w:line="188"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Sales Agent or a Forward Seller and a Forward Purchaser, as applicable, wish to accept such proposed terms included in the Placement Notice (which they may decline to do for any reason in their sole discretion) or, following discussion with the Company, wish to accept amended terms, such Sales Agent or such Forward Seller and such Forward Purchaser, as applicable, will, prior to 4:30 p.m. (New York City Time) on the business day following the business day on which such Placement Notice is delivered to such Sales Agent or such Forward Seller and such Forward Purchaser, as applicable, issue to the Company a notice by email (or other method mutually agreed to in writing by the parties) addressed to all of the individuals from the Company set forth on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setting forth the terms that such Sales Agent or such Forward Seller and such Forward Purchaser, as applicable, are willing to accept. Where the terms provided in the Placement Notice are amended as provided for in the immediately preceding sentence, such terms will not be binding on the Company until the Company delivers to such Sales Agent or such Forward Seller and such Forward Purchaser, as applicable, an acceptance by email (or other method mutually agreed to in writing by the parties) of all of the terms of such Placement Notice, as amended (the “</w:t>
      </w: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xml:space="preserve">”), which email shall originate from any of the individuals from the Company set forth on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(with a copy to each of the other individuals from the Company listed on such exhibit) and shall be addressed to each of the individuals from such Sales Agent or such Forward Seller and such Forward Purchaser, as applicable, set forth on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The Placement Notice (as amended by the corresponding Acceptance, if applicable) shall be effective upon receipt by the Company of such Sales Agent’s or such Forward Seller’s and such Forward Purchaser’s, as applicable, acceptance of the terms of the Placement Notice or upon receipt by such Sales Agent or such Forward Seller and such Forward Purchaser, as applicable, of the Company’s Acceptance (where terms have been amended), as the case may be, unless and until (i) the entire amount of corresponding Securities has been sold, (ii) the Company terminates the Placement Notice by delivering a termination notice by email (or other method mutually agreed to in writing by the parties) expressly indicating that the Company desires to terminate the Placement Notice, which email shall originate from any of the individuals from the Company set forth 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0" w:name="page11"/>
    <w:bookmarkEnd w:id="10"/>
    <w:p>
      <w:pPr>
        <w:ind w:left="4"/>
        <w:spacing w:after="0" w:line="266" w:lineRule="auto"/>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B-2</w:t>
      </w:r>
      <w:r>
        <w:rPr>
          <w:rFonts w:ascii="Times New Roman" w:cs="Times New Roman" w:eastAsia="Times New Roman" w:hAnsi="Times New Roman"/>
          <w:sz w:val="17"/>
          <w:szCs w:val="17"/>
          <w:color w:val="auto"/>
        </w:rPr>
        <w:t xml:space="preserve"> (with a copy to each of the other individuals from the Company listed on such exhibit) and shall be addressed to each of the individuals from such Sales Agent or such Forward Seller and such Forward Purchaser, as applicable, set forth on </w:t>
      </w:r>
      <w:r>
        <w:rPr>
          <w:rFonts w:ascii="Times New Roman" w:cs="Times New Roman" w:eastAsia="Times New Roman" w:hAnsi="Times New Roman"/>
          <w:sz w:val="17"/>
          <w:szCs w:val="17"/>
          <w:u w:val="single" w:color="auto"/>
          <w:color w:val="auto"/>
        </w:rPr>
        <w:t>Exhibit B-2</w:t>
      </w:r>
      <w:r>
        <w:rPr>
          <w:rFonts w:ascii="Times New Roman" w:cs="Times New Roman" w:eastAsia="Times New Roman" w:hAnsi="Times New Roman"/>
          <w:sz w:val="17"/>
          <w:szCs w:val="17"/>
          <w:color w:val="auto"/>
        </w:rPr>
        <w:t xml:space="preserve">, (iii) the Company issues a subsequent Placement Notice with parameters superseding those on the earlier dated Placement Notice, (iv) this Agreement has been terminated under the provisions of Section 13 or (v) any party shall have suspended the sale of the Securities in accordance with Section 4 below. The amount of any commission, discount or other compensation to be paid by the Company to the applicable Sales Agent or Forward Seller in connection with the sale of the Securities shall be calculated in accordance with the terms set forth in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 xml:space="preserve">, unless otherwise agreed to by the applicable parties. With respect to a Placement involving a proposed Issuance, it is expressly acknowledged and agreed that neither the Company nor the Sales Agents will have any obligation whatsoever with respect to such Placement or any related Securities unless and until the Company delivers a Placement Notice to the applicable Sales Agent and either (i) such Sales Agent accepts the terms of such Placement Notice or (ii) where the terms of such Placement Notice are amended, the Company accepts such amended terms by means of an Acceptance pursuant to the terms set forth above, and then only upon the terms specified in the Placement Notice (as amended by the corresponding Acceptance, if applicable) and herein. With respect to a Placement involving a proposed Forward, it is expressly acknowledged and agreed that the Company, the Forward Sellers and the Forward Purchasers will have no obligation whatsoever with respect to such Placement or any related Securities unless and until the Company delivers a Placement Notice to the applicable Forward Seller and the applicable Forward Purchaser, the Company and such Forward Purchaser execute a Confirmation substantially in the form attached hereto as </w:t>
      </w:r>
      <w:r>
        <w:rPr>
          <w:rFonts w:ascii="Times New Roman" w:cs="Times New Roman" w:eastAsia="Times New Roman" w:hAnsi="Times New Roman"/>
          <w:sz w:val="17"/>
          <w:szCs w:val="17"/>
          <w:u w:val="single" w:color="auto"/>
          <w:color w:val="auto"/>
        </w:rPr>
        <w:t>Exhibit B-1</w:t>
      </w:r>
      <w:r>
        <w:rPr>
          <w:rFonts w:ascii="Times New Roman" w:cs="Times New Roman" w:eastAsia="Times New Roman" w:hAnsi="Times New Roman"/>
          <w:sz w:val="17"/>
          <w:szCs w:val="17"/>
          <w:color w:val="auto"/>
        </w:rPr>
        <w:t xml:space="preserve"> related to such Placement and either (a) such Forward Seller and such Forward Purchaser accept the terms of such Placement Notice or</w:t>
      </w:r>
    </w:p>
    <w:p>
      <w:pPr>
        <w:spacing w:after="0" w:line="8" w:lineRule="exact"/>
        <w:rPr>
          <w:sz w:val="20"/>
          <w:szCs w:val="20"/>
          <w:color w:val="auto"/>
        </w:rPr>
      </w:pPr>
    </w:p>
    <w:p>
      <w:pPr>
        <w:ind w:left="4" w:right="20" w:hanging="4"/>
        <w:spacing w:after="0" w:line="253" w:lineRule="auto"/>
        <w:tabs>
          <w:tab w:leader="none" w:pos="2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terms of such Placement Notice are amended, the Company accepts such amended terms by means of an Acceptance pursuant to the terms set forth above, and then only upon the terms specified in the Placement Notice (as amended by the corresponding Acceptance, if applicable), this Agreement and the Confirmation. In the event of a conflict between the terms of this Agreement and the terms of a Placement Notice (as amended by the corresponding Acceptance, if applicable), the terms of the Placement Notice (as amended by the corresponding Acceptance, if applicable) will control.</w:t>
      </w:r>
    </w:p>
    <w:p>
      <w:pPr>
        <w:spacing w:after="0" w:line="186" w:lineRule="exact"/>
        <w:rPr>
          <w:rFonts w:ascii="Times New Roman" w:cs="Times New Roman" w:eastAsia="Times New Roman" w:hAnsi="Times New Roman"/>
          <w:sz w:val="18"/>
          <w:szCs w:val="18"/>
          <w:color w:val="auto"/>
        </w:rPr>
      </w:pPr>
    </w:p>
    <w:p>
      <w:pPr>
        <w:ind w:left="4" w:right="20" w:firstLine="436"/>
        <w:spacing w:after="0" w:line="254" w:lineRule="auto"/>
        <w:tabs>
          <w:tab w:leader="none" w:pos="68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Placement Notice may be delivered hereunder if the Selling Period specified therein would overlap in whole or in part with any Selling Period specified in another Placement Notice (as amended by the corresponding Acceptance, if applicable) delivered hereunder unless the Securities to be sold under such other Placement Notice have all been sold; no Placement Notice may be delivered hereunder if any Selling Period specified therein would overlap in whole or in part with any Unwind Period (as defined in the applicable Confirmation) under any Confirmation entered into between the Company and a Forward Purchaser; and no Placement Notice specifying that it relates to a Forward may be delivered if such Placement Notice, together with all prior Placement Notices (as amended by any applicable Acceptance) delivered by the Company relating to Forwards hereunder, would result in the sum of the number of Confirmation Securities issued and delivered under all Confirmations that have completely settled, plus the sum of the Share Cap (as defined in such Confirmation) under each Confirmation then outstanding or to be entered into, exceeding 19.99% of the number of Common Shares outstanding as of the date of this Agreement.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11" w:name="page12"/>
    <w:bookmarkEnd w:id="11"/>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3. </w:t>
      </w:r>
      <w:r>
        <w:rPr>
          <w:rFonts w:ascii="Times New Roman" w:cs="Times New Roman" w:eastAsia="Times New Roman" w:hAnsi="Times New Roman"/>
          <w:sz w:val="18"/>
          <w:szCs w:val="18"/>
          <w:u w:val="single" w:color="auto"/>
          <w:color w:val="auto"/>
        </w:rPr>
        <w:t>Sale of Securities.</w:t>
      </w:r>
    </w:p>
    <w:p>
      <w:pPr>
        <w:spacing w:after="0" w:line="225" w:lineRule="exact"/>
        <w:rPr>
          <w:sz w:val="20"/>
          <w:szCs w:val="20"/>
          <w:color w:val="auto"/>
        </w:rPr>
      </w:pPr>
    </w:p>
    <w:p>
      <w:pPr>
        <w:ind w:left="-20" w:right="40" w:firstLine="436"/>
        <w:spacing w:after="0" w:line="254" w:lineRule="auto"/>
        <w:tabs>
          <w:tab w:leader="none" w:pos="6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Sections 2(b) and 6(a), each Sales Agent, for the period specified in the applicable Placement Notice (as amended by the corresponding Acceptance, if applicable) for an Issuance, will use its commercially reasonable efforts consistent with its normal trading and sales practices to sell the Issuance Securities up to the amount specified, and otherwise in accordance with the terms of such Placement Notice (as amended by the corresponding Acceptance, if applicable). The Sales Agent will provide written confirmation to the Company no later than the opening of the Trading Day (as defined below) immediately following the Trading Day on which it has made sales of Issuance Securities hereunder setting forth the number of Issuance Securities sold on such day, the compensation payable by the Company to such Sales Agent pursuant to Section 2(b) with respect to such sales, and the Net Proceeds (as defined below) payable to the Company, with an itemization of the deductions made by such Sales Agent (as set forth in Section 6(b)) from the gross proceeds that it receives from such sales.</w:t>
      </w:r>
    </w:p>
    <w:p>
      <w:pPr>
        <w:spacing w:after="0" w:line="191" w:lineRule="exact"/>
        <w:rPr>
          <w:rFonts w:ascii="Times New Roman" w:cs="Times New Roman" w:eastAsia="Times New Roman" w:hAnsi="Times New Roman"/>
          <w:sz w:val="18"/>
          <w:szCs w:val="18"/>
          <w:color w:val="auto"/>
        </w:rPr>
      </w:pPr>
    </w:p>
    <w:p>
      <w:pPr>
        <w:ind w:left="-20" w:firstLine="436"/>
        <w:spacing w:after="0" w:line="255" w:lineRule="auto"/>
        <w:tabs>
          <w:tab w:leader="none" w:pos="6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Sections 2(b) and 6(d) and the applicable Confirmation, each Forward Seller, for the period specified in the Placement Notice (as amended by the corresponding Acceptance, if applicable) for a Forward, will use its commercially reasonable efforts consistent with its normal trading and sales practices to sell Forward Hedge Securities up to the amount specified, and otherwise in accordance with the terms of such Placement Notice (as amended by the corresponding Acceptance, if applicable). The Forward Seller will provide written confirmation to the Company and the Forward Purchaser no later than the opening of the Trading Day immediately following the Trading Day on which it has made sales of Forward Hedge Securities hereunder setting forth the number of Forward Hedge Securities sold on such day, the Forward Hedge Selling Commission in respect of such Forward Hedge Securities and the corresponding Aggregate Sales Price.</w:t>
      </w:r>
    </w:p>
    <w:p>
      <w:pPr>
        <w:spacing w:after="0" w:line="188" w:lineRule="exact"/>
        <w:rPr>
          <w:rFonts w:ascii="Times New Roman" w:cs="Times New Roman" w:eastAsia="Times New Roman" w:hAnsi="Times New Roman"/>
          <w:sz w:val="18"/>
          <w:szCs w:val="18"/>
          <w:color w:val="auto"/>
        </w:rPr>
      </w:pPr>
    </w:p>
    <w:p>
      <w:pPr>
        <w:ind w:left="-20" w:right="60" w:firstLine="436"/>
        <w:spacing w:after="0" w:line="255" w:lineRule="auto"/>
        <w:tabs>
          <w:tab w:leader="none" w:pos="6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Placement Notice (as amended by the corresponding Acceptance, if applicable), the Securities may be offered and sold by any method permitted by law deemed to be an “at the market” offering as defined in Rule 415 of the Securities Act, including without limitation sales made directly on the New York Stock Exchange (the “</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on any other existing trading market for the Common Shares or to or through a market maker. Subject to the terms of the Placement Notice (as amended by the corresponding Acceptance, if applicable), the Sales Agents and the Forward Sellers may also sell Securities by any other method permitted by law, including but not limited to sales in privately negotiated transactions. For the purposes hereof,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on which Common Shares are purchased and sold on the principal market on which the Common Shares are listed or quoted.</w:t>
      </w:r>
    </w:p>
    <w:p>
      <w:pPr>
        <w:spacing w:after="0" w:line="188" w:lineRule="exact"/>
        <w:rPr>
          <w:rFonts w:ascii="Times New Roman" w:cs="Times New Roman" w:eastAsia="Times New Roman" w:hAnsi="Times New Roman"/>
          <w:sz w:val="18"/>
          <w:szCs w:val="18"/>
          <w:color w:val="auto"/>
        </w:rPr>
      </w:pPr>
    </w:p>
    <w:p>
      <w:pPr>
        <w:ind w:left="-20" w:firstLine="436"/>
        <w:spacing w:after="0" w:line="261" w:lineRule="auto"/>
        <w:tabs>
          <w:tab w:leader="none" w:pos="6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(i) there can be no assurance that a Sales Agent or a Forward Seller, as applicable, will be successful in selling Securities, and (ii) a Sales Agent or a Forward Seller, as applicable, will incur no liability or obligation to the Company or any other person or entity if it does not sell Securities for any reason other than a failure by such Sales Agent or such Forward Seller, as applicable, to use its commercially reasonable efforts consistent with its normal trading and sales practices to sell such Securities as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60" w:top="270" w:right="459" w:bottom="1440" w:gutter="0" w:footer="0" w:header="0"/>
        </w:sectPr>
      </w:pPr>
    </w:p>
    <w:bookmarkStart w:id="12" w:name="page13"/>
    <w:bookmarkEnd w:id="12"/>
    <w:p>
      <w:pPr>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required under this Section 3. The Company agrees that any offer to sell, any solicitation of an offer to buy, or any sales of Securities pursuant to this Agreement shall be effected by or through only one Sales Agent or Forward Seller on any single given day, and the Company shall in no event request that a Sales Agent and a Forward Seller sell Securities on the same day.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Suspension of Sales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4" w:lineRule="auto"/>
        <w:tabs>
          <w:tab w:leader="none" w:pos="6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and pursuant to the terms of each Confirmation, in the event that in the commercially reasonable judgment of a Forward Purchaser, it or its affiliate (i) is unable to hedge in a commercially reasonable manner its exposure under such Forward because insufficient Common Shares are made available for borrowing by securities lenders or (ii) would incur a cost to borrow (or to maintain a borrow of) Common Shares to hedge in a commercially reasonable manner its exposure under such Forward that is greater than a rate specified in such Confirmation, then such Forward Seller shall be obligated to use commercially reasonable efforts to sell only the aggregate number of Forward Hedge Securities that a Forward Purchaser or its affiliate is able to borrow at or below such cost. For the avoidance of doubt, the obligations of a Forward Seller hereunder with respect to the offer and sale of any Forward Hedge Securities in connection with a Forward shall be subject to the related Confirmation being effective and not having been terminated.</w:t>
      </w:r>
    </w:p>
    <w:p>
      <w:pPr>
        <w:spacing w:after="0" w:line="191" w:lineRule="exact"/>
        <w:rPr>
          <w:rFonts w:ascii="Times New Roman" w:cs="Times New Roman" w:eastAsia="Times New Roman" w:hAnsi="Times New Roman"/>
          <w:sz w:val="18"/>
          <w:szCs w:val="18"/>
          <w:color w:val="auto"/>
        </w:rPr>
      </w:pPr>
    </w:p>
    <w:p>
      <w:pPr>
        <w:ind w:right="40" w:firstLine="436"/>
        <w:spacing w:after="0" w:line="254" w:lineRule="auto"/>
        <w:tabs>
          <w:tab w:leader="none" w:pos="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 Sales Agent, a Forward Seller and a Forward Purchaser may, upon notice to the other applicable parties in writing (including by email correspondence to each of the individuals of the other party set forth on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if receipt of such correspondence is actually acknowledged by any of the individuals to whom the notice is sent, other than via auto-reply) or by telephone (confirmed immediately by email correspondence to each of the individuals of the other party set forth on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suspend any future sale of Securities. Each of the parties agrees that no such notice under this Section 4 shall be effective against the other applicable parties unless it is made to one of the individuals (or to each of the individuals, if notice is made by email correspondence) named on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hereto, as such Exhibit may be amended from time to time, and (i) receipt is actually acknowledged, other than via auto-reply, by any of the individuals to whom the notice is sent if made by email correspondence or (ii) notice is confirmed promptly by email correspondence to each of the individuals of the other applicable parties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if notice is made by telephone. Each party shall acknowledge any notice received pursuant to this Section 4 as promptly as possible.</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180" w:firstLine="436"/>
        <w:spacing w:after="0" w:line="267" w:lineRule="auto"/>
        <w:tabs>
          <w:tab w:leader="none" w:pos="6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Representations and Warranties by the Company. </w:t>
      </w:r>
      <w:r>
        <w:rPr>
          <w:rFonts w:ascii="Times New Roman" w:cs="Times New Roman" w:eastAsia="Times New Roman" w:hAnsi="Times New Roman"/>
          <w:sz w:val="18"/>
          <w:szCs w:val="18"/>
          <w:color w:val="auto"/>
        </w:rPr>
        <w:t>The Company represents and warrants to the Sales Agents, the Forward Sellers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Forward Purchasers as of the date hereof and as of each Representation Date (as defined below), as of each Applicable Time (as defined below) and as of each Settlement Date (as defined below), and agrees with the Sales Agents, the Forward Sellers and the Forward Purchasers as follows:</w:t>
      </w:r>
    </w:p>
    <w:p>
      <w:pPr>
        <w:spacing w:after="0" w:line="67" w:lineRule="exact"/>
        <w:rPr>
          <w:rFonts w:ascii="Times New Roman" w:cs="Times New Roman" w:eastAsia="Times New Roman" w:hAnsi="Times New Roman"/>
          <w:sz w:val="18"/>
          <w:szCs w:val="18"/>
          <w:color w:val="auto"/>
        </w:rPr>
      </w:pPr>
    </w:p>
    <w:p>
      <w:pPr>
        <w:ind w:left="440" w:right="500" w:firstLine="419"/>
        <w:spacing w:after="0" w:line="282" w:lineRule="auto"/>
        <w:tabs>
          <w:tab w:leader="none" w:pos="111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as a Well-Known Seasoned Issuer; Registration Statement Effective; Conform to Securities Act; No Misleading Statements; Conformity with</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13" w:name="page14"/>
    <w:bookmarkEnd w:id="13"/>
    <w:p>
      <w:pPr>
        <w:spacing w:after="0" w:line="25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EDGAR filings</w:t>
      </w:r>
      <w:r>
        <w:rPr>
          <w:rFonts w:ascii="Times New Roman" w:cs="Times New Roman" w:eastAsia="Times New Roman" w:hAnsi="Times New Roman"/>
          <w:sz w:val="18"/>
          <w:szCs w:val="18"/>
          <w:color w:val="auto"/>
        </w:rPr>
        <w:t>. (A) At the time of filing the Original Registration Statement, (B) at the time of the most recent amendment thereto for the purposes of complying with Section 10(a)(3) of the Securities Act (whether such amendment was by post-effective amendment, incorporated report filed pursuant to Section 13 or 15(d) of the Exchange Act or form of prospectus), (C) at the time the Company or any person acting on its behalf (within the meaning, for this clause only, of Rule 163(c) of the Securities Act) made any offer relating to the Securities in reliance on the exemption of Rule 163 of the Securities Act, (D) at the earliest time that the Company or another offering participant made a bona fide offer (within the meaning of Rule 164(h)(2) under the Securities Act) of the Securities and (E) at the date hereof, the Company was, is and will be a “well-known seasoned issuer” as defined in Rule 405 under the Securities Act, including not having been and not being an “ineligible issuer,” as defined in Rule 405. The Registration Statement is an “automatic shelf registration statement,” as defined in Rule 405, and the Securities, since their registration on the Registration Statement, have been and remain eligible for registration by the Company on a Rule 405 “automatic shelf registration statement.” The Company has not received from the Commission any notice pursuant to Rule 401(g)(2) under the Securities Act objecting to the use of the automatic shelf registration statement form. The Company has paid, or if the Prospectus Supplement has not yet been filed with the Commission will pay, the required Commission filing fees relating to the Securities within the time required by Rule 456(b)(1)(i) of the Securities Act without regard to the proviso therein and otherwise in accordance with Rules 456(b) and 457(r) of the Securities Act (including, if applicable, by updating the “Calculation of Registration Fee” table in accordance with Rule 456(b)(1)(ii) either in a post-effective amendment to the Registration Statement or on the cover page of the Prospectus).</w:t>
      </w:r>
    </w:p>
    <w:p>
      <w:pPr>
        <w:spacing w:after="0" w:line="88" w:lineRule="exact"/>
        <w:rPr>
          <w:sz w:val="20"/>
          <w:szCs w:val="20"/>
          <w:color w:val="auto"/>
        </w:rPr>
      </w:pPr>
    </w:p>
    <w:p>
      <w:pPr>
        <w:ind w:right="120" w:firstLine="423"/>
        <w:spacing w:after="0" w:line="261" w:lineRule="auto"/>
        <w:rPr>
          <w:sz w:val="20"/>
          <w:szCs w:val="20"/>
          <w:color w:val="auto"/>
        </w:rPr>
      </w:pPr>
      <w:r>
        <w:rPr>
          <w:rFonts w:ascii="Times New Roman" w:cs="Times New Roman" w:eastAsia="Times New Roman" w:hAnsi="Times New Roman"/>
          <w:sz w:val="18"/>
          <w:szCs w:val="18"/>
          <w:color w:val="auto"/>
        </w:rPr>
        <w:t>The Original Registration Statement became effective upon filing under Rule 462(e) on May 7, 2018, and any post-effective amendment thereto also became effective upon filing under Rule 462(e). No stop order suspending the effectiveness of the Registration Statement has been issued under the Securities Act and no proceedings for that purpose have been instituted or are pending or, to the knowledge of the Company, are contemplated by the Commission, and any request on the part of the Commission for additional information has been complied with.</w:t>
      </w:r>
    </w:p>
    <w:p>
      <w:pPr>
        <w:spacing w:after="0" w:line="72" w:lineRule="exact"/>
        <w:rPr>
          <w:sz w:val="20"/>
          <w:szCs w:val="20"/>
          <w:color w:val="auto"/>
        </w:rPr>
      </w:pPr>
    </w:p>
    <w:p>
      <w:pPr>
        <w:ind w:firstLine="423"/>
        <w:spacing w:after="0" w:line="258" w:lineRule="auto"/>
        <w:rPr>
          <w:sz w:val="20"/>
          <w:szCs w:val="20"/>
          <w:color w:val="auto"/>
        </w:rPr>
      </w:pPr>
      <w:r>
        <w:rPr>
          <w:rFonts w:ascii="Times New Roman" w:cs="Times New Roman" w:eastAsia="Times New Roman" w:hAnsi="Times New Roman"/>
          <w:sz w:val="18"/>
          <w:szCs w:val="18"/>
          <w:color w:val="auto"/>
        </w:rPr>
        <w:t>At the respective times the Original Registration Statement and any amendment thereto became effective, at each deemed effective date with respect to a Sales Agent or a Forward Seller and a Forward Purchaser and the Securities pursuant to Rule 430B(f)(2) under the Securities Act, and at each relevant Settlement Date, the Registration Statement complied, complies and will comply in all material respects with the requirements of the Securities Act, and did not and will not contain an untrue statement of a material fact or omit to state a material fact required to be stated therein or necessary to make the statements therein not misleading.</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70" w:right="459" w:bottom="1440" w:gutter="0" w:footer="0" w:header="0"/>
        </w:sectPr>
      </w:pPr>
    </w:p>
    <w:bookmarkStart w:id="14" w:name="page15"/>
    <w:bookmarkEnd w:id="14"/>
    <w:p>
      <w:pPr>
        <w:ind w:firstLine="423"/>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Prospectus and each amendment or supplement thereto, if any, at the time the Prospectus or any such amendment or supplement is issued and at each relevant Settlement Date, complied, complies and will comply, in all material respects with the requirements of the Securities Act, and neither the Prospectus nor any amendments or supplements thereto, at the time the Prospectus or any such amendment or supplement was issued, or at any Settlement Date, included, includes or will include an untrue statement of a material fact or omitted or will omit to state a material fact necessary in order to make the statements therein, in the light of the circumstances under which they were made, not misleading.</w:t>
      </w:r>
    </w:p>
    <w:p>
      <w:pPr>
        <w:spacing w:after="0" w:line="75" w:lineRule="exact"/>
        <w:rPr>
          <w:sz w:val="20"/>
          <w:szCs w:val="20"/>
          <w:color w:val="auto"/>
        </w:rPr>
      </w:pPr>
    </w:p>
    <w:p>
      <w:pPr>
        <w:ind w:right="500" w:firstLine="423"/>
        <w:spacing w:after="0" w:line="258" w:lineRule="auto"/>
        <w:rPr>
          <w:sz w:val="20"/>
          <w:szCs w:val="20"/>
          <w:color w:val="auto"/>
        </w:rPr>
      </w:pPr>
      <w:r>
        <w:rPr>
          <w:rFonts w:ascii="Times New Roman" w:cs="Times New Roman" w:eastAsia="Times New Roman" w:hAnsi="Times New Roman"/>
          <w:sz w:val="18"/>
          <w:szCs w:val="18"/>
          <w:color w:val="auto"/>
        </w:rPr>
        <w:t>Each preliminary prospectus (including the base prospectus or prospectuses filed as part of the Original Registration Statement or any amendment thereto) complied when so filed in all material respects with the Securities Act. Each preliminary prospectus and the Prospectus delivered to the Sales Agents, the Forward Sellers and the Forward Purchasers for use in connection with the offering of any Securities was identical to the electronically transmitted copies thereof filed with the Commission pursuant to EDGAR, except to the extent permitted by Regulation S-T.</w:t>
      </w:r>
    </w:p>
    <w:p>
      <w:pPr>
        <w:spacing w:after="0" w:line="75" w:lineRule="exact"/>
        <w:rPr>
          <w:sz w:val="20"/>
          <w:szCs w:val="20"/>
          <w:color w:val="auto"/>
        </w:rPr>
      </w:pPr>
    </w:p>
    <w:p>
      <w:pPr>
        <w:ind w:right="20" w:firstLine="423"/>
        <w:spacing w:after="0" w:line="255" w:lineRule="auto"/>
        <w:rPr>
          <w:sz w:val="20"/>
          <w:szCs w:val="20"/>
          <w:color w:val="auto"/>
        </w:rPr>
      </w:pPr>
      <w:r>
        <w:rPr>
          <w:rFonts w:ascii="Times New Roman" w:cs="Times New Roman" w:eastAsia="Times New Roman" w:hAnsi="Times New Roman"/>
          <w:sz w:val="18"/>
          <w:szCs w:val="18"/>
          <w:color w:val="auto"/>
        </w:rPr>
        <w:t>Each Issuer Free Writing Prospectus, as of its issue date and as of the relevant Applicable Time and Settlement Date, or until any earlier date that the Company notified or notifies the Sales Agents or the Forward Sellers and the Forward Purchasers as described in Section 7(d), did not, does not and will not (i) include any information that conflicted, conflicts or will conflict with the information contained in the Registration Statement or the Prospectus, including any document incorporated by reference therein and any preliminary or other prospectus deemed to be a part thereof that has not been superseded or modified or (ii) when taken together with the Prospectus, include an untrue statement of any material fact or omit to state a material fact necessary in order to make the statements therein, in the light of the circumstances under which they were made, not misleading.</w:t>
      </w:r>
    </w:p>
    <w:p>
      <w:pPr>
        <w:spacing w:after="0" w:line="81" w:lineRule="exact"/>
        <w:rPr>
          <w:sz w:val="20"/>
          <w:szCs w:val="20"/>
          <w:color w:val="auto"/>
        </w:rPr>
      </w:pPr>
    </w:p>
    <w:p>
      <w:pPr>
        <w:jc w:val="both"/>
        <w:ind w:right="200" w:firstLine="423"/>
        <w:spacing w:after="0" w:line="261" w:lineRule="auto"/>
        <w:rPr>
          <w:sz w:val="20"/>
          <w:szCs w:val="20"/>
          <w:color w:val="auto"/>
        </w:rPr>
      </w:pPr>
      <w:r>
        <w:rPr>
          <w:rFonts w:ascii="Times New Roman" w:cs="Times New Roman" w:eastAsia="Times New Roman" w:hAnsi="Times New Roman"/>
          <w:sz w:val="18"/>
          <w:szCs w:val="18"/>
          <w:color w:val="auto"/>
        </w:rPr>
        <w:t>The representations and warranties in this Section 5(a)(1) shall not apply to statements in or omissions from the Registration Statement or any post-effective amendment thereto, the Prospectus or any amendments or supplements thereto or any Issuer Free Writing Prospectus made in reliance upon and in conformity with information furnished to the Company in writing by the Sales Agents or the Forward Sellers expressly for use therein.</w:t>
      </w:r>
    </w:p>
    <w:p>
      <w:pPr>
        <w:spacing w:after="0" w:line="72" w:lineRule="exact"/>
        <w:rPr>
          <w:sz w:val="20"/>
          <w:szCs w:val="20"/>
          <w:color w:val="auto"/>
        </w:rPr>
      </w:pPr>
    </w:p>
    <w:p>
      <w:pPr>
        <w:ind w:right="60" w:firstLine="419"/>
        <w:spacing w:after="0" w:line="289" w:lineRule="auto"/>
        <w:tabs>
          <w:tab w:leader="none" w:pos="678"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Incorporated Documents</w:t>
      </w:r>
      <w:r>
        <w:rPr>
          <w:rFonts w:ascii="Times New Roman" w:cs="Times New Roman" w:eastAsia="Times New Roman" w:hAnsi="Times New Roman"/>
          <w:sz w:val="17"/>
          <w:szCs w:val="17"/>
          <w:color w:val="auto"/>
        </w:rPr>
        <w:t>. The documents incorporated by reference in the Registration Statement and the Prospectus, when they became effective or at the time they were or hereafter are filed with the Commission, as the case may be, conformed or will conform in all material respects to the requirements of the Securities Act or the Exchange Act, as applicable, and the rules and regulations of the Commission thereunder.</w:t>
      </w:r>
    </w:p>
    <w:p>
      <w:pPr>
        <w:spacing w:after="0" w:line="49" w:lineRule="exact"/>
        <w:rPr>
          <w:rFonts w:ascii="Times New Roman" w:cs="Times New Roman" w:eastAsia="Times New Roman" w:hAnsi="Times New Roman"/>
          <w:sz w:val="17"/>
          <w:szCs w:val="17"/>
          <w:color w:val="auto"/>
        </w:rPr>
      </w:pPr>
    </w:p>
    <w:p>
      <w:pPr>
        <w:ind w:right="100" w:firstLine="419"/>
        <w:spacing w:after="0" w:line="261" w:lineRule="auto"/>
        <w:tabs>
          <w:tab w:leader="none" w:pos="6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Standing of the Company and Significant Subsidiaries</w:t>
      </w:r>
      <w:r>
        <w:rPr>
          <w:rFonts w:ascii="Times New Roman" w:cs="Times New Roman" w:eastAsia="Times New Roman" w:hAnsi="Times New Roman"/>
          <w:sz w:val="18"/>
          <w:szCs w:val="18"/>
          <w:color w:val="auto"/>
        </w:rPr>
        <w:t>. The Company has been duly organized and is validly existing and in good standing as a real estate investment trust (“</w:t>
      </w:r>
      <w:r>
        <w:rPr>
          <w:rFonts w:ascii="Times New Roman" w:cs="Times New Roman" w:eastAsia="Times New Roman" w:hAnsi="Times New Roman"/>
          <w:sz w:val="18"/>
          <w:szCs w:val="18"/>
          <w:u w:val="single" w:color="auto"/>
          <w:color w:val="auto"/>
        </w:rPr>
        <w:t>REIT</w:t>
      </w:r>
      <w:r>
        <w:rPr>
          <w:rFonts w:ascii="Times New Roman" w:cs="Times New Roman" w:eastAsia="Times New Roman" w:hAnsi="Times New Roman"/>
          <w:sz w:val="18"/>
          <w:szCs w:val="18"/>
          <w:color w:val="auto"/>
        </w:rPr>
        <w:t>”) under the laws of the State of Maryland, with full power and authority to own, lease and operate its properties and conduct its business as described in the Registration Statement and the Prospectus; each “significant subsidiary” of the Company (as such term is defined in Rule 1-02 of Regulation S-X) (each, a</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70" w:right="459" w:bottom="1440" w:gutter="0" w:footer="0" w:header="0"/>
        </w:sectPr>
      </w:pPr>
    </w:p>
    <w:bookmarkStart w:id="15" w:name="page16"/>
    <w:bookmarkEnd w:id="15"/>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has been duly organized and is validly existing as a corporation, partnership, limited liability company, trust or joint venture, as the case may be, in good standing under the laws of the jurisdiction of its organization (except for joint ventures, which have no good standing certificate requirements), with full power and authority to own, lease and operate its properties and conduct its business as described in the Registration Statement and the Prospectus, except where the failure to be in good standing would not have a material adverse effect on the condition, financial or otherwise, or on the earnings, business affairs or business prospects of the Company and its subsidiaries, considered as one enterprise; all of the equity interests in the Subsidiaries are owned directly or indirectly by the Company, free and clear of all pledges, liens, encumbrances, claims, security interests and defects; all of the issued and outstanding stock of each Subsidiary that is a corporation has been duly authorized and validly issued and is fully paid and non-assessable; no options, warrants or other rights to convert any obligations into partnership or other ownership interests in any Subsidiary are outstanding other than contractual rights existing on the date hereof by the current and former holders of partnership or other interests in certain of the “DownREIT” and other subsidiaries, which may result in the issuance of Common Shares of the Company; and the Company and the Subsidiaries are duly qualified to transact business in all jurisdictions in which the Company and the Subsidiaries are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and its subsidiaries, considered as one enterprise.</w:t>
      </w:r>
    </w:p>
    <w:p>
      <w:pPr>
        <w:spacing w:after="0" w:line="89" w:lineRule="exact"/>
        <w:rPr>
          <w:sz w:val="20"/>
          <w:szCs w:val="20"/>
          <w:color w:val="auto"/>
        </w:rPr>
      </w:pPr>
    </w:p>
    <w:p>
      <w:pPr>
        <w:ind w:firstLine="419"/>
        <w:spacing w:after="0" w:line="253" w:lineRule="auto"/>
        <w:tabs>
          <w:tab w:leader="none" w:pos="6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The Company and its subsidiaries, considered as one enterprise, have not, since the date of the latest audited financial statements included or incorporated by reference in the Registration Statement and the Prospectus, sustained any material loss or interference with its business from fire, explosion, flood or other calamity, whether or not covered by insurance, or from any labor dispute or court or governmental action, order or decree, otherwise than as set forth or contemplated in the Registration Statement and the Prospectus; and, since the date as of which information is given in the Prospectus, there has not been any change in the authorized, issued or outstanding capital shares of the Company (except for subsequent issuances, if any, of Common Shares pursuant to (i) the terms of this Agreement, (ii) conversion of any of the Company’s Preferred Shares outstanding as of the date hereof or Preferred Shares issued subsequent to the date hereof and disclosed in a report filed pursuant to the Exchange Act (excluding Current Reports of Form 8-K responsive to Item 2.02 or Item 7.01 of such form), (iii) the Company’s Dividend Reinvestment and Share Purchase Plan as in effect on the date hereof or established subsequent to the date hereof and disclosed in a report filed pursuant to the Exchange Act (excluding Current Reports of Form 8-K responsive to Item 2.02 or Item 7.01 of such form), (iv) any of the Company’s employee or trustee benefits plans or employee inducement awards, including upon exercise of share options granted pursuant thereto, as such plans are in effect on the date hereof or consistent with past practice, (v) the exercise of contractual rights existing on the date hereof by the current and former holders of partnership or</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80" w:top="270" w:right="459" w:bottom="1440" w:gutter="0" w:footer="0" w:header="0"/>
        </w:sectPr>
      </w:pPr>
    </w:p>
    <w:bookmarkStart w:id="16" w:name="page17"/>
    <w:bookmarkEnd w:id="1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other interests in certain of the “DownREIT” and other subsidiaries which may result in the issuance of Common Shares of the Company or</w:t>
      </w:r>
    </w:p>
    <w:p>
      <w:pPr>
        <w:spacing w:after="0" w:line="27" w:lineRule="exact"/>
        <w:rPr>
          <w:sz w:val="20"/>
          <w:szCs w:val="20"/>
          <w:color w:val="auto"/>
        </w:rPr>
      </w:pPr>
    </w:p>
    <w:p>
      <w:pPr>
        <w:ind w:left="4" w:hanging="4"/>
        <w:spacing w:after="0" w:line="253" w:lineRule="auto"/>
        <w:tabs>
          <w:tab w:leader="none" w:pos="30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non-material acquisition, merger or purchase of assets) or any material increase in the consolidated long-term debt of the Company or any material adverse change, or any development involving a prospective material adverse change, in or affecting the general affairs, management, financial position, shareholders’ equity or results of operations of the Company and its subsidiaries taken as a whole, otherwise than as set forth or contemplated in the Prospectus.</w:t>
      </w:r>
    </w:p>
    <w:p>
      <w:pPr>
        <w:spacing w:after="0" w:line="80" w:lineRule="exact"/>
        <w:rPr>
          <w:rFonts w:ascii="Times New Roman" w:cs="Times New Roman" w:eastAsia="Times New Roman" w:hAnsi="Times New Roman"/>
          <w:sz w:val="18"/>
          <w:szCs w:val="18"/>
          <w:color w:val="auto"/>
        </w:rPr>
      </w:pPr>
    </w:p>
    <w:p>
      <w:pPr>
        <w:ind w:left="4" w:right="120" w:firstLine="419"/>
        <w:spacing w:after="0" w:line="258" w:lineRule="auto"/>
        <w:tabs>
          <w:tab w:leader="none" w:pos="68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Company has an authorized capitalization as set forth in the Company’s consolidated balance sheet as of the latest financial statements, audited or unaudited, as applicable, included or incorporated by reference in the Registration Statement and the Prospectus; all of the issued capital shares of the Company have been duly and validly authorized and issued and are fully paid and non-assessable, and none of the outstanding capital shares of the Company were issued in violation of any preemptive or other similar rights of any securityholder of the Company.</w:t>
      </w:r>
    </w:p>
    <w:p>
      <w:pPr>
        <w:spacing w:after="0" w:line="75" w:lineRule="exact"/>
        <w:rPr>
          <w:rFonts w:ascii="Times New Roman" w:cs="Times New Roman" w:eastAsia="Times New Roman" w:hAnsi="Times New Roman"/>
          <w:sz w:val="18"/>
          <w:szCs w:val="18"/>
          <w:color w:val="auto"/>
        </w:rPr>
      </w:pPr>
    </w:p>
    <w:p>
      <w:pPr>
        <w:jc w:val="both"/>
        <w:ind w:left="4" w:right="80" w:firstLine="419"/>
        <w:spacing w:after="0" w:line="289" w:lineRule="auto"/>
        <w:tabs>
          <w:tab w:leader="none" w:pos="681"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Authorization of Agreement and Confirmations</w:t>
      </w:r>
      <w:r>
        <w:rPr>
          <w:rFonts w:ascii="Times New Roman" w:cs="Times New Roman" w:eastAsia="Times New Roman" w:hAnsi="Times New Roman"/>
          <w:sz w:val="17"/>
          <w:szCs w:val="17"/>
          <w:color w:val="auto"/>
        </w:rPr>
        <w:t>. The Company has full right, power and authority under its organizational documents to enter into this Agreement and any Confirmation. This Agreement has been duly and validly authorized, executed and delivered by the Company. Prior to the sale of any Forward Hedge Securities, the related Confirmation will be duly authorized, executed and delivered by the Company.</w:t>
      </w:r>
    </w:p>
    <w:p>
      <w:pPr>
        <w:spacing w:after="0" w:line="49" w:lineRule="exact"/>
        <w:rPr>
          <w:rFonts w:ascii="Times New Roman" w:cs="Times New Roman" w:eastAsia="Times New Roman" w:hAnsi="Times New Roman"/>
          <w:sz w:val="17"/>
          <w:szCs w:val="17"/>
          <w:color w:val="auto"/>
        </w:rPr>
      </w:pPr>
    </w:p>
    <w:p>
      <w:pPr>
        <w:ind w:left="4" w:right="100" w:firstLine="419"/>
        <w:spacing w:after="0" w:line="254" w:lineRule="auto"/>
        <w:tabs>
          <w:tab w:leader="none" w:pos="68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and Description of Securities</w:t>
      </w:r>
      <w:r>
        <w:rPr>
          <w:rFonts w:ascii="Times New Roman" w:cs="Times New Roman" w:eastAsia="Times New Roman" w:hAnsi="Times New Roman"/>
          <w:sz w:val="18"/>
          <w:szCs w:val="18"/>
          <w:color w:val="auto"/>
        </w:rPr>
        <w:t>. The Securities have been duly and validly authorized by the Company, and, when such Securities are issued and delivered pursuant to this Agreement, such Securities will be duly and validly issued and fully paid and non-assessable; and the issuance and sale of the Securities is not subject to any preemptive, co-sale right, right of first refusal or other similar rights arising under applicable law, under the Charter or bylaws or similar organizational documents of the Company or under any agreement to which the Company or any Subsidiary is a party or otherwise. The Securities conform in all material respects to all statements related thereto contained in the Registration Statement and the Prospectus as amended or supplemented with respect to such Securities and such description conforms in all material respects to the rights set forth in the instruments defining the same; except as set forth under the caption “Description of Shares of Beneficial Interest—Certain Provisions of Maryland Law and our Declaration of Trust and Bylaws—Shareholder Liability and Indemnification” in the Prospectus, no holder of the Securities is or will be subject to personal liability by reason of being such a holder.</w:t>
      </w:r>
    </w:p>
    <w:p>
      <w:pPr>
        <w:spacing w:after="0" w:line="80" w:lineRule="exact"/>
        <w:rPr>
          <w:rFonts w:ascii="Times New Roman" w:cs="Times New Roman" w:eastAsia="Times New Roman" w:hAnsi="Times New Roman"/>
          <w:sz w:val="18"/>
          <w:szCs w:val="18"/>
          <w:color w:val="auto"/>
        </w:rPr>
      </w:pPr>
    </w:p>
    <w:p>
      <w:pPr>
        <w:ind w:left="4" w:right="40" w:firstLine="419"/>
        <w:spacing w:after="0" w:line="261" w:lineRule="auto"/>
        <w:tabs>
          <w:tab w:leader="none" w:pos="68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and Description of Confirmation Securities</w:t>
      </w:r>
      <w:r>
        <w:rPr>
          <w:rFonts w:ascii="Times New Roman" w:cs="Times New Roman" w:eastAsia="Times New Roman" w:hAnsi="Times New Roman"/>
          <w:sz w:val="18"/>
          <w:szCs w:val="18"/>
          <w:color w:val="auto"/>
        </w:rPr>
        <w:t>. A number of Common Shares equal to the sum of the Share Cap of each outstanding Confirmation has been duly authorized, has been reserved for issuance for the purpose of settlement of such Confirmation and will be kept available at all times, free from preemptive or similar rights and free from any lien, charge, claim or other encumbrance until settlement of such Confirmation. With respect to each Confirmation, when issued, sold and/or delivered by</w:t>
      </w:r>
    </w:p>
    <w:p>
      <w:pPr>
        <w:spacing w:after="0" w:line="112"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44"/>
          </w:cols>
          <w:pgMar w:left="876" w:top="270" w:right="479" w:bottom="1440" w:gutter="0" w:footer="0" w:header="0"/>
        </w:sectPr>
      </w:pPr>
    </w:p>
    <w:bookmarkStart w:id="17" w:name="page18"/>
    <w:bookmarkEnd w:id="17"/>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to the applicable Forward Purchaser pursuant thereto, against payment of any consideration required to be paid by such Forward Purchaser, the Confirmation Securities will be duly and validly issued and fully paid and non-assessable; and the issuance, sale and/or delivery of such Confirmation Securities will not be subject to any preemptive, co-sale right, right of first refusal or other similar rights arising under applicable law, under the Charter or bylaws or similar organizational documents of the Company or under any agreement to which the Company or any Subsidiary is a party or otherwise. The Confirmation Securities, when issued, sold and/or delivered, will conform in all material respects to all statements related thereto contained in the Registration Statement and the Prospectus as amended or supplemented with respect to such Confirmation Securities, and such description conforms in all material respects to the rights set forth in the instruments defining the same; except as set forth under the caption “Description of Shares of Beneficial Interest—Certain Provisions of Maryland Law and our Declaration of Trust and Bylaws—Shareholder Liability and Indemnification” in the Prospectus, no holder of the Confirmation Securities will be subject to personal liability by reason of being such a holder.</w:t>
      </w:r>
    </w:p>
    <w:p>
      <w:pPr>
        <w:spacing w:after="0" w:line="86" w:lineRule="exact"/>
        <w:rPr>
          <w:sz w:val="20"/>
          <w:szCs w:val="20"/>
          <w:color w:val="auto"/>
        </w:rPr>
      </w:pPr>
    </w:p>
    <w:p>
      <w:pPr>
        <w:ind w:left="4" w:right="100" w:firstLine="419"/>
        <w:spacing w:after="0" w:line="253" w:lineRule="auto"/>
        <w:tabs>
          <w:tab w:leader="none" w:pos="68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Violations</w:t>
      </w:r>
      <w:r>
        <w:rPr>
          <w:rFonts w:ascii="Times New Roman" w:cs="Times New Roman" w:eastAsia="Times New Roman" w:hAnsi="Times New Roman"/>
          <w:sz w:val="18"/>
          <w:szCs w:val="18"/>
          <w:color w:val="auto"/>
        </w:rPr>
        <w:t>. (i) Neither the Company nor any of its Subsidiaries is in violation of its charter or bylaws or similar organizational documents; (ii) no subsidiary of the Company not referred to in clause (i) above is in violation of its charter or bylaws or similar organizational documents; (iii) neither the Company nor any of its subsidiaries is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w:t>
      </w:r>
    </w:p>
    <w:p>
      <w:pPr>
        <w:spacing w:after="0" w:line="5" w:lineRule="exact"/>
        <w:rPr>
          <w:rFonts w:ascii="Times New Roman" w:cs="Times New Roman" w:eastAsia="Times New Roman" w:hAnsi="Times New Roman"/>
          <w:sz w:val="18"/>
          <w:szCs w:val="18"/>
          <w:color w:val="auto"/>
        </w:rPr>
      </w:pPr>
    </w:p>
    <w:p>
      <w:pPr>
        <w:ind w:left="4" w:right="160" w:hanging="4"/>
        <w:spacing w:after="0" w:line="253" w:lineRule="auto"/>
        <w:tabs>
          <w:tab w:leader="none" w:pos="30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in violation of any law or statute or any judgment, order, rule or regulation of any court or arbitrator or governmental or regulatory authority, except, in the case of clauses (ii), (iii) and (iv) above, for any such default or violation that would not, individually or in the aggregate, have a material adverse effect on the condition, financial or otherwise, or on the earnings, business affairs or business prospects of the Company and its subsidiaries, considered as one enterprise.</w:t>
      </w:r>
    </w:p>
    <w:p>
      <w:pPr>
        <w:spacing w:after="0" w:line="80" w:lineRule="exact"/>
        <w:rPr>
          <w:rFonts w:ascii="Times New Roman" w:cs="Times New Roman" w:eastAsia="Times New Roman" w:hAnsi="Times New Roman"/>
          <w:sz w:val="18"/>
          <w:szCs w:val="18"/>
          <w:color w:val="auto"/>
        </w:rPr>
      </w:pPr>
    </w:p>
    <w:p>
      <w:pPr>
        <w:ind w:left="4" w:right="20" w:firstLine="419"/>
        <w:spacing w:after="0" w:line="255" w:lineRule="auto"/>
        <w:tabs>
          <w:tab w:leader="none" w:pos="77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Conflicts; Absence of Further Requirements</w:t>
      </w:r>
      <w:r>
        <w:rPr>
          <w:rFonts w:ascii="Times New Roman" w:cs="Times New Roman" w:eastAsia="Times New Roman" w:hAnsi="Times New Roman"/>
          <w:sz w:val="18"/>
          <w:szCs w:val="18"/>
          <w:color w:val="auto"/>
        </w:rPr>
        <w:t>. The offering and sale of the Securities and the compliance by the Company with all of the provisions of this Agreement and any Confirmation with respect to such Securities or such Confirmation Securities,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nor will such action result in any violation of the provisions of the Charter or the bylaws of the Company or any statute or any order, rule or regulation of any court or</w:t>
      </w:r>
    </w:p>
    <w:p>
      <w:pPr>
        <w:spacing w:after="0" w:line="121"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44"/>
          </w:cols>
          <w:pgMar w:left="876" w:top="270" w:right="479" w:bottom="1440" w:gutter="0" w:footer="0" w:header="0"/>
        </w:sectPr>
      </w:pPr>
    </w:p>
    <w:bookmarkStart w:id="18" w:name="page19"/>
    <w:bookmarkEnd w:id="18"/>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governmental agency or body having jurisdiction over the Company or any of its subsidiaries or any of their properties; and no consent, approval, authorization, order, registration or qualification of or with any such court or governmental agency or body is required for the offering and sale of the Securities and the Confirmation Securities or the consummation by the Company of the transactions contemplated by this Agreement and each Confirmation, as applicable, except such as have been obtained under the Securities Act, the Exchange Act and such consents, approvals, authorizations, registrations or qualifications as may be required under state securities or “Blue Sky” laws in connection with the purchase and distribution of the Securities, and further except for the approval of the NYSE, which will be obtained prior to the first sale of Securities pursuant to this Agreement.</w:t>
      </w:r>
    </w:p>
    <w:p>
      <w:pPr>
        <w:spacing w:after="0" w:line="81" w:lineRule="exact"/>
        <w:rPr>
          <w:sz w:val="20"/>
          <w:szCs w:val="20"/>
          <w:color w:val="auto"/>
        </w:rPr>
      </w:pPr>
    </w:p>
    <w:p>
      <w:pPr>
        <w:ind w:right="20" w:firstLine="419"/>
        <w:spacing w:after="0" w:line="256" w:lineRule="auto"/>
        <w:tabs>
          <w:tab w:leader="none" w:pos="76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Proceedings</w:t>
      </w:r>
      <w:r>
        <w:rPr>
          <w:rFonts w:ascii="Times New Roman" w:cs="Times New Roman" w:eastAsia="Times New Roman" w:hAnsi="Times New Roman"/>
          <w:sz w:val="18"/>
          <w:szCs w:val="18"/>
          <w:color w:val="auto"/>
        </w:rPr>
        <w:t>. Other than as set forth in the Registration Statement and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on the consolidated financial position, shareholders’ equity or results of operations of the Company and its subsidiaries, considered as one enterprise; and, to the best of the Company’s knowledge, no such proceedings are threatened or contemplated by governmental authorities or threatened by others.</w:t>
      </w:r>
    </w:p>
    <w:p>
      <w:pPr>
        <w:spacing w:after="0" w:line="79" w:lineRule="exact"/>
        <w:rPr>
          <w:rFonts w:ascii="Times New Roman" w:cs="Times New Roman" w:eastAsia="Times New Roman" w:hAnsi="Times New Roman"/>
          <w:sz w:val="18"/>
          <w:szCs w:val="18"/>
          <w:color w:val="auto"/>
        </w:rPr>
      </w:pPr>
    </w:p>
    <w:p>
      <w:pPr>
        <w:ind w:firstLine="419"/>
        <w:spacing w:after="0" w:line="255" w:lineRule="auto"/>
        <w:tabs>
          <w:tab w:leader="none" w:pos="7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consolidated financial statements of the Company and its subsidiaries, together with related notes and schedules as set forth or incorporated by reference in the Registration Statement and the Prospectus present fairly the financial position and the results of operations of the Company and its subsidiaries at the indicated dates and for the indicated periods. Such consolidated financial statements have been prepared in accordance with generally accepted accounting principles in the United States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consistently applied throughout the periods involved, and all adjustments necessary for a fair presentation of results for such periods have been made. Any summary financial and statistical data contained in the Prospectus present fairly the information shown therein and have been compiled on a basis consistent with the consolidated financial statements incorporated by reference therein.</w:t>
      </w:r>
    </w:p>
    <w:p>
      <w:pPr>
        <w:spacing w:after="0" w:line="80" w:lineRule="exact"/>
        <w:rPr>
          <w:rFonts w:ascii="Times New Roman" w:cs="Times New Roman" w:eastAsia="Times New Roman" w:hAnsi="Times New Roman"/>
          <w:sz w:val="18"/>
          <w:szCs w:val="18"/>
          <w:color w:val="auto"/>
        </w:rPr>
      </w:pPr>
    </w:p>
    <w:p>
      <w:pPr>
        <w:ind w:right="40" w:firstLine="419"/>
        <w:spacing w:after="0" w:line="261" w:lineRule="auto"/>
        <w:tabs>
          <w:tab w:leader="none" w:pos="7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Title</w:t>
      </w:r>
      <w:r>
        <w:rPr>
          <w:rFonts w:ascii="Times New Roman" w:cs="Times New Roman" w:eastAsia="Times New Roman" w:hAnsi="Times New Roman"/>
          <w:sz w:val="18"/>
          <w:szCs w:val="18"/>
          <w:color w:val="auto"/>
        </w:rPr>
        <w:t>. The Company and its subsidiaries have good and marketable title to, or valid and enforceable leasehold estates in, all items of real and personal property referred to in the Registration Statement and the Prospectus as owned or leased by the Company or any of its subsidiaries, in each case free and clear of all pledges, liens, encumbrances, claims, security interests and defects, other than those referred to in the Prospectus or which are not material in amount.</w:t>
      </w:r>
    </w:p>
    <w:p>
      <w:pPr>
        <w:spacing w:after="0" w:line="71" w:lineRule="exact"/>
        <w:rPr>
          <w:rFonts w:ascii="Times New Roman" w:cs="Times New Roman" w:eastAsia="Times New Roman" w:hAnsi="Times New Roman"/>
          <w:sz w:val="18"/>
          <w:szCs w:val="18"/>
          <w:color w:val="auto"/>
        </w:rPr>
      </w:pPr>
    </w:p>
    <w:p>
      <w:pPr>
        <w:ind w:right="100" w:firstLine="419"/>
        <w:spacing w:after="0" w:line="258" w:lineRule="auto"/>
        <w:tabs>
          <w:tab w:leader="none" w:pos="7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Company and its subsidiaries have filed all federal, state, local and foreign income tax returns which have been required to be filed, or appropriate extensions for such filings have been obtained as required by law, and all federal, state, local and foreign taxes of the Company and its subsidiaries have been paid, except such taxes as (i) are not yet due, (ii) are being contested in good faith, or (iii) could not reasonably be expected to have a material adverse effect on the condition, financial or otherwise, or on the earnings, business affairs or business prospects of the Company and its subsidiaries, considered as one enterprise.</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40"/>
          </w:cols>
          <w:pgMar w:left="880" w:top="270" w:right="479" w:bottom="1440" w:gutter="0" w:footer="0" w:header="0"/>
        </w:sectPr>
      </w:pPr>
    </w:p>
    <w:bookmarkStart w:id="19" w:name="page20"/>
    <w:bookmarkEnd w:id="19"/>
    <w:p>
      <w:pPr>
        <w:ind w:firstLine="419"/>
        <w:spacing w:after="0" w:line="266" w:lineRule="auto"/>
        <w:tabs>
          <w:tab w:leader="none" w:pos="7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Licenses and Permits</w:t>
      </w:r>
      <w:r>
        <w:rPr>
          <w:rFonts w:ascii="Times New Roman" w:cs="Times New Roman" w:eastAsia="Times New Roman" w:hAnsi="Times New Roman"/>
          <w:sz w:val="18"/>
          <w:szCs w:val="18"/>
          <w:color w:val="auto"/>
        </w:rPr>
        <w:t>. The Company and each of its subsidiaries hold all material licenses, certificates and permits from governmental authorities which are necessary to the conduct of their respective businesses; and neither the Company nor any of its subsidiaries has infringed any patents, patent rights, trade names, trademarks or copyrights, which infringement is material to the business of the Company.</w:t>
      </w:r>
    </w:p>
    <w:p>
      <w:pPr>
        <w:spacing w:after="0" w:line="67" w:lineRule="exact"/>
        <w:rPr>
          <w:rFonts w:ascii="Times New Roman" w:cs="Times New Roman" w:eastAsia="Times New Roman" w:hAnsi="Times New Roman"/>
          <w:sz w:val="18"/>
          <w:szCs w:val="18"/>
          <w:color w:val="auto"/>
        </w:rPr>
      </w:pPr>
    </w:p>
    <w:p>
      <w:pPr>
        <w:ind w:right="180" w:firstLine="419"/>
        <w:spacing w:after="0" w:line="266" w:lineRule="auto"/>
        <w:tabs>
          <w:tab w:leader="none" w:pos="7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The accounting firm that certified the financial statements and supporting schedules incorporated by reference in the Registration Statement and the Prospectus, is an independent registered public accounting firm as required by the Securities Act and the Public Company Accounting Oversight Board (United States) (the “</w:t>
      </w:r>
      <w:r>
        <w:rPr>
          <w:rFonts w:ascii="Times New Roman" w:cs="Times New Roman" w:eastAsia="Times New Roman" w:hAnsi="Times New Roman"/>
          <w:sz w:val="18"/>
          <w:szCs w:val="18"/>
          <w:u w:val="single" w:color="auto"/>
          <w:color w:val="auto"/>
        </w:rPr>
        <w:t>PCAOB</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right="20" w:firstLine="419"/>
        <w:spacing w:after="0" w:line="252" w:lineRule="auto"/>
        <w:tabs>
          <w:tab w:leader="none" w:pos="7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Internal Controls Over Financial Reporting</w:t>
      </w:r>
      <w:r>
        <w:rPr>
          <w:rFonts w:ascii="Times New Roman" w:cs="Times New Roman" w:eastAsia="Times New Roman" w:hAnsi="Times New Roman"/>
          <w:sz w:val="18"/>
          <w:szCs w:val="18"/>
          <w:color w:val="auto"/>
        </w:rPr>
        <w:t>. The Company and its subsidiaries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and (iii) the unauthorized acquisition, use or disposition of the Company’s assets that could have a material effect on the financial statements is prevented or detected in a timely manner. The Company’s Chief Executive Officer and Chief Financial Officer concluded that the Company’s internal control over financial reporting was effective as of the end of the Company’s most recent fiscal year to provide reasonable assurance regarding the reliability of financial reporting and the preparation of financial statements for external purposes in accordance with GAAP. The Company’s auditors and the Audit Committee of the board of trustees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87" w:lineRule="exact"/>
        <w:rPr>
          <w:rFonts w:ascii="Times New Roman" w:cs="Times New Roman" w:eastAsia="Times New Roman" w:hAnsi="Times New Roman"/>
          <w:sz w:val="18"/>
          <w:szCs w:val="18"/>
          <w:color w:val="auto"/>
        </w:rPr>
      </w:pPr>
    </w:p>
    <w:p>
      <w:pPr>
        <w:ind w:firstLine="419"/>
        <w:spacing w:after="0" w:line="282" w:lineRule="auto"/>
        <w:tabs>
          <w:tab w:leader="none" w:pos="7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S-3 Requirements</w:t>
      </w:r>
      <w:r>
        <w:rPr>
          <w:rFonts w:ascii="Times New Roman" w:cs="Times New Roman" w:eastAsia="Times New Roman" w:hAnsi="Times New Roman"/>
          <w:sz w:val="18"/>
          <w:szCs w:val="18"/>
          <w:color w:val="auto"/>
        </w:rPr>
        <w:t>. The conditions for use of registration statements on Form S-3 set forth in the General Instructions on Form S-3 have been satisfied and the Company is entitled to use such form for the transactions contemplated by this Agreement.</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0"/>
          </w:cols>
          <w:pgMar w:left="880" w:top="270" w:right="459" w:bottom="1440" w:gutter="0" w:footer="0" w:header="0"/>
        </w:sectPr>
      </w:pPr>
    </w:p>
    <w:bookmarkStart w:id="20" w:name="page21"/>
    <w:bookmarkEnd w:id="20"/>
    <w:p>
      <w:pPr>
        <w:ind w:left="4" w:firstLine="419"/>
        <w:spacing w:after="0" w:line="255" w:lineRule="auto"/>
        <w:tabs>
          <w:tab w:leader="none" w:pos="77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Hazardous Materials</w:t>
      </w:r>
      <w:r>
        <w:rPr>
          <w:rFonts w:ascii="Times New Roman" w:cs="Times New Roman" w:eastAsia="Times New Roman" w:hAnsi="Times New Roman"/>
          <w:sz w:val="18"/>
          <w:szCs w:val="18"/>
          <w:color w:val="auto"/>
        </w:rPr>
        <w:t>. Although the Company is aware of the presence of hazardous substances, hazardous materials, toxic substances or waste materials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on certain of its properties, nothing has come to the attention of the Company which, at this time, would lead the Company to believe that the presence of such Hazardous Materials, when considered in the aggregate, would materially adversely affect the financial condition of the Company. In connection with the construction on or operation and use of the properties owned or leased by the Company or its subsidiaries, the Company represents that, as of the date hereof, it has no knowledge of any material failure by the Company or its subsidiaries to comply with all applicable local, state and federal environmental laws, regulations, ordinances and administrative and judicial orders relating to the generation, recycling, reuse, sale, storage, handling, transport and disposal of any Hazardous Materials.</w:t>
      </w:r>
    </w:p>
    <w:p>
      <w:pPr>
        <w:spacing w:after="0" w:line="80" w:lineRule="exact"/>
        <w:rPr>
          <w:rFonts w:ascii="Times New Roman" w:cs="Times New Roman" w:eastAsia="Times New Roman" w:hAnsi="Times New Roman"/>
          <w:sz w:val="18"/>
          <w:szCs w:val="18"/>
          <w:color w:val="auto"/>
        </w:rPr>
      </w:pPr>
    </w:p>
    <w:p>
      <w:pPr>
        <w:ind w:left="4" w:right="20" w:firstLine="419"/>
        <w:spacing w:after="0" w:line="258" w:lineRule="auto"/>
        <w:tabs>
          <w:tab w:leader="none" w:pos="77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 Investment Company Act</w:t>
      </w:r>
      <w:r>
        <w:rPr>
          <w:rFonts w:ascii="Times New Roman" w:cs="Times New Roman" w:eastAsia="Times New Roman" w:hAnsi="Times New Roman"/>
          <w:sz w:val="18"/>
          <w:szCs w:val="18"/>
          <w:color w:val="auto"/>
        </w:rPr>
        <w:t>. With respect to all tax periods regarding which the Internal Revenue Service is or will be entitled to assert any claim, the Company has met the requirements for qualification as a REIT under Sections 856 through 860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the Company’s present and contemplated operations, assets and income meet and will continue to meet such requirements; and the Company is neither an “investment company” nor a company “controlled” by an “investment company” within the meaning of the Investment Company Act of 1940, as amended (the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4" w:right="20" w:firstLine="419"/>
        <w:spacing w:after="0" w:line="255" w:lineRule="auto"/>
        <w:tabs>
          <w:tab w:leader="none" w:pos="77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Controls and Procedures</w:t>
      </w:r>
      <w:r>
        <w:rPr>
          <w:rFonts w:ascii="Times New Roman" w:cs="Times New Roman" w:eastAsia="Times New Roman" w:hAnsi="Times New Roman"/>
          <w:sz w:val="18"/>
          <w:szCs w:val="18"/>
          <w:color w:val="auto"/>
        </w:rPr>
        <w:t>. The Company and its subsidiaries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80" w:lineRule="exact"/>
        <w:rPr>
          <w:rFonts w:ascii="Times New Roman" w:cs="Times New Roman" w:eastAsia="Times New Roman" w:hAnsi="Times New Roman"/>
          <w:sz w:val="18"/>
          <w:szCs w:val="18"/>
          <w:color w:val="auto"/>
        </w:rPr>
      </w:pPr>
    </w:p>
    <w:p>
      <w:pPr>
        <w:ind w:left="4" w:right="220" w:firstLine="419"/>
        <w:spacing w:after="0" w:line="268" w:lineRule="auto"/>
        <w:tabs>
          <w:tab w:leader="none" w:pos="771"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Corrupt Practices</w:t>
      </w:r>
      <w:r>
        <w:rPr>
          <w:rFonts w:ascii="Times New Roman" w:cs="Times New Roman" w:eastAsia="Times New Roman" w:hAnsi="Times New Roman"/>
          <w:sz w:val="17"/>
          <w:szCs w:val="17"/>
          <w:color w:val="auto"/>
        </w:rPr>
        <w:t>. Neither the Company nor any of its subsidiaries nor, to the best knowledge of the Company, any director, trustee, officer, agent, employee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w:t>
      </w:r>
    </w:p>
    <w:p>
      <w:pPr>
        <w:spacing w:after="0" w:line="4" w:lineRule="exact"/>
        <w:rPr>
          <w:rFonts w:ascii="Times New Roman" w:cs="Times New Roman" w:eastAsia="Times New Roman" w:hAnsi="Times New Roman"/>
          <w:sz w:val="17"/>
          <w:szCs w:val="17"/>
          <w:color w:val="auto"/>
        </w:rPr>
      </w:pPr>
    </w:p>
    <w:p>
      <w:pPr>
        <w:ind w:left="324" w:hanging="324"/>
        <w:spacing w:after="0"/>
        <w:tabs>
          <w:tab w:leader="none" w:pos="3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any direct or indirect unlawful payment to any foreign or domestic</w:t>
      </w:r>
    </w:p>
    <w:p>
      <w:pPr>
        <w:spacing w:after="0" w:line="139"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4"/>
          </w:cols>
          <w:pgMar w:left="876" w:top="270" w:right="459" w:bottom="1440" w:gutter="0" w:footer="0" w:header="0"/>
        </w:sectPr>
      </w:pPr>
    </w:p>
    <w:bookmarkStart w:id="21" w:name="page22"/>
    <w:bookmarkEnd w:id="21"/>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government official or employee from corporate funds; (iv) violated or is in violation of any provision of the Foreign Corrupt Practices Act of 1977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or (v) made any bribe, rebate, payoff, influence payment, kickback or other unlawful payment.</w:t>
      </w:r>
    </w:p>
    <w:p>
      <w:pPr>
        <w:spacing w:after="0" w:line="72" w:lineRule="exact"/>
        <w:rPr>
          <w:sz w:val="20"/>
          <w:szCs w:val="20"/>
          <w:color w:val="auto"/>
        </w:rPr>
      </w:pPr>
    </w:p>
    <w:p>
      <w:pPr>
        <w:ind w:firstLine="419"/>
        <w:spacing w:after="0" w:line="256" w:lineRule="auto"/>
        <w:tabs>
          <w:tab w:leader="none" w:pos="7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79" w:lineRule="exact"/>
        <w:rPr>
          <w:rFonts w:ascii="Times New Roman" w:cs="Times New Roman" w:eastAsia="Times New Roman" w:hAnsi="Times New Roman"/>
          <w:sz w:val="18"/>
          <w:szCs w:val="18"/>
          <w:color w:val="auto"/>
        </w:rPr>
      </w:pPr>
    </w:p>
    <w:p>
      <w:pPr>
        <w:ind w:right="20" w:firstLine="419"/>
        <w:spacing w:after="0" w:line="254" w:lineRule="auto"/>
        <w:tabs>
          <w:tab w:leader="none" w:pos="7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None of the Company, any of its subsidiaries or, to the knowledge of the Company, any director, trustee, officer, agent, employee or affiliate of the Company or any of its subsidiaries is (i) currently subject to any sanctions administered or enforced by the U.S. Government (including, without limitation, the Office of Foreign Assets Control of the U.S. Department of the Treasury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or (ii) located, organized or resident in a country or territory that is, or whose government is, the subject of Sanctions that broadly prohibit dealings with that country or territory (each,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and the Company will not directly or indirectly use the proceeds of the offering of the Securities or pursuant to any Confirmation hereunder, or lend, contribute or otherwise make available such proceeds to any subsidiary, joint venture partner or other person or entity, for the purpose of financing the activities of any person currently subject to any Sanctions.</w:t>
      </w:r>
    </w:p>
    <w:p>
      <w:pPr>
        <w:spacing w:after="0" w:line="83" w:lineRule="exact"/>
        <w:rPr>
          <w:rFonts w:ascii="Times New Roman" w:cs="Times New Roman" w:eastAsia="Times New Roman" w:hAnsi="Times New Roman"/>
          <w:sz w:val="18"/>
          <w:szCs w:val="18"/>
          <w:color w:val="auto"/>
        </w:rPr>
      </w:pPr>
    </w:p>
    <w:p>
      <w:pPr>
        <w:ind w:firstLine="419"/>
        <w:spacing w:after="0" w:line="254" w:lineRule="auto"/>
        <w:tabs>
          <w:tab w:leader="none" w:pos="7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The outstanding Common Shares have been, and prior to the first sale of Securities pursuant to this Agreement, the Securities to be sold hereunder and the Confirmation Securities will be, approved for listing, subject only to official notice of issuance, on the NYSE, and are registered pursuant to Section 12(b) of the Exchange Act, and the Company has taken no action designed to, or likely to have the effect of, terminating the registration of the Common Shares under the Exchange Act or delisting any such securities from the NYSE, nor has the Company received any notification that the Commission or the NYSE is contemplating terminating such registration or listing. The Company has taken all necessary actions to ensure that it is in compliance with all applicable NYSE listing standards that are currently in effect and will take such steps as are necessary to ensure that the Company will be in compliance with other applicable requirements set forth in the NYSE’s listing standards not currently in effect upon the effectiveness of such requirements.</w:t>
      </w:r>
    </w:p>
    <w:p>
      <w:pPr>
        <w:spacing w:after="0" w:line="1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40"/>
          </w:cols>
          <w:pgMar w:left="880" w:top="270" w:right="479" w:bottom="1440" w:gutter="0" w:footer="0" w:header="0"/>
        </w:sectPr>
      </w:pPr>
    </w:p>
    <w:bookmarkStart w:id="22" w:name="page23"/>
    <w:bookmarkEnd w:id="22"/>
    <w:p>
      <w:pPr>
        <w:ind w:right="20" w:firstLine="419"/>
        <w:spacing w:after="0" w:line="261" w:lineRule="auto"/>
        <w:tabs>
          <w:tab w:leader="none" w:pos="76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Permitted Free Writing Prospectus</w:t>
      </w:r>
      <w:r>
        <w:rPr>
          <w:rFonts w:ascii="Times New Roman" w:cs="Times New Roman" w:eastAsia="Times New Roman" w:hAnsi="Times New Roman"/>
          <w:sz w:val="18"/>
          <w:szCs w:val="18"/>
          <w:color w:val="auto"/>
        </w:rPr>
        <w:t>. Neither the Company nor any of its subsidiaries has distributed or will distribute any offering material in connection with the offering and sale of the Securities to be sold hereunder by a Sales Agent or a Forward Seller, other than the Prospectus and any Permitted Free Writing Prospectus (as defined below) reviewed and consented to by the Sales Agents, the Forward Sellers and the Forward Purchasers.</w:t>
      </w:r>
    </w:p>
    <w:p>
      <w:pPr>
        <w:spacing w:after="0" w:line="71" w:lineRule="exact"/>
        <w:rPr>
          <w:rFonts w:ascii="Times New Roman" w:cs="Times New Roman" w:eastAsia="Times New Roman" w:hAnsi="Times New Roman"/>
          <w:sz w:val="18"/>
          <w:szCs w:val="18"/>
          <w:color w:val="auto"/>
        </w:rPr>
      </w:pPr>
    </w:p>
    <w:p>
      <w:pPr>
        <w:ind w:right="680" w:firstLine="419"/>
        <w:spacing w:after="0" w:line="282" w:lineRule="auto"/>
        <w:tabs>
          <w:tab w:leader="none" w:pos="76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Actively Traded Security</w:t>
      </w:r>
      <w:r>
        <w:rPr>
          <w:rFonts w:ascii="Times New Roman" w:cs="Times New Roman" w:eastAsia="Times New Roman" w:hAnsi="Times New Roman"/>
          <w:sz w:val="18"/>
          <w:szCs w:val="18"/>
          <w:color w:val="auto"/>
        </w:rPr>
        <w:t>. The Common Shares are “actively traded securities” excepted from the requirements of Rule 101 of Regulation M under the Exchange Act by subsection (c)(1) of such rule.</w:t>
      </w:r>
    </w:p>
    <w:p>
      <w:pPr>
        <w:spacing w:after="0" w:line="53" w:lineRule="exact"/>
        <w:rPr>
          <w:rFonts w:ascii="Times New Roman" w:cs="Times New Roman" w:eastAsia="Times New Roman" w:hAnsi="Times New Roman"/>
          <w:sz w:val="18"/>
          <w:szCs w:val="18"/>
          <w:color w:val="auto"/>
        </w:rPr>
      </w:pPr>
    </w:p>
    <w:p>
      <w:pPr>
        <w:jc w:val="both"/>
        <w:ind w:firstLine="419"/>
        <w:spacing w:after="0" w:line="261" w:lineRule="auto"/>
        <w:tabs>
          <w:tab w:leader="none" w:pos="76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Manipulation</w:t>
      </w:r>
      <w:r>
        <w:rPr>
          <w:rFonts w:ascii="Times New Roman" w:cs="Times New Roman" w:eastAsia="Times New Roman" w:hAnsi="Times New Roman"/>
          <w:sz w:val="18"/>
          <w:szCs w:val="18"/>
          <w:color w:val="auto"/>
        </w:rPr>
        <w:t>. Neither the Company nor any of its subsidiaries, nor any of the officers, directors, trustees or partners thereof has taken, nor will any of them take, directly or indirectly, any action resulting in a violation of Regulation M under the Exchange Act or designed to cause or result in, or which has constituted or which reasonably might be expected to constitute, the stabilization or manipulation of the price of the Securities or facilitation of the sale or resale of the Securities.</w:t>
      </w:r>
    </w:p>
    <w:p>
      <w:pPr>
        <w:spacing w:after="0" w:line="71" w:lineRule="exact"/>
        <w:rPr>
          <w:rFonts w:ascii="Times New Roman" w:cs="Times New Roman" w:eastAsia="Times New Roman" w:hAnsi="Times New Roman"/>
          <w:sz w:val="18"/>
          <w:szCs w:val="18"/>
          <w:color w:val="auto"/>
        </w:rPr>
      </w:pPr>
    </w:p>
    <w:p>
      <w:pPr>
        <w:ind w:right="160" w:firstLine="419"/>
        <w:spacing w:after="0" w:line="258" w:lineRule="auto"/>
        <w:tabs>
          <w:tab w:leader="none" w:pos="76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Proprietary Trading by the Sales Agents and the Forward Sellers</w:t>
      </w:r>
      <w:r>
        <w:rPr>
          <w:rFonts w:ascii="Times New Roman" w:cs="Times New Roman" w:eastAsia="Times New Roman" w:hAnsi="Times New Roman"/>
          <w:sz w:val="18"/>
          <w:szCs w:val="18"/>
          <w:color w:val="auto"/>
        </w:rPr>
        <w:t>. The Company acknowledges and agrees that each Sales Agent and each Forward Seller have informed the Company that such Sales Agent or such Forward Seller may, to the extent permitted under the Securities Act and the Exchange Act, purchase and sell Common Shares for their own respective accounts while this Agreement is in effect, and shall be under no obligation to purchase Securities on a principal basis pursuant to this Agreement, except as otherwise agreed to by such Sales Agent or such Forward Seller in the applicable Placement Notice (as amended by the corresponding Acceptance, if applicable).</w:t>
      </w:r>
    </w:p>
    <w:p>
      <w:pPr>
        <w:spacing w:after="0" w:line="75" w:lineRule="exact"/>
        <w:rPr>
          <w:rFonts w:ascii="Times New Roman" w:cs="Times New Roman" w:eastAsia="Times New Roman" w:hAnsi="Times New Roman"/>
          <w:sz w:val="18"/>
          <w:szCs w:val="18"/>
          <w:color w:val="auto"/>
        </w:rPr>
      </w:pPr>
    </w:p>
    <w:p>
      <w:pPr>
        <w:ind w:right="60" w:firstLine="419"/>
        <w:spacing w:after="0" w:line="266" w:lineRule="auto"/>
        <w:tabs>
          <w:tab w:leader="none" w:pos="76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eXtensible Business Reporting Language</w:t>
      </w:r>
      <w:r>
        <w:rPr>
          <w:rFonts w:ascii="Times New Roman" w:cs="Times New Roman" w:eastAsia="Times New Roman" w:hAnsi="Times New Roman"/>
          <w:sz w:val="18"/>
          <w:szCs w:val="18"/>
          <w:color w:val="auto"/>
        </w:rPr>
        <w:t>. The interactive data in the eXtensible Business Reporting Language incorporated by reference in the Registration Statement fairly presents the information called for in all material respects and has been prepared in accordance with the Commission’s rules and guidelines applicable thereto.</w:t>
      </w:r>
    </w:p>
    <w:p>
      <w:pPr>
        <w:spacing w:after="0" w:line="67" w:lineRule="exact"/>
        <w:rPr>
          <w:rFonts w:ascii="Times New Roman" w:cs="Times New Roman" w:eastAsia="Times New Roman" w:hAnsi="Times New Roman"/>
          <w:sz w:val="18"/>
          <w:szCs w:val="18"/>
          <w:color w:val="auto"/>
        </w:rPr>
      </w:pPr>
    </w:p>
    <w:p>
      <w:pPr>
        <w:ind w:right="60" w:firstLine="419"/>
        <w:spacing w:after="0" w:line="266" w:lineRule="auto"/>
        <w:tabs>
          <w:tab w:leader="none" w:pos="76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(A) To the knowledge of the Company, there has been no security breach or incident, unauthorized access or disclosure, or other compromise of or relating to the Company’s or its subsidiaries’ information technology and computer systems, networks, hardware, software, data and databases (including the data and</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40"/>
          </w:cols>
          <w:pgMar w:left="880" w:top="270" w:right="479" w:bottom="1440" w:gutter="0" w:footer="0" w:header="0"/>
        </w:sectPr>
      </w:pPr>
    </w:p>
    <w:bookmarkStart w:id="23" w:name="page24"/>
    <w:bookmarkEnd w:id="23"/>
    <w:p>
      <w:pPr>
        <w:ind w:left="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information of their respective customers, employees, suppliers, vendors and any third party data maintained, processed or stored by the Company and its subsidiaries, and any such data processed or stored by third parties on behalf of the Company and its subsidiaries), equipment or technology (collectively, “IT Systems and Data”); (B) neither the Company nor its subsidiaries have been notified of, and have no knowledge of any event or condition that would result in, any security breach or incident, unauthorized access or disclosure or other compromise to their IT Systems and Data; and (C) the Company and its subsidiaries have implemented appropriate controls, policies, procedures, and technological safeguards to maintain and protect the integrity, continuous operation, redundancy and security of their IT Systems and Data reasonably consistent with industry standards and practices, or as required by applicable regulatory standards, except with respect to clauses (A) and (B), for any such security breach or incident, unauthorized access or disclosure, or other compromises, as would not, individually or in the aggregate, have a material adverse effect on the condition, financial or otherwise, or on the earnings, business affairs or business prospects of the Company and its subsidiaries, considered as one enterprise, or with respect to clause (C), where the failure to do so would not, individually or in the aggregate, have a material adverse effect on the condition, financial or otherwise, or on the earnings, business affairs or business prospects of the Company and its subsidiaries, considered as one enterprise.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where the failure to be so in compliance would not, individually or in the aggregate, have a material adverse effect on the condition, financial or otherwise, or on the earnings, business affairs or business prospects of the Company and its subsidiaries, considered as one enterprise.</w:t>
      </w:r>
    </w:p>
    <w:p>
      <w:pPr>
        <w:spacing w:after="0" w:line="191" w:lineRule="exact"/>
        <w:rPr>
          <w:sz w:val="20"/>
          <w:szCs w:val="20"/>
          <w:color w:val="auto"/>
        </w:rPr>
      </w:pPr>
    </w:p>
    <w:p>
      <w:pPr>
        <w:ind w:right="160" w:firstLine="436"/>
        <w:spacing w:after="0" w:line="267" w:lineRule="auto"/>
        <w:tabs>
          <w:tab w:leader="none" w:pos="6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Certificates. </w:t>
      </w:r>
      <w:r>
        <w:rPr>
          <w:rFonts w:ascii="Times New Roman" w:cs="Times New Roman" w:eastAsia="Times New Roman" w:hAnsi="Times New Roman"/>
          <w:sz w:val="18"/>
          <w:szCs w:val="18"/>
          <w:color w:val="auto"/>
        </w:rPr>
        <w:t>Any certificate signed by any officer of the Company and delivered to the Sales Agents, the Forward Sellers and the Forward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Purchasers, or to their respective counsel, shall be deemed a representation and warranty by the Company to the Sales Agents, the Forward Sellers and the Forward Purchasers as to the matters covered thereby.</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Sale and Delivery; Settlement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436"/>
        <w:spacing w:after="0" w:line="257" w:lineRule="auto"/>
        <w:tabs>
          <w:tab w:leader="none" w:pos="6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Sale of Issuance Securities. </w:t>
      </w:r>
      <w:r>
        <w:rPr>
          <w:rFonts w:ascii="Times New Roman" w:cs="Times New Roman" w:eastAsia="Times New Roman" w:hAnsi="Times New Roman"/>
          <w:sz w:val="18"/>
          <w:szCs w:val="18"/>
          <w:color w:val="auto"/>
        </w:rPr>
        <w:t>On the basis of the representations and warranties herein contained and subject to the terms and conditions herein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 forth, upon a Sales Agent’s acceptance of the terms of a Placement Notice specifying that it relates to an Issuance or upon receipt by a Sales Agent of an Acceptance, as the case may be, and unless the sale of the Issuance Securities described therein has been declined, suspended, or otherwise terminated in accordance with the terms of this Agreement, such Sales Agent, for the period specified in the Placement Notice (as amended by the corresponding Acceptance, if applicable), will use its commercially reasonable efforts consistent with its normal trading and sales practices to sell such Issuance Securities up to the amount specified, and otherwise in accordance with the terms 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4" w:name="page25"/>
    <w:bookmarkEnd w:id="24"/>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Placement Notice (as amended by the corresponding Acceptance, if applicable). The Company acknowledges and agrees that (i) there can be no assurance that the Sales Agents will be successful in selling Issuance Securities, (ii) the Sales Agents will incur no liability or obligation to the Company or any other person or entity if it does not sell Issuance Securities for any reason other than a failure by a Sales Agent to use its commercially reasonable efforts consistent with its normal trading and sales practices to sell such Issuance Securities as required under this Section 6 and (iii) the Sales Agents shall be under no obligation to purchase Issuance Securities on a principal basis pursuant to this Agreement, except as otherwise agreed by a Sales Agent in the Placement Notice (as amended by the corresponding Acceptance, if applicable).</w:t>
      </w:r>
    </w:p>
    <w:p>
      <w:pPr>
        <w:spacing w:after="0" w:line="185" w:lineRule="exact"/>
        <w:rPr>
          <w:sz w:val="20"/>
          <w:szCs w:val="20"/>
          <w:color w:val="auto"/>
        </w:rPr>
      </w:pPr>
    </w:p>
    <w:p>
      <w:pPr>
        <w:ind w:right="120" w:firstLine="436"/>
        <w:spacing w:after="0" w:line="255" w:lineRule="auto"/>
        <w:tabs>
          <w:tab w:leader="none" w:pos="6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Settlement of Issuance Securities. </w:t>
      </w:r>
      <w:r>
        <w:rPr>
          <w:rFonts w:ascii="Times New Roman" w:cs="Times New Roman" w:eastAsia="Times New Roman" w:hAnsi="Times New Roman"/>
          <w:sz w:val="18"/>
          <w:szCs w:val="18"/>
          <w:color w:val="auto"/>
        </w:rPr>
        <w:t>Unless otherwise specified in the applicable Placement Notice (as amended by the corresponding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Acceptance, if applicable), settlement for sales of Issuance Securities will occur on the second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Trading Day (or such earlier day as is industry practice for regular-way trading) following the date on which such sales are made (each, an “</w:t>
      </w:r>
      <w:r>
        <w:rPr>
          <w:rFonts w:ascii="Times New Roman" w:cs="Times New Roman" w:eastAsia="Times New Roman" w:hAnsi="Times New Roman"/>
          <w:sz w:val="18"/>
          <w:szCs w:val="18"/>
          <w:u w:val="single" w:color="auto"/>
          <w:color w:val="auto"/>
        </w:rPr>
        <w:t>Issuance Settlement Date</w:t>
      </w:r>
      <w:r>
        <w:rPr>
          <w:rFonts w:ascii="Times New Roman" w:cs="Times New Roman" w:eastAsia="Times New Roman" w:hAnsi="Times New Roman"/>
          <w:sz w:val="18"/>
          <w:szCs w:val="18"/>
          <w:color w:val="auto"/>
        </w:rPr>
        <w:t>”). The amount of proceeds to be delivered to the Company on an Issuance Settlement Date against receipt of the Issuance Securities sold (the “</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 will be equal to the aggregate offering price received by the applicable Sales Agent at which such Issuance Securities were sold, after deduction for (i) such Sales Agent’s commission, discount or other compensation for such sales payable by the Company pursuant to Section 2 hereof, (ii) any other amounts due and payable by the Company to such Sales Agent hereunder pursuant to Section 8(a) hereof, and (iii) any transaction fees imposed by any governmental or self-regulatory organization in respect of such sales.</w:t>
      </w:r>
    </w:p>
    <w:p>
      <w:pPr>
        <w:spacing w:after="0" w:line="184" w:lineRule="exact"/>
        <w:rPr>
          <w:rFonts w:ascii="Times New Roman" w:cs="Times New Roman" w:eastAsia="Times New Roman" w:hAnsi="Times New Roman"/>
          <w:sz w:val="18"/>
          <w:szCs w:val="18"/>
          <w:color w:val="auto"/>
        </w:rPr>
      </w:pPr>
    </w:p>
    <w:p>
      <w:pPr>
        <w:ind w:firstLine="436"/>
        <w:spacing w:after="0" w:line="253" w:lineRule="auto"/>
        <w:tabs>
          <w:tab w:leader="none" w:pos="6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Issuance Securities</w:t>
      </w:r>
      <w:r>
        <w:rPr>
          <w:rFonts w:ascii="Times New Roman" w:cs="Times New Roman" w:eastAsia="Times New Roman" w:hAnsi="Times New Roman"/>
          <w:sz w:val="18"/>
          <w:szCs w:val="18"/>
          <w:color w:val="auto"/>
        </w:rPr>
        <w:t>. On or before each Issuance Settlement Date, the Company will, or will cause its transfer agent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electronically transfer the Issuance Securities being sold by crediting the applicable Sales Agent’s or its designee’s account (provided such Sales Agent shall have given the Company written notice of such designee prior to the Issuance Settlement Date) at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through its Deposit and Withdrawal at Custodian System or by such other means of delivery as may be mutually agreed upon by the parties hereto which in all cases shall be freely tradable, transferable, registered shares in good deliverable form. On each Issuance Settlement Date, such Sales Agent will deliver the related Net Proceeds in same day funds to an account designated by the Company prior to the Issuance Settlement Date. The Company agrees that if the Company, or its transfer agent (if applicable), defaults in its obligation to deliver Issuance Securities on an Issuance Settlement Date, the Company agrees that in addition to and in no way limiting the rights and obligations set forth in Section 10(a) and Section 11 hereto, it will (i) hold such Sales Agent harmless against any loss, liability, claim, damage, or expense whatsoever (including reasonable legal fees and expenses), as incurred, arising out of or in connection with such default by the Company or its transfer agent (if applicable) and (ii) pay to such Sales Agent any commission, discount, or other compensation to which it would otherwise have been entitled absent such default.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5" w:name="page26"/>
    <w:bookmarkEnd w:id="25"/>
    <w:p>
      <w:pPr>
        <w:ind w:left="4" w:right="20" w:firstLine="436"/>
        <w:spacing w:after="0" w:line="256" w:lineRule="auto"/>
        <w:tabs>
          <w:tab w:leader="none" w:pos="69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Times New Roman" w:cs="Times New Roman" w:eastAsia="Times New Roman" w:hAnsi="Times New Roman"/>
          <w:sz w:val="18"/>
          <w:szCs w:val="18"/>
          <w:i w:val="1"/>
          <w:iCs w:val="1"/>
          <w:color w:val="auto"/>
        </w:rPr>
        <w:t>ale of Forward Hedge Securities</w:t>
      </w:r>
      <w:r>
        <w:rPr>
          <w:rFonts w:ascii="Times New Roman" w:cs="Times New Roman" w:eastAsia="Times New Roman" w:hAnsi="Times New Roman"/>
          <w:sz w:val="18"/>
          <w:szCs w:val="18"/>
          <w:color w:val="auto"/>
        </w:rPr>
        <w:t>. On the basis of the representations and warranties herein contained and subject to the terms and conditions in this Agreement and the applicable Confirmation, upon the Forward Seller’s and the Forward Purchaser’s acceptance of the terms of a Placement Notice specifying that it relates to a Forward or upon receipt by a Forward Seller and a Forward Purchaser of an Acceptance, as the case may be, and unless the sale of the Forward Hedge Securities described therein has been declined, suspended, or otherwise terminated in accordance with the terms of this Agreement or the applicable Confirmation, such Forward Seller will use its commercially reasonable efforts consistent with its normal trading and sales practices to sell such Forward Hedge Securities, and otherwise in accordance with the terms of such Placement Notice (as amended by the corresponding Acceptance, if applicable).</w:t>
      </w:r>
    </w:p>
    <w:p>
      <w:pPr>
        <w:spacing w:after="0" w:line="182" w:lineRule="exact"/>
        <w:rPr>
          <w:rFonts w:ascii="Times New Roman" w:cs="Times New Roman" w:eastAsia="Times New Roman" w:hAnsi="Times New Roman"/>
          <w:sz w:val="18"/>
          <w:szCs w:val="18"/>
          <w:color w:val="auto"/>
        </w:rPr>
      </w:pPr>
    </w:p>
    <w:p>
      <w:pPr>
        <w:ind w:left="4" w:right="220" w:firstLine="436"/>
        <w:spacing w:after="0" w:line="267" w:lineRule="auto"/>
        <w:tabs>
          <w:tab w:leader="none" w:pos="68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Forward Hedge Securities</w:t>
      </w:r>
      <w:r>
        <w:rPr>
          <w:rFonts w:ascii="Times New Roman" w:cs="Times New Roman" w:eastAsia="Times New Roman" w:hAnsi="Times New Roman"/>
          <w:sz w:val="18"/>
          <w:szCs w:val="18"/>
          <w:color w:val="auto"/>
        </w:rPr>
        <w:t>. Unless otherwise specified in the applicable Placement Notice (as amended by the corresponding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Acceptance, if applicable), settlement for sales of Forward Hedge Securities will occur on the date (each, a “Forward Hedge Settlement Date”) and in the manner agreed to by the applicable Forward Seller and the applicable Forward Purchaser.</w:t>
      </w:r>
    </w:p>
    <w:p>
      <w:pPr>
        <w:spacing w:after="0" w:line="173" w:lineRule="exact"/>
        <w:rPr>
          <w:rFonts w:ascii="Times New Roman" w:cs="Times New Roman" w:eastAsia="Times New Roman" w:hAnsi="Times New Roman"/>
          <w:sz w:val="18"/>
          <w:szCs w:val="18"/>
          <w:color w:val="auto"/>
        </w:rPr>
      </w:pPr>
    </w:p>
    <w:p>
      <w:pPr>
        <w:ind w:left="4" w:right="80" w:firstLine="436"/>
        <w:spacing w:after="0" w:line="267" w:lineRule="auto"/>
        <w:tabs>
          <w:tab w:leader="none" w:pos="66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Denominations; Registration. </w:t>
      </w:r>
      <w:r>
        <w:rPr>
          <w:rFonts w:ascii="Times New Roman" w:cs="Times New Roman" w:eastAsia="Times New Roman" w:hAnsi="Times New Roman"/>
          <w:sz w:val="18"/>
          <w:szCs w:val="18"/>
          <w:color w:val="auto"/>
        </w:rPr>
        <w:t>The Securities shall be in such denominations and registered in such names as the Sales Agents or the Forward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Sellers, as applicable, may request in writing at least one full business day before the Settlement Date. The Company shall deliver the Securities, if any, through the facilities of DTC unless such Sales Agent shall otherwise instruct.</w:t>
      </w:r>
    </w:p>
    <w:p>
      <w:pPr>
        <w:spacing w:after="0" w:line="173" w:lineRule="exact"/>
        <w:rPr>
          <w:rFonts w:ascii="Times New Roman" w:cs="Times New Roman" w:eastAsia="Times New Roman" w:hAnsi="Times New Roman"/>
          <w:sz w:val="18"/>
          <w:szCs w:val="18"/>
          <w:color w:val="auto"/>
        </w:rPr>
      </w:pPr>
    </w:p>
    <w:p>
      <w:pPr>
        <w:ind w:left="4" w:right="320" w:firstLine="436"/>
        <w:spacing w:after="0" w:line="262" w:lineRule="auto"/>
        <w:tabs>
          <w:tab w:leader="none" w:pos="69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Limitations on Offering Size</w:t>
      </w:r>
      <w:r>
        <w:rPr>
          <w:rFonts w:ascii="Times New Roman" w:cs="Times New Roman" w:eastAsia="Times New Roman" w:hAnsi="Times New Roman"/>
          <w:sz w:val="18"/>
          <w:szCs w:val="18"/>
          <w:color w:val="auto"/>
        </w:rPr>
        <w:t>. Under no circumstances shall the Company cause or request the offer or sale of any Securities, if after giving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to the sale of such Securities, the aggregate offering price of the Securities sold pursuant to this Agreement would exceed the lesser of</w:t>
      </w:r>
    </w:p>
    <w:p>
      <w:pPr>
        <w:ind w:left="4" w:hanging="4"/>
        <w:spacing w:after="0" w:line="252" w:lineRule="auto"/>
        <w:tabs>
          <w:tab w:leader="none" w:pos="29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with all the sales of Securities under this Agreement, the Maximum Amount and (B) the amount authorized from time to time to be offered and sold under this Agreement by the Company and notified to the Sales Agents, the Forward Sellers and the Forward Purchasers in writing. Under no circumstances shall the Company cause or request the offer or sale of any Securities pursuant to this Agreement at a price lower than the minimum price authorized from time to time by the Company and notified to the Sales Agents, the Forward Sellers and the Forward Purchasers in writing. Further, under no circumstances shall the aggregate offering price of Securities sold pursuant to this Agreement, including any separate underwriting or similar agreement covering principal transactions referred to in Section 1 of this Agreement, exceed the Maximum Amount.</w:t>
      </w:r>
    </w:p>
    <w:p>
      <w:pPr>
        <w:spacing w:after="0" w:line="187" w:lineRule="exact"/>
        <w:rPr>
          <w:rFonts w:ascii="Times New Roman" w:cs="Times New Roman" w:eastAsia="Times New Roman" w:hAnsi="Times New Roman"/>
          <w:sz w:val="18"/>
          <w:szCs w:val="18"/>
          <w:color w:val="auto"/>
        </w:rPr>
      </w:pPr>
    </w:p>
    <w:p>
      <w:pPr>
        <w:ind w:left="4" w:right="100" w:firstLine="436"/>
        <w:spacing w:after="0" w:line="255" w:lineRule="auto"/>
        <w:tabs>
          <w:tab w:leader="none" w:pos="69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Limitation on Sales Agents and Forward Sellers. </w:t>
      </w:r>
      <w:r>
        <w:rPr>
          <w:rFonts w:ascii="Times New Roman" w:cs="Times New Roman" w:eastAsia="Times New Roman" w:hAnsi="Times New Roman"/>
          <w:sz w:val="18"/>
          <w:szCs w:val="18"/>
          <w:color w:val="auto"/>
        </w:rPr>
        <w:t>The Company agrees that any offer to sell, any solicitation of an offer to buy or any sales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Securities shall only be effected by or through, on any single given day, only one of the Sales Agents or the Forward Sellers, and in no event more than one, and the Company shall in no event request that a Sales Agent and a Forward Seller sell Securities on the same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the foregoing limitation shall not apply to (i) exercise of any option, warrant, right or any conversion privilege set forth in the instrument governing such security or (ii) sales solely to employees or security holders of the Company or its subsidiaries, or to a trustee or other person acquiring such securities for the accounts of such persons, and (b) such limitation shall not apply on any day during which no sales are made pursuant to this Agreement. Notwithstanding the foregoing or anything to the contrary contained herein, the Company shall be permitted, at any time and from time to time, to engage one or more additional agents and/or principals and/or forward sellers,</w:t>
      </w:r>
    </w:p>
    <w:p>
      <w:pPr>
        <w:spacing w:after="0" w:line="11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4"/>
          </w:cols>
          <w:pgMar w:left="436" w:top="268" w:right="479" w:bottom="1440" w:gutter="0" w:footer="0" w:header="0"/>
        </w:sectPr>
      </w:pPr>
    </w:p>
    <w:bookmarkStart w:id="26" w:name="page27"/>
    <w:bookmarkEnd w:id="26"/>
    <w:p>
      <w:pPr>
        <w:ind w:left="4"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that, once engaged, may offer to sell, solicit an offer to buy or sell the Securities, and at such time(s) a Sales Agent or a Forward Seller (x) shall promptly, upon request by the Company, enter into an amendment to this Agreement, or into a new agreement superseding this Agreement upon terms and conditions substantially similar to those contained herein or such other terms and conditions otherwise agreed to between such Sales Agent or such Forward Seller and the Company, providing for such engagement(s) and/or (y) shall agree to cooperate with and do such other things reasonably requested by the Company in order to allow for such engagement(s).</w:t>
      </w:r>
    </w:p>
    <w:p>
      <w:pPr>
        <w:spacing w:after="0" w:line="181" w:lineRule="exact"/>
        <w:rPr>
          <w:sz w:val="20"/>
          <w:szCs w:val="20"/>
          <w:color w:val="auto"/>
        </w:rPr>
      </w:pPr>
    </w:p>
    <w:p>
      <w:pPr>
        <w:ind w:left="4" w:right="20" w:firstLine="436"/>
        <w:spacing w:after="0" w:line="254" w:lineRule="auto"/>
        <w:tabs>
          <w:tab w:leader="none" w:pos="65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Period for Restriction on Offers and Sales. </w:t>
      </w:r>
      <w:r>
        <w:rPr>
          <w:rFonts w:ascii="Times New Roman" w:cs="Times New Roman" w:eastAsia="Times New Roman" w:hAnsi="Times New Roman"/>
          <w:sz w:val="18"/>
          <w:szCs w:val="18"/>
          <w:color w:val="auto"/>
        </w:rPr>
        <w:t>Notwithstanding any other provision of this Agreement, the Company shall not offer, sell or deliver,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request the offer or sale of, any Securities and, by notice to a Sales Agent (in the case of an Issuance) or a Forward Seller and a Forward Purchaser (in the case of a Forward) given by telephone (confirmed promptly by email), shall cancel any instructions for the offer or sale of any Securities, and such Sales Agent, or such Forward Seller, as applicable, shall not be obligated to offer or sell any Securities, (i) during any period in which the Company is, or could be deemed to be, in possession of material non-public information or (ii) except as provided in Section 6(j) below, at any time from and including the date (each, an “</w:t>
      </w:r>
      <w:r>
        <w:rPr>
          <w:rFonts w:ascii="Times New Roman" w:cs="Times New Roman" w:eastAsia="Times New Roman" w:hAnsi="Times New Roman"/>
          <w:sz w:val="18"/>
          <w:szCs w:val="18"/>
          <w:u w:val="single" w:color="auto"/>
          <w:color w:val="auto"/>
        </w:rPr>
        <w:t>Announcement Date</w:t>
      </w:r>
      <w:r>
        <w:rPr>
          <w:rFonts w:ascii="Times New Roman" w:cs="Times New Roman" w:eastAsia="Times New Roman" w:hAnsi="Times New Roman"/>
          <w:sz w:val="18"/>
          <w:szCs w:val="18"/>
          <w:color w:val="auto"/>
        </w:rPr>
        <w:t>”) on which the Company shall issue a press release containing, or shall otherwise publicly announce, its earnings, revenues or other results of operations (each, an “</w:t>
      </w:r>
      <w:r>
        <w:rPr>
          <w:rFonts w:ascii="Times New Roman" w:cs="Times New Roman" w:eastAsia="Times New Roman" w:hAnsi="Times New Roman"/>
          <w:sz w:val="18"/>
          <w:szCs w:val="18"/>
          <w:u w:val="single" w:color="auto"/>
          <w:color w:val="auto"/>
        </w:rPr>
        <w:t>Earnings Announcement</w:t>
      </w:r>
      <w:r>
        <w:rPr>
          <w:rFonts w:ascii="Times New Roman" w:cs="Times New Roman" w:eastAsia="Times New Roman" w:hAnsi="Times New Roman"/>
          <w:sz w:val="18"/>
          <w:szCs w:val="18"/>
          <w:color w:val="auto"/>
        </w:rPr>
        <w:t>”) through and including the time that is 24 hours after the time that the Company files (a “</w:t>
      </w:r>
      <w:r>
        <w:rPr>
          <w:rFonts w:ascii="Times New Roman" w:cs="Times New Roman" w:eastAsia="Times New Roman" w:hAnsi="Times New Roman"/>
          <w:sz w:val="18"/>
          <w:szCs w:val="18"/>
          <w:u w:val="single" w:color="auto"/>
          <w:color w:val="auto"/>
        </w:rPr>
        <w:t>Filing Time</w:t>
      </w:r>
      <w:r>
        <w:rPr>
          <w:rFonts w:ascii="Times New Roman" w:cs="Times New Roman" w:eastAsia="Times New Roman" w:hAnsi="Times New Roman"/>
          <w:sz w:val="18"/>
          <w:szCs w:val="18"/>
          <w:color w:val="auto"/>
        </w:rPr>
        <w:t>”) a Quarterly Report on Form 10-Q or an Annual Report on Form 10-K that includes consolidated financial statements as of and for the same period or periods, as the case may be, covered by such Earnings Announcement.</w:t>
      </w:r>
    </w:p>
    <w:p>
      <w:pPr>
        <w:spacing w:after="0" w:line="188" w:lineRule="exact"/>
        <w:rPr>
          <w:rFonts w:ascii="Times New Roman" w:cs="Times New Roman" w:eastAsia="Times New Roman" w:hAnsi="Times New Roman"/>
          <w:sz w:val="18"/>
          <w:szCs w:val="18"/>
          <w:color w:val="auto"/>
        </w:rPr>
      </w:pPr>
    </w:p>
    <w:p>
      <w:pPr>
        <w:ind w:left="4" w:right="40" w:firstLine="436"/>
        <w:spacing w:after="0" w:line="267" w:lineRule="auto"/>
        <w:tabs>
          <w:tab w:leader="none" w:pos="659"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Removal of Restriction on Offers and Sales. </w:t>
      </w:r>
      <w:r>
        <w:rPr>
          <w:rFonts w:ascii="Times New Roman" w:cs="Times New Roman" w:eastAsia="Times New Roman" w:hAnsi="Times New Roman"/>
          <w:sz w:val="17"/>
          <w:szCs w:val="17"/>
          <w:color w:val="auto"/>
        </w:rPr>
        <w:t>If the Company wishes that Securities be offered, sold and/or delivered at any time during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period from and including an Announcement Date through and including the time that is 24 hours after the corresponding Filing Time, the Company shall (i) prepare and deliver to the applicable Sales Agent (in the case of an Issuance) or the applicable Forward Seller and the applicable Forward Purchaser (in the case of a Forward) (with a copy to their respective counsel) a Current Report on Form 8-K which shall include substantially the same financial and related information as was set forth in the relevant Earnings Announcement (other than any earnings projections, similar forward-looking data and officers’ quotations) (each, an “</w:t>
      </w:r>
      <w:r>
        <w:rPr>
          <w:rFonts w:ascii="Times New Roman" w:cs="Times New Roman" w:eastAsia="Times New Roman" w:hAnsi="Times New Roman"/>
          <w:sz w:val="17"/>
          <w:szCs w:val="17"/>
          <w:u w:val="single" w:color="auto"/>
          <w:color w:val="auto"/>
        </w:rPr>
        <w:t>Earnings 8-K</w:t>
      </w:r>
      <w:r>
        <w:rPr>
          <w:rFonts w:ascii="Times New Roman" w:cs="Times New Roman" w:eastAsia="Times New Roman" w:hAnsi="Times New Roman"/>
          <w:sz w:val="17"/>
          <w:szCs w:val="17"/>
          <w:color w:val="auto"/>
        </w:rPr>
        <w:t>”), in form and substance reasonably satisfactory to such Sales Agent or such Forward Seller and such Forward Purchaser, as applicable, and obtain the consent of such Sales Agent or such Forward Seller and such Forward Purchaser, as applicable, to such filing thereof (such consent not to be unreasonably withheld), (ii) provide such Sales Agent or such Forward Seller and such Forward Purchaser, as applicable, with the officer’s certificate, opinions/letters of counsel and accountants’ letter called for by Sections 7(o), (p) and (q) hereof; respectively,</w:t>
      </w:r>
    </w:p>
    <w:p>
      <w:pPr>
        <w:spacing w:after="0" w:line="7" w:lineRule="exact"/>
        <w:rPr>
          <w:rFonts w:ascii="Times New Roman" w:cs="Times New Roman" w:eastAsia="Times New Roman" w:hAnsi="Times New Roman"/>
          <w:sz w:val="17"/>
          <w:szCs w:val="17"/>
          <w:color w:val="auto"/>
        </w:rPr>
      </w:pPr>
    </w:p>
    <w:p>
      <w:pPr>
        <w:ind w:left="4" w:hanging="4"/>
        <w:spacing w:after="0" w:line="253" w:lineRule="auto"/>
        <w:tabs>
          <w:tab w:leader="none" w:pos="31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afford such Sales Agent or such Forward Seller and such Forward Purchaser, as applicable, the opportunity to conduct a due diligence review in accordance with Section 7(m) hereof and (iv) file such Earnings 8-K with the Commission, then the provisions of clause (iii) of Section 6(i) shall not be applicable for the period from and after the time at which the foregoing conditions shall have been satisfied (or, if later, the time that is 24 hours after the time that the relevant Earnings Announcement was first publicly released) through and including the time that is 24 hours after the Filing Time of the relevant Quarterly</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70" w:right="459" w:bottom="1440" w:gutter="0" w:footer="0" w:header="0"/>
        </w:sectPr>
      </w:pPr>
    </w:p>
    <w:bookmarkStart w:id="27" w:name="page28"/>
    <w:bookmarkEnd w:id="2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Report on Form 10-Q or Annual Report on Form 10-K under the Exchange Act, as the case may be. For purposes of clarity, the parties hereto agree that</w:t>
      </w:r>
    </w:p>
    <w:p>
      <w:pPr>
        <w:spacing w:after="0" w:line="27" w:lineRule="exact"/>
        <w:rPr>
          <w:sz w:val="20"/>
          <w:szCs w:val="20"/>
          <w:color w:val="auto"/>
        </w:rPr>
      </w:pPr>
    </w:p>
    <w:p>
      <w:pPr>
        <w:ind w:left="4" w:right="40" w:hanging="4"/>
        <w:spacing w:after="0" w:line="253" w:lineRule="auto"/>
        <w:tabs>
          <w:tab w:leader="none" w:pos="29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of any officer’s certificate, opinions/letters of counsel and accountants’ letter pursuant to this Section 6(j) shall not relieve the Company from any of its obligations under this Agreement with respect to any Quarterly Report on Form 10-Q or Annual Report on Form 10-K, as the case may be, including, without limitation, the obligation to deliver officer’s certificates, opinions/letters of counsel and accountants’ letters as provided in Sections 7(o), (p) and (q) hereof and (B) this Section 6(i) shall in no way affect or limit the operation of the provisions of clauses (i) and (ii) of Section 6(i), which shall have independent application.</w:t>
      </w:r>
    </w:p>
    <w:p>
      <w:pPr>
        <w:spacing w:after="0" w:line="187" w:lineRule="exact"/>
        <w:rPr>
          <w:sz w:val="20"/>
          <w:szCs w:val="20"/>
          <w:color w:val="auto"/>
        </w:rPr>
      </w:pPr>
    </w:p>
    <w:p>
      <w:pPr>
        <w:ind w:left="4" w:right="3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with the Sales Agents, the Forward Sellers and the Forward Purchasers as follows:</w:t>
      </w:r>
    </w:p>
    <w:p>
      <w:pPr>
        <w:spacing w:after="0" w:line="160" w:lineRule="exact"/>
        <w:rPr>
          <w:sz w:val="20"/>
          <w:szCs w:val="20"/>
          <w:color w:val="auto"/>
        </w:rPr>
      </w:pPr>
    </w:p>
    <w:p>
      <w:pPr>
        <w:ind w:left="4" w:firstLine="436"/>
        <w:spacing w:after="0" w:line="252" w:lineRule="auto"/>
        <w:tabs>
          <w:tab w:leader="none" w:pos="68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Statement Amendments</w:t>
      </w:r>
      <w:r>
        <w:rPr>
          <w:rFonts w:ascii="Times New Roman" w:cs="Times New Roman" w:eastAsia="Times New Roman" w:hAnsi="Times New Roman"/>
          <w:sz w:val="18"/>
          <w:szCs w:val="18"/>
          <w:color w:val="auto"/>
        </w:rPr>
        <w:t>. After the date of this Agreement and during any Selling Period or period in which a Prospectus relating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Securities is required to be delivered by the Sales Agents or the Forward Sellers under the Securities Act (including in circumstances where such requirement may be satisfied pursuant to Rule 172 under the Securities Act), (i) the Company will notify the Sales Agents, the Forward Sellers and the Forward Purchasers promptly of the time when any subsequent amendment to the Registration Statement, other than documents incorporated by reference, has been filed with the Commission and/or has become effective or any subsequent supplement to the Prospectus has been filed and of any comment letter from the Commission or any request by the Commission for any amendment or supplement to the Registration Statement or Prospectus or for additional information; (ii) the Company will prepare and file with the Commission, promptly upon a Sales Agent’s, a Forward Seller’s or a Forward Purchaser’s request, any amendments or supplements to the Registration Statement or Prospectus that, in such Sales Agent’s, such Forward Seller’s or such Forward Purchaser’s reasonable opinion, may be necessary or advisable in connection with the distribution of the Securities by such Sales Agent or such Forward Seller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of such Sales Agent, such Forward Seller or Forward Purchaser to make such request shall not relieve the Company of any obligation or liability hereunder, or affect such Sales Agent’s, such Forward Seller’s or such Forward Purchaser’s right to rely on the representations and warranties made by the Company in this Agreement); (iii) the Company will not file any amendment or supplement to the Registration Statement or Prospectus, other than documents incorporated by reference, relating to the Securities or a security convertible into the Securities unless a copy thereof has been submitted to such Sales Agent, such Forward Seller and such Forward Purchaser within a reasonable period of time before the filing and such Sales Agent, such Forward Seller and such Forward Purchaser has not reasonably objected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of such Sales Agent, such Forward Seller or such Forward Purchaser to make such objection shall not relieve the Company of any obligation or liability hereunder, or affect such Sales Agent’s, such Forward Seller’s or such Forward Purchaser’s right to rely on the representations and warranties made by the Company in this Agreement) and the Company will furnish to such Sales Agent, such Forward Seller or such Forward Purchaser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other than documents incorporated by reference, to be filed with the Commission as required pursuant to the applicable paragraph of Rule 424(b) of the Securities Act (without reliance on Rule 424(b)(8) of the Securities Act).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70" w:right="459" w:bottom="1440" w:gutter="0" w:footer="0" w:header="0"/>
        </w:sectPr>
      </w:pPr>
    </w:p>
    <w:bookmarkStart w:id="28" w:name="page29"/>
    <w:bookmarkEnd w:id="28"/>
    <w:p>
      <w:pPr>
        <w:ind w:firstLine="436"/>
        <w:spacing w:after="0" w:line="254" w:lineRule="auto"/>
        <w:tabs>
          <w:tab w:leader="none" w:pos="6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Notice of Commission Stop Orders</w:t>
      </w:r>
      <w:r>
        <w:rPr>
          <w:rFonts w:ascii="Times New Roman" w:cs="Times New Roman" w:eastAsia="Times New Roman" w:hAnsi="Times New Roman"/>
          <w:sz w:val="18"/>
          <w:szCs w:val="18"/>
          <w:color w:val="auto"/>
        </w:rPr>
        <w:t>. The Company will advise the Sales Agents, the Forward Sellers and the Forward Purchasers promptly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 receives notice or obtains knowledge thereof, of the issuance or threatened issuance by the Commission of any stop order suspending the effectiveness of the Registration Statement or of any other order preventing or suspending the use of the Prospectus or any Issuer Free Writing Prospectus, or of the suspension of the qualification of the Securities for offering or sale in any jurisdiction or of the loss or suspension of any exemption from any such qualification, or of the initiation or threatening of any proceedings for any of such purposes, or of any examination pursuant to Section 8(e) of the Securities Act concerning the Registration Statement or if the Company becomes the subject of a proceeding under Section 8A of the Securities Act in connection with the offering of the Securities. The Company will make every reasonable effort to prevent the issuance of any stop order, the suspension of any qualification of the Securities for offering or sale and any loss or suspension of any exemption from any such qualification, and if any such stop order is issued or any such suspension or loss occurs, to obtain the lifting thereof at the earliest possible moment.</w:t>
      </w:r>
    </w:p>
    <w:p>
      <w:pPr>
        <w:spacing w:after="0" w:line="188" w:lineRule="exact"/>
        <w:rPr>
          <w:rFonts w:ascii="Times New Roman" w:cs="Times New Roman" w:eastAsia="Times New Roman" w:hAnsi="Times New Roman"/>
          <w:sz w:val="18"/>
          <w:szCs w:val="18"/>
          <w:color w:val="auto"/>
        </w:rPr>
      </w:pPr>
    </w:p>
    <w:p>
      <w:pPr>
        <w:ind w:right="160" w:firstLine="436"/>
        <w:spacing w:after="0" w:line="270" w:lineRule="auto"/>
        <w:tabs>
          <w:tab w:leader="none" w:pos="68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Delivery of Registration Statement and Prospectus. </w:t>
      </w:r>
      <w:r>
        <w:rPr>
          <w:rFonts w:ascii="Times New Roman" w:cs="Times New Roman" w:eastAsia="Times New Roman" w:hAnsi="Times New Roman"/>
          <w:sz w:val="17"/>
          <w:szCs w:val="17"/>
          <w:color w:val="auto"/>
        </w:rPr>
        <w:t>The Company will furnish to the Sales Agents, the Forward Sellers, the Forward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Purchasers and their respective counsel (at the expense of the Company) copies of the Registration Statement, the Prospectus (including all documents incorporated by reference therein) and all amendments and supplements to the Registration Statement or Prospectus, and any Issuer Free Writing Prospectuses, that are filed with the Commission during any Selling Period or period in which a Prospectus relating to the Securities is required to be delivered under the Securities Act (including all documents filed with the Commission during such period that are deemed to be incorporated by reference therein), in each case as soon as reasonably practicable and in such quantities and at such locations as the Sales Agents, the Forward Sellers and the Forward Purchasers may from time to time reasonably request; provided, however, the Company shall not be required to furnish to a Sales Agent, a Forward Seller or a Forward Purchaser any document that is available via EDGAR. The copies of the Registration Statement and the Prospectus and any supplements or amendments thereto furnished to a Sales Agent, a Forward Seller or a Forward Purchaser will be identical to the electronically transmitted copies thereof filed with the Commission pursuant to EDGAR, except to the extent permitted by Regulation S-T.</w:t>
      </w:r>
    </w:p>
    <w:p>
      <w:pPr>
        <w:spacing w:after="0" w:line="176" w:lineRule="exact"/>
        <w:rPr>
          <w:rFonts w:ascii="Times New Roman" w:cs="Times New Roman" w:eastAsia="Times New Roman" w:hAnsi="Times New Roman"/>
          <w:sz w:val="17"/>
          <w:szCs w:val="17"/>
          <w:color w:val="auto"/>
        </w:rPr>
      </w:pPr>
    </w:p>
    <w:p>
      <w:pPr>
        <w:ind w:firstLine="436"/>
        <w:spacing w:after="0" w:line="257" w:lineRule="auto"/>
        <w:tabs>
          <w:tab w:leader="none" w:pos="6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Continued Compliance with Securities Laws. </w:t>
      </w:r>
      <w:r>
        <w:rPr>
          <w:rFonts w:ascii="Times New Roman" w:cs="Times New Roman" w:eastAsia="Times New Roman" w:hAnsi="Times New Roman"/>
          <w:sz w:val="18"/>
          <w:szCs w:val="18"/>
          <w:color w:val="auto"/>
        </w:rPr>
        <w:t>If at any time during any Selling Period or period when a Prospectus is required by the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or the Exchange Act to be delivered in connection with a pending sale of the Securities (including, without limitation, pursuant to Rule 172), any event shall occur or condition shall exist as a result of which it is necessary, in the opinion of counsel for the Sales Agents, the Forward Sellers or the Forward Purchasers or counsel to the Company, to amend the Registration Statement or amend or supplement the Prospectus in order that the Prospectus will not include any untrue statement of a material fact or omit to state a material fact necessary in order to make the statements therein not misleading in the light of the circumstances existing at the time it is delivered to a purchaser, or</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68" w:right="459" w:bottom="1440" w:gutter="0" w:footer="0" w:header="0"/>
        </w:sectPr>
      </w:pPr>
    </w:p>
    <w:bookmarkStart w:id="29" w:name="page30"/>
    <w:bookmarkEnd w:id="29"/>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it shall be necessary, in the opinion of such counsel, at any such time to amend the Registration Statement or to file a new registration statement or amend or supplement the Prospectus in order to comply with the requirements of the Securities Act, the Company will promptly notify the Sales Agents or the Forward Sellers and the Forward Purchasers, as applicable, to suspend the offering of Securities during such period and the Company will promptly prepare and file with the Commission such amendment, supplement or new registration statement as may be necessary to correct such statement or omission or to comply with such requirements, the Company will use its reasonable best efforts to have such amendment or new registration statement declared effective as soon as practicable (if it is not an automatic shelf registration statement with respect to the Securities) and the Company will furnish to the Sales Agents, the Forward Sellers and the Forward Purchasers such number of copies of such amendment, supplement or new registration statement as the Sales Agents, the Forward Sellers and the Forward Purchasers may reasonably request. If at any time following issuance of an Issuer Free Writing Prospectus there occurred or occurs an event or development as a result of which such Issuer Free Writing Prospectus conflicted, conflicts or would conflict with the information contained in the Registration Statement or the Prospectus or included, includes or would include an untrue statement of a material fact or omitted, omits or would omit to state a material fact necessary in order to make the statements therein, in the light of the circumstances, prevailing at that subsequent time, not misleading, the Company will promptly notify the Sales Agents or the Forward Sellers and the Forward Purchasers, as applicable, to suspend the offering of Securities during such period and the Company will, subject to Section 7(a) hereof, promptly amend or supplement, at its own expense, such Issuer Free Writing Prospectus to eliminate or correct such conflict, untrue statement or omission.</w:t>
      </w:r>
    </w:p>
    <w:p>
      <w:pPr>
        <w:spacing w:after="0" w:line="194" w:lineRule="exact"/>
        <w:rPr>
          <w:sz w:val="20"/>
          <w:szCs w:val="20"/>
          <w:color w:val="auto"/>
        </w:rPr>
      </w:pPr>
    </w:p>
    <w:p>
      <w:pPr>
        <w:ind w:right="20" w:firstLine="436"/>
        <w:spacing w:after="0" w:line="271" w:lineRule="auto"/>
        <w:tabs>
          <w:tab w:leader="none" w:pos="68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Blue Sky and Other Qualifications. </w:t>
      </w:r>
      <w:r>
        <w:rPr>
          <w:rFonts w:ascii="Times New Roman" w:cs="Times New Roman" w:eastAsia="Times New Roman" w:hAnsi="Times New Roman"/>
          <w:sz w:val="17"/>
          <w:szCs w:val="17"/>
          <w:color w:val="auto"/>
        </w:rPr>
        <w:t>The Company will use its commercially reasonable efforts, in cooperation with the Sales Agents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Forward Sellers, to qualify the Securities for offering and sale, or to obtain an exemption for the Securities to be offered and sold, under the applicable securities laws of such states and other jurisdictions (domestic or foreign) as the Sales Agents and the Forward Sellers may designate and to maintain such qualifications and exemptions in effect for so long as required for the distribution of the Securities (but in no event for less than one year from the date of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Securities have been so qualified or exempted, the Company will file such statements and reports as may be required by the laws of such jurisdiction to continue such qualification or exemption, as the case may be, in effect for so long as required for the distribution of the Securities (but in no event for less than one year from the date of this Agreement).</w:t>
      </w:r>
    </w:p>
    <w:p>
      <w:pPr>
        <w:spacing w:after="0" w:line="173" w:lineRule="exact"/>
        <w:rPr>
          <w:rFonts w:ascii="Times New Roman" w:cs="Times New Roman" w:eastAsia="Times New Roman" w:hAnsi="Times New Roman"/>
          <w:sz w:val="17"/>
          <w:szCs w:val="17"/>
          <w:color w:val="auto"/>
        </w:rPr>
      </w:pPr>
    </w:p>
    <w:p>
      <w:pPr>
        <w:jc w:val="both"/>
        <w:ind w:right="100" w:firstLine="436"/>
        <w:spacing w:after="0" w:line="267" w:lineRule="auto"/>
        <w:tabs>
          <w:tab w:leader="none" w:pos="66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Rule 158. </w:t>
      </w:r>
      <w:r>
        <w:rPr>
          <w:rFonts w:ascii="Times New Roman" w:cs="Times New Roman" w:eastAsia="Times New Roman" w:hAnsi="Times New Roman"/>
          <w:sz w:val="18"/>
          <w:szCs w:val="18"/>
          <w:color w:val="auto"/>
        </w:rPr>
        <w:t>The Company will timely file such reports pursuant to the Exchange Act as are necessary in order to make generally available to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securityholders as soon as practicable an earnings statement for the purposes of, and to provide to the Sales Agents and the Forward Sellers the benefits contemplated by, the last paragraph of Section 11(a) of the Securities Act.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30" w:name="page31"/>
    <w:bookmarkEnd w:id="30"/>
    <w:p>
      <w:pPr>
        <w:ind w:left="-40" w:right="280" w:firstLine="436"/>
        <w:spacing w:after="0" w:line="284"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Use of Proceeds</w:t>
      </w:r>
      <w:r>
        <w:rPr>
          <w:rFonts w:ascii="Times New Roman" w:cs="Times New Roman" w:eastAsia="Times New Roman" w:hAnsi="Times New Roman"/>
          <w:sz w:val="18"/>
          <w:szCs w:val="18"/>
          <w:color w:val="auto"/>
        </w:rPr>
        <w:t>. The Company will use the Net Proceeds received by it from the sale of the Securities and the net proceeds received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Confirmation in the manner specified in the Prospectus under the caption “Use of Proceeds.”</w:t>
      </w:r>
    </w:p>
    <w:p>
      <w:pPr>
        <w:spacing w:after="0" w:line="158" w:lineRule="exact"/>
        <w:rPr>
          <w:rFonts w:ascii="Times New Roman" w:cs="Times New Roman" w:eastAsia="Times New Roman" w:hAnsi="Times New Roman"/>
          <w:sz w:val="18"/>
          <w:szCs w:val="18"/>
          <w:color w:val="auto"/>
        </w:rPr>
      </w:pPr>
    </w:p>
    <w:p>
      <w:pPr>
        <w:ind w:left="-40" w:right="380" w:firstLine="436"/>
        <w:spacing w:after="0" w:line="26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Listing. </w:t>
      </w:r>
      <w:r>
        <w:rPr>
          <w:rFonts w:ascii="Times New Roman" w:cs="Times New Roman" w:eastAsia="Times New Roman" w:hAnsi="Times New Roman"/>
          <w:sz w:val="18"/>
          <w:szCs w:val="18"/>
          <w:color w:val="auto"/>
        </w:rPr>
        <w:t>During any Selling Period or any period in which the Prospectus relating to the Securities is required to be delivered by the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Agents or the Forward Sellers under the Securities Act with respect to a pending sale of the Securities (including in circumstances where such requirement may be satisfied pursuant to Rule 172 under the Securities Act), the Company will use its commercially reasonable efforts to cause the Securities and the Confirmation Securities to be listed on the NYSE.</w:t>
      </w:r>
    </w:p>
    <w:p>
      <w:pPr>
        <w:spacing w:after="0" w:line="179" w:lineRule="exact"/>
        <w:rPr>
          <w:rFonts w:ascii="Times New Roman" w:cs="Times New Roman" w:eastAsia="Times New Roman" w:hAnsi="Times New Roman"/>
          <w:sz w:val="18"/>
          <w:szCs w:val="18"/>
          <w:color w:val="auto"/>
        </w:rPr>
      </w:pPr>
    </w:p>
    <w:p>
      <w:pPr>
        <w:ind w:left="-40" w:right="160" w:firstLine="436"/>
        <w:spacing w:after="0" w:line="284" w:lineRule="auto"/>
        <w:tabs>
          <w:tab w:leader="none" w:pos="6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Filings with the NYSE</w:t>
      </w:r>
      <w:r>
        <w:rPr>
          <w:rFonts w:ascii="Times New Roman" w:cs="Times New Roman" w:eastAsia="Times New Roman" w:hAnsi="Times New Roman"/>
          <w:sz w:val="18"/>
          <w:szCs w:val="18"/>
          <w:color w:val="auto"/>
        </w:rPr>
        <w:t>. The Company will timely file with the NYSE all material documents and notices required by the NYSE of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have or will issue securities that are traded on the NYSE.</w:t>
      </w:r>
    </w:p>
    <w:p>
      <w:pPr>
        <w:spacing w:after="0" w:line="158" w:lineRule="exact"/>
        <w:rPr>
          <w:rFonts w:ascii="Times New Roman" w:cs="Times New Roman" w:eastAsia="Times New Roman" w:hAnsi="Times New Roman"/>
          <w:sz w:val="18"/>
          <w:szCs w:val="18"/>
          <w:color w:val="auto"/>
        </w:rPr>
      </w:pPr>
    </w:p>
    <w:p>
      <w:pPr>
        <w:ind w:left="-40" w:right="200" w:firstLine="436"/>
        <w:spacing w:after="0" w:line="261" w:lineRule="auto"/>
        <w:tabs>
          <w:tab w:leader="none" w:pos="6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Reporting Requirements. </w:t>
      </w:r>
      <w:r>
        <w:rPr>
          <w:rFonts w:ascii="Times New Roman" w:cs="Times New Roman" w:eastAsia="Times New Roman" w:hAnsi="Times New Roman"/>
          <w:sz w:val="18"/>
          <w:szCs w:val="18"/>
          <w:color w:val="auto"/>
        </w:rPr>
        <w:t>The Company, during any Selling Period or period when the Prospectus is required to be delivered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Act and the Exchange Act (including in circumstances where such requirement may be satisfied pursuant to Rule 172 under the Securities Act), will file all documents required to be filed with the Commission pursuant to the Exchange Act within the time periods required by the Exchange Act.</w:t>
      </w:r>
    </w:p>
    <w:p>
      <w:pPr>
        <w:spacing w:after="0" w:line="179" w:lineRule="exact"/>
        <w:rPr>
          <w:rFonts w:ascii="Times New Roman" w:cs="Times New Roman" w:eastAsia="Times New Roman" w:hAnsi="Times New Roman"/>
          <w:sz w:val="18"/>
          <w:szCs w:val="18"/>
          <w:color w:val="auto"/>
        </w:rPr>
      </w:pPr>
    </w:p>
    <w:p>
      <w:pPr>
        <w:ind w:left="-40" w:firstLine="436"/>
        <w:spacing w:after="0" w:line="25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Other Sales</w:t>
      </w:r>
      <w:r>
        <w:rPr>
          <w:rFonts w:ascii="Times New Roman" w:cs="Times New Roman" w:eastAsia="Times New Roman" w:hAnsi="Times New Roman"/>
          <w:sz w:val="18"/>
          <w:szCs w:val="18"/>
          <w:color w:val="auto"/>
        </w:rPr>
        <w:t>. During the pendency of any Placement Notice (as amended by the corresponding Acceptance, if applicable) given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hereunder, the Company shall provide the Sales Agents, the Forward Sellers and the Forward Purchasers notice as promptly as reasonably possible before it offers to sell, contracts to sell, sells, grants any option to sell or otherwise disposes of any Common Shares (other than Securities offered pursuant to the provisions of this Agreement) or securities convertible into or exchangeable for Common Shares, warrants or any rights to purchase or acquire Common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notice shall not be required in connection with (i) the issuance, grant or sale of Common Shares, options to purchase Common Shares or Common Shares issuable upon the exercise of options or other equity awards pursuant to any stock option, stock bonus or other stock or compensatory plan or arrangement, or any similar plan or arrangement, described in the Prospectus, (ii) the issuance of securities in connection with an acquisition, merger or sale or purchase of assets described in the Prospectus, or (iii) the issuance or sale of Common Shares pursuant to any dividend reinvestment and/or share purchase plan currently in effect or established subsequent to the date hereof and disclosed in a report filed pursuant to the Exchange Act (excluding Current Reports of Form 8-K responsive to Item 2.02 or Item 7.01 of such form), (iv) the issuance upon conversion of any of the Company’s Preferred Shares outstanding as of the date hereof or Preferred Shares issued subsequent to the date hereof and disclosed in a report filed pursuant to the Exchange Act (excluding Current Reports of Form 8-K responsive to Item 2.02 or Item 7.01 of such form), (v) a non-material acquisition, merger or purchase of assets or (vi) the issuance or sale pursuant to the exercise of contractual rights described in the Prospectus by the current holders of partnership or other interests in certain “DownREIT” and other subsidiaries which may result in the issuance of Common Shares of the Company.</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40"/>
          </w:cols>
          <w:pgMar w:left="480" w:top="268" w:right="479" w:bottom="1440" w:gutter="0" w:footer="0" w:header="0"/>
        </w:sectPr>
      </w:pPr>
    </w:p>
    <w:bookmarkStart w:id="31" w:name="page32"/>
    <w:bookmarkEnd w:id="31"/>
    <w:p>
      <w:pPr>
        <w:ind w:firstLine="436"/>
        <w:spacing w:after="0" w:line="26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Change of Circumstances</w:t>
      </w:r>
      <w:r>
        <w:rPr>
          <w:rFonts w:ascii="Times New Roman" w:cs="Times New Roman" w:eastAsia="Times New Roman" w:hAnsi="Times New Roman"/>
          <w:sz w:val="18"/>
          <w:szCs w:val="18"/>
          <w:color w:val="auto"/>
        </w:rPr>
        <w:t>. The Company will, prior to tendering a Placement Notice or selling Securities, advise the Sales Agents, the Forward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Sellers and the Forward Purchasers promptly after it shall have received notice or obtained knowledge thereof, of any information or fact that would alter or affect in any material respect any opinion, certificate, letter or other document provided to the Sales Agents, the Forward Sellers and the Forward Purchasers pursuant to this Agreement.</w:t>
      </w:r>
    </w:p>
    <w:p>
      <w:pPr>
        <w:spacing w:after="0" w:line="179" w:lineRule="exact"/>
        <w:rPr>
          <w:rFonts w:ascii="Times New Roman" w:cs="Times New Roman" w:eastAsia="Times New Roman" w:hAnsi="Times New Roman"/>
          <w:sz w:val="18"/>
          <w:szCs w:val="18"/>
          <w:color w:val="auto"/>
        </w:rPr>
      </w:pPr>
    </w:p>
    <w:p>
      <w:pPr>
        <w:ind w:right="320" w:firstLine="436"/>
        <w:spacing w:after="0" w:line="261" w:lineRule="auto"/>
        <w:tabs>
          <w:tab w:leader="none" w:pos="74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Due Diligence Cooperation</w:t>
      </w:r>
      <w:r>
        <w:rPr>
          <w:rFonts w:ascii="Times New Roman" w:cs="Times New Roman" w:eastAsia="Times New Roman" w:hAnsi="Times New Roman"/>
          <w:sz w:val="18"/>
          <w:szCs w:val="18"/>
          <w:color w:val="auto"/>
        </w:rPr>
        <w:t>. The Company will cooperate with any reasonable due diligence review conducted by the Sales Agents,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Forward Sellers and the Forward Purchasers, or their respective agents in connection with the transactions contemplated hereby, including, without limitation, providing information and making available documents and senior officers, during regular business hours and at the Company’s principal offices, as the Sales Agents, the Forward Sellers or the Forward Purchasers may reasonably request.</w:t>
      </w:r>
    </w:p>
    <w:p>
      <w:pPr>
        <w:spacing w:after="0" w:line="179" w:lineRule="exact"/>
        <w:rPr>
          <w:rFonts w:ascii="Times New Roman" w:cs="Times New Roman" w:eastAsia="Times New Roman" w:hAnsi="Times New Roman"/>
          <w:sz w:val="18"/>
          <w:szCs w:val="18"/>
          <w:color w:val="auto"/>
        </w:rPr>
      </w:pPr>
    </w:p>
    <w:p>
      <w:pPr>
        <w:ind w:right="220" w:firstLine="436"/>
        <w:spacing w:after="0" w:line="267" w:lineRule="auto"/>
        <w:tabs>
          <w:tab w:leader="none" w:pos="6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Disclosure of Sales. </w:t>
      </w:r>
      <w:r>
        <w:rPr>
          <w:rFonts w:ascii="Times New Roman" w:cs="Times New Roman" w:eastAsia="Times New Roman" w:hAnsi="Times New Roman"/>
          <w:sz w:val="18"/>
          <w:szCs w:val="18"/>
          <w:color w:val="auto"/>
        </w:rPr>
        <w:t>The Company will disclose in its quarterly reports on Form 10-Q, in its annual report on Form 10-K and/or in a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on Form 8-K, the number of Securities sold under this Agreement, the Net Proceeds to the Company and the compensation payable by the Company with respect to such sales.</w:t>
      </w:r>
    </w:p>
    <w:p>
      <w:pPr>
        <w:spacing w:after="0" w:line="173" w:lineRule="exact"/>
        <w:rPr>
          <w:rFonts w:ascii="Times New Roman" w:cs="Times New Roman" w:eastAsia="Times New Roman" w:hAnsi="Times New Roman"/>
          <w:sz w:val="18"/>
          <w:szCs w:val="18"/>
          <w:color w:val="auto"/>
        </w:rPr>
      </w:pPr>
    </w:p>
    <w:p>
      <w:pPr>
        <w:ind w:right="160" w:firstLine="436"/>
        <w:spacing w:after="0" w:line="284" w:lineRule="auto"/>
        <w:tabs>
          <w:tab w:leader="none" w:pos="6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 Dates; Certificates</w:t>
      </w:r>
      <w:r>
        <w:rPr>
          <w:rFonts w:ascii="Times New Roman" w:cs="Times New Roman" w:eastAsia="Times New Roman" w:hAnsi="Times New Roman"/>
          <w:sz w:val="18"/>
          <w:szCs w:val="18"/>
          <w:color w:val="auto"/>
        </w:rPr>
        <w:t>. On or prior to the date that the first Securities are sold pursuant to the terms of this Agreement, each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are delivered to a Sales Agent as principal on a Settlement Date and:</w:t>
      </w:r>
    </w:p>
    <w:p>
      <w:pPr>
        <w:spacing w:after="0" w:line="52"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time the Company:</w:t>
      </w:r>
    </w:p>
    <w:p>
      <w:pPr>
        <w:spacing w:after="0" w:line="130" w:lineRule="exact"/>
        <w:rPr>
          <w:rFonts w:ascii="Times New Roman" w:cs="Times New Roman" w:eastAsia="Times New Roman" w:hAnsi="Times New Roman"/>
          <w:sz w:val="18"/>
          <w:szCs w:val="18"/>
          <w:color w:val="auto"/>
        </w:rPr>
      </w:pPr>
    </w:p>
    <w:p>
      <w:pPr>
        <w:ind w:left="1960" w:right="80" w:hanging="533"/>
        <w:spacing w:after="0" w:line="266" w:lineRule="auto"/>
        <w:tabs>
          <w:tab w:leader="none" w:pos="196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the Prospectus relating to the Securities or amends or supplements the Registration Statement or the Prospectus relating to the Securities by means of a post-effective amendment, sticker, or supplement but not by means of incorporation of documents by reference into the Registration Statement or the Prospectus relating to the Securities;</w:t>
      </w:r>
    </w:p>
    <w:p>
      <w:pPr>
        <w:spacing w:after="0" w:line="81"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an Annual Report on Form 10-K under the Exchange Act;</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 Quarterly Report on Form 10-Q under the Exchange Act; or</w:t>
      </w:r>
    </w:p>
    <w:p>
      <w:pPr>
        <w:spacing w:after="0" w:line="130" w:lineRule="exact"/>
        <w:rPr>
          <w:rFonts w:ascii="Times New Roman" w:cs="Times New Roman" w:eastAsia="Times New Roman" w:hAnsi="Times New Roman"/>
          <w:sz w:val="18"/>
          <w:szCs w:val="18"/>
          <w:color w:val="auto"/>
        </w:rPr>
      </w:pPr>
    </w:p>
    <w:p>
      <w:pPr>
        <w:ind w:left="1960" w:right="220" w:hanging="533"/>
        <w:spacing w:after="0" w:line="282" w:lineRule="auto"/>
        <w:tabs>
          <w:tab w:leader="none" w:pos="196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 Current Report on Form 8-K containing amended financial information (other than an earnings release, to “furnish” information pursuant to Items 2.02 or 7.01 of Form 8-K) under the Exchange Act; and</w:t>
      </w:r>
    </w:p>
    <w:p>
      <w:pPr>
        <w:spacing w:after="0" w:line="53" w:lineRule="exact"/>
        <w:rPr>
          <w:rFonts w:ascii="Times New Roman" w:cs="Times New Roman" w:eastAsia="Times New Roman" w:hAnsi="Times New Roman"/>
          <w:sz w:val="18"/>
          <w:szCs w:val="18"/>
          <w:color w:val="auto"/>
        </w:rPr>
      </w:pPr>
    </w:p>
    <w:p>
      <w:pPr>
        <w:ind w:left="440" w:right="220" w:firstLine="419"/>
        <w:spacing w:after="0" w:line="266" w:lineRule="auto"/>
        <w:tabs>
          <w:tab w:leader="none" w:pos="111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other time reasonably requested by the Sales Agents, the Forward Sellers or the Forward Purchasers (each such date of filing of one or more of the documents referred to in clauses (1)(i) through (iv) and any time of request pursuant to this Section 7(o) shall be a “</w:t>
      </w:r>
      <w:r>
        <w:rPr>
          <w:rFonts w:ascii="Times New Roman" w:cs="Times New Roman" w:eastAsia="Times New Roman" w:hAnsi="Times New Roman"/>
          <w:sz w:val="18"/>
          <w:szCs w:val="18"/>
          <w:u w:val="single" w:color="auto"/>
          <w:color w:val="auto"/>
        </w:rPr>
        <w:t>Representation Date</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68" w:right="459" w:bottom="1440" w:gutter="0" w:footer="0" w:header="0"/>
        </w:sectPr>
      </w:pPr>
    </w:p>
    <w:bookmarkStart w:id="32" w:name="page33"/>
    <w:bookmarkEnd w:id="32"/>
    <w:p>
      <w:pPr>
        <w:ind w:right="20" w:firstLine="44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Company shall furnish the Sales Agents, the Forward Sellers and the Forward Purchasers with a certificate, in the form attached hereto as </w:t>
      </w:r>
      <w:r>
        <w:rPr>
          <w:rFonts w:ascii="Times New Roman" w:cs="Times New Roman" w:eastAsia="Times New Roman" w:hAnsi="Times New Roman"/>
          <w:sz w:val="17"/>
          <w:szCs w:val="17"/>
          <w:u w:val="single" w:color="auto"/>
          <w:color w:val="auto"/>
        </w:rPr>
        <w:t>Exhibit E</w:t>
      </w:r>
      <w:r>
        <w:rPr>
          <w:rFonts w:ascii="Times New Roman" w:cs="Times New Roman" w:eastAsia="Times New Roman" w:hAnsi="Times New Roman"/>
          <w:sz w:val="17"/>
          <w:szCs w:val="17"/>
          <w:color w:val="auto"/>
        </w:rPr>
        <w:t xml:space="preserve"> as promptly as possible and in no event later than three (3) Trading Days of any Representation Date. The requirement to provide a certificate under this Section 7(o) shall be waived for any Representation Date occurring at a time at which no Placement Notice (as amended by the corresponding Acceptance, if applicable) is pending, which waiver shall continue until the earlier to occur of the date the Company delivers a Placement Notice hereunder (which for such calendar quarter shall be considered a Representation Date) and the next occurring Representation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such waiver shall not apply for any Representation Date on which the Company files its annual report on Form 10-K. Notwithstanding the foregoing, if the Company subsequently decides that Securities be offered and sold following a Representation Date when the Company relied on such waiver and did not provide the Sales Agents, the Forward Sellers and the Forward Purchasers with a certificate under this Section 7(o), then before the Company delivers the Placement Notice or the Sales Agents or the Forward Sellers sell any Securities, the Company shall provide the Sales Agents, the Forward Sellers and the Forward Purchasers with a certificate, in the form attached hereto as </w:t>
      </w:r>
      <w:r>
        <w:rPr>
          <w:rFonts w:ascii="Times New Roman" w:cs="Times New Roman" w:eastAsia="Times New Roman" w:hAnsi="Times New Roman"/>
          <w:sz w:val="17"/>
          <w:szCs w:val="17"/>
          <w:u w:val="single" w:color="auto"/>
          <w:color w:val="auto"/>
        </w:rPr>
        <w:t>Exhibit E</w:t>
      </w:r>
      <w:r>
        <w:rPr>
          <w:rFonts w:ascii="Times New Roman" w:cs="Times New Roman" w:eastAsia="Times New Roman" w:hAnsi="Times New Roman"/>
          <w:sz w:val="17"/>
          <w:szCs w:val="17"/>
          <w:color w:val="auto"/>
        </w:rPr>
        <w:t>, dated the date of the Placement Notice.</w:t>
      </w:r>
    </w:p>
    <w:p>
      <w:pPr>
        <w:spacing w:after="0" w:line="175" w:lineRule="exact"/>
        <w:rPr>
          <w:sz w:val="20"/>
          <w:szCs w:val="20"/>
          <w:color w:val="auto"/>
        </w:rPr>
      </w:pPr>
    </w:p>
    <w:p>
      <w:pPr>
        <w:ind w:firstLine="436"/>
        <w:spacing w:after="0" w:line="253" w:lineRule="auto"/>
        <w:tabs>
          <w:tab w:leader="none" w:pos="6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Legal Opinions</w:t>
      </w:r>
      <w:r>
        <w:rPr>
          <w:rFonts w:ascii="Times New Roman" w:cs="Times New Roman" w:eastAsia="Times New Roman" w:hAnsi="Times New Roman"/>
          <w:sz w:val="18"/>
          <w:szCs w:val="18"/>
          <w:color w:val="auto"/>
        </w:rPr>
        <w:t>. On or prior to the date that the first Securities are sold pursuant to the terms of this Agreement and each time Securities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delivered to a Sales Agent as principal on a Settlement Date, as promptly as possible and in no event later than three (3) Trading Days of each Representation Date with respect to which the Company is obligated to deliver a certificate in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for which no waiver is applicable, the Company shall cause to be furnished to the Sales Agents, the Forward Sellers and the Forward Purchasers written opinions of Pillsbury Winthrop Shaw Pittman LLP (“</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xml:space="preserve">”), or other counsel satisfactory to the Sales Agents, the Forward Sellers and the Forward Purchasers, in form and substance satisfactory to the Sales Agents, the Forward Sellers and the Forward Purchasers and their respective counsel, dated the date that the opinion is required to be delivered, substantially similar to the forms attached hereto as </w:t>
      </w:r>
      <w:r>
        <w:rPr>
          <w:rFonts w:ascii="Times New Roman" w:cs="Times New Roman" w:eastAsia="Times New Roman" w:hAnsi="Times New Roman"/>
          <w:sz w:val="18"/>
          <w:szCs w:val="18"/>
          <w:u w:val="single" w:color="auto"/>
          <w:color w:val="auto"/>
        </w:rPr>
        <w:t>Exhibit D-1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D-2</w:t>
      </w:r>
      <w:r>
        <w:rPr>
          <w:rFonts w:ascii="Times New Roman" w:cs="Times New Roman" w:eastAsia="Times New Roman" w:hAnsi="Times New Roman"/>
          <w:sz w:val="18"/>
          <w:szCs w:val="18"/>
          <w:color w:val="auto"/>
        </w:rPr>
        <w:t xml:space="preserve">, subject to such assumptions, exceptions and qualifications reasonably acceptable to the Sales Agents, the Forward Sellers and the Forward Purchasers and their respective counsel, and modified, as necessary, to relate to the Registration Statement and the Prospectus as then amended or supplemented;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lieu of such opinions for subsequent Representation Dates, any such counsel may furnish the Sales Agents, the Forward Sellers and the Forward Purchasers with a letter to the effect that the Sales Agents, the Forward Sellers and the Forward Purchasers may rely on a prior opinion delivered under this Section 7(p) to the same extent as if it were dated the date of such letter (except that statements in such prior opinion shall be deemed to relate to the Registration Statement and the Prospectus as amended or supplemented at such Representation Date).</w:t>
      </w:r>
    </w:p>
    <w:p>
      <w:pPr>
        <w:spacing w:after="0" w:line="187" w:lineRule="exact"/>
        <w:rPr>
          <w:rFonts w:ascii="Times New Roman" w:cs="Times New Roman" w:eastAsia="Times New Roman" w:hAnsi="Times New Roman"/>
          <w:sz w:val="18"/>
          <w:szCs w:val="18"/>
          <w:color w:val="auto"/>
        </w:rPr>
      </w:pPr>
    </w:p>
    <w:p>
      <w:pPr>
        <w:jc w:val="both"/>
        <w:ind w:right="300" w:firstLine="436"/>
        <w:spacing w:after="0" w:line="261" w:lineRule="auto"/>
        <w:tabs>
          <w:tab w:leader="none" w:pos="6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Comfort Letter</w:t>
      </w:r>
      <w:r>
        <w:rPr>
          <w:rFonts w:ascii="Times New Roman" w:cs="Times New Roman" w:eastAsia="Times New Roman" w:hAnsi="Times New Roman"/>
          <w:sz w:val="18"/>
          <w:szCs w:val="18"/>
          <w:color w:val="auto"/>
        </w:rPr>
        <w:t>. On or prior to the date that the first Securities are sold pursuant to the terms of this Agreement and each time Securities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delivered to a Sales Agent, a Forward Seller or a Forward Purchaser, as principal, on a Settlement Date, as promptly as possible and in no event later than three (3) Trading Days of each Representation Date with respect to which the Company is obligated to deliver a certificate in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for which no waiver is applicable, the Company shall cause its independent accountants to furnish the Sales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33" w:name="page34"/>
    <w:bookmarkEnd w:id="3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Agents, the Forward Sellers and the Forward Purchasers letter(s) (the “</w:t>
      </w: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dated the date the Comfort Letter is delivered, in form and substance satisfactory to the Sales Agents, the Forward Sellers and the Forward Purchasers, (i) confirming that they are an independent registered public accounting firm within the meaning of the Securities Act, the Exchange Act and the PCAOB,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 w:cs="Times New Roman" w:eastAsia="Times New Roman" w:hAnsi="Times New Roman"/>
          <w:sz w:val="18"/>
          <w:szCs w:val="18"/>
          <w:u w:val="single" w:color="auto"/>
          <w:color w:val="auto"/>
        </w:rPr>
        <w:t>Initial Comfort Letter</w:t>
      </w:r>
      <w:r>
        <w:rPr>
          <w:rFonts w:ascii="Times New Roman" w:cs="Times New Roman" w:eastAsia="Times New Roman" w:hAnsi="Times New Roman"/>
          <w:sz w:val="18"/>
          <w:szCs w:val="18"/>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87" w:lineRule="exact"/>
        <w:rPr>
          <w:sz w:val="20"/>
          <w:szCs w:val="20"/>
          <w:color w:val="auto"/>
        </w:rPr>
      </w:pPr>
    </w:p>
    <w:p>
      <w:pPr>
        <w:ind w:firstLine="436"/>
        <w:spacing w:after="0" w:line="253" w:lineRule="auto"/>
        <w:tabs>
          <w:tab w:leader="none" w:pos="66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Activities</w:t>
      </w:r>
      <w:r>
        <w:rPr>
          <w:rFonts w:ascii="Times New Roman" w:cs="Times New Roman" w:eastAsia="Times New Roman" w:hAnsi="Times New Roman"/>
          <w:sz w:val="18"/>
          <w:szCs w:val="18"/>
          <w:color w:val="auto"/>
        </w:rPr>
        <w:t>. The Company will not, directly or indirectly, (i) take any action designed to cause or result in, or that constitutes or might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reasonably be expected to constitute, the stabilization or manipulation of the price of any security of the Company to facilitate the sale or resale of the Securities or (ii) sell, bid for, or purchase the Securities to be offered and sold pursuant to this Agreement, or pay anyone any compensation for soliciting purchases of the Securities to be offered and sold pursuant to this Agreement other than the Sales Agents or the Forward Sellers;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may bid for and purchase its Common Shares in accordance with Rule 10b-18 under the Exchange Act,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no such bids or purchases shall be made by the Company during the three (3) Trading Days before or after any sale of any Securities pursuant to this Agreement. In connection with entering into any Confirmation, the Company will not acquire any long position (either directly or indirectly, including through an Affiliate or through a derivative transaction) with respect to Common Shares. For purposes of the foregoing, Affiliate means, with respect to any person or entity, any other person or entity directly or indirectly controlling, controlled by, or under common control with such person or entity. For purposes of this definition, “control” when used with respect to any person or entity means ownership of 50% or more of the voting power or value of such person or entity.</w:t>
      </w:r>
    </w:p>
    <w:p>
      <w:pPr>
        <w:spacing w:after="0" w:line="191" w:lineRule="exact"/>
        <w:rPr>
          <w:rFonts w:ascii="Times New Roman" w:cs="Times New Roman" w:eastAsia="Times New Roman" w:hAnsi="Times New Roman"/>
          <w:sz w:val="18"/>
          <w:szCs w:val="18"/>
          <w:color w:val="auto"/>
        </w:rPr>
      </w:pPr>
    </w:p>
    <w:p>
      <w:pPr>
        <w:ind w:firstLine="436"/>
        <w:spacing w:after="0" w:line="261" w:lineRule="auto"/>
        <w:tabs>
          <w:tab w:leader="none" w:pos="6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The Company and its subsidiaries shall maintain, or cause to be maintained, insurance in such amounts and covering such risks as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reasonable and customary for companies engaged in similar businesses in similar industries, except where the failure to maintain such insurance would not have a material adverse effect on the condition, financial or otherwise, or on the earnings, business affairs or business prospects of the Company and its subsidiaries, considered as one enterprise.</w:t>
      </w:r>
    </w:p>
    <w:p>
      <w:pPr>
        <w:spacing w:after="0" w:line="179" w:lineRule="exact"/>
        <w:rPr>
          <w:rFonts w:ascii="Times New Roman" w:cs="Times New Roman" w:eastAsia="Times New Roman" w:hAnsi="Times New Roman"/>
          <w:sz w:val="18"/>
          <w:szCs w:val="18"/>
          <w:color w:val="auto"/>
        </w:rPr>
      </w:pPr>
    </w:p>
    <w:p>
      <w:pPr>
        <w:ind w:firstLine="436"/>
        <w:spacing w:after="0" w:line="257"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Laws</w:t>
      </w:r>
      <w:r>
        <w:rPr>
          <w:rFonts w:ascii="Times New Roman" w:cs="Times New Roman" w:eastAsia="Times New Roman" w:hAnsi="Times New Roman"/>
          <w:sz w:val="18"/>
          <w:szCs w:val="18"/>
          <w:color w:val="auto"/>
        </w:rPr>
        <w:t>. The Company and each of its subsidiaries shall maintain, or cause to be maintained, all material environmental permits,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could not reasonably be expected to have a material adverse effect on the condition, financial or otherwise, or on the earnings, business affairs or business prospects of the Company and its subsidiaries, considered as one enterprise.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34" w:name="page35"/>
    <w:bookmarkEnd w:id="34"/>
    <w:p>
      <w:pPr>
        <w:ind w:right="140" w:firstLine="436"/>
        <w:spacing w:after="0" w:line="261"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Investment Company Act</w:t>
      </w:r>
      <w:r>
        <w:rPr>
          <w:rFonts w:ascii="Times New Roman" w:cs="Times New Roman" w:eastAsia="Times New Roman" w:hAnsi="Times New Roman"/>
          <w:sz w:val="18"/>
          <w:szCs w:val="18"/>
          <w:color w:val="auto"/>
        </w:rPr>
        <w:t>. The Company will conduct its affairs in such a manner so as to reasonably ensure that neither it nor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will be or become, at any time prior to the termination of this Agreement and the settlement of all Confirmations, required to register as an “investment company,” as such term is defined in the Investment Company Act, assuming no change in the Commission’s current interpretation as to entities that are not considered an investment company.</w:t>
      </w:r>
    </w:p>
    <w:p>
      <w:pPr>
        <w:spacing w:after="0" w:line="179" w:lineRule="exact"/>
        <w:rPr>
          <w:rFonts w:ascii="Times New Roman" w:cs="Times New Roman" w:eastAsia="Times New Roman" w:hAnsi="Times New Roman"/>
          <w:sz w:val="18"/>
          <w:szCs w:val="18"/>
          <w:color w:val="auto"/>
        </w:rPr>
      </w:pPr>
    </w:p>
    <w:p>
      <w:pPr>
        <w:jc w:val="both"/>
        <w:ind w:right="80" w:firstLine="436"/>
        <w:spacing w:after="0" w:line="267"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 Act and Exchange Act</w:t>
      </w:r>
      <w:r>
        <w:rPr>
          <w:rFonts w:ascii="Times New Roman" w:cs="Times New Roman" w:eastAsia="Times New Roman" w:hAnsi="Times New Roman"/>
          <w:sz w:val="18"/>
          <w:szCs w:val="18"/>
          <w:color w:val="auto"/>
        </w:rPr>
        <w:t>. The Company will use its best efforts to comply with all requirements imposed upon it by the Securities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Exchange Act as from time to time in force and effect, so far as necessary to permit the continuance of sales of, or dealings in, the Securities as contemplated by the provisions hereof and the Prospectus.</w:t>
      </w:r>
    </w:p>
    <w:p>
      <w:pPr>
        <w:spacing w:after="0" w:line="173" w:lineRule="exact"/>
        <w:rPr>
          <w:rFonts w:ascii="Times New Roman" w:cs="Times New Roman" w:eastAsia="Times New Roman" w:hAnsi="Times New Roman"/>
          <w:sz w:val="18"/>
          <w:szCs w:val="18"/>
          <w:color w:val="auto"/>
        </w:rPr>
      </w:pPr>
    </w:p>
    <w:p>
      <w:pPr>
        <w:jc w:val="both"/>
        <w:ind w:right="100" w:firstLine="436"/>
        <w:spacing w:after="0" w:line="261" w:lineRule="auto"/>
        <w:tabs>
          <w:tab w:leader="none" w:pos="7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Offer to Sell</w:t>
      </w:r>
      <w:r>
        <w:rPr>
          <w:rFonts w:ascii="Times New Roman" w:cs="Times New Roman" w:eastAsia="Times New Roman" w:hAnsi="Times New Roman"/>
          <w:sz w:val="18"/>
          <w:szCs w:val="18"/>
          <w:color w:val="auto"/>
        </w:rPr>
        <w:t>. Other than a free writing prospectus (as defined in Rule 405 under the Securities Act) approved in advance in writing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the Sales Agents and the Forward Sellers, the Company (including its agents and representatives, other than the Sales Agents or the Forward Sellers, each in their capacity as such) will not, directly or indirectly, make, use, prepare, authorize, approve or refer to any free writing prospectus relating to the Securities to be sold by a Sales Agent, as principal or agent hereunder or by the Forward Sellers as agent hereunder.</w:t>
      </w:r>
    </w:p>
    <w:p>
      <w:pPr>
        <w:spacing w:after="0" w:line="179" w:lineRule="exact"/>
        <w:rPr>
          <w:rFonts w:ascii="Times New Roman" w:cs="Times New Roman" w:eastAsia="Times New Roman" w:hAnsi="Times New Roman"/>
          <w:sz w:val="18"/>
          <w:szCs w:val="18"/>
          <w:color w:val="auto"/>
        </w:rPr>
      </w:pPr>
    </w:p>
    <w:p>
      <w:pPr>
        <w:ind w:right="400" w:firstLine="436"/>
        <w:spacing w:after="0" w:line="284"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Sarbanes-Oxley Act</w:t>
      </w:r>
      <w:r>
        <w:rPr>
          <w:rFonts w:ascii="Times New Roman" w:cs="Times New Roman" w:eastAsia="Times New Roman" w:hAnsi="Times New Roman"/>
          <w:sz w:val="18"/>
          <w:szCs w:val="18"/>
          <w:color w:val="auto"/>
        </w:rPr>
        <w:t>. The Company and its subsidiaries shall comply in all material respects with all effective applicable provisions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Sarbanes-Oxley Act.</w:t>
      </w:r>
    </w:p>
    <w:p>
      <w:pPr>
        <w:spacing w:after="0" w:line="158"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Regulation M. </w:t>
      </w:r>
      <w:r>
        <w:rPr>
          <w:rFonts w:ascii="Times New Roman" w:cs="Times New Roman" w:eastAsia="Times New Roman" w:hAnsi="Times New Roman"/>
          <w:sz w:val="18"/>
          <w:szCs w:val="18"/>
          <w:color w:val="auto"/>
        </w:rPr>
        <w:t>If the Company has reason to believe that the exemptive provisions set forth in Rule 101(c)(1) of Regulation M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are not satisfied with respect to the Company or the Common Shares, it shall promptly notify the other parties to this Agreement and sales of the Securities under this Agreement shall be suspended until that or other exemptive provisions have been satisfied in the judgment of all parties to this Agreement.</w:t>
      </w:r>
    </w:p>
    <w:p>
      <w:pPr>
        <w:spacing w:after="0" w:line="179" w:lineRule="exact"/>
        <w:rPr>
          <w:rFonts w:ascii="Times New Roman" w:cs="Times New Roman" w:eastAsia="Times New Roman" w:hAnsi="Times New Roman"/>
          <w:sz w:val="18"/>
          <w:szCs w:val="18"/>
          <w:color w:val="auto"/>
        </w:rPr>
      </w:pPr>
    </w:p>
    <w:p>
      <w:pPr>
        <w:ind w:right="220" w:firstLine="436"/>
        <w:spacing w:after="0" w:line="284" w:lineRule="auto"/>
        <w:tabs>
          <w:tab w:leader="none" w:pos="68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REIT Treatment</w:t>
      </w:r>
      <w:r>
        <w:rPr>
          <w:rFonts w:ascii="Times New Roman" w:cs="Times New Roman" w:eastAsia="Times New Roman" w:hAnsi="Times New Roman"/>
          <w:sz w:val="18"/>
          <w:szCs w:val="18"/>
          <w:color w:val="auto"/>
        </w:rPr>
        <w:t>. The Company will use its best efforts to meet the requirements to qualify as a “real estate investment trust” under the Code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any taxable years that include any portion of the term of this Agreement.</w:t>
      </w:r>
    </w:p>
    <w:p>
      <w:pPr>
        <w:spacing w:after="0" w:line="158" w:lineRule="exact"/>
        <w:rPr>
          <w:sz w:val="20"/>
          <w:szCs w:val="20"/>
          <w:color w:val="auto"/>
        </w:rPr>
      </w:pPr>
    </w:p>
    <w:p>
      <w:pPr>
        <w:ind w:right="60" w:firstLine="436"/>
        <w:spacing w:after="0" w:line="256" w:lineRule="auto"/>
        <w:tabs>
          <w:tab w:leader="none" w:pos="76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Renewal of Registration Statement. </w:t>
      </w:r>
      <w:r>
        <w:rPr>
          <w:rFonts w:ascii="Times New Roman" w:cs="Times New Roman" w:eastAsia="Times New Roman" w:hAnsi="Times New Roman"/>
          <w:sz w:val="18"/>
          <w:szCs w:val="18"/>
          <w:color w:val="auto"/>
        </w:rPr>
        <w:t>The date of this Agreement is not more than three years subsequent to the initial effective date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(the “</w:t>
      </w:r>
      <w:r>
        <w:rPr>
          <w:rFonts w:ascii="Times New Roman" w:cs="Times New Roman" w:eastAsia="Times New Roman" w:hAnsi="Times New Roman"/>
          <w:sz w:val="18"/>
          <w:szCs w:val="18"/>
          <w:u w:val="single" w:color="auto"/>
          <w:color w:val="auto"/>
        </w:rPr>
        <w:t>Renewal Date</w:t>
      </w:r>
      <w:r>
        <w:rPr>
          <w:rFonts w:ascii="Times New Roman" w:cs="Times New Roman" w:eastAsia="Times New Roman" w:hAnsi="Times New Roman"/>
          <w:sz w:val="18"/>
          <w:szCs w:val="18"/>
          <w:color w:val="auto"/>
        </w:rPr>
        <w:t>”). If, immediately prior to the third anniversary of the Renewal Date, this Agreement has not terminated and a prospectus is required to be delivered or made available by a Sales Agent or a Forward Seller under the Securities Act or the Exchange Act in connection with the sale of such Securities, the Company will, prior to the Renewal Date, file, if it has not already done so, a new shelf registration statement or, if applicable, an automatic shelf registration statement relating to such Securities, and, if such registration statement is not an automatic shelf registration statement, will use its best efforts to cause such registration statement to be declared effective within 180 days after the Renewal Date, and will take all other reasonable actions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68" w:right="459" w:bottom="1440" w:gutter="0" w:footer="0" w:header="0"/>
        </w:sectPr>
      </w:pPr>
    </w:p>
    <w:bookmarkStart w:id="35" w:name="page36"/>
    <w:bookmarkEnd w:id="35"/>
    <w:p>
      <w:pPr>
        <w:jc w:val="both"/>
        <w:ind w:left="4"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necessary or appropriate to permit the public offer and sale of such Securities to continue as contemplated in the expired registration statement relating to such Securities. References herein to the “Registration Statement” shall include such new shelf registration statement or automatic shelf registration statement, as the case may be.</w:t>
      </w:r>
    </w:p>
    <w:p>
      <w:pPr>
        <w:spacing w:after="0" w:line="174" w:lineRule="exact"/>
        <w:rPr>
          <w:sz w:val="20"/>
          <w:szCs w:val="20"/>
          <w:color w:val="auto"/>
        </w:rPr>
      </w:pPr>
    </w:p>
    <w:p>
      <w:pPr>
        <w:jc w:val="both"/>
        <w:ind w:left="4" w:right="340" w:firstLine="436"/>
        <w:spacing w:after="0" w:line="261" w:lineRule="auto"/>
        <w:tabs>
          <w:tab w:leader="none" w:pos="78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Rights to Refuse Purchase. </w:t>
      </w:r>
      <w:r>
        <w:rPr>
          <w:rFonts w:ascii="Times New Roman" w:cs="Times New Roman" w:eastAsia="Times New Roman" w:hAnsi="Times New Roman"/>
          <w:sz w:val="18"/>
          <w:szCs w:val="18"/>
          <w:color w:val="auto"/>
        </w:rPr>
        <w:t>If, to the knowledge of the Company, all filings required by Rule 424 in connection with the offering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shall not have been made or the representations and warranties of the Company in Section 5 hereof shall not be true and correct on any applicable Settlement Date, the Company will offer to any person who has agreed to purchase Securities from the Company as a result of an offer to purchase solicited by a Sales Agent the right to refuse to purchase and pay for such Securities.</w:t>
      </w:r>
    </w:p>
    <w:p>
      <w:pPr>
        <w:spacing w:after="0" w:line="179" w:lineRule="exact"/>
        <w:rPr>
          <w:rFonts w:ascii="Times New Roman" w:cs="Times New Roman" w:eastAsia="Times New Roman" w:hAnsi="Times New Roman"/>
          <w:sz w:val="18"/>
          <w:szCs w:val="18"/>
          <w:color w:val="auto"/>
        </w:rPr>
      </w:pPr>
    </w:p>
    <w:p>
      <w:pPr>
        <w:ind w:left="4" w:firstLine="436"/>
        <w:spacing w:after="0" w:line="267" w:lineRule="auto"/>
        <w:tabs>
          <w:tab w:leader="none" w:pos="76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Reservation of Shares</w:t>
      </w:r>
      <w:r>
        <w:rPr>
          <w:rFonts w:ascii="Times New Roman" w:cs="Times New Roman" w:eastAsia="Times New Roman" w:hAnsi="Times New Roman"/>
          <w:sz w:val="18"/>
          <w:szCs w:val="18"/>
          <w:color w:val="auto"/>
        </w:rPr>
        <w:t>. In respect of any Forward, a number of authorized but unissued Common Shares at least equal to the Share Cap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reserved for issuance by the Company’s board of directors or a duly authorized committee thereof and will be kept available at all times, free from preemptive or similar rights and free from any lien, charge, claim or other encumbrance until settlement of the related Confirmation.</w:t>
      </w:r>
    </w:p>
    <w:p>
      <w:pPr>
        <w:spacing w:after="0" w:line="17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 w:firstLine="436"/>
        <w:spacing w:after="0" w:line="267" w:lineRule="auto"/>
        <w:tabs>
          <w:tab w:leader="none" w:pos="689"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Expenses. </w:t>
      </w:r>
      <w:r>
        <w:rPr>
          <w:rFonts w:ascii="Times New Roman" w:cs="Times New Roman" w:eastAsia="Times New Roman" w:hAnsi="Times New Roman"/>
          <w:sz w:val="17"/>
          <w:szCs w:val="17"/>
          <w:color w:val="auto"/>
        </w:rPr>
        <w:t>The Company will pay all expenses incident to the performance of its obligations under this Agreement and each Confirmation,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(i) the preparation, printing and filing of the Registration Statement (including financial statements and exhibits) as originally filed and of each amendment and supplement thereto, (ii) the preparation, issuance and delivery of the certificates for the Securities to the Sales Agents and the Confirmation Securities to the Forward Purchasers, including any stock or other transfer taxes and any capital duties, stamp duties or other duties or taxes payable upon the sale, issuance or delivery of such Common Shares, (iii) the fees and disbursements of the counsel, accountants and other advisors to the Company, (iv) the qualification or exemption of the Securities under securities laws in accordance with the provisions of Section 7(e) hereof, including filing fees and the reasonable fees and disbursements of counsel for the Sales Agents and the Forward Sellers in connection therewith and in connection with the preparation of a state securities law or “blue sky” survey and any supplements thereto, (v) the printing and delivery to the Sales Agents, the Forward Sellers and the Forward Purchasers of copies of any Permitted Free Writing Prospectus and the Prospectus and any amendments or supplements thereto and any costs associated with electronic delivery of any of the foregoing by the Sales Agents or the Forward Sellers to investors,</w:t>
      </w:r>
    </w:p>
    <w:p>
      <w:pPr>
        <w:spacing w:after="0" w:line="5" w:lineRule="exact"/>
        <w:rPr>
          <w:rFonts w:ascii="Times New Roman" w:cs="Times New Roman" w:eastAsia="Times New Roman" w:hAnsi="Times New Roman"/>
          <w:sz w:val="17"/>
          <w:szCs w:val="17"/>
          <w:color w:val="auto"/>
        </w:rPr>
      </w:pPr>
    </w:p>
    <w:p>
      <w:pPr>
        <w:ind w:left="4" w:right="80" w:hanging="4"/>
        <w:spacing w:after="0" w:line="252" w:lineRule="auto"/>
        <w:tabs>
          <w:tab w:leader="none" w:pos="30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printing and delivery to the Sales Agents or the Forward Sellers of copies of the Blue Sky Survey and any Canadian “wrapper” and any supplements thereto, (vii) the fees and expenses of the custodian and the transfer agent and registrar for the Securities and the Confirmation Securities, (viii) the filing fees incident to, and the reasonable fees and disbursements of counsel for the Sales Agents and the Forward Sellers in connection with, the review by FINRA of the terms of the sale of the Securities, (ix) the fees and expenses incurred in connection with the listing of the Securities and the Confirmation Securities on the NYSE, (x) the disbursements of counsel for the Sales Agents, the Forward Sellers and the Forward Purchasers in connection with the copying and delivery of closing documents delivered by the Company or the Company’s accountants or counsel (including any local counsel) and (xi) if</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70" w:right="459" w:bottom="1440" w:gutter="0" w:footer="0" w:header="0"/>
        </w:sectPr>
      </w:pPr>
    </w:p>
    <w:bookmarkStart w:id="36" w:name="page37"/>
    <w:bookmarkEnd w:id="36"/>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Securities having an aggregate offering price of $50,000,000 or more have not been offered and sold under this Agreement by the eighteen-month anniversary of this Agreement (or such earlier date at which the Company terminates this Agreement) (the “</w:t>
      </w:r>
      <w:r>
        <w:rPr>
          <w:rFonts w:ascii="Times New Roman" w:cs="Times New Roman" w:eastAsia="Times New Roman" w:hAnsi="Times New Roman"/>
          <w:sz w:val="18"/>
          <w:szCs w:val="18"/>
          <w:u w:val="single" w:color="auto"/>
          <w:color w:val="auto"/>
        </w:rPr>
        <w:t>Determination Date</w:t>
      </w:r>
      <w:r>
        <w:rPr>
          <w:rFonts w:ascii="Times New Roman" w:cs="Times New Roman" w:eastAsia="Times New Roman" w:hAnsi="Times New Roman"/>
          <w:sz w:val="18"/>
          <w:szCs w:val="18"/>
          <w:color w:val="auto"/>
        </w:rPr>
        <w:t>”), the Company shall reimburse the Sales Agents, the Forward Sellers and the Forward Purchasers for all of their reasonable out-of-pocket expenses, including the reasonable fees and disbursements of their respective counsel incurred by the Sales Agents, the Forward Sellers and the Forward Purchasers in connection with the transactions contemplated by this Agreement (the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Expenses shall be due and payable by the Company within five (5) business days of the Determination Date.</w:t>
      </w:r>
    </w:p>
    <w:p>
      <w:pPr>
        <w:spacing w:after="0" w:line="185" w:lineRule="exact"/>
        <w:rPr>
          <w:sz w:val="20"/>
          <w:szCs w:val="20"/>
          <w:color w:val="auto"/>
        </w:rPr>
      </w:pPr>
    </w:p>
    <w:p>
      <w:pPr>
        <w:ind w:firstLine="436"/>
        <w:spacing w:after="0" w:line="258" w:lineRule="auto"/>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of Agreement. </w:t>
      </w:r>
      <w:r>
        <w:rPr>
          <w:rFonts w:ascii="Times New Roman" w:cs="Times New Roman" w:eastAsia="Times New Roman" w:hAnsi="Times New Roman"/>
          <w:sz w:val="18"/>
          <w:szCs w:val="18"/>
          <w:color w:val="auto"/>
        </w:rPr>
        <w:t>If this Agreement is terminated by a Sales Agent, a Forward Seller or a Forward Purchaser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Section 9 or Section 13(a)(i) or (iii) (with respect to the first clause only) hereof, the Company shall reimburse the applicable Sales Agents, the applicable Forward Sellers and the applicable Forward Purchasers for all of its out-of-pocket expenses, including the reasonable fees and disbursements their respective counsel, unless Securities having an aggregate offering price of $50,000,000 or more have previously been offered and sold under this Agreement.</w:t>
      </w:r>
    </w:p>
    <w:p>
      <w:pPr>
        <w:spacing w:after="0" w:line="18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Conditions of the Obligations of the Sales Agents and the Forward Sellers</w:t>
      </w:r>
      <w:r>
        <w:rPr>
          <w:rFonts w:ascii="Times New Roman" w:cs="Times New Roman" w:eastAsia="Times New Roman" w:hAnsi="Times New Roman"/>
          <w:sz w:val="18"/>
          <w:szCs w:val="18"/>
          <w:color w:val="auto"/>
        </w:rPr>
        <w:t>. The obligations of each of the Sales Agents and the Forward Sellers hereunder with respect to the offer and sale of Securities in connection with any Issuance or Forward hereunder will be subject to the continuing accuracy and completeness of the representations and warranties of the Company contained in this Agreement or in certificates of any officer of the Company or any subsidiary delivered pursuant to the provisions hereof, to the performance by the Company of its covenants and other obligations hereunder, and to the following further conditions:</w:t>
      </w:r>
    </w:p>
    <w:p>
      <w:pPr>
        <w:spacing w:after="0" w:line="181" w:lineRule="exact"/>
        <w:rPr>
          <w:sz w:val="20"/>
          <w:szCs w:val="20"/>
          <w:color w:val="auto"/>
        </w:rPr>
      </w:pPr>
    </w:p>
    <w:p>
      <w:pPr>
        <w:ind w:right="80" w:firstLine="436"/>
        <w:spacing w:after="0" w:line="256" w:lineRule="auto"/>
        <w:tabs>
          <w:tab w:leader="none" w:pos="6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Effectiveness of Registration Statement; Payment of Filing Fee. </w:t>
      </w:r>
      <w:r>
        <w:rPr>
          <w:rFonts w:ascii="Times New Roman" w:cs="Times New Roman" w:eastAsia="Times New Roman" w:hAnsi="Times New Roman"/>
          <w:sz w:val="18"/>
          <w:szCs w:val="18"/>
          <w:color w:val="auto"/>
        </w:rPr>
        <w:t>The Registration Statement shall have become effective and shall be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 all sales of Securities offered pursuant to all prior Placement Notices (each as amended by a corresponding Acceptance, if applicable) and (ii) the sale of all Securities contemplated to be issued by any Placement Notice (as amended by the corresponding Acceptance, if applicable). The Company shall have paid the required Commission filing fees relating to the Securities within the time required by Rule 456(b)(1)(i) of the Securities Act without regard to the proviso therein and otherwise in accordance with Rules 456(b) and 457(r) of the Securities Act (including, if applicable, by updating the “Calculation of Registration Fee” table in accordance with Rule 456(b)(1)(ii) either in a post-effective amendment to the Registration Statement or on the cover page of the Prospectus).</w:t>
      </w:r>
    </w:p>
    <w:p>
      <w:pPr>
        <w:spacing w:after="0" w:line="182" w:lineRule="exact"/>
        <w:rPr>
          <w:rFonts w:ascii="Times New Roman" w:cs="Times New Roman" w:eastAsia="Times New Roman" w:hAnsi="Times New Roman"/>
          <w:sz w:val="18"/>
          <w:szCs w:val="18"/>
          <w:color w:val="auto"/>
        </w:rPr>
      </w:pPr>
    </w:p>
    <w:p>
      <w:pPr>
        <w:ind w:right="40" w:firstLine="436"/>
        <w:spacing w:after="0" w:line="277" w:lineRule="auto"/>
        <w:tabs>
          <w:tab w:leader="none" w:pos="69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Material Notices</w:t>
      </w:r>
      <w:r>
        <w:rPr>
          <w:rFonts w:ascii="Times New Roman" w:cs="Times New Roman" w:eastAsia="Times New Roman" w:hAnsi="Times New Roman"/>
          <w:sz w:val="17"/>
          <w:szCs w:val="17"/>
          <w:color w:val="auto"/>
        </w:rPr>
        <w:t>. None of the following events shall have occurred and be continuing: (i) receipt by the Company or any of its subsidiaries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37" w:name="page38"/>
    <w:bookmarkEnd w:id="37"/>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suspension of the qualification or exemption from qualification of any of the Securities for sale in any jurisdiction or the initiation or threatening of any proceeding for such purpose; or (iv) the occurrence of any event that makes any material statement made in the Registration Statement or the Prospectus, or any Issuer Free Writing Prospectus, or any material document incorporated or deemed to be incorporated therein by reference untrue in any material respect or that requires the making of any changes in the Registration Statement, related Prospectus, or any Issuer Free Writing Prospectus, or such 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and any Issuer Free Writing Prospectus, it will not contain any untrue statement of a material fact or omit to state any material fact required to be stated therein or necessary to make the statements therein, in the light of the circumstances under which they were made, not misleading.</w:t>
      </w:r>
    </w:p>
    <w:p>
      <w:pPr>
        <w:spacing w:after="0" w:line="190" w:lineRule="exact"/>
        <w:rPr>
          <w:sz w:val="20"/>
          <w:szCs w:val="20"/>
          <w:color w:val="auto"/>
        </w:rPr>
      </w:pPr>
    </w:p>
    <w:p>
      <w:pPr>
        <w:ind w:right="40" w:firstLine="436"/>
        <w:spacing w:after="0" w:line="257" w:lineRule="auto"/>
        <w:tabs>
          <w:tab w:leader="none" w:pos="68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Misstatement or Material Omission</w:t>
      </w:r>
      <w:r>
        <w:rPr>
          <w:rFonts w:ascii="Times New Roman" w:cs="Times New Roman" w:eastAsia="Times New Roman" w:hAnsi="Times New Roman"/>
          <w:sz w:val="18"/>
          <w:szCs w:val="18"/>
          <w:color w:val="auto"/>
        </w:rPr>
        <w:t>. None of the Sales Agents, the Forward Sellers and the Forward Purchasers shall have advised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that the Registration Statement or Prospectus, or any Issuer Free Writing Prospectus, or any amendment or supplement thereto, contains an untrue statement of fact that in such Sales Agent’s, such Forward Seller’s or such Forward Purchaser’s opinion is material, or omits to state a fact that in such Sales Agent’s, such Forward Seller’s or such Forward Purchaser’s opinion is material and is required to be stated therein or is necessary to make the statements therein not misleading, unless the Company has amended such Registration Statement or Prospectus, or any Issuer Free Writing Prospectus, or any amendment or supplement thereto, in accordance with the provisions of Section 7(d).</w:t>
      </w:r>
    </w:p>
    <w:p>
      <w:pPr>
        <w:spacing w:after="0" w:line="182" w:lineRule="exact"/>
        <w:rPr>
          <w:rFonts w:ascii="Times New Roman" w:cs="Times New Roman" w:eastAsia="Times New Roman" w:hAnsi="Times New Roman"/>
          <w:sz w:val="18"/>
          <w:szCs w:val="18"/>
          <w:color w:val="auto"/>
        </w:rPr>
      </w:pPr>
    </w:p>
    <w:p>
      <w:pPr>
        <w:ind w:right="40" w:firstLine="436"/>
        <w:spacing w:after="0" w:line="267" w:lineRule="auto"/>
        <w:tabs>
          <w:tab w:leader="none" w:pos="6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Material Changes</w:t>
      </w:r>
      <w:r>
        <w:rPr>
          <w:rFonts w:ascii="Times New Roman" w:cs="Times New Roman" w:eastAsia="Times New Roman" w:hAnsi="Times New Roman"/>
          <w:sz w:val="18"/>
          <w:szCs w:val="18"/>
          <w:color w:val="auto"/>
        </w:rPr>
        <w:t>. Except as contemplated in the Prospectus, or disclosed in the Company’s reports filed with the Commission, there shall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been any material adverse change, or any development involving a prospective material adverse change, in or affecting the general affairs, management, financial position, shareholders’ equity or results of operations of the Company and its subsidiaries taken as a whole.</w:t>
      </w:r>
    </w:p>
    <w:p>
      <w:pPr>
        <w:spacing w:after="0" w:line="173" w:lineRule="exact"/>
        <w:rPr>
          <w:rFonts w:ascii="Times New Roman" w:cs="Times New Roman" w:eastAsia="Times New Roman" w:hAnsi="Times New Roman"/>
          <w:sz w:val="18"/>
          <w:szCs w:val="18"/>
          <w:color w:val="auto"/>
        </w:rPr>
      </w:pPr>
    </w:p>
    <w:p>
      <w:pPr>
        <w:jc w:val="both"/>
        <w:ind w:firstLine="436"/>
        <w:spacing w:after="0" w:line="267" w:lineRule="auto"/>
        <w:tabs>
          <w:tab w:leader="none" w:pos="68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of Counsel for Company. </w:t>
      </w:r>
      <w:r>
        <w:rPr>
          <w:rFonts w:ascii="Times New Roman" w:cs="Times New Roman" w:eastAsia="Times New Roman" w:hAnsi="Times New Roman"/>
          <w:sz w:val="18"/>
          <w:szCs w:val="18"/>
          <w:color w:val="auto"/>
        </w:rPr>
        <w:t>The Sales Agents, the Forward Sellers and the Forward Purchasers shall have received the favorable opinion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Company Counsel, required to be delivered pursuant to Section 7(p) on or before the date on which such delivery of such opinion is required pursuant to Section 7(p).</w:t>
      </w:r>
    </w:p>
    <w:p>
      <w:pPr>
        <w:spacing w:after="0" w:line="173" w:lineRule="exact"/>
        <w:rPr>
          <w:rFonts w:ascii="Times New Roman" w:cs="Times New Roman" w:eastAsia="Times New Roman" w:hAnsi="Times New Roman"/>
          <w:sz w:val="18"/>
          <w:szCs w:val="18"/>
          <w:color w:val="auto"/>
        </w:rPr>
      </w:pPr>
    </w:p>
    <w:p>
      <w:pPr>
        <w:ind w:right="40" w:firstLine="436"/>
        <w:spacing w:after="0" w:line="284" w:lineRule="auto"/>
        <w:tabs>
          <w:tab w:leader="none" w:pos="66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Representation Certificate. </w:t>
      </w:r>
      <w:r>
        <w:rPr>
          <w:rFonts w:ascii="Times New Roman" w:cs="Times New Roman" w:eastAsia="Times New Roman" w:hAnsi="Times New Roman"/>
          <w:sz w:val="18"/>
          <w:szCs w:val="18"/>
          <w:color w:val="auto"/>
        </w:rPr>
        <w:t>The Sales Agents, the Forward Sellers and the Forward Purchasers shall have received the certificate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delivered pursuant to Section 7(o) on or before the date on which delivery of such certificate is required pursuant to Section 7(o).</w:t>
      </w:r>
    </w:p>
    <w:p>
      <w:pPr>
        <w:spacing w:after="0" w:line="158" w:lineRule="exact"/>
        <w:rPr>
          <w:rFonts w:ascii="Times New Roman" w:cs="Times New Roman" w:eastAsia="Times New Roman" w:hAnsi="Times New Roman"/>
          <w:sz w:val="18"/>
          <w:szCs w:val="18"/>
          <w:color w:val="auto"/>
        </w:rPr>
      </w:pPr>
    </w:p>
    <w:p>
      <w:pPr>
        <w:ind w:right="120" w:firstLine="436"/>
        <w:spacing w:after="0" w:line="315" w:lineRule="auto"/>
        <w:tabs>
          <w:tab w:leader="none" w:pos="69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Accountant’s Comfort Letter. </w:t>
      </w:r>
      <w:r>
        <w:rPr>
          <w:rFonts w:ascii="Times New Roman" w:cs="Times New Roman" w:eastAsia="Times New Roman" w:hAnsi="Times New Roman"/>
          <w:sz w:val="17"/>
          <w:szCs w:val="17"/>
          <w:color w:val="auto"/>
        </w:rPr>
        <w:t>The Sales Agents, the Forward Sellers and the Forward Purchasers shall have received the Comfort Letter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required to be delivered pursuant Section 7(q) on or before the date on which such delivery of such Comfort Letter is required pursuant to Section 7(q).</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38" w:name="page39"/>
    <w:bookmarkEnd w:id="38"/>
    <w:p>
      <w:pPr>
        <w:jc w:val="both"/>
        <w:ind w:left="-60" w:right="60" w:firstLine="436"/>
        <w:spacing w:after="0" w:line="267"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Approval for Listing</w:t>
      </w:r>
      <w:r>
        <w:rPr>
          <w:rFonts w:ascii="Times New Roman" w:cs="Times New Roman" w:eastAsia="Times New Roman" w:hAnsi="Times New Roman"/>
          <w:sz w:val="18"/>
          <w:szCs w:val="18"/>
          <w:color w:val="auto"/>
        </w:rPr>
        <w:t>. The Securities and the Confirmation Securities shall either have been (i) approved for listing on the NYSE, subject 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notice of issuance, or (ii) the Company shall have filed an application for listing of the Securities and the Confirmation Securities on the NYSE at, or prior to, the issuance of any Placement Notice.</w:t>
      </w:r>
    </w:p>
    <w:p>
      <w:pPr>
        <w:spacing w:after="0" w:line="173" w:lineRule="exact"/>
        <w:rPr>
          <w:rFonts w:ascii="Times New Roman" w:cs="Times New Roman" w:eastAsia="Times New Roman" w:hAnsi="Times New Roman"/>
          <w:sz w:val="18"/>
          <w:szCs w:val="18"/>
          <w:color w:val="auto"/>
        </w:rPr>
      </w:pPr>
    </w:p>
    <w:p>
      <w:pPr>
        <w:ind w:left="600" w:hanging="224"/>
        <w:spacing w:after="0"/>
        <w:tabs>
          <w:tab w:leader="none" w:pos="6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Suspension</w:t>
      </w:r>
      <w:r>
        <w:rPr>
          <w:rFonts w:ascii="Times New Roman" w:cs="Times New Roman" w:eastAsia="Times New Roman" w:hAnsi="Times New Roman"/>
          <w:sz w:val="18"/>
          <w:szCs w:val="18"/>
          <w:color w:val="auto"/>
        </w:rPr>
        <w:t>. Trading in the Common Shares shall not have been suspended on the NYSE.</w:t>
      </w:r>
    </w:p>
    <w:p>
      <w:pPr>
        <w:spacing w:after="0" w:line="225" w:lineRule="exact"/>
        <w:rPr>
          <w:rFonts w:ascii="Times New Roman" w:cs="Times New Roman" w:eastAsia="Times New Roman" w:hAnsi="Times New Roman"/>
          <w:sz w:val="18"/>
          <w:szCs w:val="18"/>
          <w:color w:val="auto"/>
        </w:rPr>
      </w:pPr>
    </w:p>
    <w:p>
      <w:pPr>
        <w:ind w:left="-60" w:right="100" w:firstLine="436"/>
        <w:spacing w:after="0" w:line="261" w:lineRule="auto"/>
        <w:tabs>
          <w:tab w:leader="none" w:pos="5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Documents. </w:t>
      </w:r>
      <w:r>
        <w:rPr>
          <w:rFonts w:ascii="Times New Roman" w:cs="Times New Roman" w:eastAsia="Times New Roman" w:hAnsi="Times New Roman"/>
          <w:sz w:val="18"/>
          <w:szCs w:val="18"/>
          <w:color w:val="auto"/>
        </w:rPr>
        <w:t>On each date on which the Company is required to deliver a certificate pursuant to Section 7(o), counsel for the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Agents, the Forward Sellers and the Forward Purchasers, as applicable, shall have been furnished with such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contained in this Agreement.</w:t>
      </w:r>
    </w:p>
    <w:p>
      <w:pPr>
        <w:spacing w:after="0" w:line="179" w:lineRule="exact"/>
        <w:rPr>
          <w:rFonts w:ascii="Times New Roman" w:cs="Times New Roman" w:eastAsia="Times New Roman" w:hAnsi="Times New Roman"/>
          <w:sz w:val="18"/>
          <w:szCs w:val="18"/>
          <w:color w:val="auto"/>
        </w:rPr>
      </w:pPr>
    </w:p>
    <w:p>
      <w:pPr>
        <w:ind w:left="-60" w:right="340" w:firstLine="436"/>
        <w:spacing w:after="0" w:line="284"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 Act Filings Made</w:t>
      </w:r>
      <w:r>
        <w:rPr>
          <w:rFonts w:ascii="Times New Roman" w:cs="Times New Roman" w:eastAsia="Times New Roman" w:hAnsi="Times New Roman"/>
          <w:sz w:val="18"/>
          <w:szCs w:val="18"/>
          <w:color w:val="auto"/>
        </w:rPr>
        <w:t>. All filings with the Commission required by Rule 424 under the Securities Act to have been filed prior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of any Placement Notice hereunder shall have been made within the applicable time period prescribed for such filing by Rule 424.</w:t>
      </w:r>
    </w:p>
    <w:p>
      <w:pPr>
        <w:spacing w:after="0" w:line="158" w:lineRule="exact"/>
        <w:rPr>
          <w:rFonts w:ascii="Times New Roman" w:cs="Times New Roman" w:eastAsia="Times New Roman" w:hAnsi="Times New Roman"/>
          <w:sz w:val="18"/>
          <w:szCs w:val="18"/>
          <w:color w:val="auto"/>
        </w:rPr>
      </w:pPr>
    </w:p>
    <w:p>
      <w:pPr>
        <w:ind w:left="-60" w:right="20" w:firstLine="436"/>
        <w:spacing w:after="0" w:line="284" w:lineRule="auto"/>
        <w:tabs>
          <w:tab w:leader="none" w:pos="5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 of Confirmation</w:t>
      </w:r>
      <w:r>
        <w:rPr>
          <w:rFonts w:ascii="Times New Roman" w:cs="Times New Roman" w:eastAsia="Times New Roman" w:hAnsi="Times New Roman"/>
          <w:sz w:val="18"/>
          <w:szCs w:val="18"/>
          <w:color w:val="auto"/>
        </w:rPr>
        <w:t>. In respect of any Placement Notice delivered in respect of any Forward, the related Confirmation shall be in full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force and effect.</w:t>
      </w:r>
    </w:p>
    <w:p>
      <w:pPr>
        <w:spacing w:after="0" w:line="158" w:lineRule="exact"/>
        <w:rPr>
          <w:rFonts w:ascii="Times New Roman" w:cs="Times New Roman" w:eastAsia="Times New Roman" w:hAnsi="Times New Roman"/>
          <w:sz w:val="18"/>
          <w:szCs w:val="18"/>
          <w:color w:val="auto"/>
        </w:rPr>
      </w:pPr>
    </w:p>
    <w:p>
      <w:pPr>
        <w:ind w:left="-60" w:right="80" w:firstLine="436"/>
        <w:spacing w:after="0" w:line="258" w:lineRule="auto"/>
        <w:tabs>
          <w:tab w:leader="none" w:pos="68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of Agreement. </w:t>
      </w:r>
      <w:r>
        <w:rPr>
          <w:rFonts w:ascii="Times New Roman" w:cs="Times New Roman" w:eastAsia="Times New Roman" w:hAnsi="Times New Roman"/>
          <w:sz w:val="18"/>
          <w:szCs w:val="18"/>
          <w:color w:val="auto"/>
        </w:rPr>
        <w:t>If any condition specified in this Section 9 shall not have been fulfilled in all material respects when and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be fulfilled, this Agreement may be terminated by the applicable Sales Agent(s), the applicable Forward Seller(s) or the applicable Forward Purchaser(s) by notice to the Company, and such termination shall be without liability of any party to any other party except as provided in Section 8 hereof and except that, in the case of any termination of this Agreement, Sections 5, 10, 11, 12 and 21 hereof shall survive such termination and remain in full force and effect.</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0" w:firstLine="436"/>
        <w:spacing w:after="0" w:line="255" w:lineRule="auto"/>
        <w:tabs>
          <w:tab w:leader="none" w:pos="62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by the Company. </w:t>
      </w:r>
      <w:r>
        <w:rPr>
          <w:rFonts w:ascii="Times New Roman" w:cs="Times New Roman" w:eastAsia="Times New Roman" w:hAnsi="Times New Roman"/>
          <w:sz w:val="18"/>
          <w:szCs w:val="18"/>
          <w:color w:val="auto"/>
        </w:rPr>
        <w:t>The Company will indemnify and hold harmless each Agent, each Forward Seller and each Forward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Purchaser, their respective affiliates (as such term is defined in Rule 501(b) under the Securities Act (each, an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their respective selling agents and each person, if any, who controls a Sales Agent, a Forward Seller and a Forward Purchaser, within the meaning of Section 15 of the Securities Act or Section 20 of the Exchange Act, against any losses, claims, damages or liabilities, joint or several, to which the Sales Agents, the Forward Sellers or the Forward Purchasers may become subject, under the Securities Act or otherwise, insofar as such losses, claims, damages or liabilities (or actions in respect thereof) arise out of or are based upon an untrue statement or alleged untrue statement of a material fact contained in any Issuer Free Writing Prospectus, the Registration Statement (including the Rule 430B Information), the Prospectus, as amended or supplemented, or any other prospectus relating to the Securities, or any amendment or supplement thereto, or arise out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00"/>
          </w:cols>
          <w:pgMar w:left="500" w:top="268" w:right="499" w:bottom="1440" w:gutter="0" w:footer="0" w:header="0"/>
        </w:sectPr>
      </w:pPr>
    </w:p>
    <w:bookmarkStart w:id="39" w:name="page40"/>
    <w:bookmarkEnd w:id="39"/>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 or are based upon the omission or alleged omission to state therein a material fact required to be stated therein or necessary to make the statements therein not misleading, and will reimburse the Sales Agents, the Forward Sellers and the Forward Purchasers for any legal or other expenses reasonably incurred by such Sales Agent, such Forward Seller or such Forward Purchaser in connection with investigating or defending any such action or claim as such expenses are incurred; provided, however, that the Company shall not be liable in any such case to the extent that any such loss, claim, damage or liability (or actions in respect thereof) arises out of or is based upon an untrue statement or alleged untrue statement or omission or alleged omission made in any Issuer Free Writing Prospectus, the Registration Statement, the Prospectus, as amended or supplemented, or any other prospectus relating to the Securities, or any such amendment or supplement in reliance upon and in conformity with written information furnished to the Company by a Sales Agent or a Forward Seller expressly for use in the Prospectus, as amended or supplemented, relating to such Securities.</w:t>
      </w:r>
    </w:p>
    <w:p>
      <w:pPr>
        <w:spacing w:after="0" w:line="190" w:lineRule="exact"/>
        <w:rPr>
          <w:sz w:val="20"/>
          <w:szCs w:val="20"/>
          <w:color w:val="auto"/>
        </w:rPr>
      </w:pPr>
    </w:p>
    <w:p>
      <w:pPr>
        <w:ind w:firstLine="436"/>
        <w:spacing w:after="0" w:line="253" w:lineRule="auto"/>
        <w:tabs>
          <w:tab w:leader="none" w:pos="6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the Sales Agents and the Forward Sellers</w:t>
      </w:r>
      <w:r>
        <w:rPr>
          <w:rFonts w:ascii="Times New Roman" w:cs="Times New Roman" w:eastAsia="Times New Roman" w:hAnsi="Times New Roman"/>
          <w:sz w:val="18"/>
          <w:szCs w:val="18"/>
          <w:color w:val="auto"/>
        </w:rPr>
        <w:t>. Each of the Sales Agents and the Forward Sellers, severally and not jointly,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agrees to indemnify and hold harmless the Company, its trustees, 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to which the Company may become subject, under the Securities Act or otherwise, insofar as such losses, claims, damages or liabilities (or actions in respect thereof) arise out of or are based upon an untrue statement or alleged untrue statement of a material fact contained in any Issuer Free Writing Prospectus, the Registration Statement,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Issuer Free Writing Prospectus, the Registration Statement, the Prospectus, as amended or supplemented, or any other prospectus relating to the Securities, or any such amendment or supplement in reliance upon and in conformity with written information furnished to the Company by a Sales Agent or a Forward Seller expressly for use therein, and will reimburse the Company for any legal or other expenses reasonably incurred by the Company in connection with investigating or defending any such action or claim as to which the Company shall be entitled to indemnification under this subsection (b) as such expenses are incurred.</w:t>
      </w:r>
    </w:p>
    <w:p>
      <w:pPr>
        <w:spacing w:after="0" w:line="185" w:lineRule="exact"/>
        <w:rPr>
          <w:rFonts w:ascii="Times New Roman" w:cs="Times New Roman" w:eastAsia="Times New Roman" w:hAnsi="Times New Roman"/>
          <w:sz w:val="18"/>
          <w:szCs w:val="18"/>
          <w:color w:val="auto"/>
        </w:rPr>
      </w:pPr>
    </w:p>
    <w:p>
      <w:pPr>
        <w:ind w:right="120" w:firstLine="436"/>
        <w:spacing w:after="0" w:line="257" w:lineRule="auto"/>
        <w:tabs>
          <w:tab w:leader="none" w:pos="685" w:val="left"/>
        </w:tabs>
        <w:numPr>
          <w:ilvl w:val="0"/>
          <w:numId w:val="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Actions against Parties; Notification. </w:t>
      </w:r>
      <w:r>
        <w:rPr>
          <w:rFonts w:ascii="Times New Roman" w:cs="Times New Roman" w:eastAsia="Times New Roman" w:hAnsi="Times New Roman"/>
          <w:sz w:val="18"/>
          <w:szCs w:val="18"/>
          <w:color w:val="auto"/>
        </w:rPr>
        <w:t>Promptly after receipt by an indemnified party under subsection (a) or (b) above of notice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commencement of any action, such indemnified party shall, if a claim in respect thereof is to be made against the indemnifying party under such subsection, notify the indemnifying party in writing of the commencement thereof. However,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40" w:name="page41"/>
    <w:bookmarkEnd w:id="40"/>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 No indemnifying party shall, without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w:t>
      </w:r>
    </w:p>
    <w:p>
      <w:pPr>
        <w:spacing w:after="0" w:line="1" w:lineRule="exact"/>
        <w:rPr>
          <w:sz w:val="20"/>
          <w:szCs w:val="20"/>
          <w:color w:val="auto"/>
        </w:rPr>
      </w:pPr>
    </w:p>
    <w:p>
      <w:pPr>
        <w:ind w:left="4" w:hanging="4"/>
        <w:spacing w:after="0" w:line="260" w:lineRule="auto"/>
        <w:tabs>
          <w:tab w:leader="none" w:pos="21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81" w:lineRule="exact"/>
        <w:rPr>
          <w:sz w:val="20"/>
          <w:szCs w:val="20"/>
          <w:color w:val="auto"/>
        </w:rPr>
      </w:pPr>
    </w:p>
    <w:p>
      <w:pPr>
        <w:ind w:left="4"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provided for in Section 10 hereof is unavailable to or insufficient to hold harmless an indemnified party under Section 10(a) or Section 10(b)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applicable Sales Agents(s) or the applicable Forward Seller(s) on the other from the offering of Securities pursuant to this Agreement to which such loss, claim, damage or liability (or action in respect thereof) relates. If, however, the allocation provided by the immediately preceding sentence is not permitted by applicable law or if the indemnified party failed to give the notice required under Section 10(c) above, then each indemnifying party shall contribute to such amount paid or payable by such indemnified party in such proportion as is appropriate to reflect not only such relative benefits but also the relative fault of the Company on the one hand and the applicable Sales Agent(s), the applicable Forward Seller(s) or the applicable Forward Purchaser(s) on the other in connection with the statements or omissions which resulted in such losses, claims, damages or liabilities (or actions in respect thereof), as well as any other relevant equitable considerations.</w:t>
      </w:r>
    </w:p>
    <w:p>
      <w:pPr>
        <w:spacing w:after="0" w:line="192"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The relative benefits received by the Company on the one hand and the applicable Sales Agent(s) or the applicable Forward Seller(s) on the other shall be deemed to be in the same proportion as the net proceeds from the offering of Securities (before deducting expenses) received by the Company bear to the total commissions received by the applicable Sales Agent(s) or the applicable Forward Seller(s) (and, for purposes of the foregoing, the Company shall be deemed to have received net proceeds from the sale of any Forward Hedge Securities, in an amount equal to the proceeds that would have been received by the Company upon full physical settlement of the related Confirmation, assuming that the aggregate amount payable by the Forward Purchaser to the Company for the corresponding Confirmation Securities is equal to the aggregate amount of net proceeds received by the Forward Purchaser from the sale of such Forward Hedge Securities through the Forward Seller).</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64"/>
          </w:cols>
          <w:pgMar w:left="436" w:top="270" w:right="499" w:bottom="1440" w:gutter="0" w:footer="0" w:header="0"/>
        </w:sectPr>
      </w:pPr>
    </w:p>
    <w:bookmarkStart w:id="41" w:name="page42"/>
    <w:bookmarkEnd w:id="41"/>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relative fault shall be determined by reference to, among other things, whether the untrue or alleged untrue statement of a material fact or the omission or alleged omission to state a material fact relates to information supplied by the Company on the one hand or by the applicable Sales Agent(s) or Forward Seller(s) on the other and the parties’ relative intent, knowledge, access to information and opportunity to correct or prevent such statement or omission. The parties hereto agree that it would not be just and equitable if contribution pursuant to this Section 11 were determined by pro rata allocation or by any other method of allocation which does not take account of the equitable considerations referred to above in this Section 11. The amount paid or payable by an indemnified party as a result of the losses, claims, damages or liabilities (or actions in respect thereof) referred to above in this Section 11 shall be deemed to include any legal or other expenses reasonably incurred by such indemnified party in connection with investigating or defending any such action or claim.</w:t>
      </w:r>
    </w:p>
    <w:p>
      <w:pPr>
        <w:spacing w:after="0" w:line="192"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Notwithstanding the provisions of this Section 11, none of the Sales Agents and the Forward Sellers shall be required to contribute any amount in excess of the amount by which the total price at which, in the case of a Sales Agent, the Issuance Securities or, in the case of a Forward Seller and a Forward Purchaser, the Forward Hedge Securities were sold and distributed to the public pursuant to this Agreement exceeds the amount of any damages which such party would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87"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obligations of the Company under Section 10 and this Section 11 shall be in addition to any liability which the Company may otherwise have and shall extend, upon the same terms and conditions, to each person, if any, who controls a Sales Agent, a Forward Seller or a Forward Purchaser within the meaning of the Securities Act; and the obligations of a Sales Agent, a Forward Seller or a Forward Purchaser under Section 10 and this Section 11 shall be in addition to any liability which it may otherwise have and shall extend, upon the same terms and conditions, to each officer of the Company who signed the Registration Statement, to each trustee of the Company and to each person, if any, who controls the Company within the meaning of the Securities Act.</w:t>
      </w:r>
    </w:p>
    <w:p>
      <w:pPr>
        <w:spacing w:after="0" w:line="187"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u w:val="single" w:color="auto"/>
          <w:color w:val="auto"/>
        </w:rPr>
        <w:t>Representations, Warranties and Agreements to Survive Delivery</w:t>
      </w:r>
      <w:r>
        <w:rPr>
          <w:rFonts w:ascii="Times New Roman" w:cs="Times New Roman" w:eastAsia="Times New Roman" w:hAnsi="Times New Roman"/>
          <w:sz w:val="17"/>
          <w:szCs w:val="17"/>
          <w:color w:val="auto"/>
        </w:rPr>
        <w:t>. All indemnities, agreements representations, warranties and other statements contained in this Agreement or in certificates of officers of the Company or any subsidiary submitted pursuant hereto, shall remain operative and in full force and effect, regardless of any investigation (or any statement as to the results thereof) made by or on behalf of a Sales Agent, a Forward Seller, a Forward Purchaser or any controlling person, or by or on behalf of the Company or any controlling person, and shall survive delivery and acceptance of the Securities and payment therefor and the settlement of any Confirmation or any termination of this Agreement or the Confirmation.</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42" w:name="page43"/>
    <w:bookmarkEnd w:id="42"/>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13. </w:t>
      </w:r>
      <w:r>
        <w:rPr>
          <w:rFonts w:ascii="Times New Roman" w:cs="Times New Roman" w:eastAsia="Times New Roman" w:hAnsi="Times New Roman"/>
          <w:sz w:val="18"/>
          <w:szCs w:val="18"/>
          <w:u w:val="single" w:color="auto"/>
          <w:color w:val="auto"/>
        </w:rPr>
        <w:t>Termination of Agreement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 w:firstLine="436"/>
        <w:spacing w:after="0" w:line="253" w:lineRule="auto"/>
        <w:tabs>
          <w:tab w:leader="none" w:pos="68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General. </w:t>
      </w:r>
      <w:r>
        <w:rPr>
          <w:rFonts w:ascii="Times New Roman" w:cs="Times New Roman" w:eastAsia="Times New Roman" w:hAnsi="Times New Roman"/>
          <w:sz w:val="18"/>
          <w:szCs w:val="18"/>
          <w:color w:val="auto"/>
        </w:rPr>
        <w:t>Each of the Sales Agents, the Forward Sellers and the Forward Purchasers may terminate this Agreement, by notice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as hereinafter specified at any time (i) if there has been, since the time of execution of this Agreement or since the date as of which information is given in the Prospectus, any material adverse change, or any development involving a prospective material adverse change, in or affecting the general affairs, management, financial position, shareholders’ equity or results of operations of the Company and its subsidiaries taken as a whole,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Sales Agent(s), the Forward Seller(s) or the Forward Purchaser(s), impracticable or inadvisable to market the Securities or to enforce contracts for the sale of the Securities, or (iii) if trading in the Securities has been suspended or limited by the Commission or the NYSE, or if trading generally on the NYSE Amex Equities, the NYSE or the Nasdaq Global Market has been suspended or limited, or minimum or maximum prices for trading have been fixed, or maximum ranges for prices have been required, by any of said exchanges or by order of the Commission, FINRA or any other governmental authority, or a material disruption has occurred in commercial banking or securities settlement or clearance services in the United States or in Europe, or (iv) if a banking moratorium has been declared by either Federal or New York authorities.</w:t>
      </w:r>
    </w:p>
    <w:p>
      <w:pPr>
        <w:spacing w:after="0" w:line="187" w:lineRule="exact"/>
        <w:rPr>
          <w:rFonts w:ascii="Times New Roman" w:cs="Times New Roman" w:eastAsia="Times New Roman" w:hAnsi="Times New Roman"/>
          <w:sz w:val="18"/>
          <w:szCs w:val="18"/>
          <w:color w:val="auto"/>
        </w:rPr>
      </w:pPr>
    </w:p>
    <w:p>
      <w:pPr>
        <w:ind w:left="4" w:firstLine="436"/>
        <w:spacing w:after="0" w:line="284" w:lineRule="auto"/>
        <w:tabs>
          <w:tab w:leader="none" w:pos="69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by the Company. </w:t>
      </w:r>
      <w:r>
        <w:rPr>
          <w:rFonts w:ascii="Times New Roman" w:cs="Times New Roman" w:eastAsia="Times New Roman" w:hAnsi="Times New Roman"/>
          <w:sz w:val="18"/>
          <w:szCs w:val="18"/>
          <w:color w:val="auto"/>
        </w:rPr>
        <w:t>The Company shall have the right, by giving three (3) days’ notice, unless such notice is waived by the recipient,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hereinafter specified to terminate this Agreement in its sole discretion at any time after the date of this Agreement.</w:t>
      </w:r>
    </w:p>
    <w:p>
      <w:pPr>
        <w:spacing w:after="0" w:line="158" w:lineRule="exact"/>
        <w:rPr>
          <w:rFonts w:ascii="Times New Roman" w:cs="Times New Roman" w:eastAsia="Times New Roman" w:hAnsi="Times New Roman"/>
          <w:sz w:val="18"/>
          <w:szCs w:val="18"/>
          <w:color w:val="auto"/>
        </w:rPr>
      </w:pPr>
    </w:p>
    <w:p>
      <w:pPr>
        <w:ind w:left="4" w:right="520" w:firstLine="436"/>
        <w:spacing w:after="0" w:line="267" w:lineRule="auto"/>
        <w:tabs>
          <w:tab w:leader="none" w:pos="68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by the Sales Agents, the Forward Sellers or the Forward Purchasers. </w:t>
      </w:r>
      <w:r>
        <w:rPr>
          <w:rFonts w:ascii="Times New Roman" w:cs="Times New Roman" w:eastAsia="Times New Roman" w:hAnsi="Times New Roman"/>
          <w:sz w:val="18"/>
          <w:szCs w:val="18"/>
          <w:color w:val="auto"/>
        </w:rPr>
        <w:t>Each of the Sales Agents, the Forward Sellers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Forward Purchasers shall have the right, by giving three (3) days notice, unless such notice is waived by the recipient, as hereinafter specified to terminate this Agreement, as to itself, in its sole discretion at any time after the date of this Agreement.</w:t>
      </w:r>
    </w:p>
    <w:p>
      <w:pPr>
        <w:spacing w:after="0" w:line="173" w:lineRule="exact"/>
        <w:rPr>
          <w:rFonts w:ascii="Times New Roman" w:cs="Times New Roman" w:eastAsia="Times New Roman" w:hAnsi="Times New Roman"/>
          <w:sz w:val="18"/>
          <w:szCs w:val="18"/>
          <w:color w:val="auto"/>
        </w:rPr>
      </w:pPr>
    </w:p>
    <w:p>
      <w:pPr>
        <w:ind w:left="4" w:right="100" w:firstLine="436"/>
        <w:spacing w:after="0" w:line="267" w:lineRule="auto"/>
        <w:tabs>
          <w:tab w:leader="none" w:pos="69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Automatic Termination. </w:t>
      </w:r>
      <w:r>
        <w:rPr>
          <w:rFonts w:ascii="Times New Roman" w:cs="Times New Roman" w:eastAsia="Times New Roman" w:hAnsi="Times New Roman"/>
          <w:sz w:val="18"/>
          <w:szCs w:val="18"/>
          <w:color w:val="auto"/>
        </w:rPr>
        <w:t>Unless earlier terminated pursuant to this Section 13, this Agreement shall automatically terminate upon the sale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by the Sales Agents and the Forward Sellers on the terms and subject to the conditions set forth herein with an aggregate offering price equal to the Maximum Amount set forth in Section 1 of this Agreement.</w:t>
      </w:r>
    </w:p>
    <w:p>
      <w:pPr>
        <w:spacing w:after="0" w:line="173"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Continued Force and Effect. </w:t>
      </w:r>
      <w:r>
        <w:rPr>
          <w:rFonts w:ascii="Times New Roman" w:cs="Times New Roman" w:eastAsia="Times New Roman" w:hAnsi="Times New Roman"/>
          <w:sz w:val="18"/>
          <w:szCs w:val="18"/>
          <w:color w:val="auto"/>
        </w:rPr>
        <w:t>This Agreement shall remain in full force and effect unless terminated pursuant to Sections 13(a), (b), (c) or</w:t>
      </w:r>
    </w:p>
    <w:p>
      <w:pPr>
        <w:spacing w:after="0" w:line="2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or otherwise by mutual agreement of the parties.</w:t>
      </w:r>
    </w:p>
    <w:p>
      <w:pPr>
        <w:spacing w:after="0" w:line="204"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Effectiveness of Termination. </w:t>
      </w:r>
      <w:r>
        <w:rPr>
          <w:rFonts w:ascii="Times New Roman" w:cs="Times New Roman" w:eastAsia="Times New Roman" w:hAnsi="Times New Roman"/>
          <w:sz w:val="18"/>
          <w:szCs w:val="18"/>
          <w:color w:val="auto"/>
        </w:rPr>
        <w:t>Any termination of this Agreement shall be effective on the date specified in such notice of termination;</w:t>
      </w:r>
    </w:p>
    <w:p>
      <w:pPr>
        <w:spacing w:after="0" w:line="29" w:lineRule="exact"/>
        <w:rPr>
          <w:sz w:val="20"/>
          <w:szCs w:val="20"/>
          <w:color w:val="auto"/>
        </w:rPr>
      </w:pPr>
    </w:p>
    <w:p>
      <w:pPr>
        <w:ind w:left="4" w:right="40"/>
        <w:spacing w:after="0" w:line="255"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termination shall not be effective until the close of business on the date of receipt of such notice by the Sales Agents, the Forward Sellers, the Forward Purchasers or the Company, as the case may be. If such termination shall occur prior to the Settlement Date for any sale of Securities, such Securities shall settle in accordance with the provisions of this Agreement.</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4"/>
          </w:cols>
          <w:pgMar w:left="436" w:top="270" w:right="459" w:bottom="1440" w:gutter="0" w:footer="0" w:header="0"/>
        </w:sectPr>
      </w:pPr>
    </w:p>
    <w:bookmarkStart w:id="43" w:name="page44"/>
    <w:bookmarkEnd w:id="43"/>
    <w:p>
      <w:pPr>
        <w:ind w:right="160" w:firstLine="436"/>
        <w:spacing w:after="0" w:line="267" w:lineRule="auto"/>
        <w:tabs>
          <w:tab w:leader="none" w:pos="6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Liabilities. </w:t>
      </w:r>
      <w:r>
        <w:rPr>
          <w:rFonts w:ascii="Times New Roman" w:cs="Times New Roman" w:eastAsia="Times New Roman" w:hAnsi="Times New Roman"/>
          <w:sz w:val="18"/>
          <w:szCs w:val="18"/>
          <w:color w:val="auto"/>
        </w:rPr>
        <w:t>If this Agreement is terminated pursuant to this Section 13, such termination shall be without liability of any party to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 except as provided in Section 8 hereof, and except that, in the case of any termination of this Agreement, Section 5, Section 10, Section 11, Section 12 and Section 23 hereof shall survive such termination and remain in full force and effect.</w:t>
      </w:r>
    </w:p>
    <w:p>
      <w:pPr>
        <w:spacing w:after="0" w:line="17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Except as otherwise provided in this Agreement, all notices and other communications hereunder shall be in writing and shall be deemed to have been duly given if mailed or transmitted by any standard form of telecommunication, and if to the Sales Agents, the Forward Sellers, the Forward Purchasers or the Company shall be delivered or sent by mail 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Sales Agents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T.J. Opladen, with a copy to ECM Legal</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10179</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Stephanie Little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stephanie.y.little@jpmorgan.com</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Telephone: (312) 732-3229</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500 West 33rd Street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Equity Syndicate Department</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Forward Sellers and the Forward Purchasers to:</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800"/>
          </w:cols>
          <w:pgMar w:left="440" w:top="268" w:right="659" w:bottom="1440" w:gutter="0" w:footer="0" w:header="0"/>
        </w:sectPr>
      </w:pPr>
    </w:p>
    <w:bookmarkStart w:id="44" w:name="page45"/>
    <w:bookmarkEnd w:id="4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Bank of America, N.A.</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Rohan Handa</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Tel: (646) 855-8654</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rohan.handa@bofa.com</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388 Greenwich, 6th Floor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Equity Derivatives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JPMorgan Chase Bank, National Association</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10179</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EDG Marketing Support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edg_notices@jpmorgan.com</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edg_ny_corporate_sales_support@jpmorgan.com</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to Stephanie Little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Tel: (312) 732-3229</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stephanie.y.little@jpmorgan.com;</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500 West 33rd Street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Structuring Services Group</w:t>
      </w:r>
    </w:p>
    <w:p>
      <w:pPr>
        <w:spacing w:after="0" w:line="9" w:lineRule="exact"/>
        <w:rPr>
          <w:sz w:val="20"/>
          <w:szCs w:val="20"/>
          <w:color w:val="auto"/>
        </w:rPr>
      </w:pPr>
    </w:p>
    <w:p>
      <w:pPr>
        <w:jc w:val="right"/>
        <w:ind w:right="4259"/>
        <w:spacing w:after="0"/>
        <w:rPr>
          <w:sz w:val="20"/>
          <w:szCs w:val="20"/>
          <w:color w:val="auto"/>
        </w:rPr>
      </w:pPr>
      <w:r>
        <w:rPr>
          <w:rFonts w:ascii="Times New Roman" w:cs="Times New Roman" w:eastAsia="Times New Roman" w:hAnsi="Times New Roman"/>
          <w:sz w:val="18"/>
          <w:szCs w:val="18"/>
          <w:color w:val="auto"/>
        </w:rPr>
        <w:t>with a copy to CorporateDerivativeNotifications@wellsfargo.com</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Colyer Curtis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ccurtis@jefferies.com with a copy to</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CorpEqDeriv@jefferies.com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if to the Company to: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909 Rose Avenue</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Suite 200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North Bethesda, Maryland 20852</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019"/>
          </w:cols>
          <w:pgMar w:left="440" w:top="270" w:right="1440" w:bottom="1440" w:gutter="0" w:footer="0" w:header="0"/>
        </w:sectPr>
      </w:pPr>
    </w:p>
    <w:bookmarkStart w:id="45" w:name="page46"/>
    <w:bookmarkEnd w:id="45"/>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15.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This Agreement shall inure to the benefit of and be binding upon the Sales Agents, the Forward Sellers, the Forward Purchasers, the Company and their respective successors. Nothing expressed or mentioned in this Agreement is intended or shall be construed to give any person, firm or corporation, other than the Sales Agents, the Forward Sellers, the Forward Purchasers, their respective Affiliates, the Company and their respective successors and the controlling persons and officers, trustees and directors referred to in Sections 10 and 11 and their heirs and legal representatives, any legal or equitable right, remedy or claim under or in respect of this Agreement or any provision herein contained. This Agreement and all conditions and provisions hereof are intended to be for the sole and exclusive benefit of the Sales Agents, the Forward Sellers, the Forward Purchasers, their respective Affiliates, the Company and their respective successors, and said controlling persons and officers, trustees and directors and their heirs and legal representatives, and for the benefit of no other person, firm or corporation. No purchaser of Securities from the Sales Agents or the Forward Sellers shall be deemed to be a successor by reason merely of such purchase.</w:t>
      </w:r>
    </w:p>
    <w:p>
      <w:pPr>
        <w:spacing w:after="0" w:line="188"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Adjustments for Stock Splits</w:t>
      </w:r>
      <w:r>
        <w:rPr>
          <w:rFonts w:ascii="Times New Roman" w:cs="Times New Roman" w:eastAsia="Times New Roman" w:hAnsi="Times New Roman"/>
          <w:sz w:val="18"/>
          <w:szCs w:val="18"/>
          <w:color w:val="auto"/>
        </w:rPr>
        <w:t>. The parties acknowledge and agree that all stock-related numbers contained in this Agreement shall be adjusted to take into account any stock split, stock dividend or similar event effected with respect to the Securities.</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Governing Law and Time</w:t>
      </w:r>
      <w:r>
        <w:rPr>
          <w:rFonts w:ascii="Times New Roman" w:cs="Times New Roman" w:eastAsia="Times New Roman" w:hAnsi="Times New Roman"/>
          <w:sz w:val="18"/>
          <w:szCs w:val="18"/>
          <w:color w:val="auto"/>
        </w:rPr>
        <w:t>. THIS AGREEMENT SHALL BE GOVERNED BY AND CONSTRUED IN ACCORDANCE WITH THE LAWS OF THE STATE OF NEW YORK. SPECIFIED TIMES OF DAY REFER TO NEW YORK CITY TIME.</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by any one or more of the parties hereto and thereto in any number of counterparts, each of which shall be deemed to be an original, but all such respective counterparts shall together constitute one and the same instrument. Delivery of an executed Agreement by one party to the other may be made by electronic mail (including any electronic signature complying with the New York Electronic Signatures and Records Act (N.Y. State Tech. §§ 301-309), as amended from time to time, or other applicable law) or other transmission method, and the parties hereto agree that any counterpart so delivered shall be deemed to have been duly and validly delivered and be valid and effective for all purposes.</w:t>
      </w:r>
    </w:p>
    <w:p>
      <w:pPr>
        <w:spacing w:after="0" w:line="187"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 In the event that any Sales Agent, any Forward Seller or any Forward Purchaser that is a Covered Entity becomes subject to a proceeding under a U.S. Special Resolution Regime, the transfer from such Sales Agent, such Forward Seller or such Forward Purchaser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3"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In the event that any Sales Agent, any Forward Seller or any Forward Purchaser that is a Covered Entity or a BHC Act Affiliate of such Sales Agent, such Forward Seller or such Forward Purchaser becomes subject to a proceeding under a U.S. Special Resolution Regime, Default Rights under this Agreement that may be exercised against such Sales Agent, such Forward Seller or such Forward Purchaser are permitted to be exercised to no greater extent than such Default Rights could be exercised under the U.S. Special Resolution Regime if this Agreement were governed by the laws of the United States or a state of the United States.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46" w:name="page47"/>
    <w:bookmarkEnd w:id="46"/>
    <w:p>
      <w:pPr>
        <w:ind w:left="4" w:firstLine="44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purposes of foregoing two paragraphs,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and “U.S. Special Resolution Regime” means each of</w:t>
      </w:r>
    </w:p>
    <w:p>
      <w:pPr>
        <w:spacing w:after="0" w:line="3" w:lineRule="exact"/>
        <w:rPr>
          <w:sz w:val="20"/>
          <w:szCs w:val="20"/>
          <w:color w:val="auto"/>
        </w:rPr>
      </w:pPr>
    </w:p>
    <w:p>
      <w:pPr>
        <w:ind w:left="4" w:right="100" w:hanging="4"/>
        <w:spacing w:after="0" w:line="260" w:lineRule="auto"/>
        <w:tabs>
          <w:tab w:leader="none" w:pos="21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Deposit Insurance Act and the regulations promulgated thereunder and (ii) Title II of the Dodd-Frank Wall Street Reform and Consumer Protection Act and the regulations promulgated thereunder.</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Effect of Headings</w:t>
      </w:r>
    </w:p>
    <w:p>
      <w:pPr>
        <w:spacing w:after="0" w:line="225" w:lineRule="exact"/>
        <w:rPr>
          <w:sz w:val="20"/>
          <w:szCs w:val="20"/>
          <w:color w:val="auto"/>
        </w:rPr>
      </w:pPr>
    </w:p>
    <w:p>
      <w:pPr>
        <w:ind w:left="444" w:right="1820" w:hanging="4"/>
        <w:spacing w:after="0" w:line="500" w:lineRule="auto"/>
        <w:tabs>
          <w:tab w:leader="none" w:pos="53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Section and Exhibit headings herein are for convenience only and shall not affect the construction hereof. SECTION 21.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have the respective meanings set forth below:</w:t>
      </w:r>
    </w:p>
    <w:p>
      <w:pPr>
        <w:spacing w:after="0" w:line="2"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Sales Price</w:t>
      </w:r>
      <w:r>
        <w:rPr>
          <w:rFonts w:ascii="Times New Roman" w:cs="Times New Roman" w:eastAsia="Times New Roman" w:hAnsi="Times New Roman"/>
          <w:sz w:val="18"/>
          <w:szCs w:val="18"/>
          <w:color w:val="auto"/>
        </w:rPr>
        <w:t>” means, with respect to a period, the sum of the Sales Prices for all Issuance Securities or Forward Hedge Securities, as applicable, sold during such period.</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means the time of each sale of any Securities pursuant to this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means the Company’s Declaration of Trust, as amended.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means the Company’s common shares of beneficial interest, par value $.01 per share.</w:t>
      </w:r>
    </w:p>
    <w:p>
      <w:pPr>
        <w:spacing w:after="0" w:line="225" w:lineRule="exact"/>
        <w:rPr>
          <w:sz w:val="20"/>
          <w:szCs w:val="20"/>
          <w:color w:val="auto"/>
        </w:rPr>
      </w:pPr>
    </w:p>
    <w:p>
      <w:pPr>
        <w:ind w:left="4"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Confirmation</w:t>
      </w:r>
      <w:r>
        <w:rPr>
          <w:rFonts w:ascii="Times New Roman" w:cs="Times New Roman" w:eastAsia="Times New Roman" w:hAnsi="Times New Roman"/>
          <w:sz w:val="18"/>
          <w:szCs w:val="18"/>
          <w:color w:val="auto"/>
        </w:rPr>
        <w:t>” means the agreement in respect of the share forward sale transaction by and between the Company and the applicable Forward Purchaser, including all provisions incorporated by reference therein.</w:t>
      </w:r>
    </w:p>
    <w:p>
      <w:pPr>
        <w:spacing w:after="0" w:line="162" w:lineRule="exact"/>
        <w:rPr>
          <w:sz w:val="20"/>
          <w:szCs w:val="20"/>
          <w:color w:val="auto"/>
        </w:rPr>
      </w:pPr>
    </w:p>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Confirmation Securities</w:t>
      </w:r>
      <w:r>
        <w:rPr>
          <w:rFonts w:ascii="Times New Roman" w:cs="Times New Roman" w:eastAsia="Times New Roman" w:hAnsi="Times New Roman"/>
          <w:sz w:val="18"/>
          <w:szCs w:val="18"/>
          <w:color w:val="auto"/>
        </w:rPr>
        <w:t>” means any Common Shares to be issued, sold and/or delivered by the Company to the applicable Forward Purchaser, whether by settlement, acceleration, termination or otherwise, pursuant to any Confirmation.</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EDGAR</w:t>
      </w:r>
      <w:r>
        <w:rPr>
          <w:rFonts w:ascii="Times New Roman" w:cs="Times New Roman" w:eastAsia="Times New Roman" w:hAnsi="Times New Roman"/>
          <w:sz w:val="18"/>
          <w:szCs w:val="18"/>
          <w:color w:val="auto"/>
        </w:rPr>
        <w:t>” means the Commission’s Electronic Data Gathering, Analysis and Retrieval system.</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4"/>
          </w:cols>
          <w:pgMar w:left="436" w:top="270" w:right="479" w:bottom="1440" w:gutter="0" w:footer="0" w:header="0"/>
        </w:sectPr>
      </w:pPr>
    </w:p>
    <w:bookmarkStart w:id="47" w:name="page48"/>
    <w:bookmarkEnd w:id="47"/>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Forward</w:t>
      </w:r>
      <w:r>
        <w:rPr>
          <w:rFonts w:ascii="Times New Roman" w:cs="Times New Roman" w:eastAsia="Times New Roman" w:hAnsi="Times New Roman"/>
          <w:sz w:val="18"/>
          <w:szCs w:val="18"/>
          <w:color w:val="auto"/>
        </w:rPr>
        <w:t>” means each share forward sale transaction (or proposed share forward transaction) corresponding to a particular Placement Notice (as amended by the corresponding Acceptance, if applicable), pursuant to the terms and conditions of this Agreement.</w:t>
      </w:r>
    </w:p>
    <w:p>
      <w:pPr>
        <w:spacing w:after="0" w:line="162" w:lineRule="exact"/>
        <w:rPr>
          <w:sz w:val="20"/>
          <w:szCs w:val="20"/>
          <w:color w:val="auto"/>
        </w:rPr>
      </w:pPr>
    </w:p>
    <w:p>
      <w:pPr>
        <w:ind w:right="9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Forward Hedge Price</w:t>
      </w:r>
      <w:r>
        <w:rPr>
          <w:rFonts w:ascii="Times New Roman" w:cs="Times New Roman" w:eastAsia="Times New Roman" w:hAnsi="Times New Roman"/>
          <w:sz w:val="18"/>
          <w:szCs w:val="18"/>
          <w:color w:val="auto"/>
        </w:rPr>
        <w:t>” means, for any Confirmation, the product of (x) an amount equal to one (1) minus the Forward Hedge Selling Commission Rate for such Confirmation and (y) the Volume-Weighted Hedge Price.</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Forward Hedge Securities</w:t>
      </w:r>
      <w:r>
        <w:rPr>
          <w:rFonts w:ascii="Times New Roman" w:cs="Times New Roman" w:eastAsia="Times New Roman" w:hAnsi="Times New Roman"/>
          <w:sz w:val="18"/>
          <w:szCs w:val="18"/>
          <w:color w:val="auto"/>
        </w:rPr>
        <w:t>” means all Common Shares offered and sold (or to be offered and sold) by the Forward Sellers in connection with any Forward or proposed Forward that has occurred or may occur in accordance with the terms and conditions of this Agreement and related Placement Notice (as amended by the corresponding Acceptance, if applicable).</w:t>
      </w:r>
    </w:p>
    <w:p>
      <w:pPr>
        <w:spacing w:after="0" w:line="176"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Forward Hedge Selling Commission</w:t>
      </w:r>
      <w:r>
        <w:rPr>
          <w:rFonts w:ascii="Times New Roman" w:cs="Times New Roman" w:eastAsia="Times New Roman" w:hAnsi="Times New Roman"/>
          <w:sz w:val="18"/>
          <w:szCs w:val="18"/>
          <w:color w:val="auto"/>
        </w:rPr>
        <w:t>” means, for any Confirmation, the product of (x) the Forward Hedge Selling Commission Rate for such Confirmation and (y) the Volume-Weighted Hedge Price.</w:t>
      </w:r>
    </w:p>
    <w:p>
      <w:pPr>
        <w:spacing w:after="0" w:line="162" w:lineRule="exact"/>
        <w:rPr>
          <w:sz w:val="20"/>
          <w:szCs w:val="20"/>
          <w:color w:val="auto"/>
        </w:rPr>
      </w:pPr>
    </w:p>
    <w:p>
      <w:pPr>
        <w:ind w:right="8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Forward Hedge Selling Commission Rate</w:t>
      </w:r>
      <w:r>
        <w:rPr>
          <w:rFonts w:ascii="Times New Roman" w:cs="Times New Roman" w:eastAsia="Times New Roman" w:hAnsi="Times New Roman"/>
          <w:sz w:val="17"/>
          <w:szCs w:val="17"/>
          <w:color w:val="auto"/>
        </w:rPr>
        <w:t>” means, for any Confirmation, a rate mutually agreed to between the Company, the Forward Sellers and the Forward Purchasers and specified in the applicable Placement Notice (as amended by the corresponding Acceptance, if applicable), up to 2.0%.</w:t>
      </w:r>
    </w:p>
    <w:p>
      <w:pPr>
        <w:spacing w:after="0" w:line="14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Forward Hedge Selling Period</w:t>
      </w:r>
      <w:r>
        <w:rPr>
          <w:rFonts w:ascii="Times New Roman" w:cs="Times New Roman" w:eastAsia="Times New Roman" w:hAnsi="Times New Roman"/>
          <w:sz w:val="18"/>
          <w:szCs w:val="18"/>
          <w:color w:val="auto"/>
        </w:rPr>
        <w:t>” means, subject to Section 2(c) hereof, the period of consecutive Trading Days beginning on the date specified in the applicable Placement Notice (as amended by the corresponding Acceptance, if applicable) or, if such date is not a Trading Day, the next Trading Day following such date and ending on the Hedge Completion Date (as defined in the applicable Confirmation). For the avoidance of doubt, any Forward Hedge Selling Period then in effect shall immediately terminate upon the termination of this Agreement.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means the Financial Industry Regulatory Authority, Inc.</w:t>
      </w:r>
    </w:p>
    <w:p>
      <w:pPr>
        <w:spacing w:after="0" w:line="225"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Issuance</w:t>
      </w:r>
      <w:r>
        <w:rPr>
          <w:rFonts w:ascii="Times New Roman" w:cs="Times New Roman" w:eastAsia="Times New Roman" w:hAnsi="Times New Roman"/>
          <w:sz w:val="18"/>
          <w:szCs w:val="18"/>
          <w:color w:val="auto"/>
        </w:rPr>
        <w:t>” means each transaction (or proposed transaction) corresponding to a particular Placement Notice in which Common Shares issuable by the Company are offered and sold by a Sales Agent pursuant to the terms and conditions of this Agreement.</w:t>
      </w:r>
    </w:p>
    <w:p>
      <w:pPr>
        <w:spacing w:after="0" w:line="16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Issuance Selling Period</w:t>
      </w:r>
      <w:r>
        <w:rPr>
          <w:rFonts w:ascii="Times New Roman" w:cs="Times New Roman" w:eastAsia="Times New Roman" w:hAnsi="Times New Roman"/>
          <w:sz w:val="18"/>
          <w:szCs w:val="18"/>
          <w:color w:val="auto"/>
        </w:rPr>
        <w:t>” means the period of consecutive Trading Days specifying that it relates to an Issuance beginning on the date specified in the applicable Placement Notice (as amended by the corresponding Acceptance, if applicable) or, if such date is not a Trading Day, the next Trading Day following such date.</w:t>
      </w:r>
    </w:p>
    <w:p>
      <w:pPr>
        <w:spacing w:after="0" w:line="176"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Issuance Securities</w:t>
      </w:r>
      <w:r>
        <w:rPr>
          <w:rFonts w:ascii="Times New Roman" w:cs="Times New Roman" w:eastAsia="Times New Roman" w:hAnsi="Times New Roman"/>
          <w:sz w:val="18"/>
          <w:szCs w:val="18"/>
          <w:color w:val="auto"/>
        </w:rPr>
        <w:t>” means all Common Shares issued or issuable pursuant to an Issuance or proposed Issuance that has occurred or may occur in accordance with the terms and conditions of this Agreement and related Placement Notice (including any applicable Acceptance).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48" w:name="page49"/>
    <w:bookmarkEnd w:id="48"/>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 xml:space="preserve">” means any “issuer free writing prospectus,” as defined in Rule 433, relating to the Securities that (i) is required to be filed with the Commission by the Company, (ii) is a “road show” that is a “written communication” within the meaning of Rule 433(d)(8)(i) whether or not required to be filed with the Commission, or (iii) is exempt from filing pursuant to Rule 433(d)(5)(i) because it contains a description of the Securities or of the offering that does not reflect the final terms, and all free writing prospectuses that are listed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hereto, in each case in the form furnished (electronically or otherwise) to the Sales Agents, the Forward Sellers and the Forward Purchasers for use in connection with the offering of the Securities.</w:t>
      </w:r>
    </w:p>
    <w:p>
      <w:pPr>
        <w:spacing w:after="0" w:line="187" w:lineRule="exact"/>
        <w:rPr>
          <w:sz w:val="20"/>
          <w:szCs w:val="20"/>
          <w:color w:val="auto"/>
        </w:rPr>
      </w:pPr>
    </w:p>
    <w:p>
      <w:pPr>
        <w:ind w:right="8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Preferred Shares</w:t>
      </w:r>
      <w:r>
        <w:rPr>
          <w:rFonts w:ascii="Times New Roman" w:cs="Times New Roman" w:eastAsia="Times New Roman" w:hAnsi="Times New Roman"/>
          <w:sz w:val="17"/>
          <w:szCs w:val="17"/>
          <w:color w:val="auto"/>
        </w:rPr>
        <w:t>” means the Company’s preferred shares of beneficial interest, par value $.01 per share, including the Company’s outstanding 5.417% Series 1 Cumulative Convertible Preferred Shares and the Company’s outstanding 5.000% Series C Cumulative Redeemable Preferred Shares.</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172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405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424(b)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430B,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433</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Rule 462(e)</w:t>
      </w:r>
      <w:r>
        <w:rPr>
          <w:rFonts w:ascii="Times New Roman" w:cs="Times New Roman" w:eastAsia="Times New Roman" w:hAnsi="Times New Roman"/>
          <w:sz w:val="18"/>
          <w:szCs w:val="18"/>
          <w:color w:val="auto"/>
        </w:rPr>
        <w:t>” refer to such rules under the Securities Act.</w:t>
      </w:r>
    </w:p>
    <w:p>
      <w:pPr>
        <w:spacing w:after="0" w:line="225"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Sales Price</w:t>
      </w:r>
      <w:r>
        <w:rPr>
          <w:rFonts w:ascii="Times New Roman" w:cs="Times New Roman" w:eastAsia="Times New Roman" w:hAnsi="Times New Roman"/>
          <w:sz w:val="18"/>
          <w:szCs w:val="18"/>
          <w:color w:val="auto"/>
        </w:rPr>
        <w:t>” means, for each Forward or each Issuance hereunder, the actual sale execution price of each Forward Hedge Security or Issuance Security, as the case may be, sold by the Sales Agents or the Forward Sellers, as applicable, on the NYSE hereunder in the case of ordinary brokers’ transactions, or as otherwise agreed by the parties in other methods of sale.</w:t>
      </w:r>
    </w:p>
    <w:p>
      <w:pPr>
        <w:spacing w:after="0" w:line="176"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means the Sarbanes-Oxley Act of 2002 and the rules and regulations promulgated thereunder or implementing the provisions thereof.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Issuance Securities and/or Forward Hedge Securities, as applicable.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Period</w:t>
      </w:r>
      <w:r>
        <w:rPr>
          <w:rFonts w:ascii="Times New Roman" w:cs="Times New Roman" w:eastAsia="Times New Roman" w:hAnsi="Times New Roman"/>
          <w:sz w:val="18"/>
          <w:szCs w:val="18"/>
          <w:color w:val="auto"/>
        </w:rPr>
        <w:t>” means any Forward Hedge Selling Period or any Issuance Selling Period.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means, unless the applicable parties hereto otherwise agree, any Forward Hedge Settlement Date or any Issuance Settlement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Volume-Weighted Hedge Price</w:t>
      </w:r>
      <w:r>
        <w:rPr>
          <w:rFonts w:ascii="Times New Roman" w:cs="Times New Roman" w:eastAsia="Times New Roman" w:hAnsi="Times New Roman"/>
          <w:sz w:val="18"/>
          <w:szCs w:val="18"/>
          <w:color w:val="auto"/>
        </w:rPr>
        <w:t>” means, with respect to any Forward, the volume-weighted average price at which the applicable Forward Hedge Securities are sold.</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40"/>
          </w:cols>
          <w:pgMar w:left="440" w:top="270" w:right="519" w:bottom="1440" w:gutter="0" w:footer="0" w:header="0"/>
        </w:sectPr>
      </w:pPr>
    </w:p>
    <w:bookmarkStart w:id="49" w:name="page50"/>
    <w:bookmarkEnd w:id="49"/>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Securities by the Sales Agents or the Forward Sellers outside of the United States.</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Permitted Free Writing Prospectuses</w:t>
      </w:r>
      <w:r>
        <w:rPr>
          <w:rFonts w:ascii="Times New Roman" w:cs="Times New Roman" w:eastAsia="Times New Roman" w:hAnsi="Times New Roman"/>
          <w:sz w:val="18"/>
          <w:szCs w:val="18"/>
          <w:color w:val="auto"/>
        </w:rPr>
        <w:t>. The Company represents, warrants and agrees that, unless it obtains the prior consent of the Sales Agents, the Forward Sellers and the Forward Purchasers, and each Sales Agent and each Forward Seller, represents, warrants and agrees that, unless it obtains the prior consent of the Company, it has not made and will not make any offer relating to the Securities that would constitute an Issuer Free Writing Prospectus, or that would otherwise constitute a “free writing prospectus,” as defined in Rule 405, required to be filed with the Commission. Any such free writing prospectus consented to by the Sales Agents or Forward Sellers and the Forward Purchasers, as applicable, or by the Company, as the case may be, is hereinafter referred to as a “</w:t>
      </w:r>
      <w:r>
        <w:rPr>
          <w:rFonts w:ascii="Times New Roman" w:cs="Times New Roman" w:eastAsia="Times New Roman" w:hAnsi="Times New Roman"/>
          <w:sz w:val="18"/>
          <w:szCs w:val="18"/>
          <w:u w:val="single" w:color="auto"/>
          <w:color w:val="auto"/>
        </w:rPr>
        <w:t>Permitted Free Writing Prospectus</w:t>
      </w:r>
      <w:r>
        <w:rPr>
          <w:rFonts w:ascii="Times New Roman" w:cs="Times New Roman" w:eastAsia="Times New Roman" w:hAnsi="Times New Roman"/>
          <w:sz w:val="18"/>
          <w:szCs w:val="18"/>
          <w:color w:val="auto"/>
        </w:rPr>
        <w:t xml:space="preserve">.”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hereto are Permitted Free Writing Prospectuses.</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Absence of Fiduciary Relationship</w:t>
      </w:r>
      <w:r>
        <w:rPr>
          <w:rFonts w:ascii="Times New Roman" w:cs="Times New Roman" w:eastAsia="Times New Roman" w:hAnsi="Times New Roman"/>
          <w:sz w:val="18"/>
          <w:szCs w:val="18"/>
          <w:color w:val="auto"/>
        </w:rPr>
        <w:t>. The Company acknowledges and agrees that:</w:t>
      </w:r>
    </w:p>
    <w:p>
      <w:pPr>
        <w:spacing w:after="0" w:line="117" w:lineRule="exact"/>
        <w:rPr>
          <w:sz w:val="20"/>
          <w:szCs w:val="20"/>
          <w:color w:val="auto"/>
        </w:rPr>
      </w:pPr>
    </w:p>
    <w:p>
      <w:pPr>
        <w:ind w:right="20" w:firstLine="436"/>
        <w:spacing w:after="0" w:line="273" w:lineRule="auto"/>
        <w:tabs>
          <w:tab w:leader="none" w:pos="685"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Sales Agents and the Forward Sellers is acting solely as agent and/or principal in connection with the public offering of the Securities and in connection with each transaction contemplated by this Agreement and the process leading to such transactions. No fiduciary or advisory relationship between the Company or any of its respective affiliates, stockholders (or other equity holders), creditors or employees or any other party, on the one hand, and the Sales Agents, the Forward Sellers and the Forward Purchasers, on the other hand, has been or will be created in respect of any of the transactions contemplated by this Agreement, irrespective of whether or not a Sales Agent, a Forward Seller or a Forward Purchaser has advised or is advising the Company on other matters, and none of the Sales Agents, the Forward Sellers and the Forward Purchasers has any obligation to the Company with respect to the transactions contemplated by this Agreement except the obligations expressly set forth in this Agreement;</w:t>
      </w:r>
    </w:p>
    <w:p>
      <w:pPr>
        <w:spacing w:after="0" w:line="171" w:lineRule="exact"/>
        <w:rPr>
          <w:rFonts w:ascii="Times New Roman" w:cs="Times New Roman" w:eastAsia="Times New Roman" w:hAnsi="Times New Roman"/>
          <w:sz w:val="17"/>
          <w:szCs w:val="17"/>
          <w:color w:val="auto"/>
        </w:rPr>
      </w:pPr>
    </w:p>
    <w:p>
      <w:pPr>
        <w:ind w:right="620" w:firstLine="436"/>
        <w:spacing w:after="0" w:line="282" w:lineRule="auto"/>
        <w:tabs>
          <w:tab w:leader="none" w:pos="6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or minimum market price of the Securities set forth in this Agreement was not established by the Sales Agents, the Forward Sellers and the Forward Purchasers;</w:t>
      </w:r>
    </w:p>
    <w:p>
      <w:pPr>
        <w:spacing w:after="0" w:line="161" w:lineRule="exact"/>
        <w:rPr>
          <w:rFonts w:ascii="Times New Roman" w:cs="Times New Roman" w:eastAsia="Times New Roman" w:hAnsi="Times New Roman"/>
          <w:sz w:val="18"/>
          <w:szCs w:val="18"/>
          <w:color w:val="auto"/>
        </w:rPr>
      </w:pPr>
    </w:p>
    <w:p>
      <w:pPr>
        <w:ind w:right="60" w:firstLine="436"/>
        <w:spacing w:after="0" w:line="282" w:lineRule="auto"/>
        <w:tabs>
          <w:tab w:leader="none" w:pos="68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capable of evaluating and understanding, and understands and accepts, the terms, risks and conditions of the transactions contemplated by this Agreement;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80"/>
          </w:cols>
          <w:pgMar w:left="440" w:top="270" w:right="479" w:bottom="1440" w:gutter="0" w:footer="0" w:header="0"/>
        </w:sectPr>
      </w:pPr>
    </w:p>
    <w:bookmarkStart w:id="50" w:name="page51"/>
    <w:bookmarkEnd w:id="50"/>
    <w:p>
      <w:pPr>
        <w:ind w:left="-80" w:firstLine="436"/>
        <w:spacing w:after="0" w:line="266" w:lineRule="auto"/>
        <w:tabs>
          <w:tab w:leader="none" w:pos="6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none of the Sales Agents, the Forward Sellers and the Forward Purchasers has provided any legal, accounting, regulatory or tax advice with respect to the transactions contemplated by this Agreement and the Company has consulted its own legal, accounting, regulatory and tax advisors to the extent the Company has deemed appropriate;</w:t>
      </w:r>
    </w:p>
    <w:p>
      <w:pPr>
        <w:spacing w:after="0" w:line="175" w:lineRule="exact"/>
        <w:rPr>
          <w:rFonts w:ascii="Times New Roman" w:cs="Times New Roman" w:eastAsia="Times New Roman" w:hAnsi="Times New Roman"/>
          <w:sz w:val="18"/>
          <w:szCs w:val="18"/>
          <w:color w:val="auto"/>
        </w:rPr>
      </w:pPr>
    </w:p>
    <w:p>
      <w:pPr>
        <w:ind w:left="-80" w:right="80" w:firstLine="436"/>
        <w:spacing w:after="0" w:line="261" w:lineRule="auto"/>
        <w:tabs>
          <w:tab w:leader="none" w:pos="60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aware that the Sales Agents, the Forward Sellers, the Forward Purchasers and their respective affiliates are engaged in a broad range of transactions which may involve interests that differ from those of the Company, and the Sales Agents, the Forward Sellers and the Forward Purchasers have no obligation to disclose such interests and transactions to the Company by virtue of any fiduciary, advisory or agency relationship or otherwise; and</w:t>
      </w:r>
    </w:p>
    <w:p>
      <w:pPr>
        <w:spacing w:after="0" w:line="179" w:lineRule="exact"/>
        <w:rPr>
          <w:rFonts w:ascii="Times New Roman" w:cs="Times New Roman" w:eastAsia="Times New Roman" w:hAnsi="Times New Roman"/>
          <w:sz w:val="18"/>
          <w:szCs w:val="18"/>
          <w:color w:val="auto"/>
        </w:rPr>
      </w:pPr>
    </w:p>
    <w:p>
      <w:pPr>
        <w:ind w:left="-80" w:right="120" w:firstLine="436"/>
        <w:spacing w:after="0" w:line="261" w:lineRule="auto"/>
        <w:tabs>
          <w:tab w:leader="none" w:pos="58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waives, to the fullest extent permitted by law, any claims it may have against the Sales Agents, the Forward Sellers and the Forward Purchasers for breach of fiduciary duty or alleged breach of fiduciary duty and agrees that the Sales Agents, the Forward Sellers and the Forward Purchasers shall not have any liability (whether direct or indirect, in contract, tort or otherwise) to it in respect of such a fiduciary duty claim or to any person asserting a fiduciary duty claim on its behalf or in right of it or the Company, employees or creditors of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840"/>
          </w:cols>
          <w:pgMar w:left="520" w:top="270" w:right="539" w:bottom="1440" w:gutter="0" w:footer="0" w:header="0"/>
        </w:sectPr>
      </w:pPr>
    </w:p>
    <w:bookmarkStart w:id="51" w:name="page52"/>
    <w:bookmarkEnd w:id="51"/>
    <w:p>
      <w:pPr>
        <w:ind w:right="40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among the parties hereto in accordance with its terms.</w:t>
      </w:r>
    </w:p>
    <w:p>
      <w:pPr>
        <w:spacing w:after="0" w:line="16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17145</wp:posOffset>
            </wp:positionV>
            <wp:extent cx="26574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Daniel Guglielmone</w:t>
      </w:r>
    </w:p>
    <w:p>
      <w:pPr>
        <w:spacing w:after="0" w:line="23"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7"/>
          <w:szCs w:val="17"/>
          <w:color w:val="auto"/>
        </w:rPr>
        <w:t>Title:</w:t>
        <w:tab/>
        <w:t>Executive Vice President-Chief Financial Officer</w:t>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and Treasurer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CONFIRMED AND ACCEPTED, as of the date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Hicham Hamdouch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17145</wp:posOffset>
            </wp:positionV>
            <wp:extent cx="26314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Hicham Hamdouch</w:t>
      </w:r>
    </w:p>
    <w:p>
      <w:pPr>
        <w:spacing w:after="0" w:line="2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Andrew Warin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17145</wp:posOffset>
            </wp:positionV>
            <wp:extent cx="26314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Andrew Warin</w:t>
      </w:r>
    </w:p>
    <w:p>
      <w:pPr>
        <w:spacing w:after="0" w:line="2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Stephanie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17145</wp:posOffset>
            </wp:positionV>
            <wp:extent cx="26314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Stephanie Little</w:t>
      </w:r>
    </w:p>
    <w:p>
      <w:pPr>
        <w:spacing w:after="0" w:line="2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Executive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Elizabeth Alvarez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17145</wp:posOffset>
            </wp:positionV>
            <wp:extent cx="26314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Elizabeth Alvarez</w:t>
      </w:r>
    </w:p>
    <w:p>
      <w:pPr>
        <w:spacing w:after="0" w:line="2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Joshua G. Fuller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17145</wp:posOffset>
            </wp:positionV>
            <wp:extent cx="263144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Joshua G. Fuller</w:t>
      </w:r>
    </w:p>
    <w:p>
      <w:pPr>
        <w:spacing w:after="0" w:line="2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Sales Agents and Forward Sellers</w:t>
      </w:r>
    </w:p>
    <w:p>
      <w:pPr>
        <w:spacing w:after="0" w:line="20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i w:val="1"/>
          <w:iCs w:val="1"/>
          <w:color w:val="auto"/>
        </w:rPr>
        <w:t>ATM Equity Distribution Agreement Signature Page</w:t>
      </w:r>
    </w:p>
    <w:p>
      <w:pPr>
        <w:sectPr>
          <w:pgSz w:w="11900" w:h="16838" w:orient="portrait"/>
          <w:cols w:equalWidth="0" w:num="1">
            <w:col w:w="10740"/>
          </w:cols>
          <w:pgMar w:left="440" w:top="270" w:right="7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CONFIRMED AND ACCEPTED, as of the date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Jake Mendelsohn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17145</wp:posOffset>
            </wp:positionV>
            <wp:extent cx="26314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Jake Mendelsohn</w:t>
      </w:r>
    </w:p>
    <w:p>
      <w:pPr>
        <w:spacing w:after="0" w:line="2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Eric Natelson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17145</wp:posOffset>
            </wp:positionV>
            <wp:extent cx="26314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Eric Natelson</w:t>
      </w:r>
    </w:p>
    <w:p>
      <w:pPr>
        <w:spacing w:after="0" w:line="2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Bank, National Association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Stephanie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17145</wp:posOffset>
            </wp:positionV>
            <wp:extent cx="26314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Stephanie Little</w:t>
      </w:r>
    </w:p>
    <w:p>
      <w:pPr>
        <w:spacing w:after="0" w:line="2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Executive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Cathleen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17145</wp:posOffset>
            </wp:positionV>
            <wp:extent cx="26314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Cathleen Burke</w:t>
      </w:r>
    </w:p>
    <w:p>
      <w:pPr>
        <w:spacing w:after="0" w:line="2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Joshua G. Fuller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17145</wp:posOffset>
            </wp:positionV>
            <wp:extent cx="26314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Joshua G. Fuller</w:t>
      </w:r>
    </w:p>
    <w:p>
      <w:pPr>
        <w:spacing w:after="0" w:line="2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Forward Purchasers, solely as the recipients and/or beneficiaries of certain representations, warranties, covenants and indemnities set forth in this Agreement</w:t>
      </w:r>
    </w:p>
    <w:p>
      <w:pPr>
        <w:spacing w:after="0" w:line="9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640"/>
          </w:cols>
          <w:pgMar w:left="440" w:top="270" w:right="819" w:bottom="1440" w:gutter="0" w:footer="0" w:header="0"/>
        </w:sectPr>
      </w:pPr>
    </w:p>
    <w:bookmarkStart w:id="53" w:name="page54"/>
    <w:bookmarkEnd w:id="53"/>
    <w:p>
      <w:pPr>
        <w:jc w:val="center"/>
        <w:ind w:right="-12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117"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u w:val="single" w:color="auto"/>
          <w:color w:val="auto"/>
        </w:rPr>
        <w:t>[FORM OF PLACEMENT NOTICE]</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From:</w:t>
            </w:r>
          </w:p>
        </w:tc>
        <w:tc>
          <w:tcPr>
            <w:tcW w:w="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33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Cc:</w:t>
            </w:r>
          </w:p>
        </w:tc>
        <w:tc>
          <w:tcPr>
            <w:tcW w:w="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33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88"/>
              </w:rPr>
              <w:t>]</w:t>
            </w:r>
            <w:r>
              <w:rPr>
                <w:rFonts w:ascii="Times New Roman" w:cs="Times New Roman" w:eastAsia="Times New Roman" w:hAnsi="Times New Roman"/>
                <w:sz w:val="15"/>
                <w:szCs w:val="15"/>
                <w:color w:val="auto"/>
                <w:w w:val="88"/>
              </w:rPr>
              <w:t>1</w:t>
            </w:r>
          </w:p>
        </w:tc>
      </w:tr>
    </w:tbl>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Subject: Equity Distribution—Placement Notice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Gentlemen:</w:t>
      </w:r>
    </w:p>
    <w:p>
      <w:pPr>
        <w:spacing w:after="0" w:line="225"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Reference is made to the Equity Distribution Agreement among Federal Realty Investment Trust, [BANK NAME] and the other parties thereto, dated February 24, 2021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Capitalized terms used in this Placement Notice without definition shall have the respective definitions ascribed to them in the Agreement. Pursuant to the terms and subject to the conditions contained in the Agreement, this Placement Notice relates to [an Issuance]</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[a Forward].</w:t>
      </w:r>
      <w:r>
        <w:rPr>
          <w:rFonts w:ascii="Times New Roman" w:cs="Times New Roman" w:eastAsia="Times New Roman" w:hAnsi="Times New Roman"/>
          <w:sz w:val="15"/>
          <w:szCs w:val="15"/>
          <w:color w:val="auto"/>
        </w:rPr>
        <w:t>3</w:t>
      </w:r>
    </w:p>
    <w:p>
      <w:pPr>
        <w:sectPr>
          <w:pgSz w:w="11900" w:h="16838" w:orient="portrait"/>
          <w:cols w:equalWidth="0" w:num="1">
            <w:col w:w="10884"/>
          </w:cols>
          <w:pgMar w:left="436" w:top="270" w:right="579" w:bottom="1440" w:gutter="0" w:footer="0" w:header="0"/>
        </w:sectPr>
      </w:pP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Anticipated number of Trading Days in [Issuance]</w:t>
      </w:r>
      <w:r>
        <w:rPr>
          <w:rFonts w:ascii="Times New Roman" w:cs="Times New Roman" w:eastAsia="Times New Roman" w:hAnsi="Times New Roman"/>
          <w:sz w:val="14"/>
          <w:szCs w:val="14"/>
          <w:color w:val="auto"/>
        </w:rPr>
        <w:t>4</w:t>
      </w:r>
      <w:r>
        <w:rPr>
          <w:rFonts w:ascii="Times New Roman" w:cs="Times New Roman" w:eastAsia="Times New Roman" w:hAnsi="Times New Roman"/>
          <w:sz w:val="17"/>
          <w:szCs w:val="17"/>
          <w:color w:val="auto"/>
        </w:rPr>
        <w:t xml:space="preserve"> [Forward Hedge]</w:t>
      </w:r>
      <w:r>
        <w:rPr>
          <w:rFonts w:ascii="Times New Roman" w:cs="Times New Roman" w:eastAsia="Times New Roman" w:hAnsi="Times New Roman"/>
          <w:sz w:val="14"/>
          <w:szCs w:val="14"/>
          <w:color w:val="auto"/>
        </w:rPr>
        <w:t>5</w:t>
      </w:r>
      <w:r>
        <w:rPr>
          <w:rFonts w:ascii="Times New Roman" w:cs="Times New Roman" w:eastAsia="Times New Roman" w:hAnsi="Times New Roman"/>
          <w:sz w:val="17"/>
          <w:szCs w:val="17"/>
          <w:color w:val="auto"/>
        </w:rPr>
        <w:t xml:space="preserve"> Selling Period: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6284" w:space="180"/>
            <w:col w:w="4420"/>
          </w:cols>
          <w:pgMar w:left="436" w:top="270" w:right="579" w:bottom="1440" w:gutter="0" w:footer="0" w:header="0"/>
          <w:type w:val="continuous"/>
        </w:sectPr>
      </w:pPr>
    </w:p>
    <w:p>
      <w:pPr>
        <w:spacing w:after="0" w:line="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[Deadline for Forward Hedge Selling Period: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6</w:t>
      </w:r>
    </w:p>
    <w:p>
      <w:pPr>
        <w:spacing w:after="0" w:line="200" w:lineRule="exact"/>
        <w:rPr>
          <w:sz w:val="20"/>
          <w:szCs w:val="20"/>
          <w:color w:val="auto"/>
        </w:rPr>
      </w:pPr>
    </w:p>
    <w:p>
      <w:pPr>
        <w:sectPr>
          <w:pgSz w:w="11900" w:h="16838" w:orient="portrait"/>
          <w:cols w:equalWidth="0" w:num="2">
            <w:col w:w="3364" w:space="180"/>
            <w:col w:w="7340"/>
          </w:cols>
          <w:pgMar w:left="436" w:top="270" w:right="579" w:bottom="1440" w:gutter="0" w:footer="0" w:header="0"/>
          <w:type w:val="continuous"/>
        </w:sectPr>
      </w:pPr>
    </w:p>
    <w:p>
      <w:pPr>
        <w:spacing w:after="0" w:line="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First day of [Issuance]</w:t>
      </w:r>
      <w:r>
        <w:rPr>
          <w:rFonts w:ascii="Times New Roman" w:cs="Times New Roman" w:eastAsia="Times New Roman" w:hAnsi="Times New Roman"/>
          <w:sz w:val="15"/>
          <w:szCs w:val="15"/>
          <w:color w:val="auto"/>
        </w:rPr>
        <w:t>7</w:t>
      </w:r>
      <w:r>
        <w:rPr>
          <w:rFonts w:ascii="Times New Roman" w:cs="Times New Roman" w:eastAsia="Times New Roman" w:hAnsi="Times New Roman"/>
          <w:sz w:val="18"/>
          <w:szCs w:val="18"/>
          <w:color w:val="auto"/>
        </w:rPr>
        <w:t xml:space="preserve"> [Forward Hedge]</w:t>
      </w:r>
      <w:r>
        <w:rPr>
          <w:rFonts w:ascii="Times New Roman" w:cs="Times New Roman" w:eastAsia="Times New Roman" w:hAnsi="Times New Roman"/>
          <w:sz w:val="15"/>
          <w:szCs w:val="15"/>
          <w:color w:val="auto"/>
        </w:rPr>
        <w:t>8</w:t>
      </w:r>
      <w:r>
        <w:rPr>
          <w:rFonts w:ascii="Times New Roman" w:cs="Times New Roman" w:eastAsia="Times New Roman" w:hAnsi="Times New Roman"/>
          <w:sz w:val="18"/>
          <w:szCs w:val="18"/>
          <w:color w:val="auto"/>
        </w:rPr>
        <w:t xml:space="preserve"> Selling Period: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4284" w:space="180"/>
            <w:col w:w="6420"/>
          </w:cols>
          <w:pgMar w:left="436" w:top="270" w:right="579" w:bottom="1440" w:gutter="0" w:footer="0" w:header="0"/>
          <w:type w:val="continuous"/>
        </w:sectPr>
      </w:pPr>
    </w:p>
    <w:p>
      <w:pPr>
        <w:spacing w:after="0" w:line="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Maximum amount of Securities to be sold: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[shares]</w:t>
      </w:r>
    </w:p>
    <w:p>
      <w:pPr>
        <w:spacing w:after="0" w:line="200" w:lineRule="exact"/>
        <w:rPr>
          <w:sz w:val="20"/>
          <w:szCs w:val="20"/>
          <w:color w:val="auto"/>
        </w:rPr>
      </w:pPr>
    </w:p>
    <w:p>
      <w:pPr>
        <w:sectPr>
          <w:pgSz w:w="11900" w:h="16838" w:orient="portrait"/>
          <w:cols w:equalWidth="0" w:num="2">
            <w:col w:w="3384" w:space="180"/>
            <w:col w:w="7320"/>
          </w:cols>
          <w:pgMar w:left="436" w:top="270" w:right="579" w:bottom="1440" w:gutter="0" w:footer="0" w:header="0"/>
          <w:type w:val="continuous"/>
        </w:sectPr>
      </w:pPr>
    </w:p>
    <w:p>
      <w:pPr>
        <w:spacing w:after="0" w:line="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[Forward Hedge Selling Commission Rate: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ectPr>
          <w:pgSz w:w="11900" w:h="16838" w:orient="portrait"/>
          <w:cols w:equalWidth="0" w:num="2">
            <w:col w:w="3224" w:space="180"/>
            <w:col w:w="7480"/>
          </w:cols>
          <w:pgMar w:left="436" w:top="270" w:right="579" w:bottom="1440" w:gutter="0" w:footer="0" w:header="0"/>
          <w:type w:val="continuous"/>
        </w:sectPr>
      </w:pPr>
    </w:p>
    <w:p>
      <w:pPr>
        <w:spacing w:after="0" w:line="60" w:lineRule="exact"/>
        <w:rPr>
          <w:sz w:val="20"/>
          <w:szCs w:val="20"/>
          <w:color w:val="auto"/>
        </w:rPr>
      </w:pPr>
    </w:p>
    <w:p>
      <w:pPr>
        <w:ind w:left="1564"/>
        <w:spacing w:after="0"/>
        <w:rPr>
          <w:sz w:val="20"/>
          <w:szCs w:val="20"/>
          <w:color w:val="auto"/>
        </w:rPr>
      </w:pPr>
      <w:r>
        <w:rPr>
          <w:rFonts w:ascii="Times New Roman" w:cs="Times New Roman" w:eastAsia="Times New Roman" w:hAnsi="Times New Roman"/>
          <w:sz w:val="18"/>
          <w:szCs w:val="18"/>
          <w:b w:val="1"/>
          <w:bCs w:val="1"/>
          <w:color w:val="auto"/>
        </w:rPr>
        <w:t>Forward Price Reduction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715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Price Reduction Amounts</w:t>
      </w:r>
    </w:p>
    <w:p>
      <w:pPr>
        <w:spacing w:after="0" w:line="200" w:lineRule="exact"/>
        <w:rPr>
          <w:sz w:val="20"/>
          <w:szCs w:val="20"/>
          <w:color w:val="auto"/>
        </w:rPr>
      </w:pPr>
    </w:p>
    <w:p>
      <w:pPr>
        <w:sectPr>
          <w:pgSz w:w="11900" w:h="16838" w:orient="portrait"/>
          <w:cols w:equalWidth="0" w:num="2">
            <w:col w:w="6264" w:space="720"/>
            <w:col w:w="3900"/>
          </w:cols>
          <w:pgMar w:left="436" w:top="270" w:right="579" w:bottom="1440" w:gutter="0" w:footer="0" w:header="0"/>
          <w:type w:val="continuous"/>
        </w:sectPr>
      </w:pPr>
    </w:p>
    <w:p>
      <w:pPr>
        <w:spacing w:after="0" w:line="2" w:lineRule="exact"/>
        <w:rPr>
          <w:sz w:val="20"/>
          <w:szCs w:val="20"/>
          <w:color w:val="auto"/>
        </w:rPr>
      </w:pPr>
    </w:p>
    <w:p>
      <w:pPr>
        <w:ind w:left="424" w:hanging="424"/>
        <w:spacing w:after="0"/>
        <w:tabs>
          <w:tab w:leader="none" w:pos="424"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Insert Sales Agent’s or Forward Seller and Forward Purchaser’s names.</w:t>
      </w:r>
    </w:p>
    <w:p>
      <w:pPr>
        <w:spacing w:after="0" w:line="26" w:lineRule="exact"/>
        <w:rPr>
          <w:sz w:val="20"/>
          <w:szCs w:val="20"/>
          <w:color w:val="auto"/>
        </w:rPr>
      </w:pPr>
    </w:p>
    <w:p>
      <w:pPr>
        <w:ind w:left="424" w:hanging="424"/>
        <w:spacing w:after="0"/>
        <w:tabs>
          <w:tab w:leader="none" w:pos="424"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Insert for a Placement Notice that relates to an Issuance.</w:t>
      </w:r>
    </w:p>
    <w:p>
      <w:pPr>
        <w:spacing w:after="0" w:line="9" w:lineRule="exact"/>
        <w:rPr>
          <w:sz w:val="20"/>
          <w:szCs w:val="20"/>
          <w:color w:val="auto"/>
        </w:rPr>
      </w:pPr>
    </w:p>
    <w:p>
      <w:pPr>
        <w:ind w:left="424" w:hanging="424"/>
        <w:spacing w:after="0"/>
        <w:tabs>
          <w:tab w:leader="none" w:pos="424"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Insert for a Placement Notice that relates to a Forward.</w:t>
      </w:r>
    </w:p>
    <w:p>
      <w:pPr>
        <w:spacing w:after="0" w:line="9" w:lineRule="exact"/>
        <w:rPr>
          <w:sz w:val="20"/>
          <w:szCs w:val="20"/>
          <w:color w:val="auto"/>
        </w:rPr>
      </w:pPr>
    </w:p>
    <w:p>
      <w:pPr>
        <w:ind w:left="424" w:hanging="424"/>
        <w:spacing w:after="0"/>
        <w:tabs>
          <w:tab w:leader="none" w:pos="424"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Insert for a Placement Notice that relates to an Issuance.</w:t>
      </w:r>
    </w:p>
    <w:p>
      <w:pPr>
        <w:spacing w:after="0" w:line="9" w:lineRule="exact"/>
        <w:rPr>
          <w:sz w:val="20"/>
          <w:szCs w:val="20"/>
          <w:color w:val="auto"/>
        </w:rPr>
      </w:pPr>
    </w:p>
    <w:p>
      <w:pPr>
        <w:ind w:left="424" w:hanging="424"/>
        <w:spacing w:after="0"/>
        <w:tabs>
          <w:tab w:leader="none" w:pos="424"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Insert for a Placement Notice that relates to a Forward.</w:t>
      </w:r>
    </w:p>
    <w:p>
      <w:pPr>
        <w:spacing w:after="0" w:line="9" w:lineRule="exact"/>
        <w:rPr>
          <w:sz w:val="20"/>
          <w:szCs w:val="20"/>
          <w:color w:val="auto"/>
        </w:rPr>
      </w:pPr>
    </w:p>
    <w:p>
      <w:pPr>
        <w:ind w:left="424" w:hanging="424"/>
        <w:spacing w:after="0"/>
        <w:tabs>
          <w:tab w:leader="none" w:pos="424"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Insert for a Placement Notice that relates to a Forward.</w:t>
      </w:r>
    </w:p>
    <w:p>
      <w:pPr>
        <w:spacing w:after="0" w:line="9" w:lineRule="exact"/>
        <w:rPr>
          <w:sz w:val="20"/>
          <w:szCs w:val="20"/>
          <w:color w:val="auto"/>
        </w:rPr>
      </w:pPr>
    </w:p>
    <w:p>
      <w:pPr>
        <w:ind w:left="424" w:hanging="424"/>
        <w:spacing w:after="0"/>
        <w:tabs>
          <w:tab w:leader="none" w:pos="424"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Insert for a Placement Notice that relates to an Issuance.</w:t>
      </w:r>
    </w:p>
    <w:p>
      <w:pPr>
        <w:spacing w:after="0" w:line="9" w:lineRule="exact"/>
        <w:rPr>
          <w:sz w:val="20"/>
          <w:szCs w:val="20"/>
          <w:color w:val="auto"/>
        </w:rPr>
      </w:pPr>
    </w:p>
    <w:p>
      <w:pPr>
        <w:ind w:left="424" w:hanging="424"/>
        <w:spacing w:after="0"/>
        <w:tabs>
          <w:tab w:leader="none" w:pos="424"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Insert for a Placement Notice that relates to a Forward.</w:t>
      </w:r>
    </w:p>
    <w:p>
      <w:pPr>
        <w:spacing w:after="0" w:line="140" w:lineRule="exact"/>
        <w:rPr>
          <w:sz w:val="20"/>
          <w:szCs w:val="20"/>
          <w:color w:val="auto"/>
        </w:rPr>
      </w:pPr>
    </w:p>
    <w:p>
      <w:pPr>
        <w:jc w:val="center"/>
        <w:ind w:right="-143"/>
        <w:spacing w:after="0"/>
        <w:rPr>
          <w:sz w:val="20"/>
          <w:szCs w:val="20"/>
          <w:color w:val="auto"/>
        </w:rPr>
      </w:pPr>
      <w:r>
        <w:rPr>
          <w:rFonts w:ascii="Times New Roman" w:cs="Times New Roman" w:eastAsia="Times New Roman" w:hAnsi="Times New Roman"/>
          <w:sz w:val="17"/>
          <w:szCs w:val="17"/>
          <w:color w:val="auto"/>
        </w:rPr>
        <w:t>Exh. A-1</w:t>
      </w:r>
    </w:p>
    <w:p>
      <w:pPr>
        <w:sectPr>
          <w:pgSz w:w="11900" w:h="16838" w:orient="portrait"/>
          <w:cols w:equalWidth="0" w:num="1">
            <w:col w:w="10884"/>
          </w:cols>
          <w:pgMar w:left="436" w:top="270" w:right="579" w:bottom="1440" w:gutter="0" w:footer="0" w:header="0"/>
          <w:type w:val="continuous"/>
        </w:sectPr>
      </w:pPr>
    </w:p>
    <w:bookmarkStart w:id="54" w:name="page55"/>
    <w:bookmarkEnd w:id="54"/>
    <w:tbl>
      <w:tblPr>
        <w:tblLayout w:type="fixed"/>
        <w:tblInd w:w="4" w:type="dxa"/>
        <w:tblCellMar>
          <w:top w:w="0" w:type="dxa"/>
          <w:left w:w="0" w:type="dxa"/>
          <w:bottom w:w="0" w:type="dxa"/>
          <w:right w:w="0" w:type="dxa"/>
        </w:tblCellMar>
      </w:tblPr>
      <w:tr>
        <w:trPr>
          <w:trHeight w:val="216"/>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Spread: [</w:t>
            </w:r>
          </w:p>
        </w:tc>
        <w:tc>
          <w:tcPr>
            <w:tcW w:w="3540" w:type="dxa"/>
            <w:vAlign w:val="bottom"/>
          </w:tcPr>
          <w:p>
            <w:pPr>
              <w:jc w:val="right"/>
              <w:ind w:right="329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
        <w:spacing w:after="0"/>
        <w:tabs>
          <w:tab w:leader="none" w:pos="4244" w:val="left"/>
        </w:tabs>
        <w:rPr>
          <w:sz w:val="20"/>
          <w:szCs w:val="20"/>
          <w:color w:val="auto"/>
        </w:rPr>
      </w:pPr>
      <w:r>
        <w:rPr>
          <w:rFonts w:ascii="Times New Roman" w:cs="Times New Roman" w:eastAsia="Times New Roman" w:hAnsi="Times New Roman"/>
          <w:sz w:val="18"/>
          <w:szCs w:val="18"/>
          <w:color w:val="auto"/>
        </w:rPr>
        <w:t>Stock loan fee permitting adjustments in Confirmation: [</w:t>
      </w:r>
      <w:r>
        <w:rPr>
          <w:sz w:val="20"/>
          <w:szCs w:val="20"/>
          <w:color w:val="auto"/>
        </w:rPr>
        <w:tab/>
      </w:r>
      <w:r>
        <w:rPr>
          <w:rFonts w:ascii="Times New Roman" w:cs="Times New Roman" w:eastAsia="Times New Roman" w:hAnsi="Times New Roman"/>
          <w:sz w:val="17"/>
          <w:szCs w:val="17"/>
          <w:color w:val="auto"/>
        </w:rPr>
        <w:t>] basis points per annum</w:t>
      </w:r>
    </w:p>
    <w:p>
      <w:pPr>
        <w:spacing w:after="0" w:line="225" w:lineRule="exact"/>
        <w:rPr>
          <w:sz w:val="20"/>
          <w:szCs w:val="20"/>
          <w:color w:val="auto"/>
        </w:rPr>
      </w:pPr>
    </w:p>
    <w:p>
      <w:pPr>
        <w:ind w:left="4"/>
        <w:spacing w:after="0"/>
        <w:tabs>
          <w:tab w:leader="none" w:pos="5104" w:val="left"/>
        </w:tabs>
        <w:rPr>
          <w:sz w:val="20"/>
          <w:szCs w:val="20"/>
          <w:color w:val="auto"/>
        </w:rPr>
      </w:pPr>
      <w:r>
        <w:rPr>
          <w:rFonts w:ascii="Times New Roman" w:cs="Times New Roman" w:eastAsia="Times New Roman" w:hAnsi="Times New Roman"/>
          <w:sz w:val="18"/>
          <w:szCs w:val="18"/>
          <w:color w:val="auto"/>
        </w:rPr>
        <w:t>Stock loan fee triggering a stock borrow event in the Confirmation: [</w:t>
      </w:r>
      <w:r>
        <w:rPr>
          <w:sz w:val="20"/>
          <w:szCs w:val="20"/>
          <w:color w:val="auto"/>
        </w:rPr>
        <w:tab/>
      </w:r>
      <w:r>
        <w:rPr>
          <w:rFonts w:ascii="Times New Roman" w:cs="Times New Roman" w:eastAsia="Times New Roman" w:hAnsi="Times New Roman"/>
          <w:sz w:val="17"/>
          <w:szCs w:val="17"/>
          <w:color w:val="auto"/>
        </w:rPr>
        <w:t>] basis points per annum</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Regular Dividend Amounts:</w:t>
      </w:r>
    </w:p>
    <w:p>
      <w:pPr>
        <w:sectPr>
          <w:pgSz w:w="11900" w:h="16838" w:orient="portrait"/>
          <w:cols w:equalWidth="0" w:num="1">
            <w:col w:w="10924"/>
          </w:cols>
          <w:pgMar w:left="436" w:top="270" w:right="539" w:bottom="1440" w:gutter="0" w:footer="0" w:header="0"/>
        </w:sectPr>
      </w:pPr>
    </w:p>
    <w:p>
      <w:pPr>
        <w:spacing w:after="0" w:line="252" w:lineRule="exact"/>
        <w:rPr>
          <w:sz w:val="20"/>
          <w:szCs w:val="20"/>
          <w:color w:val="auto"/>
        </w:rPr>
      </w:pPr>
    </w:p>
    <w:p>
      <w:pPr>
        <w:ind w:left="364"/>
        <w:spacing w:after="0"/>
        <w:tabs>
          <w:tab w:leader="none" w:pos="5164" w:val="left"/>
        </w:tabs>
        <w:rPr>
          <w:sz w:val="20"/>
          <w:szCs w:val="20"/>
          <w:color w:val="auto"/>
        </w:rPr>
      </w:pPr>
      <w:r>
        <w:rPr>
          <w:rFonts w:ascii="Times New Roman" w:cs="Times New Roman" w:eastAsia="Times New Roman" w:hAnsi="Times New Roman"/>
          <w:sz w:val="18"/>
          <w:szCs w:val="18"/>
          <w:color w:val="auto"/>
        </w:rPr>
        <w:t>For any calendar month ending on or prior to [December 31, 20[</w:t>
        <w:tab/>
        <w:t>]]:</w:t>
      </w:r>
    </w:p>
    <w:p>
      <w:pPr>
        <w:spacing w:after="0" w:line="27" w:lineRule="exact"/>
        <w:rPr>
          <w:sz w:val="20"/>
          <w:szCs w:val="20"/>
          <w:color w:val="auto"/>
        </w:rPr>
      </w:pPr>
    </w:p>
    <w:p>
      <w:pPr>
        <w:ind w:left="364"/>
        <w:spacing w:after="0"/>
        <w:tabs>
          <w:tab w:leader="none" w:pos="4544" w:val="left"/>
        </w:tabs>
        <w:rPr>
          <w:sz w:val="20"/>
          <w:szCs w:val="20"/>
          <w:color w:val="auto"/>
        </w:rPr>
      </w:pPr>
      <w:r>
        <w:rPr>
          <w:rFonts w:ascii="Times New Roman" w:cs="Times New Roman" w:eastAsia="Times New Roman" w:hAnsi="Times New Roman"/>
          <w:sz w:val="18"/>
          <w:szCs w:val="18"/>
          <w:color w:val="auto"/>
        </w:rPr>
        <w:t>For any calendar month ending after [December 31, 20[</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5"/>
          <w:szCs w:val="15"/>
          <w:color w:val="auto"/>
        </w:rPr>
        <w:t>9</w:t>
      </w:r>
    </w:p>
    <w:p>
      <w:pPr>
        <w:spacing w:after="0" w:line="201" w:lineRule="exact"/>
        <w:rPr>
          <w:sz w:val="20"/>
          <w:szCs w:val="20"/>
          <w:color w:val="auto"/>
        </w:rPr>
      </w:pPr>
    </w:p>
    <w:p>
      <w:pPr>
        <w:sectPr>
          <w:pgSz w:w="11900" w:h="16838" w:orient="portrait"/>
          <w:cols w:equalWidth="0" w:num="3">
            <w:col w:w="6104" w:space="720"/>
            <w:col w:w="160" w:space="360"/>
            <w:col w:w="3580"/>
          </w:cols>
          <w:pgMar w:left="436" w:top="270" w:right="539" w:bottom="1440" w:gutter="0" w:footer="0" w:header="0"/>
          <w:type w:val="continuous"/>
        </w:sectPr>
      </w:pPr>
    </w:p>
    <w:p>
      <w:pPr>
        <w:spacing w:after="0" w:line="7" w:lineRule="exact"/>
        <w:rPr>
          <w:sz w:val="20"/>
          <w:szCs w:val="20"/>
          <w:color w:val="auto"/>
        </w:rPr>
      </w:pPr>
    </w:p>
    <w:p>
      <w:pPr>
        <w:ind w:left="4"/>
        <w:spacing w:after="0"/>
        <w:tabs>
          <w:tab w:leader="none" w:pos="7924" w:val="left"/>
        </w:tabs>
        <w:rPr>
          <w:sz w:val="20"/>
          <w:szCs w:val="20"/>
          <w:color w:val="auto"/>
        </w:rPr>
      </w:pPr>
      <w:r>
        <w:rPr>
          <w:rFonts w:ascii="Times New Roman" w:cs="Times New Roman" w:eastAsia="Times New Roman" w:hAnsi="Times New Roman"/>
          <w:sz w:val="18"/>
          <w:szCs w:val="18"/>
          <w:color w:val="auto"/>
        </w:rPr>
        <w:t>Floor price (adjustable by Company during the Selling Period, and in no event less than $0.01 per share): $[</w:t>
      </w:r>
      <w:r>
        <w:rPr>
          <w:sz w:val="20"/>
          <w:szCs w:val="20"/>
          <w:color w:val="auto"/>
        </w:rPr>
        <w:tab/>
      </w:r>
      <w:r>
        <w:rPr>
          <w:rFonts w:ascii="Times New Roman" w:cs="Times New Roman" w:eastAsia="Times New Roman" w:hAnsi="Times New Roman"/>
          <w:sz w:val="17"/>
          <w:szCs w:val="17"/>
          <w:color w:val="auto"/>
        </w:rPr>
        <w:t>] per share</w:t>
      </w:r>
    </w:p>
    <w:p>
      <w:pPr>
        <w:spacing w:after="0" w:line="329" w:lineRule="exact"/>
        <w:rPr>
          <w:sz w:val="20"/>
          <w:szCs w:val="20"/>
          <w:color w:val="auto"/>
        </w:rPr>
      </w:pPr>
    </w:p>
    <w:p>
      <w:pPr>
        <w:ind w:left="4"/>
        <w:spacing w:after="0" w:line="262" w:lineRule="auto"/>
        <w:rPr>
          <w:sz w:val="20"/>
          <w:szCs w:val="20"/>
          <w:color w:val="auto"/>
        </w:rPr>
      </w:pPr>
      <w:r>
        <w:rPr>
          <w:rFonts w:ascii="Times New Roman" w:cs="Times New Roman" w:eastAsia="Times New Roman" w:hAnsi="Times New Roman"/>
          <w:sz w:val="18"/>
          <w:szCs w:val="18"/>
          <w:b w:val="1"/>
          <w:bCs w:val="1"/>
          <w:color w:val="auto"/>
        </w:rPr>
        <w:t>[ADDITIONAL SALES PARAMETERS MAY BE ADDED, SUCH AS THE TIME PERIOD IN WHICH SALES ARE REQUESTED TO BE MADE, SPECIFIC DATES THE SECURITIES MAY NOT BE SOLD ON, THE MANNER IN WHICH SALES ARE TO BE MADE BY THE SALES AGENT OR THE FORWARD SELLER, AND/OR THE CAPACITY IN WHICH THE SALES AGENT OR THE FORWARD SELLER MAY ACT IN SELLING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715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3" w:lineRule="exact"/>
        <w:rPr>
          <w:sz w:val="20"/>
          <w:szCs w:val="20"/>
          <w:color w:val="auto"/>
        </w:rPr>
      </w:pPr>
    </w:p>
    <w:p>
      <w:pPr>
        <w:ind w:left="424" w:right="40" w:hanging="424"/>
        <w:spacing w:after="0" w:line="282" w:lineRule="auto"/>
        <w:tabs>
          <w:tab w:leader="none" w:pos="424"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Insert for a Placement Notice that relates to a Forward. Regular Dividend Amounts shall not exceed the Forward Price Reduction Amount for the Forward Price Reduction Date occurring in the relevant month (or, if none, shall not exceed zero).</w:t>
      </w:r>
    </w:p>
    <w:p>
      <w:pPr>
        <w:spacing w:after="0" w:line="94"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Exh. A-2</w:t>
      </w:r>
    </w:p>
    <w:p>
      <w:pPr>
        <w:sectPr>
          <w:pgSz w:w="11900" w:h="16838" w:orient="portrait"/>
          <w:cols w:equalWidth="0" w:num="1">
            <w:col w:w="10924"/>
          </w:cols>
          <w:pgMar w:left="436" w:top="270" w:right="539" w:bottom="1440" w:gutter="0" w:footer="0" w:header="0"/>
          <w:type w:val="continuous"/>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B-1</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FORM OF CONFIRMATION</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 B-1</w:t>
      </w:r>
    </w:p>
    <w:p>
      <w:pPr>
        <w:sectPr>
          <w:pgSz w:w="11900" w:h="16838" w:orient="portrait"/>
          <w:cols w:equalWidth="0" w:num="1">
            <w:col w:w="9019"/>
          </w:cols>
          <w:pgMar w:left="1440" w:top="270" w:right="1440" w:bottom="1440" w:gutter="0" w:footer="0" w:header="0"/>
        </w:sectPr>
      </w:pPr>
    </w:p>
    <w:bookmarkStart w:id="56" w:name="page57"/>
    <w:bookmarkEnd w:id="56"/>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Forward Confirmation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 [•]</w:t>
      </w:r>
    </w:p>
    <w:p>
      <w:pPr>
        <w:spacing w:after="0" w:line="25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Federal Realty Investment Trust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909 Rose Avenue</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Suite 200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North Bethesda, Maryland 20852</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From: [DEALER]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color w:val="auto"/>
        </w:rPr>
        <w:t>The purpose of this letter agreement is to confirm the terms and conditions of the Transaction entered into between [DEALER] (“</w:t>
      </w:r>
      <w:r>
        <w:rPr>
          <w:rFonts w:ascii="Times New Roman" w:cs="Times New Roman" w:eastAsia="Times New Roman" w:hAnsi="Times New Roman"/>
          <w:sz w:val="18"/>
          <w:szCs w:val="18"/>
          <w:b w:val="1"/>
          <w:bCs w:val="1"/>
          <w:i w:val="1"/>
          <w:iCs w:val="1"/>
          <w:color w:val="auto"/>
        </w:rPr>
        <w:t>Dealer</w:t>
      </w:r>
      <w:r>
        <w:rPr>
          <w:rFonts w:ascii="Times New Roman" w:cs="Times New Roman" w:eastAsia="Times New Roman" w:hAnsi="Times New Roman"/>
          <w:sz w:val="18"/>
          <w:szCs w:val="18"/>
          <w:color w:val="auto"/>
        </w:rPr>
        <w:t>”) and Federal Realty Investment Trust (the “</w:t>
      </w:r>
      <w:r>
        <w:rPr>
          <w:rFonts w:ascii="Times New Roman" w:cs="Times New Roman" w:eastAsia="Times New Roman" w:hAnsi="Times New Roman"/>
          <w:sz w:val="18"/>
          <w:szCs w:val="18"/>
          <w:b w:val="1"/>
          <w:bCs w:val="1"/>
          <w:i w:val="1"/>
          <w:iCs w:val="1"/>
          <w:color w:val="auto"/>
        </w:rPr>
        <w:t>Counterparty</w:t>
      </w:r>
      <w:r>
        <w:rPr>
          <w:rFonts w:ascii="Times New Roman" w:cs="Times New Roman" w:eastAsia="Times New Roman" w:hAnsi="Times New Roman"/>
          <w:sz w:val="18"/>
          <w:szCs w:val="18"/>
          <w:color w:val="auto"/>
        </w:rPr>
        <w:t>”) on the Trade Date specified below (the “</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 This letter agreement constitutes a “Confirmation” as referred to in the ISDA 2002 Master Agreement specified below.</w:t>
      </w:r>
    </w:p>
    <w:p>
      <w:pPr>
        <w:spacing w:after="0" w:line="171"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The definitions and provisions contained in the 2002 ISDA Equity Derivatives Definitions (the “</w:t>
      </w:r>
      <w:r>
        <w:rPr>
          <w:rFonts w:ascii="Times New Roman" w:cs="Times New Roman" w:eastAsia="Times New Roman" w:hAnsi="Times New Roman"/>
          <w:sz w:val="18"/>
          <w:szCs w:val="18"/>
          <w:b w:val="1"/>
          <w:bCs w:val="1"/>
          <w:i w:val="1"/>
          <w:iCs w:val="1"/>
          <w:color w:val="auto"/>
        </w:rPr>
        <w:t>Equity Definitions</w:t>
      </w:r>
      <w:r>
        <w:rPr>
          <w:rFonts w:ascii="Times New Roman" w:cs="Times New Roman" w:eastAsia="Times New Roman" w:hAnsi="Times New Roman"/>
          <w:sz w:val="18"/>
          <w:szCs w:val="18"/>
          <w:color w:val="auto"/>
        </w:rPr>
        <w:t>”), as published by the International Swaps and Derivatives Association, Inc. (“</w:t>
      </w:r>
      <w:r>
        <w:rPr>
          <w:rFonts w:ascii="Times New Roman" w:cs="Times New Roman" w:eastAsia="Times New Roman" w:hAnsi="Times New Roman"/>
          <w:sz w:val="18"/>
          <w:szCs w:val="18"/>
          <w:b w:val="1"/>
          <w:bCs w:val="1"/>
          <w:i w:val="1"/>
          <w:iCs w:val="1"/>
          <w:color w:val="auto"/>
        </w:rPr>
        <w:t>ISDA</w:t>
      </w:r>
      <w:r>
        <w:rPr>
          <w:rFonts w:ascii="Times New Roman" w:cs="Times New Roman" w:eastAsia="Times New Roman" w:hAnsi="Times New Roman"/>
          <w:sz w:val="18"/>
          <w:szCs w:val="18"/>
          <w:color w:val="auto"/>
        </w:rPr>
        <w:t>”), are incorporated into this Confirmation. In the event of any inconsistency between the Equity Definitions and this Confirmation, this Confirmation shall govern.</w:t>
      </w:r>
    </w:p>
    <w:p>
      <w:pPr>
        <w:spacing w:after="0" w:line="17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76" w:lineRule="exact"/>
        <w:rPr>
          <w:sz w:val="20"/>
          <w:szCs w:val="20"/>
          <w:color w:val="auto"/>
        </w:rPr>
      </w:pPr>
    </w:p>
    <w:p>
      <w:pPr>
        <w:ind w:firstLine="436"/>
        <w:spacing w:after="0" w:line="254" w:lineRule="auto"/>
        <w:tabs>
          <w:tab w:leader="none" w:pos="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Confirmation and the pricing supplement delivered hereunder evidence a complete and binding agreement between Dealer and Counterparty as to the terms of the Transaction to which this Confirmation relates. This Confirmation, together with any other Confirmations for registered forward transactions entered into between Dealer and Counterparty (each, an “</w:t>
      </w:r>
      <w:r>
        <w:rPr>
          <w:rFonts w:ascii="Times New Roman" w:cs="Times New Roman" w:eastAsia="Times New Roman" w:hAnsi="Times New Roman"/>
          <w:sz w:val="18"/>
          <w:szCs w:val="18"/>
          <w:b w:val="1"/>
          <w:bCs w:val="1"/>
          <w:i w:val="1"/>
          <w:iCs w:val="1"/>
          <w:color w:val="auto"/>
        </w:rPr>
        <w:t>Additional Confirmation</w:t>
      </w:r>
      <w:r>
        <w:rPr>
          <w:rFonts w:ascii="Times New Roman" w:cs="Times New Roman" w:eastAsia="Times New Roman" w:hAnsi="Times New Roman"/>
          <w:sz w:val="18"/>
          <w:szCs w:val="18"/>
          <w:color w:val="auto"/>
        </w:rPr>
        <w:t>”), shall supplement, form a part of, and be subject to an agreement in the form of the ISDA 2002 Master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as if Dealer and Counterparty had executed an agreement in such form (without any Schedule but (i) with the elections set forth in this Confirmation and (ii) with the election that the “Cross Default” provisions of Section 5(a)(vi) of the Agreement will apply to Dealer as if (a) the phrase “, or becoming capable at such time of being declared,” were deleted from Section 5(a)(vi)(1) of the Agreement; (b) the “Threshold Amount” with respect to Dealer were three percent of the [shareholders’] [members’] equity of Dealer[ Parent (“</w:t>
      </w:r>
      <w:r>
        <w:rPr>
          <w:rFonts w:ascii="Times New Roman" w:cs="Times New Roman" w:eastAsia="Times New Roman" w:hAnsi="Times New Roman"/>
          <w:sz w:val="18"/>
          <w:szCs w:val="18"/>
          <w:b w:val="1"/>
          <w:bCs w:val="1"/>
          <w:i w:val="1"/>
          <w:iCs w:val="1"/>
          <w:color w:val="auto"/>
        </w:rPr>
        <w:t>Dealer Parent</w:t>
      </w:r>
      <w:r>
        <w:rPr>
          <w:rFonts w:ascii="Times New Roman" w:cs="Times New Roman" w:eastAsia="Times New Roman" w:hAnsi="Times New Roman"/>
          <w:sz w:val="18"/>
          <w:szCs w:val="18"/>
          <w:color w:val="auto"/>
        </w:rPr>
        <w:t>”)], (c) the following language were added to the end of Section 5(a)(vi) of the Agreement: “Notwithstanding the foregoing, a default under subsection (2) hereof shall not constitute an Event of Default if (x) the</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B-1-2</w:t>
      </w:r>
    </w:p>
    <w:p>
      <w:pPr>
        <w:sectPr>
          <w:pgSz w:w="11900" w:h="16838" w:orient="portrait"/>
          <w:cols w:equalWidth="0" w:num="1">
            <w:col w:w="10900"/>
          </w:cols>
          <w:pgMar w:left="440" w:top="266" w:right="559" w:bottom="1440" w:gutter="0" w:footer="0" w:header="0"/>
        </w:sectPr>
      </w:pPr>
    </w:p>
    <w:bookmarkStart w:id="57" w:name="page58"/>
    <w:bookmarkEnd w:id="57"/>
    <w:p>
      <w:pPr>
        <w:ind w:left="4" w:right="38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default was caused solely by error or omission of an administrative or operational nature; (y) funds were available to enable the party to make the payment when due; and (z) the payment is made within two Local Business Days of such party’s receipt of written notice of its failure to pay.”; and</w:t>
      </w:r>
    </w:p>
    <w:p>
      <w:pPr>
        <w:spacing w:after="0" w:line="1" w:lineRule="exact"/>
        <w:rPr>
          <w:sz w:val="20"/>
          <w:szCs w:val="20"/>
          <w:color w:val="auto"/>
        </w:rPr>
      </w:pPr>
    </w:p>
    <w:p>
      <w:pPr>
        <w:ind w:left="4" w:hanging="4"/>
        <w:spacing w:after="0" w:line="252" w:lineRule="auto"/>
        <w:tabs>
          <w:tab w:leader="none" w:pos="25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“Specified Indebtedness” had the meaning specified in Section 14 of the Agreement, except that such term shall not include obligations in respect of deposits received in the ordinary course of a party’s banking business. In the event of any inconsistency between provisions of that Agreement and this Confirmation, this Confirmation will prevail for the purpose of the Transaction to which this Confirmation relates. For the avoidance of doubt, “Cross Default” shall not apply to Counterparty. The parties hereby agree that, other than the Transaction to which this Confirmation relates and the Transactions to which the Additional Confirmations, if any, relate (each, an “</w:t>
      </w:r>
      <w:r>
        <w:rPr>
          <w:rFonts w:ascii="Times New Roman" w:cs="Times New Roman" w:eastAsia="Times New Roman" w:hAnsi="Times New Roman"/>
          <w:sz w:val="18"/>
          <w:szCs w:val="18"/>
          <w:b w:val="1"/>
          <w:bCs w:val="1"/>
          <w:i w:val="1"/>
          <w:iCs w:val="1"/>
          <w:color w:val="auto"/>
        </w:rPr>
        <w:t>Additional Transaction</w:t>
      </w:r>
      <w:r>
        <w:rPr>
          <w:rFonts w:ascii="Times New Roman" w:cs="Times New Roman" w:eastAsia="Times New Roman" w:hAnsi="Times New Roman"/>
          <w:sz w:val="18"/>
          <w:szCs w:val="18"/>
          <w:color w:val="auto"/>
        </w:rPr>
        <w:t>”), no Transaction shall be governed by the Agreement. For purposes of the Equity Definitions, this Transaction is a Share Forward Transaction.</w:t>
      </w:r>
    </w:p>
    <w:p>
      <w:pPr>
        <w:spacing w:after="0" w:line="189"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particular Transaction to which this Confirmation relates are as follows:</w:t>
      </w:r>
    </w:p>
    <w:p>
      <w:pPr>
        <w:spacing w:after="0" w:line="3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General Terms:</w:t>
      </w:r>
    </w:p>
    <w:p>
      <w:pPr>
        <w:sectPr>
          <w:pgSz w:w="11900" w:h="16838" w:orient="portrait"/>
          <w:cols w:equalWidth="0" w:num="1">
            <w:col w:w="11004"/>
          </w:cols>
          <w:pgMar w:left="436" w:top="270" w:right="459" w:bottom="1440" w:gutter="0" w:footer="0" w:header="0"/>
        </w:sectPr>
      </w:pP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Trade Date: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202[•]</w:t>
      </w:r>
    </w:p>
    <w:p>
      <w:pPr>
        <w:spacing w:after="0" w:line="129" w:lineRule="exact"/>
        <w:rPr>
          <w:sz w:val="20"/>
          <w:szCs w:val="20"/>
          <w:color w:val="auto"/>
        </w:rPr>
      </w:pPr>
    </w:p>
    <w:p>
      <w:pPr>
        <w:sectPr>
          <w:pgSz w:w="11900" w:h="16838" w:orient="portrait"/>
          <w:cols w:equalWidth="0" w:num="2">
            <w:col w:w="2484" w:space="720"/>
            <w:col w:w="7800"/>
          </w:cols>
          <w:pgMar w:left="436" w:top="270" w:right="45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Effective Date:</w:t>
      </w:r>
    </w:p>
    <w:p>
      <w:pPr>
        <w:spacing w:after="0" w:line="20" w:lineRule="exact"/>
        <w:rPr>
          <w:sz w:val="20"/>
          <w:szCs w:val="20"/>
          <w:color w:val="auto"/>
        </w:rPr>
      </w:pPr>
      <w:r>
        <w:rPr>
          <w:sz w:val="20"/>
          <w:szCs w:val="20"/>
          <w:color w:val="auto"/>
        </w:rPr>
        <w:br w:type="column"/>
      </w:r>
    </w:p>
    <w:p>
      <w:pPr>
        <w:ind w:right="200"/>
        <w:spacing w:after="0" w:line="261" w:lineRule="auto"/>
        <w:rPr>
          <w:sz w:val="20"/>
          <w:szCs w:val="20"/>
          <w:color w:val="auto"/>
        </w:rPr>
      </w:pPr>
      <w:r>
        <w:rPr>
          <w:rFonts w:ascii="Times New Roman" w:cs="Times New Roman" w:eastAsia="Times New Roman" w:hAnsi="Times New Roman"/>
          <w:sz w:val="18"/>
          <w:szCs w:val="18"/>
          <w:color w:val="auto"/>
        </w:rPr>
        <w:t>The first day occurring on or after the Trade Date on which Shares are sold through [AGENT], acting as forward seller for Dealer in such capacity (the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pursuant to the Equity Distribution Agreement dated February 24, 2021, as may be amended from time to time, between Counterparty, Dealer, the Agent and the other parties thereto (the “</w:t>
      </w:r>
      <w:r>
        <w:rPr>
          <w:rFonts w:ascii="Times New Roman" w:cs="Times New Roman" w:eastAsia="Times New Roman" w:hAnsi="Times New Roman"/>
          <w:sz w:val="18"/>
          <w:szCs w:val="18"/>
          <w:b w:val="1"/>
          <w:bCs w:val="1"/>
          <w:i w:val="1"/>
          <w:iCs w:val="1"/>
          <w:color w:val="auto"/>
        </w:rPr>
        <w:t>Equity Distribution Agreement</w:t>
      </w:r>
      <w:r>
        <w:rPr>
          <w:rFonts w:ascii="Times New Roman" w:cs="Times New Roman" w:eastAsia="Times New Roman" w:hAnsi="Times New Roman"/>
          <w:sz w:val="18"/>
          <w:szCs w:val="18"/>
          <w:color w:val="auto"/>
        </w:rPr>
        <w:t>”) have settled.</w:t>
      </w:r>
    </w:p>
    <w:p>
      <w:pPr>
        <w:spacing w:after="0" w:line="72" w:lineRule="exact"/>
        <w:rPr>
          <w:sz w:val="20"/>
          <w:szCs w:val="20"/>
          <w:color w:val="auto"/>
        </w:rPr>
      </w:pPr>
    </w:p>
    <w:p>
      <w:pPr>
        <w:sectPr>
          <w:pgSz w:w="11900" w:h="16838" w:orient="portrait"/>
          <w:cols w:equalWidth="0" w:num="2">
            <w:col w:w="2484" w:space="720"/>
            <w:col w:w="7800"/>
          </w:cols>
          <w:pgMar w:left="436" w:top="270" w:right="45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Seller: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Counterparty</w:t>
      </w:r>
    </w:p>
    <w:p>
      <w:pPr>
        <w:spacing w:after="0" w:line="129" w:lineRule="exact"/>
        <w:rPr>
          <w:sz w:val="20"/>
          <w:szCs w:val="20"/>
          <w:color w:val="auto"/>
        </w:rPr>
      </w:pPr>
    </w:p>
    <w:p>
      <w:pPr>
        <w:sectPr>
          <w:pgSz w:w="11900" w:h="16838" w:orient="portrait"/>
          <w:cols w:equalWidth="0" w:num="2">
            <w:col w:w="2484" w:space="720"/>
            <w:col w:w="7800"/>
          </w:cols>
          <w:pgMar w:left="436" w:top="270" w:right="45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Buyer: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Dealer</w:t>
      </w:r>
    </w:p>
    <w:p>
      <w:pPr>
        <w:spacing w:after="0" w:line="117" w:lineRule="exact"/>
        <w:rPr>
          <w:sz w:val="20"/>
          <w:szCs w:val="20"/>
          <w:color w:val="auto"/>
        </w:rPr>
      </w:pPr>
    </w:p>
    <w:p>
      <w:pPr>
        <w:sectPr>
          <w:pgSz w:w="11900" w:h="16838" w:orient="portrait"/>
          <w:cols w:equalWidth="0" w:num="2">
            <w:col w:w="2484" w:space="720"/>
            <w:col w:w="7800"/>
          </w:cols>
          <w:pgMar w:left="436" w:top="270" w:right="45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common shares of beneficial interest of Counterparty, par value USD 0.01 per share (Ticker Symbol: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“FRT”)</w:t>
      </w:r>
    </w:p>
    <w:p>
      <w:pPr>
        <w:spacing w:after="0" w:line="99" w:lineRule="exact"/>
        <w:rPr>
          <w:sz w:val="20"/>
          <w:szCs w:val="20"/>
          <w:color w:val="auto"/>
        </w:rPr>
      </w:pPr>
    </w:p>
    <w:p>
      <w:pPr>
        <w:sectPr>
          <w:pgSz w:w="11900" w:h="16838" w:orient="portrait"/>
          <w:cols w:equalWidth="0" w:num="2">
            <w:col w:w="2484" w:space="720"/>
            <w:col w:w="7800"/>
          </w:cols>
          <w:pgMar w:left="436" w:top="270" w:right="45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Number of Shares:</w:t>
      </w:r>
    </w:p>
    <w:p>
      <w:pPr>
        <w:spacing w:after="0" w:line="20" w:lineRule="exact"/>
        <w:rPr>
          <w:sz w:val="20"/>
          <w:szCs w:val="20"/>
          <w:color w:val="auto"/>
        </w:rPr>
      </w:pPr>
      <w:r>
        <w:rPr>
          <w:sz w:val="20"/>
          <w:szCs w:val="20"/>
          <w:color w:val="auto"/>
        </w:rPr>
        <w:br w:type="column"/>
      </w:r>
    </w:p>
    <w:p>
      <w:pPr>
        <w:ind w:right="20"/>
        <w:spacing w:after="0" w:line="256" w:lineRule="auto"/>
        <w:rPr>
          <w:sz w:val="20"/>
          <w:szCs w:val="20"/>
          <w:color w:val="auto"/>
        </w:rPr>
      </w:pPr>
      <w:r>
        <w:rPr>
          <w:rFonts w:ascii="Times New Roman" w:cs="Times New Roman" w:eastAsia="Times New Roman" w:hAnsi="Times New Roman"/>
          <w:sz w:val="18"/>
          <w:szCs w:val="18"/>
          <w:color w:val="auto"/>
        </w:rPr>
        <w:t>As specified in the placement notice substantially in the form attached to the Equity Distribution Agreement as Exhibit A (the “</w:t>
      </w:r>
      <w:r>
        <w:rPr>
          <w:rFonts w:ascii="Times New Roman" w:cs="Times New Roman" w:eastAsia="Times New Roman" w:hAnsi="Times New Roman"/>
          <w:sz w:val="18"/>
          <w:szCs w:val="18"/>
          <w:b w:val="1"/>
          <w:bCs w:val="1"/>
          <w:i w:val="1"/>
          <w:iCs w:val="1"/>
          <w:color w:val="auto"/>
        </w:rPr>
        <w:t>Placement Notice</w:t>
      </w:r>
      <w:r>
        <w:rPr>
          <w:rFonts w:ascii="Times New Roman" w:cs="Times New Roman" w:eastAsia="Times New Roman" w:hAnsi="Times New Roman"/>
          <w:sz w:val="18"/>
          <w:szCs w:val="18"/>
          <w:color w:val="auto"/>
        </w:rPr>
        <w:t xml:space="preserve">”) delivered by Counterparty to Dealer in respect of the Transaction;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in the event Dealer, in its commercially reasonable judgment, determines that it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unable (via the Agent) through commercially reasonable efforts to establish a commercially reasonable hedge position in such number of Shares in accordance with the Placement Notice in light of market liquidity conditions</w:t>
      </w:r>
    </w:p>
    <w:p>
      <w:pPr>
        <w:spacing w:after="0" w:line="120" w:lineRule="exact"/>
        <w:rPr>
          <w:sz w:val="20"/>
          <w:szCs w:val="20"/>
          <w:color w:val="auto"/>
        </w:rPr>
      </w:pPr>
    </w:p>
    <w:p>
      <w:pPr>
        <w:sectPr>
          <w:pgSz w:w="11900" w:h="16838" w:orient="portrait"/>
          <w:cols w:equalWidth="0" w:num="2">
            <w:col w:w="2484" w:space="720"/>
            <w:col w:w="7800"/>
          </w:cols>
          <w:pgMar w:left="436" w:top="270" w:right="459" w:bottom="1440" w:gutter="0" w:footer="0" w:header="0"/>
          <w:type w:val="continuous"/>
        </w:sectPr>
      </w:pPr>
    </w:p>
    <w:p>
      <w:pPr>
        <w:jc w:val="center"/>
        <w:ind w:right="-23"/>
        <w:spacing w:after="0"/>
        <w:rPr>
          <w:sz w:val="20"/>
          <w:szCs w:val="20"/>
          <w:color w:val="auto"/>
        </w:rPr>
      </w:pPr>
      <w:r>
        <w:rPr>
          <w:rFonts w:ascii="Times New Roman" w:cs="Times New Roman" w:eastAsia="Times New Roman" w:hAnsi="Times New Roman"/>
          <w:sz w:val="17"/>
          <w:szCs w:val="17"/>
          <w:color w:val="auto"/>
        </w:rPr>
        <w:t>B-1-3</w:t>
      </w:r>
    </w:p>
    <w:p>
      <w:pPr>
        <w:sectPr>
          <w:pgSz w:w="11900" w:h="16838" w:orient="portrait"/>
          <w:cols w:equalWidth="0" w:num="1">
            <w:col w:w="11004"/>
          </w:cols>
          <w:pgMar w:left="436" w:top="270" w:right="459" w:bottom="1440" w:gutter="0" w:footer="0" w:header="0"/>
          <w:type w:val="continuous"/>
        </w:sectPr>
      </w:pPr>
    </w:p>
    <w:bookmarkStart w:id="58" w:name="page59"/>
    <w:bookmarkEnd w:id="58"/>
    <w:tbl>
      <w:tblPr>
        <w:tblLayout w:type="fixed"/>
        <w:tblInd w:w="4"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7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and/or the provisions of Section 3 of the Equity Distribution Agreement, the Number of Shares shall equal</w:t>
            </w:r>
          </w:p>
        </w:tc>
      </w:tr>
      <w:tr>
        <w:trPr>
          <w:trHeight w:val="216"/>
        </w:trPr>
        <w:tc>
          <w:tcPr>
            <w:tcW w:w="3200" w:type="dxa"/>
            <w:vAlign w:val="bottom"/>
          </w:tcPr>
          <w:p>
            <w:pPr>
              <w:spacing w:after="0"/>
              <w:rPr>
                <w:sz w:val="18"/>
                <w:szCs w:val="18"/>
                <w:color w:val="auto"/>
              </w:rPr>
            </w:pPr>
          </w:p>
        </w:tc>
        <w:tc>
          <w:tcPr>
            <w:tcW w:w="7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aggregate number of Shares actually sold through the Agent acting as forward seller for Dealer (in</w:t>
            </w:r>
          </w:p>
        </w:tc>
      </w:tr>
      <w:tr>
        <w:trPr>
          <w:trHeight w:val="216"/>
        </w:trPr>
        <w:tc>
          <w:tcPr>
            <w:tcW w:w="3200" w:type="dxa"/>
            <w:vAlign w:val="bottom"/>
          </w:tcPr>
          <w:p>
            <w:pPr>
              <w:spacing w:after="0"/>
              <w:rPr>
                <w:sz w:val="18"/>
                <w:szCs w:val="18"/>
                <w:color w:val="auto"/>
              </w:rPr>
            </w:pPr>
          </w:p>
        </w:tc>
        <w:tc>
          <w:tcPr>
            <w:tcW w:w="7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connection with the establishment of a commercially reasonable hedge position) pursuant to the Equity</w:t>
            </w:r>
          </w:p>
        </w:tc>
      </w:tr>
      <w:tr>
        <w:trPr>
          <w:trHeight w:val="214"/>
        </w:trPr>
        <w:tc>
          <w:tcPr>
            <w:tcW w:w="3200" w:type="dxa"/>
            <w:vAlign w:val="bottom"/>
          </w:tcPr>
          <w:p>
            <w:pPr>
              <w:spacing w:after="0"/>
              <w:rPr>
                <w:sz w:val="18"/>
                <w:szCs w:val="18"/>
                <w:color w:val="auto"/>
              </w:rPr>
            </w:pPr>
          </w:p>
        </w:tc>
        <w:tc>
          <w:tcPr>
            <w:tcW w:w="7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Distribution Agreement during the period from and including the Trade Date through and including the</w:t>
            </w:r>
          </w:p>
        </w:tc>
      </w:tr>
      <w:tr>
        <w:trPr>
          <w:trHeight w:val="218"/>
        </w:trPr>
        <w:tc>
          <w:tcPr>
            <w:tcW w:w="3200" w:type="dxa"/>
            <w:vAlign w:val="bottom"/>
          </w:tcPr>
          <w:p>
            <w:pPr>
              <w:spacing w:after="0"/>
              <w:rPr>
                <w:sz w:val="18"/>
                <w:szCs w:val="18"/>
                <w:color w:val="auto"/>
              </w:rPr>
            </w:pPr>
          </w:p>
        </w:tc>
        <w:tc>
          <w:tcPr>
            <w:tcW w:w="7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Hedge Completion Date; </w:t>
            </w:r>
            <w:r>
              <w:rPr>
                <w:rFonts w:ascii="Times New Roman" w:cs="Times New Roman" w:eastAsia="Times New Roman" w:hAnsi="Times New Roman"/>
                <w:sz w:val="18"/>
                <w:szCs w:val="18"/>
                <w:i w:val="1"/>
                <w:iCs w:val="1"/>
                <w:color w:val="auto"/>
              </w:rPr>
              <w:t>provided further, however</w:t>
            </w:r>
            <w:r>
              <w:rPr>
                <w:rFonts w:ascii="Times New Roman" w:cs="Times New Roman" w:eastAsia="Times New Roman" w:hAnsi="Times New Roman"/>
                <w:sz w:val="18"/>
                <w:szCs w:val="18"/>
                <w:color w:val="auto"/>
              </w:rPr>
              <w:t>, that on each Settlement Date, the Number of Shares</w:t>
            </w:r>
          </w:p>
        </w:tc>
      </w:tr>
      <w:tr>
        <w:trPr>
          <w:trHeight w:val="234"/>
        </w:trPr>
        <w:tc>
          <w:tcPr>
            <w:tcW w:w="3200" w:type="dxa"/>
            <w:vAlign w:val="bottom"/>
          </w:tcPr>
          <w:p>
            <w:pPr>
              <w:spacing w:after="0"/>
              <w:rPr>
                <w:sz w:val="20"/>
                <w:szCs w:val="20"/>
                <w:color w:val="auto"/>
              </w:rPr>
            </w:pPr>
          </w:p>
        </w:tc>
        <w:tc>
          <w:tcPr>
            <w:tcW w:w="7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shall be reduced by the number of Settlement Shares settled on such date.</w:t>
            </w:r>
          </w:p>
        </w:tc>
      </w:tr>
      <w:tr>
        <w:trPr>
          <w:trHeight w:val="30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Hedge Completion Date:</w:t>
            </w:r>
          </w:p>
        </w:tc>
        <w:tc>
          <w:tcPr>
            <w:tcW w:w="7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earliest of (i) the date specified in writing as the Hedge Completion Date by Counterparty, (ii) any</w:t>
            </w:r>
          </w:p>
        </w:tc>
      </w:tr>
      <w:tr>
        <w:trPr>
          <w:trHeight w:val="216"/>
        </w:trPr>
        <w:tc>
          <w:tcPr>
            <w:tcW w:w="3200" w:type="dxa"/>
            <w:vAlign w:val="bottom"/>
          </w:tcPr>
          <w:p>
            <w:pPr>
              <w:spacing w:after="0"/>
              <w:rPr>
                <w:sz w:val="18"/>
                <w:szCs w:val="18"/>
                <w:color w:val="auto"/>
              </w:rPr>
            </w:pPr>
          </w:p>
        </w:tc>
        <w:tc>
          <w:tcPr>
            <w:tcW w:w="7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Settlement Date and (iii) [DATE].</w:t>
            </w:r>
            <w:r>
              <w:rPr>
                <w:rFonts w:ascii="Times New Roman" w:cs="Times New Roman" w:eastAsia="Times New Roman" w:hAnsi="Times New Roman"/>
                <w:sz w:val="15"/>
                <w:szCs w:val="15"/>
                <w:color w:val="auto"/>
              </w:rPr>
              <w:t>12</w:t>
            </w:r>
            <w:r>
              <w:rPr>
                <w:rFonts w:ascii="Times New Roman" w:cs="Times New Roman" w:eastAsia="Times New Roman" w:hAnsi="Times New Roman"/>
                <w:sz w:val="18"/>
                <w:szCs w:val="18"/>
                <w:color w:val="auto"/>
              </w:rPr>
              <w:t xml:space="preserve"> Promptly after the Hedge Completion Date (but in any case no later</w:t>
            </w:r>
          </w:p>
        </w:tc>
      </w:tr>
      <w:tr>
        <w:trPr>
          <w:trHeight w:val="212"/>
        </w:trPr>
        <w:tc>
          <w:tcPr>
            <w:tcW w:w="3200" w:type="dxa"/>
            <w:vAlign w:val="bottom"/>
          </w:tcPr>
          <w:p>
            <w:pPr>
              <w:spacing w:after="0"/>
              <w:rPr>
                <w:sz w:val="18"/>
                <w:szCs w:val="18"/>
                <w:color w:val="auto"/>
              </w:rPr>
            </w:pPr>
          </w:p>
        </w:tc>
        <w:tc>
          <w:tcPr>
            <w:tcW w:w="7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than the open of the Trading Day immediately following the Hedge Completion Date), Dealer will furnish</w:t>
            </w:r>
          </w:p>
        </w:tc>
      </w:tr>
      <w:tr>
        <w:trPr>
          <w:trHeight w:val="216"/>
        </w:trPr>
        <w:tc>
          <w:tcPr>
            <w:tcW w:w="3200" w:type="dxa"/>
            <w:vAlign w:val="bottom"/>
          </w:tcPr>
          <w:p>
            <w:pPr>
              <w:spacing w:after="0"/>
              <w:rPr>
                <w:sz w:val="18"/>
                <w:szCs w:val="18"/>
                <w:color w:val="auto"/>
              </w:rPr>
            </w:pPr>
          </w:p>
        </w:tc>
        <w:tc>
          <w:tcPr>
            <w:tcW w:w="7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Counterparty with a pricing supplement (the “</w:t>
            </w:r>
            <w:r>
              <w:rPr>
                <w:rFonts w:ascii="Times New Roman" w:cs="Times New Roman" w:eastAsia="Times New Roman" w:hAnsi="Times New Roman"/>
                <w:sz w:val="18"/>
                <w:szCs w:val="18"/>
                <w:b w:val="1"/>
                <w:bCs w:val="1"/>
                <w:i w:val="1"/>
                <w:iCs w:val="1"/>
                <w:color w:val="auto"/>
              </w:rPr>
              <w:t>Pricing Supplement</w:t>
            </w:r>
            <w:r>
              <w:rPr>
                <w:rFonts w:ascii="Times New Roman" w:cs="Times New Roman" w:eastAsia="Times New Roman" w:hAnsi="Times New Roman"/>
                <w:sz w:val="18"/>
                <w:szCs w:val="18"/>
                <w:color w:val="auto"/>
              </w:rPr>
              <w:t>”) substantially in the form of Annex A</w:t>
            </w:r>
          </w:p>
        </w:tc>
      </w:tr>
      <w:tr>
        <w:trPr>
          <w:trHeight w:val="220"/>
        </w:trPr>
        <w:tc>
          <w:tcPr>
            <w:tcW w:w="3200" w:type="dxa"/>
            <w:vAlign w:val="bottom"/>
          </w:tcPr>
          <w:p>
            <w:pPr>
              <w:spacing w:after="0"/>
              <w:rPr>
                <w:sz w:val="19"/>
                <w:szCs w:val="19"/>
                <w:color w:val="auto"/>
              </w:rPr>
            </w:pPr>
          </w:p>
        </w:tc>
        <w:tc>
          <w:tcPr>
            <w:tcW w:w="780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hereto specifying the Number of Shares as of the Hedge Completion Date (the “</w:t>
            </w:r>
            <w:r>
              <w:rPr>
                <w:rFonts w:ascii="Times New Roman" w:cs="Times New Roman" w:eastAsia="Times New Roman" w:hAnsi="Times New Roman"/>
                <w:sz w:val="18"/>
                <w:szCs w:val="18"/>
                <w:b w:val="1"/>
                <w:bCs w:val="1"/>
                <w:i w:val="1"/>
                <w:iCs w:val="1"/>
                <w:color w:val="auto"/>
                <w:w w:val="99"/>
              </w:rPr>
              <w:t>Initial Number of Shares</w:t>
            </w:r>
            <w:r>
              <w:rPr>
                <w:rFonts w:ascii="Times New Roman" w:cs="Times New Roman" w:eastAsia="Times New Roman" w:hAnsi="Times New Roman"/>
                <w:sz w:val="18"/>
                <w:szCs w:val="18"/>
                <w:color w:val="auto"/>
                <w:w w:val="99"/>
              </w:rPr>
              <w:t>”),</w:t>
            </w:r>
          </w:p>
        </w:tc>
      </w:tr>
      <w:tr>
        <w:trPr>
          <w:trHeight w:val="234"/>
        </w:trPr>
        <w:tc>
          <w:tcPr>
            <w:tcW w:w="3200" w:type="dxa"/>
            <w:vAlign w:val="bottom"/>
          </w:tcPr>
          <w:p>
            <w:pPr>
              <w:spacing w:after="0"/>
              <w:rPr>
                <w:sz w:val="20"/>
                <w:szCs w:val="20"/>
                <w:color w:val="auto"/>
              </w:rPr>
            </w:pPr>
          </w:p>
        </w:tc>
        <w:tc>
          <w:tcPr>
            <w:tcW w:w="7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Initial Forward Price and the Final Date, all determined in accordance with the terms hereof.</w:t>
            </w:r>
          </w:p>
        </w:tc>
      </w:tr>
      <w:tr>
        <w:trPr>
          <w:trHeight w:val="30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Initial Forward Price:</w:t>
            </w:r>
          </w:p>
        </w:tc>
        <w:tc>
          <w:tcPr>
            <w:tcW w:w="780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The Forward Hedge Price as defined in the Equity Distribution Agreement (with the Forward Hedge Selling</w:t>
            </w:r>
          </w:p>
        </w:tc>
      </w:tr>
      <w:tr>
        <w:trPr>
          <w:trHeight w:val="216"/>
        </w:trPr>
        <w:tc>
          <w:tcPr>
            <w:tcW w:w="3200" w:type="dxa"/>
            <w:vAlign w:val="bottom"/>
          </w:tcPr>
          <w:p>
            <w:pPr>
              <w:spacing w:after="0"/>
              <w:rPr>
                <w:sz w:val="18"/>
                <w:szCs w:val="18"/>
                <w:color w:val="auto"/>
              </w:rPr>
            </w:pPr>
          </w:p>
        </w:tc>
        <w:tc>
          <w:tcPr>
            <w:tcW w:w="7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Commission Rate (as defined in the Sales Agreement) equal to [•]% and assuming the Agent sold such</w:t>
            </w:r>
          </w:p>
        </w:tc>
      </w:tr>
      <w:tr>
        <w:trPr>
          <w:trHeight w:val="216"/>
        </w:trPr>
        <w:tc>
          <w:tcPr>
            <w:tcW w:w="3200" w:type="dxa"/>
            <w:vAlign w:val="bottom"/>
          </w:tcPr>
          <w:p>
            <w:pPr>
              <w:spacing w:after="0"/>
              <w:rPr>
                <w:sz w:val="18"/>
                <w:szCs w:val="18"/>
                <w:color w:val="auto"/>
              </w:rPr>
            </w:pPr>
          </w:p>
        </w:tc>
        <w:tc>
          <w:tcPr>
            <w:tcW w:w="7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Shares in a commercially reasonable manner that reflects prevailing market prices), adjusted by the</w:t>
            </w:r>
          </w:p>
        </w:tc>
      </w:tr>
      <w:tr>
        <w:trPr>
          <w:trHeight w:val="216"/>
        </w:trPr>
        <w:tc>
          <w:tcPr>
            <w:tcW w:w="3200" w:type="dxa"/>
            <w:vAlign w:val="bottom"/>
          </w:tcPr>
          <w:p>
            <w:pPr>
              <w:spacing w:after="0"/>
              <w:rPr>
                <w:sz w:val="18"/>
                <w:szCs w:val="18"/>
                <w:color w:val="auto"/>
              </w:rPr>
            </w:pPr>
          </w:p>
        </w:tc>
        <w:tc>
          <w:tcPr>
            <w:tcW w:w="7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Calculation Agent in a commercially reasonable manner to (x) reflect on each day during such period the</w:t>
            </w:r>
          </w:p>
        </w:tc>
      </w:tr>
      <w:tr>
        <w:trPr>
          <w:trHeight w:val="194"/>
        </w:trPr>
        <w:tc>
          <w:tcPr>
            <w:tcW w:w="3200" w:type="dxa"/>
            <w:vAlign w:val="bottom"/>
          </w:tcPr>
          <w:p>
            <w:pPr>
              <w:spacing w:after="0"/>
              <w:rPr>
                <w:sz w:val="16"/>
                <w:szCs w:val="16"/>
                <w:color w:val="auto"/>
              </w:rPr>
            </w:pPr>
          </w:p>
        </w:tc>
        <w:tc>
          <w:tcPr>
            <w:tcW w:w="780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sum of 1 and the Daily Rate for such day multiplied by the then-Initial Forward Price as of such day and</w:t>
            </w:r>
          </w:p>
        </w:tc>
      </w:tr>
      <w:tr>
        <w:trPr>
          <w:trHeight w:val="20"/>
        </w:trPr>
        <w:tc>
          <w:tcPr>
            <w:tcW w:w="3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218"/>
        </w:trPr>
        <w:tc>
          <w:tcPr>
            <w:tcW w:w="3200" w:type="dxa"/>
            <w:vAlign w:val="bottom"/>
          </w:tcPr>
          <w:p>
            <w:pPr>
              <w:spacing w:after="0"/>
              <w:rPr>
                <w:sz w:val="18"/>
                <w:szCs w:val="18"/>
                <w:color w:val="auto"/>
              </w:rPr>
            </w:pPr>
          </w:p>
        </w:tc>
        <w:tc>
          <w:tcPr>
            <w:tcW w:w="7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(y) reduce the then-Initial Forward Price by the relevant Forward Price Reduction Amount on each Forward</w:t>
            </w:r>
          </w:p>
        </w:tc>
      </w:tr>
      <w:tr>
        <w:trPr>
          <w:trHeight w:val="234"/>
        </w:trPr>
        <w:tc>
          <w:tcPr>
            <w:tcW w:w="3200" w:type="dxa"/>
            <w:vAlign w:val="bottom"/>
          </w:tcPr>
          <w:p>
            <w:pPr>
              <w:spacing w:after="0"/>
              <w:rPr>
                <w:sz w:val="20"/>
                <w:szCs w:val="20"/>
                <w:color w:val="auto"/>
              </w:rPr>
            </w:pPr>
          </w:p>
        </w:tc>
        <w:tc>
          <w:tcPr>
            <w:tcW w:w="7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Price Reduction Date occurring on or before the Hedge Completion Date.</w:t>
            </w:r>
          </w:p>
        </w:tc>
      </w:tr>
      <w:tr>
        <w:trPr>
          <w:trHeight w:val="32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Forward Price:</w:t>
            </w:r>
          </w:p>
        </w:tc>
        <w:tc>
          <w:tcPr>
            <w:tcW w:w="7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On the Hedge Completion Date, the Initial Forward Price; and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Deadline date from the applicable Placement Notice.</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B-1-4</w:t>
      </w:r>
    </w:p>
    <w:p>
      <w:pPr>
        <w:sectPr>
          <w:pgSz w:w="11900" w:h="16838" w:orient="portrait"/>
          <w:cols w:equalWidth="0" w:num="1">
            <w:col w:w="11004"/>
          </w:cols>
          <w:pgMar w:left="436" w:top="378" w:right="45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14"/>
        </w:trPr>
        <w:tc>
          <w:tcPr>
            <w:tcW w:w="2880" w:type="dxa"/>
            <w:vAlign w:val="bottom"/>
          </w:tcPr>
          <w:p>
            <w:pPr>
              <w:spacing w:after="0"/>
              <w:rPr>
                <w:sz w:val="18"/>
                <w:szCs w:val="18"/>
                <w:color w:val="auto"/>
              </w:rPr>
            </w:pPr>
          </w:p>
        </w:tc>
        <w:tc>
          <w:tcPr>
            <w:tcW w:w="812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rPr>
              <w:t>(b)  on each calendar day thereafter, (i) the Forward Price as of the immediately preceding calendar day</w:t>
            </w:r>
          </w:p>
        </w:tc>
      </w:tr>
      <w:tr>
        <w:trPr>
          <w:trHeight w:val="196"/>
        </w:trPr>
        <w:tc>
          <w:tcPr>
            <w:tcW w:w="2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 xml:space="preserve">multiplied by (ii) the sum of 1 and the Daily Rate for such day;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on each Forward Price</w:t>
            </w:r>
          </w:p>
        </w:tc>
      </w:tr>
      <w:tr>
        <w:trPr>
          <w:trHeight w:val="20"/>
        </w:trPr>
        <w:tc>
          <w:tcPr>
            <w:tcW w:w="2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8"/>
        </w:trPr>
        <w:tc>
          <w:tcPr>
            <w:tcW w:w="2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Reduction Date, the Forward Price in effect on such date shall be the Forward Price otherwise in effect</w:t>
            </w:r>
          </w:p>
        </w:tc>
      </w:tr>
      <w:tr>
        <w:trPr>
          <w:trHeight w:val="194"/>
        </w:trPr>
        <w:tc>
          <w:tcPr>
            <w:tcW w:w="2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4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auto"/>
              </w:rPr>
              <w:t>on such date, minus the Forward Price Reduction Amount for such Forward Price Reduction Date.</w:t>
            </w:r>
          </w:p>
        </w:tc>
      </w:tr>
      <w:tr>
        <w:trPr>
          <w:trHeight w:val="20"/>
        </w:trPr>
        <w:tc>
          <w:tcPr>
            <w:tcW w:w="28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0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Daily Rate:</w:t>
            </w:r>
          </w:p>
        </w:tc>
        <w:tc>
          <w:tcPr>
            <w:tcW w:w="812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rPr>
              <w:t>For any day, (i)(A) Overnight Bank Rate for such day, minus (B) the Spread, divided by (ii) 365.</w:t>
            </w:r>
          </w:p>
        </w:tc>
      </w:tr>
      <w:tr>
        <w:trPr>
          <w:trHeight w:val="20"/>
        </w:trPr>
        <w:tc>
          <w:tcPr>
            <w:tcW w:w="2880" w:type="dxa"/>
            <w:vAlign w:val="bottom"/>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24"/>
        </w:trPr>
        <w:tc>
          <w:tcPr>
            <w:tcW w:w="2880" w:type="dxa"/>
            <w:vAlign w:val="bottom"/>
          </w:tcPr>
          <w:p>
            <w:pPr>
              <w:spacing w:after="0"/>
              <w:rPr>
                <w:sz w:val="24"/>
                <w:szCs w:val="24"/>
                <w:color w:val="auto"/>
              </w:rPr>
            </w:pPr>
          </w:p>
        </w:tc>
        <w:tc>
          <w:tcPr>
            <w:tcW w:w="812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rPr>
              <w:t>For any day, the rate set forth for such day opposite the caption “Overnight bank funding rate,” as such rate</w:t>
            </w:r>
          </w:p>
        </w:tc>
      </w:tr>
      <w:tr>
        <w:trPr>
          <w:trHeight w:val="218"/>
        </w:trPr>
        <w:tc>
          <w:tcPr>
            <w:tcW w:w="2880" w:type="dxa"/>
            <w:vAlign w:val="bottom"/>
          </w:tcPr>
          <w:p>
            <w:pPr>
              <w:spacing w:after="0"/>
              <w:rPr>
                <w:sz w:val="18"/>
                <w:szCs w:val="18"/>
                <w:color w:val="auto"/>
              </w:rPr>
            </w:pPr>
          </w:p>
        </w:tc>
        <w:tc>
          <w:tcPr>
            <w:tcW w:w="812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rPr>
              <w:t xml:space="preserve">is displayed on Bloomberg Screen “OBFR01 &lt;Index&gt; &lt;GO&gt;”, or any successor page;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no</w:t>
            </w:r>
          </w:p>
        </w:tc>
      </w:tr>
      <w:tr>
        <w:trPr>
          <w:trHeight w:val="216"/>
        </w:trPr>
        <w:tc>
          <w:tcPr>
            <w:tcW w:w="2880" w:type="dxa"/>
            <w:vAlign w:val="bottom"/>
          </w:tcPr>
          <w:p>
            <w:pPr>
              <w:spacing w:after="0"/>
              <w:rPr>
                <w:sz w:val="18"/>
                <w:szCs w:val="18"/>
                <w:color w:val="auto"/>
              </w:rPr>
            </w:pPr>
          </w:p>
        </w:tc>
        <w:tc>
          <w:tcPr>
            <w:tcW w:w="812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rPr>
              <w:t>rate appears for a particular day on such page, the rate for the immediately preceding day for which a rate</w:t>
            </w:r>
          </w:p>
        </w:tc>
      </w:t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Overnight Bank Rate:</w:t>
            </w:r>
          </w:p>
        </w:tc>
        <w:tc>
          <w:tcPr>
            <w:tcW w:w="812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rPr>
              <w:t>does so appear shall be used for such day.</w:t>
            </w:r>
          </w:p>
        </w:tc>
      </w:tr>
      <w:tr>
        <w:trPr>
          <w:trHeight w:val="32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Spread:</w:t>
            </w:r>
          </w:p>
        </w:tc>
        <w:tc>
          <w:tcPr>
            <w:tcW w:w="812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rPr>
              <w:t>[•] basis points</w:t>
            </w:r>
          </w:p>
        </w:tc>
      </w:tr>
      <w:tr>
        <w:trPr>
          <w:trHeight w:val="32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Prepayment:</w:t>
            </w:r>
          </w:p>
        </w:tc>
        <w:tc>
          <w:tcPr>
            <w:tcW w:w="812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32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Variable Obligation:</w:t>
            </w:r>
          </w:p>
        </w:tc>
        <w:tc>
          <w:tcPr>
            <w:tcW w:w="812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32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Forward Price Reduction Dates:</w:t>
            </w:r>
          </w:p>
        </w:tc>
        <w:tc>
          <w:tcPr>
            <w:tcW w:w="812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rPr>
              <w:t>As set forth on Schedule I</w:t>
            </w:r>
          </w:p>
        </w:tc>
      </w:tr>
      <w:tr>
        <w:trPr>
          <w:trHeight w:val="30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Forward Price Reduction Amounts:</w:t>
            </w:r>
          </w:p>
        </w:tc>
        <w:tc>
          <w:tcPr>
            <w:tcW w:w="812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rPr>
              <w:t>For each Forward Price Reduction Date, the Forward Price Reduction Amount set forth opposite such date</w:t>
            </w:r>
          </w:p>
        </w:tc>
      </w:tr>
      <w:tr>
        <w:trPr>
          <w:trHeight w:val="234"/>
        </w:trPr>
        <w:tc>
          <w:tcPr>
            <w:tcW w:w="2880" w:type="dxa"/>
            <w:vAlign w:val="bottom"/>
          </w:tcPr>
          <w:p>
            <w:pPr>
              <w:spacing w:after="0"/>
              <w:rPr>
                <w:sz w:val="20"/>
                <w:szCs w:val="20"/>
                <w:color w:val="auto"/>
              </w:rPr>
            </w:pPr>
          </w:p>
        </w:tc>
        <w:tc>
          <w:tcPr>
            <w:tcW w:w="812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rPr>
              <w:t>on Schedule I</w:t>
            </w:r>
          </w:p>
        </w:tc>
      </w:tr>
      <w:tr>
        <w:trPr>
          <w:trHeight w:val="32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Exchange:</w:t>
            </w:r>
          </w:p>
        </w:tc>
        <w:tc>
          <w:tcPr>
            <w:tcW w:w="812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rPr>
              <w:t>The New York Stock Exchange</w:t>
            </w:r>
          </w:p>
        </w:tc>
      </w:tr>
      <w:tr>
        <w:trPr>
          <w:trHeight w:val="32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Related Exchange(s):</w:t>
            </w:r>
          </w:p>
        </w:tc>
        <w:tc>
          <w:tcPr>
            <w:tcW w:w="812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rPr>
              <w:t>All Exchanges</w:t>
            </w:r>
          </w:p>
        </w:tc>
      </w:tr>
      <w:tr>
        <w:trPr>
          <w:trHeight w:val="32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Clearance System:</w:t>
            </w:r>
          </w:p>
        </w:tc>
        <w:tc>
          <w:tcPr>
            <w:tcW w:w="812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rPr>
              <w:t>The Depository Trust Company</w:t>
            </w:r>
          </w:p>
        </w:tc>
      </w:tr>
      <w:tr>
        <w:trPr>
          <w:trHeight w:val="32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Securities Act:</w:t>
            </w:r>
          </w:p>
        </w:tc>
        <w:tc>
          <w:tcPr>
            <w:tcW w:w="812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rPr>
              <w:t>Securities Act of 1933, as amended</w:t>
            </w:r>
          </w:p>
        </w:tc>
      </w:tr>
      <w:tr>
        <w:trPr>
          <w:trHeight w:val="32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Exchange Act:</w:t>
            </w:r>
          </w:p>
        </w:tc>
        <w:tc>
          <w:tcPr>
            <w:tcW w:w="812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r>
      <w:tr>
        <w:trPr>
          <w:trHeight w:val="30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Market Disruption Event:</w:t>
            </w:r>
          </w:p>
        </w:tc>
        <w:tc>
          <w:tcPr>
            <w:tcW w:w="812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w w:val="99"/>
              </w:rPr>
              <w:t>Section 6.3(a) of the Equity Definitions is hereby amended by replacing the first sentence in its entirety with</w:t>
            </w:r>
          </w:p>
        </w:tc>
      </w:tr>
      <w:tr>
        <w:trPr>
          <w:trHeight w:val="216"/>
        </w:trPr>
        <w:tc>
          <w:tcPr>
            <w:tcW w:w="2880" w:type="dxa"/>
            <w:vAlign w:val="bottom"/>
          </w:tcPr>
          <w:p>
            <w:pPr>
              <w:spacing w:after="0"/>
              <w:rPr>
                <w:sz w:val="18"/>
                <w:szCs w:val="18"/>
                <w:color w:val="auto"/>
              </w:rPr>
            </w:pPr>
          </w:p>
        </w:tc>
        <w:tc>
          <w:tcPr>
            <w:tcW w:w="812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rPr>
              <w:t>the following: “‘Market Disruption Event’ means in respect of a Share or an Index, the occurrence or</w:t>
            </w:r>
          </w:p>
        </w:tc>
      </w:tr>
      <w:tr>
        <w:trPr>
          <w:trHeight w:val="216"/>
        </w:trPr>
        <w:tc>
          <w:tcPr>
            <w:tcW w:w="2880" w:type="dxa"/>
            <w:vAlign w:val="bottom"/>
          </w:tcPr>
          <w:p>
            <w:pPr>
              <w:spacing w:after="0"/>
              <w:rPr>
                <w:sz w:val="18"/>
                <w:szCs w:val="18"/>
                <w:color w:val="auto"/>
              </w:rPr>
            </w:pPr>
          </w:p>
        </w:tc>
        <w:tc>
          <w:tcPr>
            <w:tcW w:w="812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w w:val="99"/>
              </w:rPr>
              <w:t>existence of (i) a Trading Disruption, (ii) an Exchange Disruption, (iii) an Early Closure or (iv) a Regulatory</w:t>
            </w:r>
          </w:p>
        </w:tc>
      </w:tr>
      <w:tr>
        <w:trPr>
          <w:trHeight w:val="216"/>
        </w:trPr>
        <w:tc>
          <w:tcPr>
            <w:tcW w:w="2880" w:type="dxa"/>
            <w:vAlign w:val="bottom"/>
          </w:tcPr>
          <w:p>
            <w:pPr>
              <w:spacing w:after="0"/>
              <w:rPr>
                <w:sz w:val="18"/>
                <w:szCs w:val="18"/>
                <w:color w:val="auto"/>
              </w:rPr>
            </w:pPr>
          </w:p>
        </w:tc>
        <w:tc>
          <w:tcPr>
            <w:tcW w:w="812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rPr>
              <w:t>Disruption, in each case that the Calculation Agent determines, in its commercially reasonable judgment, is</w:t>
            </w:r>
          </w:p>
        </w:tc>
      </w:tr>
      <w:tr>
        <w:trPr>
          <w:trHeight w:val="234"/>
        </w:trPr>
        <w:tc>
          <w:tcPr>
            <w:tcW w:w="2880" w:type="dxa"/>
            <w:vAlign w:val="bottom"/>
          </w:tcPr>
          <w:p>
            <w:pPr>
              <w:spacing w:after="0"/>
              <w:rPr>
                <w:sz w:val="20"/>
                <w:szCs w:val="20"/>
                <w:color w:val="auto"/>
              </w:rPr>
            </w:pPr>
          </w:p>
        </w:tc>
        <w:tc>
          <w:tcPr>
            <w:tcW w:w="812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rPr>
              <w:t>material”.</w:t>
            </w:r>
          </w:p>
        </w:tc>
      </w:tr>
      <w:tr>
        <w:trPr>
          <w:trHeight w:val="364"/>
        </w:trPr>
        <w:tc>
          <w:tcPr>
            <w:tcW w:w="2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2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B-1-5</w:t>
            </w:r>
          </w:p>
        </w:tc>
      </w:tr>
    </w:tbl>
    <w:p>
      <w:pPr>
        <w:ind w:left="320"/>
        <w:spacing w:after="0"/>
        <w:rPr>
          <w:sz w:val="20"/>
          <w:szCs w:val="20"/>
          <w:color w:val="auto"/>
        </w:rPr>
        <w:sectPr>
          <w:pgSz w:w="11900" w:h="16838" w:orient="portrait"/>
          <w:cols w:equalWidth="0" w:num="1">
            <w:col w:w="11000"/>
          </w:cols>
          <w:pgMar w:left="440" w:top="270" w:right="45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60" w:name="page61"/>
    <w:bookmarkEnd w:id="60"/>
    <w:p>
      <w:pPr>
        <w:spacing w:after="0"/>
        <w:rPr>
          <w:sz w:val="20"/>
          <w:szCs w:val="20"/>
          <w:color w:val="auto"/>
        </w:rPr>
      </w:pPr>
      <w:r>
        <w:rPr>
          <w:rFonts w:ascii="Times New Roman" w:cs="Times New Roman" w:eastAsia="Times New Roman" w:hAnsi="Times New Roman"/>
          <w:sz w:val="17"/>
          <w:szCs w:val="17"/>
          <w:color w:val="auto"/>
        </w:rPr>
        <w:t>Early Closure:</w:t>
      </w:r>
    </w:p>
    <w:p>
      <w:pPr>
        <w:spacing w:after="0" w:line="20" w:lineRule="exact"/>
        <w:rPr>
          <w:sz w:val="20"/>
          <w:szCs w:val="20"/>
          <w:color w:val="auto"/>
        </w:rPr>
      </w:pPr>
      <w:r>
        <w:rPr>
          <w:sz w:val="20"/>
          <w:szCs w:val="20"/>
          <w:color w:val="auto"/>
        </w:rPr>
        <w:br w:type="column"/>
      </w:r>
    </w:p>
    <w:p>
      <w:pPr>
        <w:ind w:right="460"/>
        <w:spacing w:after="0" w:line="282" w:lineRule="auto"/>
        <w:rPr>
          <w:sz w:val="20"/>
          <w:szCs w:val="20"/>
          <w:color w:val="auto"/>
        </w:rPr>
      </w:pPr>
      <w:r>
        <w:rPr>
          <w:rFonts w:ascii="Times New Roman" w:cs="Times New Roman" w:eastAsia="Times New Roman" w:hAnsi="Times New Roman"/>
          <w:sz w:val="18"/>
          <w:szCs w:val="18"/>
          <w:color w:val="auto"/>
        </w:rPr>
        <w:t>Section 6.3(d) of the Equity Definitions is hereby amended by deleting the remainder of the provision following the term “Scheduled Closing Time” in the fourth line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-391160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2480" w:space="720"/>
            <w:col w:w="7780"/>
          </w:cols>
          <w:pgMar w:left="440" w:top="270" w:right="47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Regulatory Disruption:</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Times New Roman" w:cs="Times New Roman" w:eastAsia="Times New Roman" w:hAnsi="Times New Roman"/>
          <w:sz w:val="17"/>
          <w:szCs w:val="17"/>
          <w:color w:val="auto"/>
        </w:rPr>
        <w:t>Any event that Dealer, based on the advice of counsel, determines makes it reasonably necessary or appropriate with regard to any legal, regulatory or self-regulatory requirements or related policies and procedures that generally apply to transactions of a nature and kind similar to the Transaction and have been adopted in good faith by Dealer and consistently applied to the relevant Transaction in a nondiscriminatory manner for Dealer to refrain from or decrease any market activity in connection with the Transaction.</w:t>
      </w:r>
    </w:p>
    <w:p>
      <w:pPr>
        <w:spacing w:after="0" w:line="60" w:lineRule="exact"/>
        <w:rPr>
          <w:sz w:val="20"/>
          <w:szCs w:val="20"/>
          <w:color w:val="auto"/>
        </w:rPr>
      </w:pPr>
    </w:p>
    <w:p>
      <w:pPr>
        <w:sectPr>
          <w:pgSz w:w="11900" w:h="16838" w:orient="portrait"/>
          <w:cols w:equalWidth="0" w:num="2">
            <w:col w:w="2480" w:space="720"/>
            <w:col w:w="778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Settlement: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Currency:</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USD (all amounts shall be converted to the Settlement Currency in good faith and in a commercially reasonable manner by the Calculation Agent)</w:t>
      </w:r>
    </w:p>
    <w:p>
      <w:pPr>
        <w:spacing w:after="0" w:line="54" w:lineRule="exact"/>
        <w:rPr>
          <w:sz w:val="20"/>
          <w:szCs w:val="20"/>
          <w:color w:val="auto"/>
        </w:rPr>
      </w:pPr>
    </w:p>
    <w:p>
      <w:pPr>
        <w:sectPr>
          <w:pgSz w:w="11900" w:h="16838" w:orient="portrait"/>
          <w:cols w:equalWidth="0" w:num="2">
            <w:col w:w="2480" w:space="720"/>
            <w:col w:w="778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Settlement Date:</w:t>
      </w:r>
    </w:p>
    <w:p>
      <w:pPr>
        <w:spacing w:after="0" w:line="20" w:lineRule="exact"/>
        <w:rPr>
          <w:sz w:val="20"/>
          <w:szCs w:val="20"/>
          <w:color w:val="auto"/>
        </w:rPr>
      </w:pPr>
      <w:r>
        <w:rPr>
          <w:sz w:val="20"/>
          <w:szCs w:val="20"/>
          <w:color w:val="auto"/>
        </w:rPr>
        <w:br w:type="column"/>
      </w:r>
    </w:p>
    <w:p>
      <w:pPr>
        <w:ind w:right="340"/>
        <w:spacing w:after="0" w:line="282" w:lineRule="auto"/>
        <w:rPr>
          <w:sz w:val="20"/>
          <w:szCs w:val="20"/>
          <w:color w:val="auto"/>
        </w:rPr>
      </w:pPr>
      <w:r>
        <w:rPr>
          <w:rFonts w:ascii="Times New Roman" w:cs="Times New Roman" w:eastAsia="Times New Roman" w:hAnsi="Times New Roman"/>
          <w:sz w:val="18"/>
          <w:szCs w:val="18"/>
          <w:color w:val="auto"/>
        </w:rPr>
        <w:t>Any Scheduled Trading Day following the Effective Date and up to and including the Final Date that is either:</w:t>
      </w:r>
    </w:p>
    <w:p>
      <w:pPr>
        <w:spacing w:after="0" w:line="50" w:lineRule="exact"/>
        <w:rPr>
          <w:sz w:val="20"/>
          <w:szCs w:val="20"/>
          <w:color w:val="auto"/>
        </w:rPr>
      </w:pPr>
    </w:p>
    <w:p>
      <w:pPr>
        <w:sectPr>
          <w:pgSz w:w="11900" w:h="16838" w:orient="portrait"/>
          <w:cols w:equalWidth="0" w:num="2">
            <w:col w:w="2480" w:space="720"/>
            <w:col w:w="7780"/>
          </w:cols>
          <w:pgMar w:left="440" w:top="270" w:right="479" w:bottom="1440" w:gutter="0" w:footer="0" w:header="0"/>
          <w:type w:val="continuous"/>
        </w:sectPr>
      </w:pPr>
    </w:p>
    <w:p>
      <w:pPr>
        <w:ind w:left="3200" w:right="1280"/>
        <w:spacing w:after="0" w:line="254" w:lineRule="auto"/>
        <w:rPr>
          <w:sz w:val="20"/>
          <w:szCs w:val="20"/>
          <w:color w:val="auto"/>
        </w:rPr>
      </w:pPr>
      <w:r>
        <w:rPr>
          <w:rFonts w:ascii="Times New Roman" w:cs="Times New Roman" w:eastAsia="Times New Roman" w:hAnsi="Times New Roman"/>
          <w:sz w:val="18"/>
          <w:szCs w:val="18"/>
          <w:color w:val="auto"/>
        </w:rPr>
        <w:t>(a) designated by Counterparty as a “</w:t>
      </w:r>
      <w:r>
        <w:rPr>
          <w:rFonts w:ascii="Times New Roman" w:cs="Times New Roman" w:eastAsia="Times New Roman" w:hAnsi="Times New Roman"/>
          <w:sz w:val="18"/>
          <w:szCs w:val="18"/>
          <w:b w:val="1"/>
          <w:bCs w:val="1"/>
          <w:i w:val="1"/>
          <w:iCs w:val="1"/>
          <w:color w:val="auto"/>
        </w:rPr>
        <w:t>Settlement Date</w:t>
      </w:r>
      <w:r>
        <w:rPr>
          <w:rFonts w:ascii="Times New Roman" w:cs="Times New Roman" w:eastAsia="Times New Roman" w:hAnsi="Times New Roman"/>
          <w:sz w:val="18"/>
          <w:szCs w:val="18"/>
          <w:color w:val="auto"/>
        </w:rPr>
        <w:t>” by a written notice (a “</w:t>
      </w:r>
      <w:r>
        <w:rPr>
          <w:rFonts w:ascii="Times New Roman" w:cs="Times New Roman" w:eastAsia="Times New Roman" w:hAnsi="Times New Roman"/>
          <w:sz w:val="18"/>
          <w:szCs w:val="18"/>
          <w:b w:val="1"/>
          <w:bCs w:val="1"/>
          <w:i w:val="1"/>
          <w:iCs w:val="1"/>
          <w:color w:val="auto"/>
        </w:rPr>
        <w:t>Settlement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that satisfies the Settlement Notice Requirements, if applicable, and is delivered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to Dealer no less than (i) two Scheduled Trading Days prior to such Settlement Date, which may be the Final Date, if Physical Settlement applies, and (ii) [•] Scheduled Trading Days prior to such Settlement Date, which may be the Final Date, if Cash Settlement or Net Share Settlement applies;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Dealer shall fully unwind its commercially reasonable hedge with respect to the portion of the Number of Shares to be settled during an Unwind Period by a date that is more than two Scheduled Trading Days prior to a Settlement Date specified above, Dealer may, by written notice to Counterparty, no fewer than two Scheduled Trading Days prior thereto, specify any Scheduled Trading Day prior to such original Settlement Date as the Settlement Date; or</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B-1-6</w:t>
      </w:r>
    </w:p>
    <w:p>
      <w:pPr>
        <w:sectPr>
          <w:pgSz w:w="11900" w:h="16838" w:orient="portrait"/>
          <w:cols w:equalWidth="0" w:num="1">
            <w:col w:w="10980"/>
          </w:cols>
          <w:pgMar w:left="440" w:top="270" w:right="479" w:bottom="1440" w:gutter="0" w:footer="0" w:header="0"/>
          <w:type w:val="continuous"/>
        </w:sectPr>
      </w:pPr>
    </w:p>
    <w:bookmarkStart w:id="61" w:name="page62"/>
    <w:bookmarkEnd w:id="61"/>
    <w:p>
      <w:pPr>
        <w:ind w:left="3200" w:right="13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 designated by Dealer as a Settlement Date pursuant to the “Termination Settlement” provisions of Paragraph 7(g) below;</w:t>
      </w:r>
    </w:p>
    <w:p>
      <w:pPr>
        <w:spacing w:after="0" w:line="160" w:lineRule="exact"/>
        <w:rPr>
          <w:sz w:val="20"/>
          <w:szCs w:val="20"/>
          <w:color w:val="auto"/>
        </w:rPr>
      </w:pPr>
    </w:p>
    <w:p>
      <w:pPr>
        <w:ind w:left="3200" w:right="108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Final Date will be a Settlement Date if on such date the Number of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which a Settlement Date has not already been designated is greater than zero, and </w:t>
      </w: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following the occurrence of at least five consecutive Disrupted Days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an Unwind Period and while such Disrupted Days are continuing, Dealer may designate any subsequent Scheduled Trading Day as the Settlement Date with respect to the portion of the Settlement Shares, if any, for which Dealer has determined an Unwind Purchase Price during such Unwind Period, it being understood that the Unwind Period with respect to the remainder of such Settlement Shares shall recommence on the next succeeding Exchange Business Day that is not a Disrupted Day in whole.</w:t>
      </w:r>
    </w:p>
    <w:p>
      <w:pPr>
        <w:sectPr>
          <w:pgSz w:w="11900" w:h="16838" w:orient="portrait"/>
          <w:cols w:equalWidth="0" w:num="1">
            <w:col w:w="10960"/>
          </w:cols>
          <w:pgMar w:left="440" w:top="486" w:right="499" w:bottom="1440" w:gutter="0" w:footer="0" w:header="0"/>
        </w:sectPr>
      </w:pP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Final Date:</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202[•] (or if such day is not a Scheduled Trading Day, the next following Scheduled Trading Day)</w:t>
      </w:r>
    </w:p>
    <w:p>
      <w:pPr>
        <w:spacing w:after="0" w:line="200" w:lineRule="exact"/>
        <w:rPr>
          <w:sz w:val="20"/>
          <w:szCs w:val="20"/>
          <w:color w:val="auto"/>
        </w:rPr>
      </w:pPr>
    </w:p>
    <w:p>
      <w:pPr>
        <w:sectPr>
          <w:pgSz w:w="11900" w:h="16838" w:orient="portrait"/>
          <w:cols w:equalWidth="0" w:num="2">
            <w:col w:w="2480" w:space="720"/>
            <w:col w:w="7760"/>
          </w:cols>
          <w:pgMar w:left="440" w:top="486" w:right="49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Settlement Shares: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hanging="359"/>
        <w:spacing w:after="0" w:line="255" w:lineRule="auto"/>
        <w:rPr>
          <w:sz w:val="20"/>
          <w:szCs w:val="20"/>
          <w:color w:val="auto"/>
        </w:rPr>
      </w:pPr>
      <w:r>
        <w:rPr>
          <w:rFonts w:ascii="Times New Roman" w:cs="Times New Roman" w:eastAsia="Times New Roman" w:hAnsi="Times New Roman"/>
          <w:sz w:val="18"/>
          <w:szCs w:val="18"/>
          <w:color w:val="auto"/>
        </w:rPr>
        <w:t xml:space="preserve">(a) With respect to any Settlement Date other than the Final Date, the number of Shares designated as such by Counterparty in the relevant Settlement Notice or designated by Dealer pursuant to the “Termination Settlement” provisions of Paragraph 7(g) below,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Settlement Shares so designated shall, in the case of a designation by Counterparty, (i) not exceed the Number of Shares at that time and (ii) be at least equal to the lesser of 100,000 and the Number of Shares at that time, in each case with the Number of Shares determined taking into account pending Settlement Shares; and</w:t>
      </w:r>
    </w:p>
    <w:p>
      <w:pPr>
        <w:spacing w:after="0" w:line="189" w:lineRule="exact"/>
        <w:rPr>
          <w:sz w:val="20"/>
          <w:szCs w:val="20"/>
          <w:color w:val="auto"/>
        </w:rPr>
      </w:pPr>
    </w:p>
    <w:p>
      <w:pPr>
        <w:sectPr>
          <w:pgSz w:w="11900" w:h="16838" w:orient="portrait"/>
          <w:cols w:equalWidth="0" w:num="2">
            <w:col w:w="2840" w:space="720"/>
            <w:col w:w="7400"/>
          </w:cols>
          <w:pgMar w:left="440" w:top="486" w:right="499" w:bottom="1440" w:gutter="0" w:footer="0" w:header="0"/>
          <w:type w:val="continuous"/>
        </w:sectPr>
      </w:pPr>
    </w:p>
    <w:p>
      <w:pPr>
        <w:ind w:left="3560" w:right="400" w:hanging="359"/>
        <w:spacing w:after="0" w:line="282" w:lineRule="auto"/>
        <w:rPr>
          <w:sz w:val="20"/>
          <w:szCs w:val="20"/>
          <w:color w:val="auto"/>
        </w:rPr>
      </w:pPr>
      <w:r>
        <w:rPr>
          <w:rFonts w:ascii="Times New Roman" w:cs="Times New Roman" w:eastAsia="Times New Roman" w:hAnsi="Times New Roman"/>
          <w:sz w:val="18"/>
          <w:szCs w:val="18"/>
          <w:color w:val="auto"/>
        </w:rPr>
        <w:t>(b) with respect to the Settlement Date on the Final Date, a number of Shares equal to the Number of Shares at that time;</w:t>
      </w:r>
    </w:p>
    <w:p>
      <w:pPr>
        <w:spacing w:after="0" w:line="162" w:lineRule="exact"/>
        <w:rPr>
          <w:sz w:val="20"/>
          <w:szCs w:val="20"/>
          <w:color w:val="auto"/>
        </w:rPr>
      </w:pPr>
    </w:p>
    <w:p>
      <w:pPr>
        <w:ind w:left="3200" w:right="1200"/>
        <w:spacing w:after="0" w:line="282" w:lineRule="auto"/>
        <w:rPr>
          <w:sz w:val="20"/>
          <w:szCs w:val="20"/>
          <w:color w:val="auto"/>
        </w:rPr>
      </w:pPr>
      <w:r>
        <w:rPr>
          <w:rFonts w:ascii="Times New Roman" w:cs="Times New Roman" w:eastAsia="Times New Roman" w:hAnsi="Times New Roman"/>
          <w:sz w:val="18"/>
          <w:szCs w:val="18"/>
          <w:color w:val="auto"/>
        </w:rPr>
        <w:t>in each case with the Number of Shares determined taking into account pending Settlement Shares.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B-1-7</w:t>
      </w:r>
    </w:p>
    <w:p>
      <w:pPr>
        <w:sectPr>
          <w:pgSz w:w="11900" w:h="16838" w:orient="portrait"/>
          <w:cols w:equalWidth="0" w:num="1">
            <w:col w:w="10960"/>
          </w:cols>
          <w:pgMar w:left="440" w:top="486" w:right="49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7"/>
          <w:szCs w:val="17"/>
          <w:color w:val="auto"/>
        </w:rPr>
        <w:t>Settlement Method Election:</w:t>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Times New Roman" w:cs="Times New Roman" w:eastAsia="Times New Roman" w:hAnsi="Times New Roman"/>
          <w:sz w:val="18"/>
          <w:szCs w:val="18"/>
          <w:color w:val="auto"/>
        </w:rPr>
        <w:t xml:space="preserve">Physical Settlement, Cash Settlement, or Net Share Settlement, at the election of Counterparty as set forth in a Settlement Notice that satisfies the Settlement Notice Requirements;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Physical Settlement shall apply (i) if no Settlement Method is validly selected, (ii) with respect to any Settlement Shares in respect of which Dealer is unable, in good faith and in its commercially reasonable judgment, to unwind its commercially reasonable hedge by the end of the Unwind Period (taking into account any Additional Transactions with overlapping “Unwind Periods” (as defined in the applicable Additional Confirmations)) (A) in a manner that, in the reasonable judgment of Dealer, based on advice of counsel, is consistent with the requirements for qualifying for the safe harbor provided by Rule 10b-18 under the Exchange Act (“</w:t>
      </w:r>
      <w:r>
        <w:rPr>
          <w:rFonts w:ascii="Times New Roman" w:cs="Times New Roman" w:eastAsia="Times New Roman" w:hAnsi="Times New Roman"/>
          <w:sz w:val="18"/>
          <w:szCs w:val="18"/>
          <w:b w:val="1"/>
          <w:bCs w:val="1"/>
          <w:i w:val="1"/>
          <w:iCs w:val="1"/>
          <w:color w:val="auto"/>
        </w:rPr>
        <w:t>Rule 10b-18</w:t>
      </w:r>
      <w:r>
        <w:rPr>
          <w:rFonts w:ascii="Times New Roman" w:cs="Times New Roman" w:eastAsia="Times New Roman" w:hAnsi="Times New Roman"/>
          <w:sz w:val="18"/>
          <w:szCs w:val="18"/>
          <w:color w:val="auto"/>
        </w:rPr>
        <w:t xml:space="preserve">”) or (B) in its commercially reasonable judgment, due to the occurrence of five or more Disrupted Days or to the lack of sufficient liquidity in the Shares on any Exchange Business Day during the Unwind Period, (iii) to any Termination Settlement Date (as defined under “Termination Settlement” in Paragraph 7(g) below) and (iv) if the Final Date is a Settlement Date other than as the result of a valid Settlement Notice, in respect of such Settlement Date;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Physical Settlement applies under clause (ii) immediately above, Dealer shall provide written notice to Counterparty at least two Scheduled Trading Days prior to the applicable Settlement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-2220595</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88" w:lineRule="exact"/>
        <w:rPr>
          <w:sz w:val="20"/>
          <w:szCs w:val="20"/>
          <w:color w:val="auto"/>
        </w:rPr>
      </w:pPr>
    </w:p>
    <w:p>
      <w:pPr>
        <w:sectPr>
          <w:pgSz w:w="11900" w:h="16838" w:orient="portrait"/>
          <w:cols w:equalWidth="0" w:num="2">
            <w:col w:w="2480" w:space="720"/>
            <w:col w:w="7800"/>
          </w:cols>
          <w:pgMar w:left="440" w:top="378" w:right="45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Settlement Notice Requirements:</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Times New Roman" w:cs="Times New Roman" w:eastAsia="Times New Roman" w:hAnsi="Times New Roman"/>
          <w:sz w:val="18"/>
          <w:szCs w:val="18"/>
          <w:color w:val="auto"/>
        </w:rPr>
        <w:t>Notwithstanding any other provision hereof, a Settlement Notice delivered by Counterparty that specifies Cash Settlement or Net Share Settlement will not be effective to establish a Settlement Date or require Cash Settlement or Net Share Settlement unless Counterparty delivers to Dealer with such Settlement Notice a representation, dated as of the date of such Settlement Notice and signed by Counterparty, containing (x) the provisions set forth in clause (i) under the heading “Additional Representations and Agreements of Counterparty” in Paragraph 7(e) below and (y) the provision that neither Counterparty nor any of its subsidiaries has applied, and shall not until after the first date on which no portion of the Transaction remains outstanding following any final exercise and settlement, cancellation or early termination of the Transaction, apply for a loan, loan guarantee, direct loan (as that term is defined in the Coronavirus Aid, Relief and Economic Security Act (the “</w:t>
      </w:r>
      <w:r>
        <w:rPr>
          <w:rFonts w:ascii="Times New Roman" w:cs="Times New Roman" w:eastAsia="Times New Roman" w:hAnsi="Times New Roman"/>
          <w:sz w:val="18"/>
          <w:szCs w:val="18"/>
          <w:b w:val="1"/>
          <w:bCs w:val="1"/>
          <w:i w:val="1"/>
          <w:iCs w:val="1"/>
          <w:color w:val="auto"/>
        </w:rPr>
        <w:t>CARES Act</w:t>
      </w:r>
      <w:r>
        <w:rPr>
          <w:rFonts w:ascii="Times New Roman" w:cs="Times New Roman" w:eastAsia="Times New Roman" w:hAnsi="Times New Roman"/>
          <w:sz w:val="18"/>
          <w:szCs w:val="18"/>
          <w:color w:val="auto"/>
        </w:rPr>
        <w:t>”)) or other investment, or</w:t>
      </w:r>
    </w:p>
    <w:p>
      <w:pPr>
        <w:spacing w:after="0" w:line="127" w:lineRule="exact"/>
        <w:rPr>
          <w:sz w:val="20"/>
          <w:szCs w:val="20"/>
          <w:color w:val="auto"/>
        </w:rPr>
      </w:pPr>
    </w:p>
    <w:p>
      <w:pPr>
        <w:sectPr>
          <w:pgSz w:w="11900" w:h="16838" w:orient="portrait"/>
          <w:cols w:equalWidth="0" w:num="2">
            <w:col w:w="2480" w:space="720"/>
            <w:col w:w="7800"/>
          </w:cols>
          <w:pgMar w:left="440" w:top="378" w:right="4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B-1-8</w:t>
      </w:r>
    </w:p>
    <w:p>
      <w:pPr>
        <w:sectPr>
          <w:pgSz w:w="11900" w:h="16838" w:orient="portrait"/>
          <w:cols w:equalWidth="0" w:num="1">
            <w:col w:w="11000"/>
          </w:cols>
          <w:pgMar w:left="440" w:top="378" w:right="459" w:bottom="1440" w:gutter="0" w:footer="0" w:header="0"/>
          <w:type w:val="continuous"/>
        </w:sectPr>
      </w:pPr>
    </w:p>
    <w:bookmarkStart w:id="63" w:name="page64"/>
    <w:bookmarkEnd w:id="63"/>
    <w:p>
      <w:pPr>
        <w:ind w:left="320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receive any financial assistance or relief under any program or facility (collectively “</w:t>
      </w:r>
      <w:r>
        <w:rPr>
          <w:rFonts w:ascii="Times New Roman" w:cs="Times New Roman" w:eastAsia="Times New Roman" w:hAnsi="Times New Roman"/>
          <w:sz w:val="18"/>
          <w:szCs w:val="18"/>
          <w:b w:val="1"/>
          <w:bCs w:val="1"/>
          <w:i w:val="1"/>
          <w:iCs w:val="1"/>
          <w:color w:val="auto"/>
        </w:rPr>
        <w:t>Financial Assistance</w:t>
      </w:r>
      <w:r>
        <w:rPr>
          <w:rFonts w:ascii="Times New Roman" w:cs="Times New Roman" w:eastAsia="Times New Roman" w:hAnsi="Times New Roman"/>
          <w:sz w:val="18"/>
          <w:szCs w:val="18"/>
          <w:color w:val="auto"/>
        </w:rPr>
        <w:t>”) that (I) is established under applicable law (whether in existence as of the Trade Date or subsequently enacted, adopted or amended), including without limitation the CARES Act and the Federal Reserve Act, as amended, and (II) (X) requires under applicable law (or any regulation, guidance, interpretation or other pronouncement of a governmental authority with jurisdiction for such program or facility) as a condition of such Financial Assistance, that Counterparty comply with any requirement not to, or otherwise agree, attest, certify or warrant that it has not, as of the date specified in such condition, repurchased, or will not repurchase, any equity security of Issuer, and that it has not, as of the date specified in the condition, made a capital distribution or will make a capital distribution, or (Y) where the terms of the Transaction would cause Counterparty under any circumstance to fail to satisfy any condition for application for or receipt or retention of the Financial Assistance (collectively “</w:t>
      </w:r>
      <w:r>
        <w:rPr>
          <w:rFonts w:ascii="Times New Roman" w:cs="Times New Roman" w:eastAsia="Times New Roman" w:hAnsi="Times New Roman"/>
          <w:sz w:val="18"/>
          <w:szCs w:val="18"/>
          <w:b w:val="1"/>
          <w:bCs w:val="1"/>
          <w:i w:val="1"/>
          <w:iCs w:val="1"/>
          <w:color w:val="auto"/>
        </w:rPr>
        <w:t>Restricted Financial Assistance</w:t>
      </w:r>
      <w:r>
        <w:rPr>
          <w:rFonts w:ascii="Times New Roman" w:cs="Times New Roman" w:eastAsia="Times New Roman" w:hAnsi="Times New Roman"/>
          <w:sz w:val="18"/>
          <w:szCs w:val="18"/>
          <w:color w:val="auto"/>
        </w:rPr>
        <w:t>”), other than any such applications for Restricted Financial Assistance that were (or would be) made (x) determined based on the advice of outside counsel of national standing that the terms of the Transaction would not cause Counterparty to fail to satisfy any condition for application for or receipt or retention of such Financial Assistance based on the terms of the program or facility as of the date of such advice or (y) after delivery to Dealer evidence or other guidance from a governmental authority with jurisdiction for such program or facility that the Transaction is permitted under such program or facility (either by specific reference to the Transaction or by general reference to transactions with the attributes of the Transaction in all relevant respects).</w:t>
      </w:r>
    </w:p>
    <w:p>
      <w:pPr>
        <w:sectPr>
          <w:pgSz w:w="11900" w:h="16838" w:orient="portrait"/>
          <w:cols w:equalWidth="0" w:num="1">
            <w:col w:w="11000"/>
          </w:cols>
          <w:pgMar w:left="440" w:top="374" w:right="459" w:bottom="1440" w:gutter="0" w:footer="0" w:header="0"/>
        </w:sectPr>
      </w:pP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Physical Settlement: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Physical Settlement is applicable, then Counterparty shall deliver to Dealer through the Clearance System a number of Shares equal to the Settlement Shares for the related Settlement Date, and Dealer shall pay to Counterparty, by wire transfer of immediately available funds to an account designated by Counterparty, an amount equal to the Physical Settlement Amount for such Settlement Date, on a delivery versus payment basis. If, on any Settlement Date, the Shares to be delivered by Counterparty to Dealer hereunder are not so delivered (the “</w:t>
      </w:r>
      <w:r>
        <w:rPr>
          <w:rFonts w:ascii="Times New Roman" w:cs="Times New Roman" w:eastAsia="Times New Roman" w:hAnsi="Times New Roman"/>
          <w:sz w:val="18"/>
          <w:szCs w:val="18"/>
          <w:b w:val="1"/>
          <w:bCs w:val="1"/>
          <w:i w:val="1"/>
          <w:iCs w:val="1"/>
          <w:color w:val="auto"/>
        </w:rPr>
        <w:t>Deferred Shares</w:t>
      </w:r>
      <w:r>
        <w:rPr>
          <w:rFonts w:ascii="Times New Roman" w:cs="Times New Roman" w:eastAsia="Times New Roman" w:hAnsi="Times New Roman"/>
          <w:sz w:val="18"/>
          <w:szCs w:val="18"/>
          <w:color w:val="auto"/>
        </w:rPr>
        <w:t>”), and</w:t>
      </w:r>
    </w:p>
    <w:p>
      <w:pPr>
        <w:spacing w:after="0" w:line="120" w:lineRule="exact"/>
        <w:rPr>
          <w:sz w:val="20"/>
          <w:szCs w:val="20"/>
          <w:color w:val="auto"/>
        </w:rPr>
      </w:pPr>
    </w:p>
    <w:p>
      <w:pPr>
        <w:sectPr>
          <w:pgSz w:w="11900" w:h="16838" w:orient="portrait"/>
          <w:cols w:equalWidth="0" w:num="2">
            <w:col w:w="2480" w:space="720"/>
            <w:col w:w="7800"/>
          </w:cols>
          <w:pgMar w:left="440" w:top="374" w:right="4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B-1-9</w:t>
      </w:r>
    </w:p>
    <w:p>
      <w:pPr>
        <w:sectPr>
          <w:pgSz w:w="11900" w:h="16838" w:orient="portrait"/>
          <w:cols w:equalWidth="0" w:num="1">
            <w:col w:w="11000"/>
          </w:cols>
          <w:pgMar w:left="440" w:top="374" w:right="459" w:bottom="1440" w:gutter="0" w:footer="0" w:header="0"/>
          <w:type w:val="continuous"/>
        </w:sectPr>
      </w:pPr>
    </w:p>
    <w:bookmarkStart w:id="64" w:name="page65"/>
    <w:bookmarkEnd w:id="64"/>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8340" w:type="dxa"/>
            <w:vAlign w:val="bottom"/>
            <w:gridSpan w:val="9"/>
          </w:tcPr>
          <w:p>
            <w:pPr>
              <w:ind w:left="540"/>
              <w:spacing w:after="0"/>
              <w:rPr>
                <w:sz w:val="20"/>
                <w:szCs w:val="20"/>
                <w:color w:val="auto"/>
              </w:rPr>
            </w:pPr>
            <w:r>
              <w:rPr>
                <w:rFonts w:ascii="Times New Roman" w:cs="Times New Roman" w:eastAsia="Times New Roman" w:hAnsi="Times New Roman"/>
                <w:sz w:val="18"/>
                <w:szCs w:val="18"/>
                <w:color w:val="auto"/>
              </w:rPr>
              <w:t>a Forward Price Reduction Date occurs during the period from, and including, such Settlement Date to, but</w:t>
            </w:r>
          </w:p>
        </w:tc>
      </w:tr>
      <w:tr>
        <w:trPr>
          <w:trHeight w:val="216"/>
        </w:trPr>
        <w:tc>
          <w:tcPr>
            <w:tcW w:w="2660" w:type="dxa"/>
            <w:vAlign w:val="bottom"/>
          </w:tcPr>
          <w:p>
            <w:pPr>
              <w:spacing w:after="0"/>
              <w:rPr>
                <w:sz w:val="18"/>
                <w:szCs w:val="18"/>
                <w:color w:val="auto"/>
              </w:rPr>
            </w:pPr>
          </w:p>
        </w:tc>
        <w:tc>
          <w:tcPr>
            <w:tcW w:w="8340" w:type="dxa"/>
            <w:vAlign w:val="bottom"/>
            <w:gridSpan w:val="9"/>
          </w:tcPr>
          <w:p>
            <w:pPr>
              <w:ind w:left="540"/>
              <w:spacing w:after="0"/>
              <w:rPr>
                <w:sz w:val="20"/>
                <w:szCs w:val="20"/>
                <w:color w:val="auto"/>
              </w:rPr>
            </w:pPr>
            <w:r>
              <w:rPr>
                <w:rFonts w:ascii="Times New Roman" w:cs="Times New Roman" w:eastAsia="Times New Roman" w:hAnsi="Times New Roman"/>
                <w:sz w:val="18"/>
                <w:szCs w:val="18"/>
                <w:color w:val="auto"/>
              </w:rPr>
              <w:t>excluding, the date such Shares are actually delivered to Dealer, then the portion of the Physical Settlement</w:t>
            </w:r>
          </w:p>
        </w:tc>
      </w:tr>
      <w:tr>
        <w:trPr>
          <w:trHeight w:val="216"/>
        </w:trPr>
        <w:tc>
          <w:tcPr>
            <w:tcW w:w="2660" w:type="dxa"/>
            <w:vAlign w:val="bottom"/>
          </w:tcPr>
          <w:p>
            <w:pPr>
              <w:spacing w:after="0"/>
              <w:rPr>
                <w:sz w:val="18"/>
                <w:szCs w:val="18"/>
                <w:color w:val="auto"/>
              </w:rPr>
            </w:pPr>
          </w:p>
        </w:tc>
        <w:tc>
          <w:tcPr>
            <w:tcW w:w="8340" w:type="dxa"/>
            <w:vAlign w:val="bottom"/>
            <w:gridSpan w:val="9"/>
          </w:tcPr>
          <w:p>
            <w:pPr>
              <w:ind w:left="540"/>
              <w:spacing w:after="0"/>
              <w:rPr>
                <w:sz w:val="20"/>
                <w:szCs w:val="20"/>
                <w:color w:val="auto"/>
              </w:rPr>
            </w:pPr>
            <w:r>
              <w:rPr>
                <w:rFonts w:ascii="Times New Roman" w:cs="Times New Roman" w:eastAsia="Times New Roman" w:hAnsi="Times New Roman"/>
                <w:sz w:val="18"/>
                <w:szCs w:val="18"/>
                <w:color w:val="auto"/>
              </w:rPr>
              <w:t>Amount payable by Dealer to Counterparty in respect of the Deferred Shares shall be reduced by an amount</w:t>
            </w:r>
          </w:p>
        </w:tc>
      </w:tr>
      <w:tr>
        <w:trPr>
          <w:trHeight w:val="194"/>
        </w:trPr>
        <w:tc>
          <w:tcPr>
            <w:tcW w:w="2660" w:type="dxa"/>
            <w:vAlign w:val="bottom"/>
          </w:tcPr>
          <w:p>
            <w:pPr>
              <w:spacing w:after="0"/>
              <w:rPr>
                <w:sz w:val="16"/>
                <w:szCs w:val="16"/>
                <w:color w:val="auto"/>
              </w:rPr>
            </w:pPr>
          </w:p>
        </w:tc>
        <w:tc>
          <w:tcPr>
            <w:tcW w:w="8340" w:type="dxa"/>
            <w:vAlign w:val="bottom"/>
            <w:gridSpan w:val="9"/>
          </w:tcPr>
          <w:p>
            <w:pPr>
              <w:ind w:left="540"/>
              <w:spacing w:after="0" w:line="194" w:lineRule="exact"/>
              <w:rPr>
                <w:sz w:val="20"/>
                <w:szCs w:val="20"/>
                <w:color w:val="auto"/>
              </w:rPr>
            </w:pPr>
            <w:r>
              <w:rPr>
                <w:rFonts w:ascii="Times New Roman" w:cs="Times New Roman" w:eastAsia="Times New Roman" w:hAnsi="Times New Roman"/>
                <w:sz w:val="18"/>
                <w:szCs w:val="18"/>
                <w:color w:val="auto"/>
              </w:rPr>
              <w:t>equal to the Forward Price Reduction Amount for such Forward Price Reduction Date, multiplied by the</w:t>
            </w:r>
          </w:p>
        </w:tc>
      </w:tr>
      <w:tr>
        <w:trPr>
          <w:trHeight w:val="237"/>
        </w:trPr>
        <w:tc>
          <w:tcPr>
            <w:tcW w:w="2660" w:type="dxa"/>
            <w:vAlign w:val="bottom"/>
          </w:tcPr>
          <w:p>
            <w:pPr>
              <w:spacing w:after="0"/>
              <w:rPr>
                <w:sz w:val="20"/>
                <w:szCs w:val="20"/>
                <w:color w:val="auto"/>
              </w:rPr>
            </w:pPr>
          </w:p>
        </w:tc>
        <w:tc>
          <w:tcPr>
            <w:tcW w:w="6820" w:type="dxa"/>
            <w:vAlign w:val="bottom"/>
            <w:gridSpan w:val="7"/>
          </w:tcPr>
          <w:p>
            <w:pPr>
              <w:ind w:left="540"/>
              <w:spacing w:after="0"/>
              <w:rPr>
                <w:sz w:val="20"/>
                <w:szCs w:val="20"/>
                <w:color w:val="auto"/>
              </w:rPr>
            </w:pPr>
            <w:r>
              <w:rPr>
                <w:rFonts w:ascii="Times New Roman" w:cs="Times New Roman" w:eastAsia="Times New Roman" w:hAnsi="Times New Roman"/>
                <w:sz w:val="18"/>
                <w:szCs w:val="18"/>
                <w:color w:val="auto"/>
              </w:rPr>
              <w:t>number of Deferred Shares.</w:t>
            </w:r>
          </w:p>
        </w:tc>
        <w:tc>
          <w:tcPr>
            <w:tcW w:w="96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r>
      <w:tr>
        <w:trPr>
          <w:trHeight w:val="30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Physical Settlement Amount:</w:t>
            </w:r>
          </w:p>
        </w:tc>
        <w:tc>
          <w:tcPr>
            <w:tcW w:w="8340" w:type="dxa"/>
            <w:vAlign w:val="bottom"/>
            <w:gridSpan w:val="9"/>
          </w:tcPr>
          <w:p>
            <w:pPr>
              <w:ind w:left="540"/>
              <w:spacing w:after="0"/>
              <w:rPr>
                <w:sz w:val="20"/>
                <w:szCs w:val="20"/>
                <w:color w:val="auto"/>
              </w:rPr>
            </w:pPr>
            <w:r>
              <w:rPr>
                <w:rFonts w:ascii="Times New Roman" w:cs="Times New Roman" w:eastAsia="Times New Roman" w:hAnsi="Times New Roman"/>
                <w:sz w:val="18"/>
                <w:szCs w:val="18"/>
                <w:color w:val="auto"/>
                <w:w w:val="99"/>
              </w:rPr>
              <w:t>For any Settlement Date for which Physical Settlement is applicable, an amount in cash equal to the product</w:t>
            </w:r>
          </w:p>
        </w:tc>
      </w:tr>
      <w:tr>
        <w:trPr>
          <w:trHeight w:val="194"/>
        </w:trPr>
        <w:tc>
          <w:tcPr>
            <w:tcW w:w="2660" w:type="dxa"/>
            <w:vAlign w:val="bottom"/>
          </w:tcPr>
          <w:p>
            <w:pPr>
              <w:spacing w:after="0"/>
              <w:rPr>
                <w:sz w:val="16"/>
                <w:szCs w:val="16"/>
                <w:color w:val="auto"/>
              </w:rPr>
            </w:pPr>
          </w:p>
        </w:tc>
        <w:tc>
          <w:tcPr>
            <w:tcW w:w="8340" w:type="dxa"/>
            <w:vAlign w:val="bottom"/>
            <w:gridSpan w:val="9"/>
          </w:tcPr>
          <w:p>
            <w:pPr>
              <w:ind w:left="540"/>
              <w:spacing w:after="0" w:line="194" w:lineRule="exact"/>
              <w:rPr>
                <w:sz w:val="20"/>
                <w:szCs w:val="20"/>
                <w:color w:val="auto"/>
              </w:rPr>
            </w:pPr>
            <w:r>
              <w:rPr>
                <w:rFonts w:ascii="Times New Roman" w:cs="Times New Roman" w:eastAsia="Times New Roman" w:hAnsi="Times New Roman"/>
                <w:sz w:val="18"/>
                <w:szCs w:val="18"/>
                <w:color w:val="auto"/>
                <w:w w:val="99"/>
              </w:rPr>
              <w:t>of (a) the Forward Price in effect on the relevant Settlement Date multiplied by (b) the Settlement Shares for</w:t>
            </w:r>
          </w:p>
        </w:tc>
      </w:tr>
      <w:tr>
        <w:trPr>
          <w:trHeight w:val="237"/>
        </w:trPr>
        <w:tc>
          <w:tcPr>
            <w:tcW w:w="2660" w:type="dxa"/>
            <w:vAlign w:val="bottom"/>
          </w:tcPr>
          <w:p>
            <w:pPr>
              <w:spacing w:after="0"/>
              <w:rPr>
                <w:sz w:val="20"/>
                <w:szCs w:val="20"/>
                <w:color w:val="auto"/>
              </w:rPr>
            </w:pPr>
          </w:p>
        </w:tc>
        <w:tc>
          <w:tcPr>
            <w:tcW w:w="526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such Settlement Date.</w:t>
            </w:r>
          </w:p>
        </w:tc>
        <w:tc>
          <w:tcPr>
            <w:tcW w:w="960" w:type="dxa"/>
            <w:vAlign w:val="bottom"/>
            <w:tcBorders>
              <w:top w:val="single" w:sz="8" w:color="auto"/>
            </w:tcBorders>
          </w:tcPr>
          <w:p>
            <w:pPr>
              <w:spacing w:after="0"/>
              <w:rPr>
                <w:sz w:val="20"/>
                <w:szCs w:val="20"/>
                <w:color w:val="auto"/>
              </w:rPr>
            </w:pPr>
          </w:p>
        </w:tc>
        <w:tc>
          <w:tcPr>
            <w:tcW w:w="2120" w:type="dxa"/>
            <w:vAlign w:val="bottom"/>
            <w:gridSpan w:val="3"/>
          </w:tcPr>
          <w:p>
            <w:pPr>
              <w:spacing w:after="0"/>
              <w:rPr>
                <w:sz w:val="20"/>
                <w:szCs w:val="20"/>
                <w:color w:val="auto"/>
              </w:rPr>
            </w:pPr>
          </w:p>
        </w:tc>
      </w:tr>
      <w:tr>
        <w:trPr>
          <w:trHeight w:val="30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Cash Settlement:</w:t>
            </w:r>
          </w:p>
        </w:tc>
        <w:tc>
          <w:tcPr>
            <w:tcW w:w="8340" w:type="dxa"/>
            <w:vAlign w:val="bottom"/>
            <w:gridSpan w:val="9"/>
          </w:tcPr>
          <w:p>
            <w:pPr>
              <w:ind w:left="540"/>
              <w:spacing w:after="0"/>
              <w:rPr>
                <w:sz w:val="20"/>
                <w:szCs w:val="20"/>
                <w:color w:val="auto"/>
              </w:rPr>
            </w:pPr>
            <w:r>
              <w:rPr>
                <w:rFonts w:ascii="Times New Roman" w:cs="Times New Roman" w:eastAsia="Times New Roman" w:hAnsi="Times New Roman"/>
                <w:sz w:val="18"/>
                <w:szCs w:val="18"/>
                <w:color w:val="auto"/>
              </w:rPr>
              <w:t>On any Settlement Date in respect of which Cash Settlement applies, (i) if the Cash Settlement Amount is a</w:t>
            </w:r>
          </w:p>
        </w:tc>
      </w:tr>
      <w:tr>
        <w:trPr>
          <w:trHeight w:val="216"/>
        </w:trPr>
        <w:tc>
          <w:tcPr>
            <w:tcW w:w="2660" w:type="dxa"/>
            <w:vAlign w:val="bottom"/>
          </w:tcPr>
          <w:p>
            <w:pPr>
              <w:spacing w:after="0"/>
              <w:rPr>
                <w:sz w:val="18"/>
                <w:szCs w:val="18"/>
                <w:color w:val="auto"/>
              </w:rPr>
            </w:pPr>
          </w:p>
        </w:tc>
        <w:tc>
          <w:tcPr>
            <w:tcW w:w="8340" w:type="dxa"/>
            <w:vAlign w:val="bottom"/>
            <w:gridSpan w:val="9"/>
          </w:tcPr>
          <w:p>
            <w:pPr>
              <w:ind w:left="540"/>
              <w:spacing w:after="0"/>
              <w:rPr>
                <w:sz w:val="20"/>
                <w:szCs w:val="20"/>
                <w:color w:val="auto"/>
              </w:rPr>
            </w:pPr>
            <w:r>
              <w:rPr>
                <w:rFonts w:ascii="Times New Roman" w:cs="Times New Roman" w:eastAsia="Times New Roman" w:hAnsi="Times New Roman"/>
                <w:sz w:val="18"/>
                <w:szCs w:val="18"/>
                <w:color w:val="auto"/>
              </w:rPr>
              <w:t>positive number, Dealer will pay the Cash Settlement Amount to Counterparty, and (ii) if the Cash</w:t>
            </w:r>
          </w:p>
        </w:tc>
      </w:tr>
      <w:tr>
        <w:trPr>
          <w:trHeight w:val="216"/>
        </w:trPr>
        <w:tc>
          <w:tcPr>
            <w:tcW w:w="2660" w:type="dxa"/>
            <w:vAlign w:val="bottom"/>
          </w:tcPr>
          <w:p>
            <w:pPr>
              <w:spacing w:after="0"/>
              <w:rPr>
                <w:sz w:val="18"/>
                <w:szCs w:val="18"/>
                <w:color w:val="auto"/>
              </w:rPr>
            </w:pPr>
          </w:p>
        </w:tc>
        <w:tc>
          <w:tcPr>
            <w:tcW w:w="8340" w:type="dxa"/>
            <w:vAlign w:val="bottom"/>
            <w:gridSpan w:val="9"/>
          </w:tcPr>
          <w:p>
            <w:pPr>
              <w:ind w:left="540"/>
              <w:spacing w:after="0"/>
              <w:rPr>
                <w:sz w:val="20"/>
                <w:szCs w:val="20"/>
                <w:color w:val="auto"/>
              </w:rPr>
            </w:pPr>
            <w:r>
              <w:rPr>
                <w:rFonts w:ascii="Times New Roman" w:cs="Times New Roman" w:eastAsia="Times New Roman" w:hAnsi="Times New Roman"/>
                <w:sz w:val="18"/>
                <w:szCs w:val="18"/>
                <w:color w:val="auto"/>
              </w:rPr>
              <w:t>Settlement Amount is a negative number, Counterparty will pay the absolute value of the Cash Settlement</w:t>
            </w:r>
          </w:p>
        </w:tc>
      </w:tr>
      <w:tr>
        <w:trPr>
          <w:trHeight w:val="216"/>
        </w:trPr>
        <w:tc>
          <w:tcPr>
            <w:tcW w:w="2660" w:type="dxa"/>
            <w:vAlign w:val="bottom"/>
          </w:tcPr>
          <w:p>
            <w:pPr>
              <w:spacing w:after="0"/>
              <w:rPr>
                <w:sz w:val="18"/>
                <w:szCs w:val="18"/>
                <w:color w:val="auto"/>
              </w:rPr>
            </w:pPr>
          </w:p>
        </w:tc>
        <w:tc>
          <w:tcPr>
            <w:tcW w:w="8340" w:type="dxa"/>
            <w:vAlign w:val="bottom"/>
            <w:gridSpan w:val="9"/>
          </w:tcPr>
          <w:p>
            <w:pPr>
              <w:ind w:left="540"/>
              <w:spacing w:after="0"/>
              <w:rPr>
                <w:sz w:val="20"/>
                <w:szCs w:val="20"/>
                <w:color w:val="auto"/>
              </w:rPr>
            </w:pPr>
            <w:r>
              <w:rPr>
                <w:rFonts w:ascii="Times New Roman" w:cs="Times New Roman" w:eastAsia="Times New Roman" w:hAnsi="Times New Roman"/>
                <w:sz w:val="18"/>
                <w:szCs w:val="18"/>
                <w:color w:val="auto"/>
              </w:rPr>
              <w:t>Amount to Dealer. Such amounts shall be paid on such Settlement Date by wire transfer of immediately</w:t>
            </w:r>
          </w:p>
        </w:tc>
      </w:tr>
      <w:tr>
        <w:trPr>
          <w:trHeight w:val="234"/>
        </w:trPr>
        <w:tc>
          <w:tcPr>
            <w:tcW w:w="2660" w:type="dxa"/>
            <w:vAlign w:val="bottom"/>
          </w:tcPr>
          <w:p>
            <w:pPr>
              <w:spacing w:after="0"/>
              <w:rPr>
                <w:sz w:val="20"/>
                <w:szCs w:val="20"/>
                <w:color w:val="auto"/>
              </w:rPr>
            </w:pPr>
          </w:p>
        </w:tc>
        <w:tc>
          <w:tcPr>
            <w:tcW w:w="8340" w:type="dxa"/>
            <w:vAlign w:val="bottom"/>
            <w:gridSpan w:val="9"/>
          </w:tcPr>
          <w:p>
            <w:pPr>
              <w:ind w:left="540"/>
              <w:spacing w:after="0"/>
              <w:rPr>
                <w:sz w:val="20"/>
                <w:szCs w:val="20"/>
                <w:color w:val="auto"/>
              </w:rPr>
            </w:pPr>
            <w:r>
              <w:rPr>
                <w:rFonts w:ascii="Times New Roman" w:cs="Times New Roman" w:eastAsia="Times New Roman" w:hAnsi="Times New Roman"/>
                <w:sz w:val="18"/>
                <w:szCs w:val="18"/>
                <w:color w:val="auto"/>
              </w:rPr>
              <w:t>available funds to an account designated by the relevant party.</w:t>
            </w:r>
          </w:p>
        </w:tc>
      </w:tr>
      <w:tr>
        <w:trPr>
          <w:trHeight w:val="32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Cash Settlement Amount:</w:t>
            </w:r>
          </w:p>
        </w:tc>
        <w:tc>
          <w:tcPr>
            <w:tcW w:w="8340" w:type="dxa"/>
            <w:vAlign w:val="bottom"/>
            <w:gridSpan w:val="9"/>
          </w:tcPr>
          <w:p>
            <w:pPr>
              <w:ind w:left="540"/>
              <w:spacing w:after="0"/>
              <w:rPr>
                <w:sz w:val="20"/>
                <w:szCs w:val="20"/>
                <w:color w:val="auto"/>
              </w:rPr>
            </w:pPr>
            <w:r>
              <w:rPr>
                <w:rFonts w:ascii="Times New Roman" w:cs="Times New Roman" w:eastAsia="Times New Roman" w:hAnsi="Times New Roman"/>
                <w:sz w:val="18"/>
                <w:szCs w:val="18"/>
                <w:color w:val="auto"/>
              </w:rPr>
              <w:t>An amount determined by the Calculation Agent equal to:</w:t>
            </w:r>
          </w:p>
        </w:tc>
      </w:tr>
      <w:tr>
        <w:trPr>
          <w:trHeight w:val="306"/>
        </w:trPr>
        <w:tc>
          <w:tcPr>
            <w:tcW w:w="2660" w:type="dxa"/>
            <w:vAlign w:val="bottom"/>
          </w:tcPr>
          <w:p>
            <w:pPr>
              <w:spacing w:after="0"/>
              <w:rPr>
                <w:sz w:val="24"/>
                <w:szCs w:val="24"/>
                <w:color w:val="auto"/>
              </w:rPr>
            </w:pPr>
          </w:p>
        </w:tc>
        <w:tc>
          <w:tcPr>
            <w:tcW w:w="8340" w:type="dxa"/>
            <w:vAlign w:val="bottom"/>
            <w:gridSpan w:val="9"/>
          </w:tcPr>
          <w:p>
            <w:pPr>
              <w:ind w:left="540"/>
              <w:spacing w:after="0"/>
              <w:rPr>
                <w:sz w:val="20"/>
                <w:szCs w:val="20"/>
                <w:color w:val="auto"/>
              </w:rPr>
            </w:pPr>
            <w:r>
              <w:rPr>
                <w:rFonts w:ascii="Times New Roman" w:cs="Times New Roman" w:eastAsia="Times New Roman" w:hAnsi="Times New Roman"/>
                <w:sz w:val="18"/>
                <w:szCs w:val="18"/>
                <w:color w:val="auto"/>
              </w:rPr>
              <w:t>(a)  (i)(A) the weighted average (weighted on the same basis as clause (B)) of the Forward Prices on each</w:t>
            </w:r>
          </w:p>
        </w:tc>
      </w:tr>
      <w:tr>
        <w:trPr>
          <w:trHeight w:val="216"/>
        </w:trPr>
        <w:tc>
          <w:tcPr>
            <w:tcW w:w="2660" w:type="dxa"/>
            <w:vAlign w:val="bottom"/>
          </w:tcPr>
          <w:p>
            <w:pPr>
              <w:spacing w:after="0"/>
              <w:rPr>
                <w:sz w:val="18"/>
                <w:szCs w:val="18"/>
                <w:color w:val="auto"/>
              </w:rPr>
            </w:pPr>
          </w:p>
        </w:tc>
        <w:tc>
          <w:tcPr>
            <w:tcW w:w="8340" w:type="dxa"/>
            <w:vAlign w:val="bottom"/>
            <w:gridSpan w:val="9"/>
          </w:tcPr>
          <w:p>
            <w:pPr>
              <w:ind w:left="900"/>
              <w:spacing w:after="0"/>
              <w:rPr>
                <w:sz w:val="20"/>
                <w:szCs w:val="20"/>
                <w:color w:val="auto"/>
              </w:rPr>
            </w:pPr>
            <w:r>
              <w:rPr>
                <w:rFonts w:ascii="Times New Roman" w:cs="Times New Roman" w:eastAsia="Times New Roman" w:hAnsi="Times New Roman"/>
                <w:sz w:val="18"/>
                <w:szCs w:val="18"/>
                <w:color w:val="auto"/>
              </w:rPr>
              <w:t>day during the applicable Unwind Period (calculated assuming no reduction to the Forward Price for</w:t>
            </w:r>
          </w:p>
        </w:tc>
      </w:tr>
      <w:tr>
        <w:trPr>
          <w:trHeight w:val="216"/>
        </w:trPr>
        <w:tc>
          <w:tcPr>
            <w:tcW w:w="2660" w:type="dxa"/>
            <w:vAlign w:val="bottom"/>
          </w:tcPr>
          <w:p>
            <w:pPr>
              <w:spacing w:after="0"/>
              <w:rPr>
                <w:sz w:val="18"/>
                <w:szCs w:val="18"/>
                <w:color w:val="auto"/>
              </w:rPr>
            </w:pPr>
          </w:p>
        </w:tc>
        <w:tc>
          <w:tcPr>
            <w:tcW w:w="8340" w:type="dxa"/>
            <w:vAlign w:val="bottom"/>
            <w:gridSpan w:val="9"/>
          </w:tcPr>
          <w:p>
            <w:pPr>
              <w:ind w:left="900"/>
              <w:spacing w:after="0"/>
              <w:rPr>
                <w:sz w:val="20"/>
                <w:szCs w:val="20"/>
                <w:color w:val="auto"/>
              </w:rPr>
            </w:pPr>
            <w:r>
              <w:rPr>
                <w:rFonts w:ascii="Times New Roman" w:cs="Times New Roman" w:eastAsia="Times New Roman" w:hAnsi="Times New Roman"/>
                <w:sz w:val="18"/>
                <w:szCs w:val="18"/>
                <w:color w:val="auto"/>
              </w:rPr>
              <w:t>any Forward Price Reduction Date that occurs during such Unwind Period, which is accounted for in</w:t>
            </w:r>
          </w:p>
        </w:tc>
      </w:tr>
      <w:tr>
        <w:trPr>
          <w:trHeight w:val="194"/>
        </w:trPr>
        <w:tc>
          <w:tcPr>
            <w:tcW w:w="2660" w:type="dxa"/>
            <w:vAlign w:val="bottom"/>
          </w:tcPr>
          <w:p>
            <w:pPr>
              <w:spacing w:after="0"/>
              <w:rPr>
                <w:sz w:val="16"/>
                <w:szCs w:val="16"/>
                <w:color w:val="auto"/>
              </w:rPr>
            </w:pPr>
          </w:p>
        </w:tc>
        <w:tc>
          <w:tcPr>
            <w:tcW w:w="8340" w:type="dxa"/>
            <w:vAlign w:val="bottom"/>
            <w:gridSpan w:val="9"/>
          </w:tcPr>
          <w:p>
            <w:pPr>
              <w:ind w:left="900"/>
              <w:spacing w:after="0" w:line="194" w:lineRule="exact"/>
              <w:rPr>
                <w:sz w:val="20"/>
                <w:szCs w:val="20"/>
                <w:color w:val="auto"/>
              </w:rPr>
            </w:pPr>
            <w:r>
              <w:rPr>
                <w:rFonts w:ascii="Times New Roman" w:cs="Times New Roman" w:eastAsia="Times New Roman" w:hAnsi="Times New Roman"/>
                <w:sz w:val="18"/>
                <w:szCs w:val="18"/>
                <w:color w:val="auto"/>
                <w:w w:val="99"/>
              </w:rPr>
              <w:t>clause (b) below), minus a commercially reasonable commission related to Dealer’s purchase of Shares</w:t>
            </w:r>
          </w:p>
        </w:tc>
      </w:tr>
      <w:tr>
        <w:trPr>
          <w:trHeight w:val="20"/>
        </w:trPr>
        <w:tc>
          <w:tcPr>
            <w:tcW w:w="26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r>
      <w:tr>
        <w:trPr>
          <w:trHeight w:val="214"/>
        </w:trPr>
        <w:tc>
          <w:tcPr>
            <w:tcW w:w="2660" w:type="dxa"/>
            <w:vAlign w:val="bottom"/>
          </w:tcPr>
          <w:p>
            <w:pPr>
              <w:spacing w:after="0"/>
              <w:rPr>
                <w:sz w:val="18"/>
                <w:szCs w:val="18"/>
                <w:color w:val="auto"/>
              </w:rPr>
            </w:pPr>
          </w:p>
        </w:tc>
        <w:tc>
          <w:tcPr>
            <w:tcW w:w="8340" w:type="dxa"/>
            <w:vAlign w:val="bottom"/>
            <w:gridSpan w:val="9"/>
          </w:tcPr>
          <w:p>
            <w:pPr>
              <w:ind w:left="900"/>
              <w:spacing w:after="0"/>
              <w:rPr>
                <w:sz w:val="20"/>
                <w:szCs w:val="20"/>
                <w:color w:val="auto"/>
              </w:rPr>
            </w:pPr>
            <w:r>
              <w:rPr>
                <w:rFonts w:ascii="Times New Roman" w:cs="Times New Roman" w:eastAsia="Times New Roman" w:hAnsi="Times New Roman"/>
                <w:sz w:val="18"/>
                <w:szCs w:val="18"/>
                <w:color w:val="auto"/>
              </w:rPr>
              <w:t>in connection with the unwind of its commercially reasonable hedge position, to repurchase each</w:t>
            </w:r>
          </w:p>
        </w:tc>
      </w:tr>
      <w:tr>
        <w:trPr>
          <w:trHeight w:val="198"/>
        </w:trPr>
        <w:tc>
          <w:tcPr>
            <w:tcW w:w="2660" w:type="dxa"/>
            <w:vAlign w:val="bottom"/>
          </w:tcPr>
          <w:p>
            <w:pPr>
              <w:spacing w:after="0"/>
              <w:rPr>
                <w:sz w:val="17"/>
                <w:szCs w:val="17"/>
                <w:color w:val="auto"/>
              </w:rPr>
            </w:pPr>
          </w:p>
        </w:tc>
        <w:tc>
          <w:tcPr>
            <w:tcW w:w="8340" w:type="dxa"/>
            <w:vAlign w:val="bottom"/>
            <w:gridSpan w:val="9"/>
          </w:tcPr>
          <w:p>
            <w:pPr>
              <w:ind w:left="900"/>
              <w:spacing w:after="0" w:line="198" w:lineRule="exact"/>
              <w:rPr>
                <w:sz w:val="20"/>
                <w:szCs w:val="20"/>
                <w:color w:val="auto"/>
              </w:rPr>
            </w:pPr>
            <w:r>
              <w:rPr>
                <w:rFonts w:ascii="Times New Roman" w:cs="Times New Roman" w:eastAsia="Times New Roman" w:hAnsi="Times New Roman"/>
                <w:sz w:val="18"/>
                <w:szCs w:val="18"/>
                <w:color w:val="auto"/>
              </w:rPr>
              <w:t>Settlement Share, not to exceed USD 0.02, minus (B) the weighted average price (the “</w:t>
            </w:r>
            <w:r>
              <w:rPr>
                <w:rFonts w:ascii="Times New Roman" w:cs="Times New Roman" w:eastAsia="Times New Roman" w:hAnsi="Times New Roman"/>
                <w:sz w:val="18"/>
                <w:szCs w:val="18"/>
                <w:b w:val="1"/>
                <w:bCs w:val="1"/>
                <w:i w:val="1"/>
                <w:iCs w:val="1"/>
                <w:color w:val="auto"/>
              </w:rPr>
              <w:t>Unwind</w:t>
            </w:r>
          </w:p>
        </w:tc>
      </w:tr>
      <w:tr>
        <w:trPr>
          <w:trHeight w:val="20"/>
        </w:trPr>
        <w:tc>
          <w:tcPr>
            <w:tcW w:w="2660" w:type="dxa"/>
            <w:vAlign w:val="bottom"/>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r>
      <w:tr>
        <w:trPr>
          <w:trHeight w:val="218"/>
        </w:trPr>
        <w:tc>
          <w:tcPr>
            <w:tcW w:w="2660" w:type="dxa"/>
            <w:vAlign w:val="bottom"/>
          </w:tcPr>
          <w:p>
            <w:pPr>
              <w:spacing w:after="0"/>
              <w:rPr>
                <w:sz w:val="18"/>
                <w:szCs w:val="18"/>
                <w:color w:val="auto"/>
              </w:rPr>
            </w:pPr>
          </w:p>
        </w:tc>
        <w:tc>
          <w:tcPr>
            <w:tcW w:w="8340" w:type="dxa"/>
            <w:vAlign w:val="bottom"/>
            <w:gridSpan w:val="9"/>
          </w:tcPr>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 at which Dealer purchases Shares during the Unwind Period to unwind its hedge</w:t>
            </w:r>
          </w:p>
        </w:tc>
      </w:tr>
      <w:tr>
        <w:trPr>
          <w:trHeight w:val="216"/>
        </w:trPr>
        <w:tc>
          <w:tcPr>
            <w:tcW w:w="2660" w:type="dxa"/>
            <w:vAlign w:val="bottom"/>
          </w:tcPr>
          <w:p>
            <w:pPr>
              <w:spacing w:after="0"/>
              <w:rPr>
                <w:sz w:val="18"/>
                <w:szCs w:val="18"/>
                <w:color w:val="auto"/>
              </w:rPr>
            </w:pPr>
          </w:p>
        </w:tc>
        <w:tc>
          <w:tcPr>
            <w:tcW w:w="8340" w:type="dxa"/>
            <w:vAlign w:val="bottom"/>
            <w:gridSpan w:val="9"/>
          </w:tcPr>
          <w:p>
            <w:pPr>
              <w:ind w:left="900"/>
              <w:spacing w:after="0"/>
              <w:rPr>
                <w:sz w:val="20"/>
                <w:szCs w:val="20"/>
                <w:color w:val="auto"/>
              </w:rPr>
            </w:pPr>
            <w:r>
              <w:rPr>
                <w:rFonts w:ascii="Times New Roman" w:cs="Times New Roman" w:eastAsia="Times New Roman" w:hAnsi="Times New Roman"/>
                <w:sz w:val="18"/>
                <w:szCs w:val="18"/>
                <w:color w:val="auto"/>
              </w:rPr>
              <w:t>with respect to the portion of the Number of Shares to be settled during the Unwind Period (including,</w:t>
            </w:r>
          </w:p>
        </w:tc>
      </w:tr>
      <w:tr>
        <w:trPr>
          <w:trHeight w:val="216"/>
        </w:trPr>
        <w:tc>
          <w:tcPr>
            <w:tcW w:w="2660" w:type="dxa"/>
            <w:vAlign w:val="bottom"/>
          </w:tcPr>
          <w:p>
            <w:pPr>
              <w:spacing w:after="0"/>
              <w:rPr>
                <w:sz w:val="18"/>
                <w:szCs w:val="18"/>
                <w:color w:val="auto"/>
              </w:rPr>
            </w:pPr>
          </w:p>
        </w:tc>
        <w:tc>
          <w:tcPr>
            <w:tcW w:w="8340" w:type="dxa"/>
            <w:vAlign w:val="bottom"/>
            <w:gridSpan w:val="9"/>
          </w:tcPr>
          <w:p>
            <w:pPr>
              <w:ind w:left="900"/>
              <w:spacing w:after="0"/>
              <w:rPr>
                <w:sz w:val="20"/>
                <w:szCs w:val="20"/>
                <w:color w:val="auto"/>
              </w:rPr>
            </w:pPr>
            <w:r>
              <w:rPr>
                <w:rFonts w:ascii="Times New Roman" w:cs="Times New Roman" w:eastAsia="Times New Roman" w:hAnsi="Times New Roman"/>
                <w:sz w:val="18"/>
                <w:szCs w:val="18"/>
                <w:color w:val="auto"/>
              </w:rPr>
              <w:t>for the avoidance of doubt, purchases on any Disrupted Day in part) assuming Dealer has a</w:t>
            </w:r>
          </w:p>
        </w:tc>
      </w:tr>
      <w:tr>
        <w:trPr>
          <w:trHeight w:val="234"/>
        </w:trPr>
        <w:tc>
          <w:tcPr>
            <w:tcW w:w="2660" w:type="dxa"/>
            <w:vAlign w:val="bottom"/>
          </w:tcPr>
          <w:p>
            <w:pPr>
              <w:spacing w:after="0"/>
              <w:rPr>
                <w:sz w:val="20"/>
                <w:szCs w:val="20"/>
                <w:color w:val="auto"/>
              </w:rPr>
            </w:pPr>
          </w:p>
        </w:tc>
        <w:tc>
          <w:tcPr>
            <w:tcW w:w="8340" w:type="dxa"/>
            <w:vAlign w:val="bottom"/>
            <w:gridSpan w:val="9"/>
          </w:tcPr>
          <w:p>
            <w:pPr>
              <w:ind w:left="900"/>
              <w:spacing w:after="0"/>
              <w:rPr>
                <w:sz w:val="20"/>
                <w:szCs w:val="20"/>
                <w:color w:val="auto"/>
              </w:rPr>
            </w:pPr>
            <w:r>
              <w:rPr>
                <w:rFonts w:ascii="Times New Roman" w:cs="Times New Roman" w:eastAsia="Times New Roman" w:hAnsi="Times New Roman"/>
                <w:sz w:val="18"/>
                <w:szCs w:val="18"/>
                <w:color w:val="auto"/>
              </w:rPr>
              <w:t>commercially reasonable hedge position and is purchasing Shares in a commercially reasonable</w:t>
            </w:r>
          </w:p>
        </w:tc>
      </w:tr>
      <w:tr>
        <w:trPr>
          <w:trHeight w:val="364"/>
        </w:trPr>
        <w:tc>
          <w:tcPr>
            <w:tcW w:w="26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100" w:type="dxa"/>
            <w:vAlign w:val="bottom"/>
            <w:gridSpan w:val="8"/>
          </w:tcPr>
          <w:p>
            <w:pPr>
              <w:ind w:left="340"/>
              <w:spacing w:after="0"/>
              <w:rPr>
                <w:sz w:val="20"/>
                <w:szCs w:val="20"/>
                <w:color w:val="auto"/>
              </w:rPr>
            </w:pPr>
            <w:r>
              <w:rPr>
                <w:rFonts w:ascii="Times New Roman" w:cs="Times New Roman" w:eastAsia="Times New Roman" w:hAnsi="Times New Roman"/>
                <w:sz w:val="18"/>
                <w:szCs w:val="18"/>
                <w:color w:val="auto"/>
              </w:rPr>
              <w:t>B-1-10</w:t>
            </w:r>
          </w:p>
        </w:tc>
      </w:tr>
    </w:tbl>
    <w:p>
      <w:pPr>
        <w:ind w:left="340"/>
        <w:spacing w:after="0"/>
        <w:rPr>
          <w:sz w:val="20"/>
          <w:szCs w:val="20"/>
          <w:color w:val="auto"/>
        </w:rPr>
        <w:sectPr>
          <w:pgSz w:w="11900" w:h="16838" w:orient="portrait"/>
          <w:cols w:equalWidth="0" w:num="1">
            <w:col w:w="11000"/>
          </w:cols>
          <w:pgMar w:left="440" w:top="378" w:right="45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65" w:name="page66"/>
    <w:bookmarkEnd w:id="65"/>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836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manner at prices that reflect prevailing market prices for the Shares, taking into account</w:t>
            </w:r>
          </w:p>
        </w:tc>
      </w:tr>
      <w:tr>
        <w:trPr>
          <w:trHeight w:val="216"/>
        </w:trPr>
        <w:tc>
          <w:tcPr>
            <w:tcW w:w="2640" w:type="dxa"/>
            <w:vAlign w:val="bottom"/>
          </w:tcPr>
          <w:p>
            <w:pPr>
              <w:spacing w:after="0"/>
              <w:rPr>
                <w:sz w:val="18"/>
                <w:szCs w:val="18"/>
                <w:color w:val="auto"/>
              </w:rPr>
            </w:pPr>
          </w:p>
        </w:tc>
        <w:tc>
          <w:tcPr>
            <w:tcW w:w="836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Shares anticipated to be delivered or received if Net Share Settlement applies, and the</w:t>
            </w:r>
          </w:p>
        </w:tc>
      </w:tr>
      <w:tr>
        <w:trPr>
          <w:trHeight w:val="194"/>
        </w:trPr>
        <w:tc>
          <w:tcPr>
            <w:tcW w:w="2640" w:type="dxa"/>
            <w:vAlign w:val="bottom"/>
          </w:tcPr>
          <w:p>
            <w:pPr>
              <w:spacing w:after="0"/>
              <w:rPr>
                <w:sz w:val="16"/>
                <w:szCs w:val="16"/>
                <w:color w:val="auto"/>
              </w:rPr>
            </w:pPr>
          </w:p>
        </w:tc>
        <w:tc>
          <w:tcPr>
            <w:tcW w:w="8360" w:type="dxa"/>
            <w:vAlign w:val="bottom"/>
            <w:gridSpan w:val="5"/>
          </w:tcPr>
          <w:p>
            <w:pPr>
              <w:ind w:left="560"/>
              <w:spacing w:after="0" w:line="194" w:lineRule="exact"/>
              <w:rPr>
                <w:sz w:val="20"/>
                <w:szCs w:val="20"/>
                <w:color w:val="auto"/>
              </w:rPr>
            </w:pPr>
            <w:r>
              <w:rPr>
                <w:rFonts w:ascii="Times New Roman" w:cs="Times New Roman" w:eastAsia="Times New Roman" w:hAnsi="Times New Roman"/>
                <w:sz w:val="18"/>
                <w:szCs w:val="18"/>
                <w:color w:val="auto"/>
              </w:rPr>
              <w:t>restrictions of Rule 10b-18 agreed to hereunder, multiplied by (ii) the Settlement Shares</w:t>
            </w:r>
          </w:p>
        </w:tc>
      </w:tr>
      <w:tr>
        <w:trPr>
          <w:trHeight w:val="196"/>
        </w:trPr>
        <w:tc>
          <w:tcPr>
            <w:tcW w:w="2640" w:type="dxa"/>
            <w:vAlign w:val="bottom"/>
          </w:tcPr>
          <w:p>
            <w:pPr>
              <w:spacing w:after="0"/>
              <w:rPr>
                <w:sz w:val="17"/>
                <w:szCs w:val="17"/>
                <w:color w:val="auto"/>
              </w:rPr>
            </w:pPr>
          </w:p>
        </w:tc>
        <w:tc>
          <w:tcPr>
            <w:tcW w:w="4040" w:type="dxa"/>
            <w:vAlign w:val="bottom"/>
            <w:gridSpan w:val="3"/>
          </w:tcPr>
          <w:p>
            <w:pPr>
              <w:ind w:left="560"/>
              <w:spacing w:after="0" w:line="196" w:lineRule="exact"/>
              <w:rPr>
                <w:sz w:val="20"/>
                <w:szCs w:val="20"/>
                <w:color w:val="auto"/>
              </w:rPr>
            </w:pPr>
            <w:r>
              <w:rPr>
                <w:rFonts w:ascii="Times New Roman" w:cs="Times New Roman" w:eastAsia="Times New Roman" w:hAnsi="Times New Roman"/>
                <w:sz w:val="18"/>
                <w:szCs w:val="18"/>
                <w:color w:val="auto"/>
              </w:rPr>
              <w:t>for the relevant Settlement Date; minus</w:t>
            </w:r>
          </w:p>
        </w:tc>
        <w:tc>
          <w:tcPr>
            <w:tcW w:w="960" w:type="dxa"/>
            <w:vAlign w:val="bottom"/>
            <w:tcBorders>
              <w:top w:val="single" w:sz="8" w:color="auto"/>
            </w:tcBorders>
          </w:tcPr>
          <w:p>
            <w:pPr>
              <w:spacing w:after="0"/>
              <w:rPr>
                <w:sz w:val="17"/>
                <w:szCs w:val="17"/>
                <w:color w:val="auto"/>
              </w:rPr>
            </w:pPr>
          </w:p>
        </w:tc>
        <w:tc>
          <w:tcPr>
            <w:tcW w:w="3360" w:type="dxa"/>
            <w:vAlign w:val="bottom"/>
          </w:tcPr>
          <w:p>
            <w:pPr>
              <w:spacing w:after="0"/>
              <w:rPr>
                <w:sz w:val="17"/>
                <w:szCs w:val="17"/>
                <w:color w:val="auto"/>
              </w:rPr>
            </w:pPr>
          </w:p>
        </w:tc>
      </w:tr>
      <w:tr>
        <w:trPr>
          <w:trHeight w:val="20"/>
        </w:trPr>
        <w:tc>
          <w:tcPr>
            <w:tcW w:w="26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980" w:type="dxa"/>
            <w:vAlign w:val="bottom"/>
            <w:gridSpan w:val="3"/>
          </w:tcPr>
          <w:p>
            <w:pPr>
              <w:spacing w:after="0" w:line="20" w:lineRule="exact"/>
              <w:rPr>
                <w:sz w:val="1"/>
                <w:szCs w:val="1"/>
                <w:color w:val="auto"/>
              </w:rPr>
            </w:pPr>
          </w:p>
        </w:tc>
      </w:tr>
      <w:tr>
        <w:trPr>
          <w:trHeight w:val="434"/>
        </w:trPr>
        <w:tc>
          <w:tcPr>
            <w:tcW w:w="2640" w:type="dxa"/>
            <w:vAlign w:val="bottom"/>
          </w:tcPr>
          <w:p>
            <w:pPr>
              <w:spacing w:after="0"/>
              <w:rPr>
                <w:sz w:val="24"/>
                <w:szCs w:val="24"/>
                <w:color w:val="auto"/>
              </w:rPr>
            </w:pPr>
          </w:p>
        </w:tc>
        <w:tc>
          <w:tcPr>
            <w:tcW w:w="836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(b)  the product of (i) the Forward Price Reduction Amount for any Forward Price Reduction Date that</w:t>
            </w:r>
          </w:p>
        </w:tc>
      </w:tr>
      <w:tr>
        <w:trPr>
          <w:trHeight w:val="216"/>
        </w:trPr>
        <w:tc>
          <w:tcPr>
            <w:tcW w:w="2640" w:type="dxa"/>
            <w:vAlign w:val="bottom"/>
          </w:tcPr>
          <w:p>
            <w:pPr>
              <w:spacing w:after="0"/>
              <w:rPr>
                <w:sz w:val="18"/>
                <w:szCs w:val="18"/>
                <w:color w:val="auto"/>
              </w:rPr>
            </w:pPr>
          </w:p>
        </w:tc>
        <w:tc>
          <w:tcPr>
            <w:tcW w:w="8360" w:type="dxa"/>
            <w:vAlign w:val="bottom"/>
            <w:gridSpan w:val="5"/>
          </w:tcPr>
          <w:p>
            <w:pPr>
              <w:ind w:left="920"/>
              <w:spacing w:after="0"/>
              <w:rPr>
                <w:sz w:val="20"/>
                <w:szCs w:val="20"/>
                <w:color w:val="auto"/>
              </w:rPr>
            </w:pPr>
            <w:r>
              <w:rPr>
                <w:rFonts w:ascii="Times New Roman" w:cs="Times New Roman" w:eastAsia="Times New Roman" w:hAnsi="Times New Roman"/>
                <w:sz w:val="18"/>
                <w:szCs w:val="18"/>
                <w:color w:val="auto"/>
              </w:rPr>
              <w:t>occurs during such Unwind Period and (ii) the number of Settlement Shares for such Settlement Date</w:t>
            </w:r>
          </w:p>
        </w:tc>
      </w:tr>
      <w:tr>
        <w:trPr>
          <w:trHeight w:val="216"/>
        </w:trPr>
        <w:tc>
          <w:tcPr>
            <w:tcW w:w="2640" w:type="dxa"/>
            <w:vAlign w:val="bottom"/>
          </w:tcPr>
          <w:p>
            <w:pPr>
              <w:spacing w:after="0"/>
              <w:rPr>
                <w:sz w:val="18"/>
                <w:szCs w:val="18"/>
                <w:color w:val="auto"/>
              </w:rPr>
            </w:pPr>
          </w:p>
        </w:tc>
        <w:tc>
          <w:tcPr>
            <w:tcW w:w="8360" w:type="dxa"/>
            <w:vAlign w:val="bottom"/>
            <w:gridSpan w:val="5"/>
          </w:tcPr>
          <w:p>
            <w:pPr>
              <w:ind w:left="920"/>
              <w:spacing w:after="0"/>
              <w:rPr>
                <w:sz w:val="20"/>
                <w:szCs w:val="20"/>
                <w:color w:val="auto"/>
              </w:rPr>
            </w:pPr>
            <w:r>
              <w:rPr>
                <w:rFonts w:ascii="Times New Roman" w:cs="Times New Roman" w:eastAsia="Times New Roman" w:hAnsi="Times New Roman"/>
                <w:sz w:val="18"/>
                <w:szCs w:val="18"/>
                <w:color w:val="auto"/>
              </w:rPr>
              <w:t>with respect to which Dealer has not unwound its hedge (assuming Dealer has a commercially</w:t>
            </w:r>
          </w:p>
        </w:tc>
      </w:tr>
      <w:tr>
        <w:trPr>
          <w:trHeight w:val="216"/>
        </w:trPr>
        <w:tc>
          <w:tcPr>
            <w:tcW w:w="2640" w:type="dxa"/>
            <w:vAlign w:val="bottom"/>
          </w:tcPr>
          <w:p>
            <w:pPr>
              <w:spacing w:after="0"/>
              <w:rPr>
                <w:sz w:val="18"/>
                <w:szCs w:val="18"/>
                <w:color w:val="auto"/>
              </w:rPr>
            </w:pPr>
          </w:p>
        </w:tc>
        <w:tc>
          <w:tcPr>
            <w:tcW w:w="8360" w:type="dxa"/>
            <w:vAlign w:val="bottom"/>
            <w:gridSpan w:val="5"/>
          </w:tcPr>
          <w:p>
            <w:pPr>
              <w:ind w:left="920"/>
              <w:spacing w:after="0"/>
              <w:rPr>
                <w:sz w:val="20"/>
                <w:szCs w:val="20"/>
                <w:color w:val="auto"/>
              </w:rPr>
            </w:pPr>
            <w:r>
              <w:rPr>
                <w:rFonts w:ascii="Times New Roman" w:cs="Times New Roman" w:eastAsia="Times New Roman" w:hAnsi="Times New Roman"/>
                <w:sz w:val="18"/>
                <w:szCs w:val="18"/>
                <w:color w:val="auto"/>
              </w:rPr>
              <w:t>reasonable hedge position and unwinds its hedge position in a commercially reasonable manner),</w:t>
            </w:r>
          </w:p>
        </w:tc>
      </w:tr>
      <w:tr>
        <w:trPr>
          <w:trHeight w:val="234"/>
        </w:trPr>
        <w:tc>
          <w:tcPr>
            <w:tcW w:w="2640" w:type="dxa"/>
            <w:vAlign w:val="bottom"/>
          </w:tcPr>
          <w:p>
            <w:pPr>
              <w:spacing w:after="0"/>
              <w:rPr>
                <w:sz w:val="20"/>
                <w:szCs w:val="20"/>
                <w:color w:val="auto"/>
              </w:rPr>
            </w:pPr>
          </w:p>
        </w:tc>
        <w:tc>
          <w:tcPr>
            <w:tcW w:w="8360" w:type="dxa"/>
            <w:vAlign w:val="bottom"/>
            <w:gridSpan w:val="5"/>
          </w:tcPr>
          <w:p>
            <w:pPr>
              <w:ind w:left="920"/>
              <w:spacing w:after="0"/>
              <w:rPr>
                <w:sz w:val="20"/>
                <w:szCs w:val="20"/>
                <w:color w:val="auto"/>
              </w:rPr>
            </w:pPr>
            <w:r>
              <w:rPr>
                <w:rFonts w:ascii="Times New Roman" w:cs="Times New Roman" w:eastAsia="Times New Roman" w:hAnsi="Times New Roman"/>
                <w:sz w:val="18"/>
                <w:szCs w:val="18"/>
                <w:color w:val="auto"/>
              </w:rPr>
              <w:t>including the settlement of such unwinds, as of such Forward Price Reduction Date.</w:t>
            </w:r>
          </w:p>
        </w:tc>
      </w:tr>
      <w:tr>
        <w:trPr>
          <w:trHeight w:val="30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Net Share Settlement:</w:t>
            </w:r>
          </w:p>
        </w:tc>
        <w:tc>
          <w:tcPr>
            <w:tcW w:w="836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On any Settlement Date in respect of which Net Share Settlement applies, if the Cash Settlement Amount is</w:t>
            </w:r>
          </w:p>
        </w:tc>
      </w:tr>
      <w:tr>
        <w:trPr>
          <w:trHeight w:val="216"/>
        </w:trPr>
        <w:tc>
          <w:tcPr>
            <w:tcW w:w="2640" w:type="dxa"/>
            <w:vAlign w:val="bottom"/>
          </w:tcPr>
          <w:p>
            <w:pPr>
              <w:spacing w:after="0"/>
              <w:rPr>
                <w:sz w:val="18"/>
                <w:szCs w:val="18"/>
                <w:color w:val="auto"/>
              </w:rPr>
            </w:pPr>
          </w:p>
        </w:tc>
        <w:tc>
          <w:tcPr>
            <w:tcW w:w="836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a (i) positive number, Dealer shall deliver a number of Shares to Counterparty equal to the Net Share</w:t>
            </w:r>
          </w:p>
        </w:tc>
      </w:tr>
      <w:tr>
        <w:trPr>
          <w:trHeight w:val="214"/>
        </w:trPr>
        <w:tc>
          <w:tcPr>
            <w:tcW w:w="2640" w:type="dxa"/>
            <w:vAlign w:val="bottom"/>
          </w:tcPr>
          <w:p>
            <w:pPr>
              <w:spacing w:after="0"/>
              <w:rPr>
                <w:sz w:val="18"/>
                <w:szCs w:val="18"/>
                <w:color w:val="auto"/>
              </w:rPr>
            </w:pPr>
          </w:p>
        </w:tc>
        <w:tc>
          <w:tcPr>
            <w:tcW w:w="836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w w:val="99"/>
              </w:rPr>
              <w:t>Settlement Shares, or (ii) negative number, Counterparty shall deliver a number of Shares to Dealer equal to</w:t>
            </w:r>
          </w:p>
        </w:tc>
      </w:tr>
      <w:tr>
        <w:trPr>
          <w:trHeight w:val="218"/>
        </w:trPr>
        <w:tc>
          <w:tcPr>
            <w:tcW w:w="2640" w:type="dxa"/>
            <w:vAlign w:val="bottom"/>
          </w:tcPr>
          <w:p>
            <w:pPr>
              <w:spacing w:after="0"/>
              <w:rPr>
                <w:sz w:val="18"/>
                <w:szCs w:val="18"/>
                <w:color w:val="auto"/>
              </w:rPr>
            </w:pPr>
          </w:p>
        </w:tc>
        <w:tc>
          <w:tcPr>
            <w:tcW w:w="836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w w:val="99"/>
              </w:rPr>
              <w:t xml:space="preserve">the Net Share Settlement Shares; </w:t>
            </w:r>
            <w:r>
              <w:rPr>
                <w:rFonts w:ascii="Times New Roman" w:cs="Times New Roman" w:eastAsia="Times New Roman" w:hAnsi="Times New Roman"/>
                <w:sz w:val="18"/>
                <w:szCs w:val="18"/>
                <w:i w:val="1"/>
                <w:iCs w:val="1"/>
                <w:color w:val="auto"/>
                <w:w w:val="99"/>
              </w:rPr>
              <w:t>provided</w:t>
            </w:r>
            <w:r>
              <w:rPr>
                <w:rFonts w:ascii="Times New Roman" w:cs="Times New Roman" w:eastAsia="Times New Roman" w:hAnsi="Times New Roman"/>
                <w:sz w:val="18"/>
                <w:szCs w:val="18"/>
                <w:color w:val="auto"/>
                <w:w w:val="99"/>
              </w:rPr>
              <w:t xml:space="preserve"> that, if Dealer determines in its reasonable judgment that it would</w:t>
            </w:r>
          </w:p>
        </w:tc>
      </w:tr>
      <w:tr>
        <w:trPr>
          <w:trHeight w:val="216"/>
        </w:trPr>
        <w:tc>
          <w:tcPr>
            <w:tcW w:w="2640" w:type="dxa"/>
            <w:vAlign w:val="bottom"/>
          </w:tcPr>
          <w:p>
            <w:pPr>
              <w:spacing w:after="0"/>
              <w:rPr>
                <w:sz w:val="18"/>
                <w:szCs w:val="18"/>
                <w:color w:val="auto"/>
              </w:rPr>
            </w:pPr>
          </w:p>
        </w:tc>
        <w:tc>
          <w:tcPr>
            <w:tcW w:w="836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be required to deliver Net Share Settlement Shares to Counterparty, Dealer may elect to deliver a portion of</w:t>
            </w:r>
          </w:p>
        </w:tc>
      </w:tr>
      <w:tr>
        <w:trPr>
          <w:trHeight w:val="234"/>
        </w:trPr>
        <w:tc>
          <w:tcPr>
            <w:tcW w:w="2640" w:type="dxa"/>
            <w:vAlign w:val="bottom"/>
          </w:tcPr>
          <w:p>
            <w:pPr>
              <w:spacing w:after="0"/>
              <w:rPr>
                <w:sz w:val="20"/>
                <w:szCs w:val="20"/>
                <w:color w:val="auto"/>
              </w:rPr>
            </w:pPr>
          </w:p>
        </w:tc>
        <w:tc>
          <w:tcPr>
            <w:tcW w:w="836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such Net Share Settlement Shares on one or more dates prior to the applicable Settlement Date.</w:t>
            </w:r>
          </w:p>
        </w:tc>
      </w:tr>
      <w:tr>
        <w:trPr>
          <w:trHeight w:val="30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Net Share Settlement Shares:</w:t>
            </w:r>
          </w:p>
        </w:tc>
        <w:tc>
          <w:tcPr>
            <w:tcW w:w="836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With respect to a Settlement Date, the absolute value of the Cash Settlement Amount divided by the</w:t>
            </w:r>
          </w:p>
        </w:tc>
      </w:tr>
      <w:tr>
        <w:trPr>
          <w:trHeight w:val="216"/>
        </w:trPr>
        <w:tc>
          <w:tcPr>
            <w:tcW w:w="2640" w:type="dxa"/>
            <w:vAlign w:val="bottom"/>
          </w:tcPr>
          <w:p>
            <w:pPr>
              <w:spacing w:after="0"/>
              <w:rPr>
                <w:sz w:val="18"/>
                <w:szCs w:val="18"/>
                <w:color w:val="auto"/>
              </w:rPr>
            </w:pPr>
          </w:p>
        </w:tc>
        <w:tc>
          <w:tcPr>
            <w:tcW w:w="836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Unwind Purchase Price, with the number of Shares rounded up in the event such calculation results in a</w:t>
            </w:r>
          </w:p>
        </w:tc>
      </w:tr>
      <w:tr>
        <w:trPr>
          <w:trHeight w:val="234"/>
        </w:trPr>
        <w:tc>
          <w:tcPr>
            <w:tcW w:w="2640" w:type="dxa"/>
            <w:vAlign w:val="bottom"/>
          </w:tcPr>
          <w:p>
            <w:pPr>
              <w:spacing w:after="0"/>
              <w:rPr>
                <w:sz w:val="20"/>
                <w:szCs w:val="20"/>
                <w:color w:val="auto"/>
              </w:rPr>
            </w:pPr>
          </w:p>
        </w:tc>
        <w:tc>
          <w:tcPr>
            <w:tcW w:w="836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fractional number.</w:t>
            </w:r>
          </w:p>
        </w:tc>
      </w:tr>
      <w:tr>
        <w:trPr>
          <w:trHeight w:val="30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Unwind Period:</w:t>
            </w:r>
          </w:p>
        </w:tc>
        <w:tc>
          <w:tcPr>
            <w:tcW w:w="836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The period from and including the first Exchange Business Day following the date Counterparty validly</w:t>
            </w:r>
          </w:p>
        </w:tc>
      </w:tr>
      <w:tr>
        <w:trPr>
          <w:trHeight w:val="216"/>
        </w:trPr>
        <w:tc>
          <w:tcPr>
            <w:tcW w:w="2640" w:type="dxa"/>
            <w:vAlign w:val="bottom"/>
          </w:tcPr>
          <w:p>
            <w:pPr>
              <w:spacing w:after="0"/>
              <w:rPr>
                <w:sz w:val="18"/>
                <w:szCs w:val="18"/>
                <w:color w:val="auto"/>
              </w:rPr>
            </w:pPr>
          </w:p>
        </w:tc>
        <w:tc>
          <w:tcPr>
            <w:tcW w:w="836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elects Cash Settlement or Net Share Settlement in respect of a Settlement Date through the second</w:t>
            </w:r>
          </w:p>
        </w:tc>
      </w:tr>
      <w:tr>
        <w:trPr>
          <w:trHeight w:val="216"/>
        </w:trPr>
        <w:tc>
          <w:tcPr>
            <w:tcW w:w="2640" w:type="dxa"/>
            <w:vAlign w:val="bottom"/>
          </w:tcPr>
          <w:p>
            <w:pPr>
              <w:spacing w:after="0"/>
              <w:rPr>
                <w:sz w:val="18"/>
                <w:szCs w:val="18"/>
                <w:color w:val="auto"/>
              </w:rPr>
            </w:pPr>
          </w:p>
        </w:tc>
        <w:tc>
          <w:tcPr>
            <w:tcW w:w="836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Scheduled Trading Day preceding such Settlement Date, subject to “Termination Settlement” as described</w:t>
            </w:r>
          </w:p>
        </w:tc>
      </w:tr>
      <w:tr>
        <w:trPr>
          <w:trHeight w:val="234"/>
        </w:trPr>
        <w:tc>
          <w:tcPr>
            <w:tcW w:w="2640" w:type="dxa"/>
            <w:vAlign w:val="bottom"/>
          </w:tcPr>
          <w:p>
            <w:pPr>
              <w:spacing w:after="0"/>
              <w:rPr>
                <w:sz w:val="20"/>
                <w:szCs w:val="20"/>
                <w:color w:val="auto"/>
              </w:rPr>
            </w:pPr>
          </w:p>
        </w:tc>
        <w:tc>
          <w:tcPr>
            <w:tcW w:w="836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in Paragraph 7(g) below.</w:t>
            </w:r>
          </w:p>
        </w:tc>
      </w:tr>
      <w:tr>
        <w:trPr>
          <w:trHeight w:val="32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Failure to Deliver:</w:t>
            </w:r>
          </w:p>
        </w:tc>
        <w:tc>
          <w:tcPr>
            <w:tcW w:w="836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Applicable if Dealer is required to deliver Shares hereunder; otherwise, Not Applicable.</w:t>
            </w:r>
          </w:p>
        </w:tc>
      </w:tr>
      <w:tr>
        <w:trPr>
          <w:trHeight w:val="364"/>
        </w:trPr>
        <w:tc>
          <w:tcPr>
            <w:tcW w:w="2640" w:type="dxa"/>
            <w:vAlign w:val="bottom"/>
          </w:tcPr>
          <w:p>
            <w:pPr>
              <w:spacing w:after="0"/>
              <w:rPr>
                <w:sz w:val="24"/>
                <w:szCs w:val="24"/>
                <w:color w:val="auto"/>
              </w:rPr>
            </w:pPr>
          </w:p>
        </w:tc>
        <w:tc>
          <w:tcPr>
            <w:tcW w:w="8360" w:type="dxa"/>
            <w:vAlign w:val="bottom"/>
            <w:gridSpan w:val="5"/>
          </w:tcPr>
          <w:p>
            <w:pPr>
              <w:ind w:left="2620"/>
              <w:spacing w:after="0"/>
              <w:rPr>
                <w:sz w:val="20"/>
                <w:szCs w:val="20"/>
                <w:color w:val="auto"/>
              </w:rPr>
            </w:pPr>
            <w:r>
              <w:rPr>
                <w:rFonts w:ascii="Times New Roman" w:cs="Times New Roman" w:eastAsia="Times New Roman" w:hAnsi="Times New Roman"/>
                <w:sz w:val="18"/>
                <w:szCs w:val="18"/>
                <w:color w:val="auto"/>
              </w:rPr>
              <w:t>B-1-11</w:t>
            </w:r>
          </w:p>
        </w:tc>
      </w:tr>
    </w:tbl>
    <w:p>
      <w:pPr>
        <w:ind w:left="2620"/>
        <w:spacing w:after="0"/>
        <w:rPr>
          <w:sz w:val="20"/>
          <w:szCs w:val="20"/>
          <w:color w:val="auto"/>
        </w:rPr>
        <w:sectPr>
          <w:pgSz w:w="11900" w:h="16838" w:orient="portrait"/>
          <w:cols w:equalWidth="0" w:num="1">
            <w:col w:w="11000"/>
          </w:cols>
          <w:pgMar w:left="440" w:top="378" w:right="45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66" w:name="page67"/>
    <w:bookmarkEnd w:id="66"/>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Share Cap:</w:t>
            </w:r>
          </w:p>
        </w:tc>
        <w:tc>
          <w:tcPr>
            <w:tcW w:w="8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Notwithstanding any other provision of this Confirmation, in no event will Counterparty be required to</w:t>
            </w:r>
          </w:p>
        </w:tc>
      </w:tr>
      <w:tr>
        <w:trPr>
          <w:trHeight w:val="216"/>
        </w:trPr>
        <w:tc>
          <w:tcPr>
            <w:tcW w:w="2440" w:type="dxa"/>
            <w:vAlign w:val="bottom"/>
          </w:tcPr>
          <w:p>
            <w:pPr>
              <w:spacing w:after="0"/>
              <w:rPr>
                <w:sz w:val="18"/>
                <w:szCs w:val="18"/>
                <w:color w:val="auto"/>
              </w:rPr>
            </w:pPr>
          </w:p>
        </w:tc>
        <w:tc>
          <w:tcPr>
            <w:tcW w:w="8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deliver to Dealer on any Settlement Date, whether pursuant to Physical Settlement, Net Share Settlement or</w:t>
            </w:r>
          </w:p>
        </w:tc>
      </w:tr>
      <w:tr>
        <w:trPr>
          <w:trHeight w:val="216"/>
        </w:trPr>
        <w:tc>
          <w:tcPr>
            <w:tcW w:w="2440" w:type="dxa"/>
            <w:vAlign w:val="bottom"/>
          </w:tcPr>
          <w:p>
            <w:pPr>
              <w:spacing w:after="0"/>
              <w:rPr>
                <w:sz w:val="18"/>
                <w:szCs w:val="18"/>
                <w:color w:val="auto"/>
              </w:rPr>
            </w:pPr>
          </w:p>
        </w:tc>
        <w:tc>
          <w:tcPr>
            <w:tcW w:w="8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any Private Placement Settlement, a number of Shares in excess of (i) two times the Initial Number of</w:t>
            </w:r>
          </w:p>
        </w:tc>
      </w:tr>
      <w:tr>
        <w:trPr>
          <w:trHeight w:val="216"/>
        </w:trPr>
        <w:tc>
          <w:tcPr>
            <w:tcW w:w="2440" w:type="dxa"/>
            <w:vAlign w:val="bottom"/>
          </w:tcPr>
          <w:p>
            <w:pPr>
              <w:spacing w:after="0"/>
              <w:rPr>
                <w:sz w:val="18"/>
                <w:szCs w:val="18"/>
                <w:color w:val="auto"/>
              </w:rPr>
            </w:pPr>
          </w:p>
        </w:tc>
        <w:tc>
          <w:tcPr>
            <w:tcW w:w="8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Shares, subject to adjustment from time to time in accordance with the provisions of this Confirmation or</w:t>
            </w:r>
          </w:p>
        </w:tc>
      </w:tr>
      <w:tr>
        <w:trPr>
          <w:trHeight w:val="194"/>
        </w:trPr>
        <w:tc>
          <w:tcPr>
            <w:tcW w:w="2440" w:type="dxa"/>
            <w:vAlign w:val="bottom"/>
          </w:tcPr>
          <w:p>
            <w:pPr>
              <w:spacing w:after="0"/>
              <w:rPr>
                <w:sz w:val="16"/>
                <w:szCs w:val="16"/>
                <w:color w:val="auto"/>
              </w:rPr>
            </w:pPr>
          </w:p>
        </w:tc>
        <w:tc>
          <w:tcPr>
            <w:tcW w:w="8560" w:type="dxa"/>
            <w:vAlign w:val="bottom"/>
            <w:gridSpan w:val="3"/>
          </w:tcPr>
          <w:p>
            <w:pPr>
              <w:ind w:left="760"/>
              <w:spacing w:after="0" w:line="194" w:lineRule="exact"/>
              <w:rPr>
                <w:sz w:val="20"/>
                <w:szCs w:val="20"/>
                <w:color w:val="auto"/>
              </w:rPr>
            </w:pPr>
            <w:r>
              <w:rPr>
                <w:rFonts w:ascii="Times New Roman" w:cs="Times New Roman" w:eastAsia="Times New Roman" w:hAnsi="Times New Roman"/>
                <w:sz w:val="18"/>
                <w:szCs w:val="18"/>
                <w:color w:val="auto"/>
              </w:rPr>
              <w:t>the Equity Definitions, minus (ii) the aggregate number of Shares delivered by Counterparty to Dealer</w:t>
            </w:r>
          </w:p>
        </w:tc>
      </w:tr>
      <w:tr>
        <w:trPr>
          <w:trHeight w:val="20"/>
        </w:trPr>
        <w:tc>
          <w:tcPr>
            <w:tcW w:w="24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r>
      <w:tr>
        <w:trPr>
          <w:trHeight w:val="237"/>
        </w:trPr>
        <w:tc>
          <w:tcPr>
            <w:tcW w:w="2440" w:type="dxa"/>
            <w:vAlign w:val="bottom"/>
          </w:tcPr>
          <w:p>
            <w:pPr>
              <w:spacing w:after="0"/>
              <w:rPr>
                <w:sz w:val="20"/>
                <w:szCs w:val="20"/>
                <w:color w:val="auto"/>
              </w:rPr>
            </w:pPr>
          </w:p>
        </w:tc>
        <w:tc>
          <w:tcPr>
            <w:tcW w:w="8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hereunder prior to such Settlement Date.</w:t>
            </w:r>
          </w:p>
        </w:tc>
      </w:tr>
      <w:tr>
        <w:trPr>
          <w:trHeight w:val="32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30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Method of Adjustment:</w:t>
            </w:r>
          </w:p>
        </w:tc>
        <w:tc>
          <w:tcPr>
            <w:tcW w:w="8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Calculation Agent Adjustment. Section 11.2(e) of the Equity Definitions is hereby amended by deleting</w:t>
            </w:r>
          </w:p>
        </w:tc>
      </w:tr>
      <w:tr>
        <w:trPr>
          <w:trHeight w:val="216"/>
        </w:trPr>
        <w:tc>
          <w:tcPr>
            <w:tcW w:w="2440" w:type="dxa"/>
            <w:vAlign w:val="bottom"/>
          </w:tcPr>
          <w:p>
            <w:pPr>
              <w:spacing w:after="0"/>
              <w:rPr>
                <w:sz w:val="18"/>
                <w:szCs w:val="18"/>
                <w:color w:val="auto"/>
              </w:rPr>
            </w:pPr>
          </w:p>
        </w:tc>
        <w:tc>
          <w:tcPr>
            <w:tcW w:w="8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clauses (iii) and (v) thereof. For the avoidance of doubt, the declaration or payment of a cash dividend will</w:t>
            </w:r>
          </w:p>
        </w:tc>
      </w:tr>
      <w:tr>
        <w:trPr>
          <w:trHeight w:val="234"/>
        </w:trPr>
        <w:tc>
          <w:tcPr>
            <w:tcW w:w="2440" w:type="dxa"/>
            <w:vAlign w:val="bottom"/>
          </w:tcPr>
          <w:p>
            <w:pPr>
              <w:spacing w:after="0"/>
              <w:rPr>
                <w:sz w:val="20"/>
                <w:szCs w:val="20"/>
                <w:color w:val="auto"/>
              </w:rPr>
            </w:pPr>
          </w:p>
        </w:tc>
        <w:tc>
          <w:tcPr>
            <w:tcW w:w="8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not constitute a Potential Adjustment Event.</w:t>
            </w:r>
          </w:p>
        </w:tc>
      </w:tr>
      <w:tr>
        <w:trPr>
          <w:trHeight w:val="30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Additional Adjustment:</w:t>
            </w:r>
          </w:p>
        </w:tc>
        <w:tc>
          <w:tcPr>
            <w:tcW w:w="8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If, in Dealer’s commercially reasonable judgment, the actual cost to Dealer (or an affiliate of Dealer), over</w:t>
            </w:r>
          </w:p>
        </w:tc>
      </w:tr>
      <w:tr>
        <w:trPr>
          <w:trHeight w:val="216"/>
        </w:trPr>
        <w:tc>
          <w:tcPr>
            <w:tcW w:w="2440" w:type="dxa"/>
            <w:vAlign w:val="bottom"/>
          </w:tcPr>
          <w:p>
            <w:pPr>
              <w:spacing w:after="0"/>
              <w:rPr>
                <w:sz w:val="18"/>
                <w:szCs w:val="18"/>
                <w:color w:val="auto"/>
              </w:rPr>
            </w:pPr>
          </w:p>
        </w:tc>
        <w:tc>
          <w:tcPr>
            <w:tcW w:w="8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any 10 consecutive Scheduled Trading Day period, of borrowing a number of Shares equal to the Number</w:t>
            </w:r>
          </w:p>
        </w:tc>
      </w:tr>
      <w:tr>
        <w:trPr>
          <w:trHeight w:val="216"/>
        </w:trPr>
        <w:tc>
          <w:tcPr>
            <w:tcW w:w="2440" w:type="dxa"/>
            <w:vAlign w:val="bottom"/>
          </w:tcPr>
          <w:p>
            <w:pPr>
              <w:spacing w:after="0"/>
              <w:rPr>
                <w:sz w:val="18"/>
                <w:szCs w:val="18"/>
                <w:color w:val="auto"/>
              </w:rPr>
            </w:pPr>
          </w:p>
        </w:tc>
        <w:tc>
          <w:tcPr>
            <w:tcW w:w="8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w w:val="99"/>
              </w:rPr>
              <w:t>of Shares to hedge in a commercially reasonable manner its exposure to this Transaction exceeds a weighted</w:t>
            </w:r>
          </w:p>
        </w:tc>
      </w:tr>
      <w:tr>
        <w:trPr>
          <w:trHeight w:val="216"/>
        </w:trPr>
        <w:tc>
          <w:tcPr>
            <w:tcW w:w="2440" w:type="dxa"/>
            <w:vAlign w:val="bottom"/>
          </w:tcPr>
          <w:p>
            <w:pPr>
              <w:spacing w:after="0"/>
              <w:rPr>
                <w:sz w:val="18"/>
                <w:szCs w:val="18"/>
                <w:color w:val="auto"/>
              </w:rPr>
            </w:pPr>
          </w:p>
        </w:tc>
        <w:tc>
          <w:tcPr>
            <w:tcW w:w="8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average rate equal to [•] basis points per annum, the Calculation Agent shall reduce the Forward Price to</w:t>
            </w:r>
          </w:p>
        </w:tc>
      </w:tr>
      <w:tr>
        <w:trPr>
          <w:trHeight w:val="216"/>
        </w:trPr>
        <w:tc>
          <w:tcPr>
            <w:tcW w:w="2440" w:type="dxa"/>
            <w:vAlign w:val="bottom"/>
          </w:tcPr>
          <w:p>
            <w:pPr>
              <w:spacing w:after="0"/>
              <w:rPr>
                <w:sz w:val="18"/>
                <w:szCs w:val="18"/>
                <w:color w:val="auto"/>
              </w:rPr>
            </w:pPr>
          </w:p>
        </w:tc>
        <w:tc>
          <w:tcPr>
            <w:tcW w:w="8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compensate Dealer for the amount by which such cost exceeded a weighted average rate equal to [•] basis</w:t>
            </w:r>
          </w:p>
        </w:tc>
      </w:tr>
      <w:tr>
        <w:trPr>
          <w:trHeight w:val="216"/>
        </w:trPr>
        <w:tc>
          <w:tcPr>
            <w:tcW w:w="2440" w:type="dxa"/>
            <w:vAlign w:val="bottom"/>
          </w:tcPr>
          <w:p>
            <w:pPr>
              <w:spacing w:after="0"/>
              <w:rPr>
                <w:sz w:val="18"/>
                <w:szCs w:val="18"/>
                <w:color w:val="auto"/>
              </w:rPr>
            </w:pPr>
          </w:p>
        </w:tc>
        <w:tc>
          <w:tcPr>
            <w:tcW w:w="8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points per annum during such period. The Calculation Agent shall notify Counterparty prior to making any</w:t>
            </w:r>
          </w:p>
        </w:tc>
      </w:tr>
      <w:tr>
        <w:trPr>
          <w:trHeight w:val="234"/>
        </w:trPr>
        <w:tc>
          <w:tcPr>
            <w:tcW w:w="2440" w:type="dxa"/>
            <w:vAlign w:val="bottom"/>
          </w:tcPr>
          <w:p>
            <w:pPr>
              <w:spacing w:after="0"/>
              <w:rPr>
                <w:sz w:val="20"/>
                <w:szCs w:val="20"/>
                <w:color w:val="auto"/>
              </w:rPr>
            </w:pPr>
          </w:p>
        </w:tc>
        <w:tc>
          <w:tcPr>
            <w:tcW w:w="8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such adjustment to the Forward Price.</w:t>
            </w:r>
          </w:p>
        </w:tc>
      </w:tr>
      <w:tr>
        <w:trPr>
          <w:trHeight w:val="30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Extraordinary Events:</w:t>
            </w:r>
          </w:p>
        </w:tc>
        <w:tc>
          <w:tcPr>
            <w:tcW w:w="8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In lieu of the applicable provisions contained in Article 12 of the Equity Definitions, the consequences of</w:t>
            </w:r>
          </w:p>
        </w:tc>
      </w:tr>
      <w:tr>
        <w:trPr>
          <w:trHeight w:val="216"/>
        </w:trPr>
        <w:tc>
          <w:tcPr>
            <w:tcW w:w="2440" w:type="dxa"/>
            <w:vAlign w:val="bottom"/>
          </w:tcPr>
          <w:p>
            <w:pPr>
              <w:spacing w:after="0"/>
              <w:rPr>
                <w:sz w:val="18"/>
                <w:szCs w:val="18"/>
                <w:color w:val="auto"/>
              </w:rPr>
            </w:pPr>
          </w:p>
        </w:tc>
        <w:tc>
          <w:tcPr>
            <w:tcW w:w="8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any Extraordinary Event (including, for the avoidance of doubt, any Merger Event, Tender Offer,</w:t>
            </w:r>
          </w:p>
        </w:tc>
      </w:tr>
      <w:tr>
        <w:trPr>
          <w:trHeight w:val="216"/>
        </w:trPr>
        <w:tc>
          <w:tcPr>
            <w:tcW w:w="2440" w:type="dxa"/>
            <w:vAlign w:val="bottom"/>
          </w:tcPr>
          <w:p>
            <w:pPr>
              <w:spacing w:after="0"/>
              <w:rPr>
                <w:sz w:val="18"/>
                <w:szCs w:val="18"/>
                <w:color w:val="auto"/>
              </w:rPr>
            </w:pPr>
          </w:p>
        </w:tc>
        <w:tc>
          <w:tcPr>
            <w:tcW w:w="8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Nationalization, Insolvency, Delisting, or Change In Law) shall be as specified below under the headings</w:t>
            </w:r>
          </w:p>
        </w:tc>
      </w:tr>
      <w:tr>
        <w:trPr>
          <w:trHeight w:val="216"/>
        </w:trPr>
        <w:tc>
          <w:tcPr>
            <w:tcW w:w="2440" w:type="dxa"/>
            <w:vAlign w:val="bottom"/>
          </w:tcPr>
          <w:p>
            <w:pPr>
              <w:spacing w:after="0"/>
              <w:rPr>
                <w:sz w:val="18"/>
                <w:szCs w:val="18"/>
                <w:color w:val="auto"/>
              </w:rPr>
            </w:pPr>
          </w:p>
        </w:tc>
        <w:tc>
          <w:tcPr>
            <w:tcW w:w="8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“Acceleration Events” and “Termination Settlement” in Paragraphs 7(f) and 7(g), respectively.</w:t>
            </w:r>
          </w:p>
        </w:tc>
      </w:tr>
      <w:tr>
        <w:trPr>
          <w:trHeight w:val="216"/>
        </w:trPr>
        <w:tc>
          <w:tcPr>
            <w:tcW w:w="2440" w:type="dxa"/>
            <w:vAlign w:val="bottom"/>
          </w:tcPr>
          <w:p>
            <w:pPr>
              <w:spacing w:after="0"/>
              <w:rPr>
                <w:sz w:val="18"/>
                <w:szCs w:val="18"/>
                <w:color w:val="auto"/>
              </w:rPr>
            </w:pPr>
          </w:p>
        </w:tc>
        <w:tc>
          <w:tcPr>
            <w:tcW w:w="8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Notwithstanding anything to the contrary herein or in the Equity Definitions, no Additional Disruption</w:t>
            </w:r>
          </w:p>
        </w:tc>
      </w:tr>
      <w:tr>
        <w:trPr>
          <w:trHeight w:val="216"/>
        </w:trPr>
        <w:tc>
          <w:tcPr>
            <w:tcW w:w="2440" w:type="dxa"/>
            <w:vAlign w:val="bottom"/>
          </w:tcPr>
          <w:p>
            <w:pPr>
              <w:spacing w:after="0"/>
              <w:rPr>
                <w:sz w:val="18"/>
                <w:szCs w:val="18"/>
                <w:color w:val="auto"/>
              </w:rPr>
            </w:pPr>
          </w:p>
        </w:tc>
        <w:tc>
          <w:tcPr>
            <w:tcW w:w="8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Event will be applicable except to the extent expressly referenced in Paragraph 7(f)(iv) below. The</w:t>
            </w:r>
          </w:p>
        </w:tc>
      </w:tr>
      <w:tr>
        <w:trPr>
          <w:trHeight w:val="216"/>
        </w:trPr>
        <w:tc>
          <w:tcPr>
            <w:tcW w:w="2440" w:type="dxa"/>
            <w:vAlign w:val="bottom"/>
          </w:tcPr>
          <w:p>
            <w:pPr>
              <w:spacing w:after="0"/>
              <w:rPr>
                <w:sz w:val="18"/>
                <w:szCs w:val="18"/>
                <w:color w:val="auto"/>
              </w:rPr>
            </w:pPr>
          </w:p>
        </w:tc>
        <w:tc>
          <w:tcPr>
            <w:tcW w:w="8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definition of “Tender Offer” in Section 12.1(d) of the Equity Definitions is hereby amended by replacing</w:t>
            </w:r>
          </w:p>
        </w:tc>
      </w:tr>
      <w:tr>
        <w:trPr>
          <w:trHeight w:val="234"/>
        </w:trPr>
        <w:tc>
          <w:tcPr>
            <w:tcW w:w="2440" w:type="dxa"/>
            <w:vAlign w:val="bottom"/>
          </w:tcPr>
          <w:p>
            <w:pPr>
              <w:spacing w:after="0"/>
              <w:rPr>
                <w:sz w:val="20"/>
                <w:szCs w:val="20"/>
                <w:color w:val="auto"/>
              </w:rPr>
            </w:pPr>
          </w:p>
        </w:tc>
        <w:tc>
          <w:tcPr>
            <w:tcW w:w="8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“10%” with “15%.”</w:t>
            </w:r>
          </w:p>
        </w:tc>
      </w:tr>
      <w:tr>
        <w:trPr>
          <w:trHeight w:val="365"/>
        </w:trPr>
        <w:tc>
          <w:tcPr>
            <w:tcW w:w="24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B-1-12</w:t>
            </w:r>
          </w:p>
        </w:tc>
      </w:tr>
    </w:tbl>
    <w:p>
      <w:pPr>
        <w:ind w:left="360"/>
        <w:spacing w:after="0"/>
        <w:rPr>
          <w:sz w:val="20"/>
          <w:szCs w:val="20"/>
          <w:color w:val="auto"/>
        </w:rPr>
        <w:sectPr>
          <w:pgSz w:w="11900" w:h="16838" w:orient="portrait"/>
          <w:cols w:equalWidth="0" w:num="1">
            <w:col w:w="11000"/>
          </w:cols>
          <w:pgMar w:left="440" w:top="270" w:right="45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67" w:name="page68"/>
    <w:bookmarkEnd w:id="67"/>
    <w:p>
      <w:pPr>
        <w:spacing w:after="0"/>
        <w:rPr>
          <w:sz w:val="20"/>
          <w:szCs w:val="20"/>
          <w:color w:val="auto"/>
        </w:rPr>
      </w:pPr>
      <w:r>
        <w:rPr>
          <w:rFonts w:ascii="Times New Roman" w:cs="Times New Roman" w:eastAsia="Times New Roman" w:hAnsi="Times New Roman"/>
          <w:sz w:val="17"/>
          <w:szCs w:val="17"/>
          <w:color w:val="auto"/>
        </w:rPr>
        <w:t>Dividends:</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Times New Roman" w:cs="Times New Roman" w:eastAsia="Times New Roman" w:hAnsi="Times New Roman"/>
          <w:sz w:val="18"/>
          <w:szCs w:val="18"/>
          <w:color w:val="auto"/>
        </w:rPr>
        <w:t>No adjustment shall be made if, on any day occurring after the Trade Date, Counterparty declares a distribution, issue or dividend to existing holders of the Shares of (i) any cash dividend (other than an Extraordinary Dividend) to the extent all cash dividends having an ex-dividend date during the period from and including any Forward Price Reduction Date (with the Trade Date being a Forward Price Reduction Date for purposes of this clause (i) only) to but excluding the next subsequent Forward Price Reduction Date differs from, on a per Share basis, the Forward Price Reduction Amount set forth opposite the first date of any such period on Schedule I, (ii) share capital or securities of another issuer acquired or owned (directly or indirectly) by Counterparty as a result of a spin-off or other similar transaction or (iii) any other type of securities (other than Shares), rights or warrants or other assets, for payment (cash or other consideration) at less than the prevailing market price as determined by Dealer.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-1467485</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2480" w:space="720"/>
            <w:col w:w="7800"/>
          </w:cols>
          <w:pgMar w:left="440" w:top="270" w:right="45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Non-Reliance: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Applicable</w:t>
      </w:r>
    </w:p>
    <w:p>
      <w:pPr>
        <w:spacing w:after="0" w:line="129"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Agreements and Acknowledgments:</w:t>
      </w:r>
    </w:p>
    <w:p>
      <w:pPr>
        <w:sectPr>
          <w:pgSz w:w="11900" w:h="16838" w:orient="portrait"/>
          <w:cols w:equalWidth="0" w:num="1">
            <w:col w:w="11000"/>
          </w:cols>
          <w:pgMar w:left="440" w:top="270" w:right="459" w:bottom="1440" w:gutter="0" w:footer="0" w:header="0"/>
          <w:type w:val="continuous"/>
        </w:sectPr>
      </w:pP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Regarding Hedging Activities: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Applicable</w:t>
      </w:r>
    </w:p>
    <w:p>
      <w:pPr>
        <w:spacing w:after="0" w:line="129"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Additional Acknowledgments: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Applicable</w:t>
      </w:r>
    </w:p>
    <w:p>
      <w:pPr>
        <w:spacing w:after="0" w:line="129"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Transfer:</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anything to the contrary herein or in the Agreement, Dealer may assign, transfer and set over all rights, title and interest, powers, privileges and remedies of Dealer under this Transaction, in whole or in part, to (A) a wholly-owned subsidiary of Dealer [Parent], whose obligations hereunder are fully and unconditionally guaranteed by Dealer [or Dealer Parent], or (B) any other wholly-owned direct or indirect subsidiary of Dealer [Parent] with a long-term issuer rating equal to or better than the credit rating of Dealer at the time of transfer without the consent of Counterparty;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at the time of such assignment or transfer, Counterparty would not, as a result of such assignment or transfer, designation or delegation, reasonably be expected at any time (A) to be required to pay (including a payment in kind) to Dealer or such transferee or assignee or designee an amount in respect</w:t>
      </w:r>
    </w:p>
    <w:p>
      <w:pPr>
        <w:spacing w:after="0" w:line="121"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B-1-13</w:t>
      </w:r>
    </w:p>
    <w:p>
      <w:pPr>
        <w:sectPr>
          <w:pgSz w:w="11900" w:h="16838" w:orient="portrait"/>
          <w:cols w:equalWidth="0" w:num="1">
            <w:col w:w="11000"/>
          </w:cols>
          <w:pgMar w:left="440" w:top="270" w:right="459" w:bottom="1440" w:gutter="0" w:footer="0" w:header="0"/>
          <w:type w:val="continuous"/>
        </w:sectPr>
      </w:pPr>
    </w:p>
    <w:bookmarkStart w:id="68" w:name="page69"/>
    <w:bookmarkEnd w:id="68"/>
    <w:p>
      <w:pPr>
        <w:ind w:left="3200"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 an Indemnifiable Tax greater than the amount Counterparty would have been required to pay to Dealer in the absence of such assignment, transfer, designation or delegation, or (B) to receive a payment (including a payment in kind) after such assignment or transfer that is less than the amount Counterparty would have received if the payment were made immediately prior to such assignment or transfer, (ii) prior to such assignment or transfer, Dealer shall have caused the assignee, transferee, or designee to make such Payee Tax Representations and to provide such tax documentation as may be reasonably requested by Counterparty to permit Counterparty to determine that the transfer complies with the requirements of clause (i) in this paragraph, and (iii) at all times, Dealer or any transferee or assignee or other recipient of rights, title and interest, powers, privileges and remedies shall be eligible to provide a U.S. Internal Revenue Service Form W-9 or W-8ECI, or any successor thereto, with respect to any payments or deliveries under the Agreement.</w:t>
      </w:r>
    </w:p>
    <w:p>
      <w:pPr>
        <w:sectPr>
          <w:pgSz w:w="11900" w:h="16838" w:orient="portrait"/>
          <w:cols w:equalWidth="0" w:num="1">
            <w:col w:w="11000"/>
          </w:cols>
          <w:pgMar w:left="440" w:top="270" w:right="459" w:bottom="1440" w:gutter="0" w:footer="0" w:header="0"/>
        </w:sectPr>
      </w:pP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 Calculation Agent:</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Dealer whose judgments, determinations and calculations shall be made in good faith and in a commercially reasonable manner;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following the occurrence and during the continuance of an Event of Default of the type described in Section 5(a)(vii) of the Agreement with respect to which Dealer is the sole Defaulting Party, if the Calculation Agent fails to timely make any calculation, adjustment or determination required to be made by the Calculation Agent hereunder or to perform any obligation of the Calculation Agent hereunder, Counterparty shall have the right to designate a nationally recognized third-party dealer in over-the-counter corporate equity derivatives to act, during the period commencing on the date such Event of Default occurred and ending on the Early Termination Date with respect to such Event of Default, as the Calculation Agent. Following any determination or calculation by the Calculation Agent hereunder, upon a written request by Counterparty, the Calculation Agent shall promptly (but in any event within five Scheduled Trading Days) provide to Counterparty by e-mail to the e-mail address provided by Counterparty in such request a report (in a commonly used file format for the storage and manipulation of financial data) displaying in reasonable detail the basis for such determination or calculation (including any assumptions used in making such determination or calculation), it being understood that the Calculation Agent shall not be obligated to disclose any proprietary or confidential models or other proprietary or confidential information used by it for such determination or calculation.</w:t>
      </w:r>
    </w:p>
    <w:p>
      <w:pPr>
        <w:spacing w:after="0" w:line="127"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B-1-14</w:t>
      </w:r>
    </w:p>
    <w:p>
      <w:pPr>
        <w:sectPr>
          <w:pgSz w:w="11900" w:h="16838" w:orient="portrait"/>
          <w:cols w:equalWidth="0" w:num="1">
            <w:col w:w="11000"/>
          </w:cols>
          <w:pgMar w:left="440" w:top="270" w:right="45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4. Account Details:</w:t>
      </w:r>
    </w:p>
    <w:p>
      <w:pPr>
        <w:sectPr>
          <w:pgSz w:w="11900" w:h="16838" w:orient="portrait"/>
          <w:cols w:equalWidth="0" w:num="1">
            <w:col w:w="10840"/>
          </w:cols>
          <w:pgMar w:left="440" w:top="270" w:right="619" w:bottom="1440" w:gutter="0" w:footer="0" w:header="0"/>
        </w:sectPr>
      </w:pP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Account for delivery of Shares to</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Dealer:</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be furnished</w:t>
      </w:r>
    </w:p>
    <w:p>
      <w:pPr>
        <w:spacing w:after="0" w:line="344" w:lineRule="exact"/>
        <w:rPr>
          <w:sz w:val="20"/>
          <w:szCs w:val="20"/>
          <w:color w:val="auto"/>
        </w:rPr>
      </w:pPr>
    </w:p>
    <w:p>
      <w:pPr>
        <w:sectPr>
          <w:pgSz w:w="11900" w:h="16838" w:orient="portrait"/>
          <w:cols w:equalWidth="0" w:num="2">
            <w:col w:w="2720" w:space="480"/>
            <w:col w:w="7640"/>
          </w:cols>
          <w:pgMar w:left="440" w:top="270" w:right="61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(b)  Account for delivery of Shares to</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Counterparty: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To be furnished</w:t>
      </w:r>
    </w:p>
    <w:p>
      <w:pPr>
        <w:spacing w:after="0" w:line="344" w:lineRule="exact"/>
        <w:rPr>
          <w:sz w:val="20"/>
          <w:szCs w:val="20"/>
          <w:color w:val="auto"/>
        </w:rPr>
      </w:pPr>
    </w:p>
    <w:p>
      <w:pPr>
        <w:sectPr>
          <w:pgSz w:w="11900" w:h="16838" w:orient="portrait"/>
          <w:cols w:equalWidth="0" w:num="2">
            <w:col w:w="2740" w:space="460"/>
            <w:col w:w="7640"/>
          </w:cols>
          <w:pgMar w:left="440" w:top="270" w:right="61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  Account for payments to</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Counterparty: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To be advised under separate cover or telephone confirmed prior to each Settlement Date</w:t>
      </w:r>
    </w:p>
    <w:p>
      <w:pPr>
        <w:spacing w:after="0" w:line="344" w:lineRule="exact"/>
        <w:rPr>
          <w:sz w:val="20"/>
          <w:szCs w:val="20"/>
          <w:color w:val="auto"/>
        </w:rPr>
      </w:pPr>
    </w:p>
    <w:p>
      <w:pPr>
        <w:sectPr>
          <w:pgSz w:w="11900" w:h="16838" w:orient="portrait"/>
          <w:cols w:equalWidth="0" w:num="2">
            <w:col w:w="2480" w:space="720"/>
            <w:col w:w="7640"/>
          </w:cols>
          <w:pgMar w:left="440" w:top="270" w:right="61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(d)  Account for payments to Dealer: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To be advised under separate cover or telephone confirmed prior to each Settlement Date</w:t>
      </w:r>
    </w:p>
    <w:p>
      <w:pPr>
        <w:spacing w:after="0" w:line="211" w:lineRule="exact"/>
        <w:rPr>
          <w:sz w:val="20"/>
          <w:szCs w:val="20"/>
          <w:color w:val="auto"/>
        </w:rPr>
      </w:pPr>
    </w:p>
    <w:p>
      <w:pPr>
        <w:sectPr>
          <w:pgSz w:w="11900" w:h="16838" w:orient="portrait"/>
          <w:cols w:equalWidth="0" w:num="2">
            <w:col w:w="2700" w:space="500"/>
            <w:col w:w="7640"/>
          </w:cols>
          <w:pgMar w:left="440" w:top="270" w:right="619" w:bottom="1440" w:gutter="0" w:footer="0" w:header="0"/>
          <w:type w:val="continuous"/>
        </w:sectPr>
      </w:pPr>
    </w:p>
    <w:p>
      <w:pPr>
        <w:spacing w:after="0" w:line="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 Offices: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Office of Counterparty for the Transaction is: Inapplicable, Counterparty is not a Multibranch Party</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Office of Dealer for the Transaction is: [New York][•]</w:t>
      </w:r>
    </w:p>
    <w:p>
      <w:pPr>
        <w:spacing w:after="0" w:line="225" w:lineRule="exact"/>
        <w:rPr>
          <w:sz w:val="20"/>
          <w:szCs w:val="20"/>
          <w:color w:val="auto"/>
        </w:rPr>
      </w:pPr>
    </w:p>
    <w:p>
      <w:pPr>
        <w:ind w:left="620" w:hanging="184"/>
        <w:spacing w:after="0"/>
        <w:tabs>
          <w:tab w:leader="none" w:pos="6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For purposes of this Confirmation:</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or communications to Counterparty:</w:t>
      </w:r>
    </w:p>
    <w:p>
      <w:pPr>
        <w:spacing w:after="0" w:line="11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909 Rose Avenue</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Suite 200</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North Bethesda, Maryland 20852</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Attention: [•]</w:t>
      </w:r>
    </w:p>
    <w:p>
      <w:pPr>
        <w:spacing w:after="0" w:line="99" w:lineRule="exact"/>
        <w:rPr>
          <w:sz w:val="20"/>
          <w:szCs w:val="20"/>
          <w:color w:val="auto"/>
        </w:rPr>
      </w:pPr>
    </w:p>
    <w:p>
      <w:pPr>
        <w:ind w:left="1820" w:right="6140" w:hanging="961"/>
        <w:spacing w:after="0" w:line="375" w:lineRule="auto"/>
        <w:tabs>
          <w:tab w:leader="none" w:pos="1123"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or communications to Dealer: [•]</w:t>
      </w:r>
    </w:p>
    <w:p>
      <w:pPr>
        <w:spacing w:after="0" w:line="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Provisions:</w:t>
      </w:r>
    </w:p>
    <w:p>
      <w:pPr>
        <w:spacing w:after="0" w:line="117" w:lineRule="exact"/>
        <w:rPr>
          <w:rFonts w:ascii="Times New Roman" w:cs="Times New Roman" w:eastAsia="Times New Roman" w:hAnsi="Times New Roman"/>
          <w:sz w:val="18"/>
          <w:szCs w:val="18"/>
          <w:color w:val="auto"/>
        </w:rPr>
      </w:pPr>
    </w:p>
    <w:p>
      <w:pPr>
        <w:ind w:left="440" w:firstLine="419"/>
        <w:spacing w:after="0" w:line="261" w:lineRule="auto"/>
        <w:tabs>
          <w:tab w:leader="none" w:pos="1107"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Effectiveness</w:t>
      </w:r>
      <w:r>
        <w:rPr>
          <w:rFonts w:ascii="Times New Roman" w:cs="Times New Roman" w:eastAsia="Times New Roman" w:hAnsi="Times New Roman"/>
          <w:sz w:val="18"/>
          <w:szCs w:val="18"/>
          <w:color w:val="auto"/>
        </w:rPr>
        <w:t>. This Transaction shall be effective if and only if Shares are sold by the Agent acting as forward seller for Dealer on or after the Trade Date and on or before the Hedge Completion Date pursuant to the Equity Distribution Agreement. If the Equity Distribution Agreement is terminated prior to any such sale of Shares thereunder, the parties shall have no further obligations in connection with this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B-1-15</w:t>
      </w:r>
    </w:p>
    <w:p>
      <w:pPr>
        <w:sectPr>
          <w:pgSz w:w="11900" w:h="16838" w:orient="portrait"/>
          <w:cols w:equalWidth="0" w:num="1">
            <w:col w:w="10840"/>
          </w:cols>
          <w:pgMar w:left="440" w:top="270" w:right="619" w:bottom="1440" w:gutter="0" w:footer="0" w:header="0"/>
          <w:type w:val="continuous"/>
        </w:sectPr>
      </w:pPr>
    </w:p>
    <w:bookmarkStart w:id="70" w:name="page71"/>
    <w:bookmarkEnd w:id="70"/>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Transaction, other than in respect of breaches of representations or covenants on or prior to such date. For the avoidance of doubt, if the Equity Distribution Agreement is terminated prior to the Hedge Completion Date, this Transaction shall remain effective with respect to any Shares that had been sold by the Agent acting as forward seller for Dealer on or after the Trade Date and prior to such termination.</w:t>
      </w:r>
    </w:p>
    <w:p>
      <w:pPr>
        <w:spacing w:after="0" w:line="68" w:lineRule="exact"/>
        <w:rPr>
          <w:sz w:val="20"/>
          <w:szCs w:val="20"/>
          <w:color w:val="auto"/>
        </w:rPr>
      </w:pPr>
    </w:p>
    <w:p>
      <w:pPr>
        <w:jc w:val="both"/>
        <w:ind w:right="40" w:firstLine="419"/>
        <w:spacing w:after="0" w:line="261" w:lineRule="auto"/>
        <w:tabs>
          <w:tab w:leader="none" w:pos="67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Distribution Agreement Representations, Warranties and Covenants</w:t>
      </w:r>
      <w:r>
        <w:rPr>
          <w:rFonts w:ascii="Times New Roman" w:cs="Times New Roman" w:eastAsia="Times New Roman" w:hAnsi="Times New Roman"/>
          <w:sz w:val="18"/>
          <w:szCs w:val="18"/>
          <w:color w:val="auto"/>
        </w:rPr>
        <w:t>. On the Trade Date and on each date on which Dealer or its affiliates makes a sale pursuant to a prospectus in connection with a hedge of this Transaction, Counterparty repeats and reaffirms as of such date all of the representations and warranties contained in the Equity Distribution Agreement. Counterparty hereby agrees to comply with its covenants contained in the Equity Distribution Agreement as if such covenants were made in favor of Dealer.</w:t>
      </w:r>
    </w:p>
    <w:p>
      <w:pPr>
        <w:spacing w:after="0" w:line="71" w:lineRule="exact"/>
        <w:rPr>
          <w:rFonts w:ascii="Times New Roman" w:cs="Times New Roman" w:eastAsia="Times New Roman" w:hAnsi="Times New Roman"/>
          <w:sz w:val="18"/>
          <w:szCs w:val="18"/>
          <w:color w:val="auto"/>
        </w:rPr>
      </w:pPr>
    </w:p>
    <w:p>
      <w:pPr>
        <w:ind w:right="20" w:firstLine="419"/>
        <w:spacing w:after="0" w:line="254" w:lineRule="auto"/>
        <w:tabs>
          <w:tab w:leader="none" w:pos="66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Interpretive Letter</w:t>
      </w:r>
      <w:r>
        <w:rPr>
          <w:rFonts w:ascii="Times New Roman" w:cs="Times New Roman" w:eastAsia="Times New Roman" w:hAnsi="Times New Roman"/>
          <w:sz w:val="18"/>
          <w:szCs w:val="18"/>
          <w:color w:val="auto"/>
        </w:rPr>
        <w:t>. Counterparty agrees and acknowledges that this Transaction is being entered into in accordance with the October 9, 2003 interpretive letter from the staff of the Securities and Exchange Commission to Goldman, Sachs &amp; Co. (the “</w:t>
      </w:r>
      <w:r>
        <w:rPr>
          <w:rFonts w:ascii="Times New Roman" w:cs="Times New Roman" w:eastAsia="Times New Roman" w:hAnsi="Times New Roman"/>
          <w:sz w:val="18"/>
          <w:szCs w:val="18"/>
          <w:b w:val="1"/>
          <w:bCs w:val="1"/>
          <w:i w:val="1"/>
          <w:iCs w:val="1"/>
          <w:color w:val="auto"/>
        </w:rPr>
        <w:t>Interpretive Letter</w:t>
      </w:r>
      <w:r>
        <w:rPr>
          <w:rFonts w:ascii="Times New Roman" w:cs="Times New Roman" w:eastAsia="Times New Roman" w:hAnsi="Times New Roman"/>
          <w:sz w:val="18"/>
          <w:szCs w:val="18"/>
          <w:color w:val="auto"/>
        </w:rPr>
        <w:t>”) and agrees to take all actions, and to omit to take any actions, reasonably requested by Dealer for this Transaction to comply with the Interpretive Letter. Without limiting the foregoing, Counterparty agrees that neither it nor any “affiliated purchaser” (as defined in Regulation M (“</w:t>
      </w:r>
      <w:r>
        <w:rPr>
          <w:rFonts w:ascii="Times New Roman" w:cs="Times New Roman" w:eastAsia="Times New Roman" w:hAnsi="Times New Roman"/>
          <w:sz w:val="18"/>
          <w:szCs w:val="18"/>
          <w:b w:val="1"/>
          <w:bCs w:val="1"/>
          <w:i w:val="1"/>
          <w:iCs w:val="1"/>
          <w:color w:val="auto"/>
        </w:rPr>
        <w:t>Regulation M</w:t>
      </w:r>
      <w:r>
        <w:rPr>
          <w:rFonts w:ascii="Times New Roman" w:cs="Times New Roman" w:eastAsia="Times New Roman" w:hAnsi="Times New Roman"/>
          <w:sz w:val="18"/>
          <w:szCs w:val="18"/>
          <w:color w:val="auto"/>
        </w:rPr>
        <w:t>”) promulgated under the Exchange Act) will, directly or indirectly, bid for, purchase or attempt to induce any person to bid for or purchase, the Shares or securities that are convertible into, or exchangeable or exercisable for, Shares during any “restricted period” as such term is defined in Regulation M. In addition, Counterparty represents that it is eligible to conduct a primary offering of Shares on Form S-3, the offering contemplated by the Equity Distribution Agreement complies with Rule 415 under the Securities Act, and the Shares are “actively traded” as defined in Rule 101(c)(1) of Regulation M.</w:t>
      </w:r>
    </w:p>
    <w:p>
      <w:pPr>
        <w:spacing w:after="0" w:line="80"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 and Acknowledgments Regarding Shares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firstLine="408"/>
        <w:spacing w:after="0" w:line="261" w:lineRule="auto"/>
        <w:tabs>
          <w:tab w:leader="none" w:pos="115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agrees and acknowledges that, in respect of any Shares delivered to Dealer hereunder, such Shares shall be newly issued (unless mutually agreed otherwise by the parties) and, upon such delivery, duly and validly authorized, issued and outstanding, fully paid and nonassessable, free of any lien, charge, claim or other encumbrance and not subject to any preemptive or similar rights and shall, upon such issuance, be accepted for listing or quotation on the Exchange.</w:t>
      </w:r>
    </w:p>
    <w:p>
      <w:pPr>
        <w:spacing w:after="0" w:line="71" w:lineRule="exact"/>
        <w:rPr>
          <w:rFonts w:ascii="Times New Roman" w:cs="Times New Roman" w:eastAsia="Times New Roman" w:hAnsi="Times New Roman"/>
          <w:sz w:val="18"/>
          <w:szCs w:val="18"/>
          <w:color w:val="auto"/>
        </w:rPr>
      </w:pPr>
    </w:p>
    <w:p>
      <w:pPr>
        <w:ind w:left="540" w:firstLine="408"/>
        <w:spacing w:after="0" w:line="258" w:lineRule="auto"/>
        <w:tabs>
          <w:tab w:leader="none" w:pos="120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agrees and acknowledges that Dealer (or an affiliate of Dealer) will hedge its exposure to this Transaction by selling Shares borrowed from third party securities lenders or other Shares pursuant to a registration statement, and that, pursuant to the terms of the Interpretive Letter, the Shares up to the Initial Number of Shares delivered, pledged or loaned by Counterparty to Dealer (or an affiliate of Dealer) in connection with this Transaction may be used by Dealer (or an affiliate of Dealer) to return to securities lenders without further</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B-1-16</w:t>
      </w:r>
    </w:p>
    <w:p>
      <w:pPr>
        <w:sectPr>
          <w:pgSz w:w="11900" w:h="16838" w:orient="portrait"/>
          <w:cols w:equalWidth="0" w:num="1">
            <w:col w:w="10560"/>
          </w:cols>
          <w:pgMar w:left="880" w:top="270" w:right="459" w:bottom="1440" w:gutter="0" w:footer="0" w:header="0"/>
        </w:sectPr>
      </w:pPr>
    </w:p>
    <w:bookmarkStart w:id="71" w:name="page72"/>
    <w:bookmarkEnd w:id="71"/>
    <w:p>
      <w:pPr>
        <w:ind w:left="121" w:right="1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registration or other restrictions under the Securities Act, in the hands of those securities lenders, irrespective of whether such securities loan is effected by Dealer or an affiliate of Dealer. Accordingly, subject to Paragraph 7(h) below, Counterparty agrees that the Shares that it delivers, pledges or loans to Dealer (or an affiliate of Dealer) on or prior to the final Settlement Date will not bear a restrictive legend and that such Shares will be deposited in, and the delivery thereof shall be effected through the facilities of, the Clearance System.</w:t>
      </w:r>
    </w:p>
    <w:p>
      <w:pPr>
        <w:spacing w:after="0" w:line="56" w:lineRule="exact"/>
        <w:rPr>
          <w:sz w:val="20"/>
          <w:szCs w:val="20"/>
          <w:color w:val="auto"/>
        </w:rPr>
      </w:pPr>
    </w:p>
    <w:p>
      <w:pPr>
        <w:jc w:val="both"/>
        <w:ind w:left="121" w:right="180" w:firstLine="408"/>
        <w:spacing w:after="0" w:line="266" w:lineRule="auto"/>
        <w:tabs>
          <w:tab w:leader="none" w:pos="83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agrees and acknowledges that it has reserved and will keep available at all times, free from preemptive or similar rights and free from any lien, charge, claim or other encumbrance, authorized but unissued Shares at least equal to the Share Cap, solely for the purpose of settlement under this Transaction.</w:t>
      </w:r>
    </w:p>
    <w:p>
      <w:pPr>
        <w:spacing w:after="0" w:line="67" w:lineRule="exact"/>
        <w:rPr>
          <w:rFonts w:ascii="Times New Roman" w:cs="Times New Roman" w:eastAsia="Times New Roman" w:hAnsi="Times New Roman"/>
          <w:sz w:val="18"/>
          <w:szCs w:val="18"/>
          <w:color w:val="auto"/>
        </w:rPr>
      </w:pPr>
    </w:p>
    <w:p>
      <w:pPr>
        <w:ind w:left="121" w:right="280" w:firstLine="408"/>
        <w:spacing w:after="0" w:line="261" w:lineRule="auto"/>
        <w:tabs>
          <w:tab w:leader="none" w:pos="82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provisions set forth below under “Private Placement Procedures” are applicable, Dealer agrees to use any Shares delivered by Counterparty hereunder on any Settlement Date to return to securities lenders to close out open securities loans created by Dealer or an affiliate of Dealer in the course of Dealer’s or such affiliate’s hedging activities related to Dealer’s exposure under this Transaction.</w:t>
      </w:r>
    </w:p>
    <w:p>
      <w:pPr>
        <w:spacing w:after="0" w:line="71" w:lineRule="exact"/>
        <w:rPr>
          <w:rFonts w:ascii="Times New Roman" w:cs="Times New Roman" w:eastAsia="Times New Roman" w:hAnsi="Times New Roman"/>
          <w:sz w:val="18"/>
          <w:szCs w:val="18"/>
          <w:color w:val="auto"/>
        </w:rPr>
      </w:pPr>
    </w:p>
    <w:p>
      <w:pPr>
        <w:ind w:left="121" w:right="160" w:firstLine="408"/>
        <w:spacing w:after="0" w:line="258" w:lineRule="auto"/>
        <w:tabs>
          <w:tab w:leader="none" w:pos="77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bids and purchases of Shares in connection with any Cash Settlement or Net Share Settlement of this Transaction, Dealer shall use its good faith efforts to conduct its activities, or cause its affiliates to conduct their activities, in a manner consistent with the requirements of the safe harbor provided by Rule 10b-18, as if such provisions were applicable to such purchases and any analogous purchases under any Additional Transaction, taking into account any applicable Securities and Exchange Commission no action letters, as appropriate.</w:t>
      </w:r>
    </w:p>
    <w:p>
      <w:pPr>
        <w:spacing w:after="0" w:line="75" w:lineRule="exact"/>
        <w:rPr>
          <w:rFonts w:ascii="Times New Roman" w:cs="Times New Roman" w:eastAsia="Times New Roman" w:hAnsi="Times New Roman"/>
          <w:sz w:val="18"/>
          <w:szCs w:val="18"/>
          <w:color w:val="auto"/>
        </w:rPr>
      </w:pPr>
    </w:p>
    <w:p>
      <w:pPr>
        <w:ind w:left="241" w:hanging="241"/>
        <w:spacing w:after="0"/>
        <w:tabs>
          <w:tab w:leader="none" w:pos="24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Representations and Agreements of Counterparty</w:t>
      </w:r>
      <w:r>
        <w:rPr>
          <w:rFonts w:ascii="Times New Roman" w:cs="Times New Roman" w:eastAsia="Times New Roman" w:hAnsi="Times New Roman"/>
          <w:sz w:val="18"/>
          <w:szCs w:val="18"/>
          <w:color w:val="auto"/>
        </w:rPr>
        <w:t>. Counterparty represents, warrants and agrees as follows:</w:t>
      </w:r>
    </w:p>
    <w:p>
      <w:pPr>
        <w:spacing w:after="0" w:line="117" w:lineRule="exact"/>
        <w:rPr>
          <w:rFonts w:ascii="Times New Roman" w:cs="Times New Roman" w:eastAsia="Times New Roman" w:hAnsi="Times New Roman"/>
          <w:sz w:val="18"/>
          <w:szCs w:val="18"/>
          <w:color w:val="auto"/>
        </w:rPr>
      </w:pPr>
    </w:p>
    <w:p>
      <w:pPr>
        <w:ind w:left="121" w:firstLine="408"/>
        <w:spacing w:after="0" w:line="254" w:lineRule="auto"/>
        <w:tabs>
          <w:tab w:leader="none" w:pos="736"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represents to Dealer on the Trade Date and on any date that Counterparty notifies Dealer that Cash Settlement or Net Share Settlement applies to this Transaction, that (A) Counterparty is not aware of any material nonpublic information regarding Counterparty or the Shares, (B) each of its filings under the Securities Act, the Exchange Act or other applicable securities laws that are required to be filed have been filed and that, as of the date of this representation, when considered as a whole (with the more recent such filings deemed to amend inconsistent statements contained in any earlier such filings), there is no misstatement of material fact contained therein or omission of a material fact required to be stated therein or necessary to make the statements made therein, in the light of the circumstances under which they were made, not misleading, and (C) Counterparty is not entering into this Confirmation nor making any election hereunder to create actual or apparent trading activity in the</w:t>
      </w:r>
    </w:p>
    <w:p>
      <w:pPr>
        <w:spacing w:after="0" w:line="124" w:lineRule="exact"/>
        <w:rPr>
          <w:sz w:val="20"/>
          <w:szCs w:val="20"/>
          <w:color w:val="auto"/>
        </w:rPr>
      </w:pPr>
    </w:p>
    <w:p>
      <w:pPr>
        <w:ind w:left="4381"/>
        <w:spacing w:after="0"/>
        <w:rPr>
          <w:sz w:val="20"/>
          <w:szCs w:val="20"/>
          <w:color w:val="auto"/>
        </w:rPr>
      </w:pPr>
      <w:r>
        <w:rPr>
          <w:rFonts w:ascii="Times New Roman" w:cs="Times New Roman" w:eastAsia="Times New Roman" w:hAnsi="Times New Roman"/>
          <w:sz w:val="18"/>
          <w:szCs w:val="18"/>
          <w:color w:val="auto"/>
        </w:rPr>
        <w:t>B-1-17</w:t>
      </w:r>
    </w:p>
    <w:p>
      <w:pPr>
        <w:sectPr>
          <w:pgSz w:w="11900" w:h="16838" w:orient="portrait"/>
          <w:cols w:equalWidth="0" w:num="1">
            <w:col w:w="10141"/>
          </w:cols>
          <w:pgMar w:left="1299" w:top="270" w:right="459" w:bottom="1440" w:gutter="0" w:footer="0" w:header="0"/>
        </w:sectPr>
      </w:pPr>
    </w:p>
    <w:bookmarkStart w:id="72" w:name="page73"/>
    <w:bookmarkEnd w:id="72"/>
    <w:p>
      <w:pPr>
        <w:ind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Shares (or any security convertible into or exchangeable for Shares) or to raise or depress or otherwise manipulate the price of the Shares (or any security convertible into or exchangeable for Shares) or otherwise in violation of the Exchange Act. In addition to any other requirement set forth herein, Counterparty agrees not to designate, or to appropriately rescind or modify a prior designation of, any Settlement Date if it is notified by Dealer that, in the reasonable determination of Dealer, based on advice of counsel, such settlement or Dealer’s related market activity in respect of such date would result in a violation of any applicable federal or state law or regulation, including the U.S. federal securities laws.</w:t>
      </w:r>
    </w:p>
    <w:p>
      <w:pPr>
        <w:spacing w:after="0" w:line="79" w:lineRule="exact"/>
        <w:rPr>
          <w:sz w:val="20"/>
          <w:szCs w:val="20"/>
          <w:color w:val="auto"/>
        </w:rPr>
      </w:pPr>
    </w:p>
    <w:p>
      <w:pPr>
        <w:ind w:right="40" w:firstLine="408"/>
        <w:spacing w:after="0" w:line="255" w:lineRule="auto"/>
        <w:tabs>
          <w:tab w:leader="none" w:pos="66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intent of Dealer and Counterparty that following any election of Cash Settlement or Net Share Settlement by Counterparty, the purchase of Shares by Dealer during any Unwind Period shall comply with the requirements of Rule 10b5-l(c)(l)(i)(B) under the Exchange Act and that this Confirmation shall be interpreted to comply with the requirements of Rule 10b5-l(c) under the Exchange Act. Counterparty acknowledges that (i) during any Unwind Period Counterparty shall not have, and shall not attempt to exercise, any influence over how, when or whether to effect purchases of Shares by Dealer (or its agent or affiliate) in connection with this Confirmation and (ii) Counterparty is entering into the Agreement and this Confirmation in good faith and not as part of a plan or scheme to evade compliance with federal securities laws including, without limitation, Rule 10b-5 under the Exchange Act.</w:t>
      </w:r>
    </w:p>
    <w:p>
      <w:pPr>
        <w:spacing w:after="0" w:line="80" w:lineRule="exact"/>
        <w:rPr>
          <w:rFonts w:ascii="Times New Roman" w:cs="Times New Roman" w:eastAsia="Times New Roman" w:hAnsi="Times New Roman"/>
          <w:sz w:val="18"/>
          <w:szCs w:val="18"/>
          <w:color w:val="auto"/>
        </w:rPr>
      </w:pPr>
    </w:p>
    <w:p>
      <w:pPr>
        <w:ind w:right="240" w:firstLine="408"/>
        <w:spacing w:after="0" w:line="258" w:lineRule="auto"/>
        <w:tabs>
          <w:tab w:leader="none" w:pos="71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at least one day prior to the first day of any Unwind Period, notify Dealer of the total number of Shares purchased in Rule 10b-18 purchases of blocks pursuant to the once-a-week block exception contained in Rule 10b-18(b)(4) by or for Counterparty or any of its affiliated purchasers during each of the four calendar weeks preceding the first day of the Unwind Period and during the calendar week in which the first day of the Unwind Period occurs (“</w:t>
      </w:r>
      <w:r>
        <w:rPr>
          <w:rFonts w:ascii="Times New Roman" w:cs="Times New Roman" w:eastAsia="Times New Roman" w:hAnsi="Times New Roman"/>
          <w:sz w:val="18"/>
          <w:szCs w:val="18"/>
          <w:b w:val="1"/>
          <w:bCs w:val="1"/>
          <w:i w:val="1"/>
          <w:iCs w:val="1"/>
          <w:color w:val="auto"/>
        </w:rPr>
        <w:t>Rule 10b-18 purchase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blocks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affiliated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each being used as defined in Rule 10b-18).</w:t>
      </w:r>
    </w:p>
    <w:p>
      <w:pPr>
        <w:spacing w:after="0" w:line="75" w:lineRule="exact"/>
        <w:rPr>
          <w:rFonts w:ascii="Times New Roman" w:cs="Times New Roman" w:eastAsia="Times New Roman" w:hAnsi="Times New Roman"/>
          <w:sz w:val="18"/>
          <w:szCs w:val="18"/>
          <w:color w:val="auto"/>
        </w:rPr>
      </w:pPr>
    </w:p>
    <w:p>
      <w:pPr>
        <w:ind w:right="460" w:firstLine="408"/>
        <w:spacing w:after="0" w:line="261" w:lineRule="auto"/>
        <w:tabs>
          <w:tab w:leader="none" w:pos="70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Unwind Period, Counterparty shall (i) notify Dealer prior to the opening of trading in the Shares on any day on which Counterparty makes, or reasonably expects in advance of the opening to be made, any public announcement (as defined in</w:t>
      </w:r>
    </w:p>
    <w:p>
      <w:pPr>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165(f) under the Securities Act) of any merger, acquisition, or similar transaction involving a recapitalization relating to Counterparty (other than any such transaction in which the consideration consists solely of cash and there is no valuation period), (ii) promptly notify Dealer following any such announcement that such announcement has been made, and (iii) promptly deliver to Dealer following the making of any such announcement information indicating (A) Counterparty’s average daily Rule 10b-18 purchases (as defined in</w:t>
      </w:r>
    </w:p>
    <w:p>
      <w:pPr>
        <w:spacing w:after="0" w:line="1" w:lineRule="exact"/>
        <w:rPr>
          <w:rFonts w:ascii="Times New Roman" w:cs="Times New Roman" w:eastAsia="Times New Roman" w:hAnsi="Times New Roman"/>
          <w:sz w:val="18"/>
          <w:szCs w:val="18"/>
          <w:color w:val="auto"/>
        </w:rPr>
      </w:pPr>
    </w:p>
    <w:p>
      <w:pPr>
        <w:ind w:right="2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10b-18) during the three full calendar months preceding the date of the announcement of such transaction and (B) Counterparty’s block purchases (as defined in Rule 10b-18) effected pursuant to Rule 10b-18(b)(4) during the three full calendar months preceding the date of the announcement of such transaction. In addition, Counterparty shall promptly notify Dealer of the earlier to occur of the completion of such transaction and the completion of the vote by target shareholders.</w:t>
      </w:r>
    </w:p>
    <w:p>
      <w:pPr>
        <w:spacing w:after="0" w:line="12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B-1-18</w:t>
      </w:r>
    </w:p>
    <w:p>
      <w:pPr>
        <w:sectPr>
          <w:pgSz w:w="11900" w:h="16838" w:orient="portrait"/>
          <w:cols w:equalWidth="0" w:num="1">
            <w:col w:w="10020"/>
          </w:cols>
          <w:pgMar w:left="1420" w:top="270" w:right="459" w:bottom="1440" w:gutter="0" w:footer="0" w:header="0"/>
        </w:sectPr>
      </w:pPr>
    </w:p>
    <w:bookmarkStart w:id="73" w:name="page74"/>
    <w:bookmarkEnd w:id="73"/>
    <w:p>
      <w:pPr>
        <w:ind w:left="-20" w:right="20" w:firstLine="408"/>
        <w:spacing w:after="0" w:line="256" w:lineRule="auto"/>
        <w:tabs>
          <w:tab w:leader="none" w:pos="63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Neither Counterparty nor any of its affiliated purchasers (within the meaning of Rule 10b-18) shall take or refrain from taking any action (including, without limitation, any direct purchases by Counterparty or any of its affiliates, or any purchases by a party to a derivative transaction with Counterparty or any of its affiliates), either under this Confirmation, under an agreement with another party or otherwise, that Counterparty reasonably believes to cause any purchases of Shares by Dealer or any of its affiliates in connection with any Cash Settlement or Net Share Settlement of this Transaction not to meet the requirements of the safe harbor provided by Rule 10b-18 determined as if all such foregoing purchases were made by Counterparty.</w:t>
      </w:r>
    </w:p>
    <w:p>
      <w:pPr>
        <w:spacing w:after="0" w:line="79" w:lineRule="exact"/>
        <w:rPr>
          <w:rFonts w:ascii="Times New Roman" w:cs="Times New Roman" w:eastAsia="Times New Roman" w:hAnsi="Times New Roman"/>
          <w:sz w:val="18"/>
          <w:szCs w:val="18"/>
          <w:color w:val="auto"/>
        </w:rPr>
      </w:pPr>
    </w:p>
    <w:p>
      <w:pPr>
        <w:ind w:left="-20" w:right="60" w:firstLine="408"/>
        <w:spacing w:after="0" w:line="266" w:lineRule="auto"/>
        <w:tabs>
          <w:tab w:leader="none" w:pos="68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will not engage in any “distribution” (as defined in Regulation M), other than a distribution meeting, in each case, the requirements of an exception set forth in each of Rules 101(b) and 102(b) of Regulation M that would cause a “restricted period” (as defined in Regulation M) to occur during any Unwind Period.</w:t>
      </w:r>
    </w:p>
    <w:p>
      <w:pPr>
        <w:spacing w:after="0" w:line="67" w:lineRule="exact"/>
        <w:rPr>
          <w:rFonts w:ascii="Times New Roman" w:cs="Times New Roman" w:eastAsia="Times New Roman" w:hAnsi="Times New Roman"/>
          <w:sz w:val="18"/>
          <w:szCs w:val="18"/>
          <w:color w:val="auto"/>
        </w:rPr>
      </w:pPr>
    </w:p>
    <w:p>
      <w:pPr>
        <w:ind w:left="-20" w:right="540" w:firstLine="408"/>
        <w:spacing w:after="0" w:line="282" w:lineRule="auto"/>
        <w:tabs>
          <w:tab w:leader="none" w:pos="73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not, and after giving effect to the transactions contemplated hereby will not be, required to register as an “investment company” as such term is defined in the Investment Company Act of 1940, as amended.</w:t>
      </w:r>
    </w:p>
    <w:p>
      <w:pPr>
        <w:spacing w:after="0" w:line="53" w:lineRule="exact"/>
        <w:rPr>
          <w:rFonts w:ascii="Times New Roman" w:cs="Times New Roman" w:eastAsia="Times New Roman" w:hAnsi="Times New Roman"/>
          <w:sz w:val="18"/>
          <w:szCs w:val="18"/>
          <w:color w:val="auto"/>
        </w:rPr>
      </w:pPr>
    </w:p>
    <w:p>
      <w:pPr>
        <w:ind w:left="-20" w:right="100" w:firstLine="408"/>
        <w:spacing w:after="0" w:line="282" w:lineRule="auto"/>
        <w:tabs>
          <w:tab w:leader="none" w:pos="78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not insolvent, nor will Counterparty be rendered insolvent as a result of this Transaction or its performance of the terms hereof.</w:t>
      </w:r>
    </w:p>
    <w:p>
      <w:pPr>
        <w:spacing w:after="0" w:line="53" w:lineRule="exact"/>
        <w:rPr>
          <w:rFonts w:ascii="Times New Roman" w:cs="Times New Roman" w:eastAsia="Times New Roman" w:hAnsi="Times New Roman"/>
          <w:sz w:val="18"/>
          <w:szCs w:val="18"/>
          <w:color w:val="auto"/>
        </w:rPr>
      </w:pPr>
    </w:p>
    <w:p>
      <w:pPr>
        <w:ind w:left="-20" w:firstLine="408"/>
        <w:spacing w:after="0" w:line="258" w:lineRule="auto"/>
        <w:tabs>
          <w:tab w:leader="none" w:pos="68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Section 13.1 of the Equity Definitions, Counterparty acknowledges that Dealer is not making any representations or warranties or taking any position or expressing any view with respect to the treatment of this Transaction under any accounting standards including ASC Topic 260, Earnings Per Share, ASC Topic 815, Derivatives and Hedging, or ASC Topic 480, Distinguishing Liabilities from Equity and ASC 815-40, Derivatives and Hedging – Contracts in Entity’s Own Equity (or any successor issue statements) or under FASB’s Liabilities &amp; Equity Project.</w:t>
      </w:r>
    </w:p>
    <w:p>
      <w:pPr>
        <w:spacing w:after="0" w:line="75" w:lineRule="exact"/>
        <w:rPr>
          <w:rFonts w:ascii="Times New Roman" w:cs="Times New Roman" w:eastAsia="Times New Roman" w:hAnsi="Times New Roman"/>
          <w:sz w:val="18"/>
          <w:szCs w:val="18"/>
          <w:color w:val="auto"/>
        </w:rPr>
      </w:pPr>
    </w:p>
    <w:p>
      <w:pPr>
        <w:ind w:left="-20" w:right="20" w:firstLine="408"/>
        <w:spacing w:after="0" w:line="282" w:lineRule="auto"/>
        <w:tabs>
          <w:tab w:leader="none" w:pos="63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understands that no obligations of Dealer to it hereunder will be entitled to the benefit of deposit insurance and that such obligations will not be guaranteed by any affiliate of Dealer or any governmental agency.</w:t>
      </w:r>
    </w:p>
    <w:p>
      <w:pPr>
        <w:spacing w:after="0" w:line="53" w:lineRule="exact"/>
        <w:rPr>
          <w:rFonts w:ascii="Times New Roman" w:cs="Times New Roman" w:eastAsia="Times New Roman" w:hAnsi="Times New Roman"/>
          <w:sz w:val="18"/>
          <w:szCs w:val="18"/>
          <w:color w:val="auto"/>
        </w:rPr>
      </w:pPr>
    </w:p>
    <w:p>
      <w:pPr>
        <w:ind w:left="-20" w:right="220" w:firstLine="408"/>
        <w:spacing w:after="0" w:line="266" w:lineRule="auto"/>
        <w:tabs>
          <w:tab w:leader="none" w:pos="68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Counterparty’s actual knowledge, no federal, state or local (including non-U.S. jurisdictions) law, rule, regulation or regulatory order applicable to the Shares would give rise to any reporting, consent, registration or other requirement (including without limitation a requirement to obtain prior</w:t>
      </w:r>
    </w:p>
    <w:p>
      <w:pPr>
        <w:spacing w:after="0" w:line="10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B-1-19</w:t>
      </w:r>
    </w:p>
    <w:p>
      <w:pPr>
        <w:sectPr>
          <w:pgSz w:w="11900" w:h="16838" w:orient="portrait"/>
          <w:cols w:equalWidth="0" w:num="1">
            <w:col w:w="9940"/>
          </w:cols>
          <w:pgMar w:left="1440" w:top="270" w:right="519" w:bottom="1440" w:gutter="0" w:footer="0" w:header="0"/>
        </w:sectPr>
      </w:pPr>
    </w:p>
    <w:bookmarkStart w:id="74" w:name="page75"/>
    <w:bookmarkEnd w:id="74"/>
    <w:p>
      <w:pPr>
        <w:ind w:right="6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approval from any person or entity) as a result of Dealer or its affiliates owning or holding (however defined) Shares, other than Sections 13 and 16 of the Exchange Act or Article VII of the Declaration of Trust of Counterparty, as amended and supplemented; </w:t>
      </w: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Counterparty makes no representation or warranty regarding any such requirement that is applicable generally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ownership of equity securities by Dealer or its affiliates solely as a result of their being a financial institution or broker-dealer.</w:t>
      </w:r>
    </w:p>
    <w:p>
      <w:pPr>
        <w:spacing w:after="0" w:line="56" w:lineRule="exact"/>
        <w:rPr>
          <w:sz w:val="20"/>
          <w:szCs w:val="20"/>
          <w:color w:val="auto"/>
        </w:rPr>
      </w:pPr>
    </w:p>
    <w:p>
      <w:pPr>
        <w:jc w:val="both"/>
        <w:ind w:right="220" w:firstLine="408"/>
        <w:spacing w:after="0" w:line="258" w:lineRule="auto"/>
        <w:tabs>
          <w:tab w:leader="none" w:pos="75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filing with, or approval, authorization, consent, license, registration, qualification, order or decree of, any court or governmental authority or agency, domestic or foreign, is necessary or required for the execution, delivery and performance by Counterparty of this Confirmation and the consummation of this Transaction (including, without limitation, the issuance and delivery of Shares on any Settlement Date) except (i) such as have been obtained or made under the Securities Act and (ii) as may be required to be obtained or made under state securities laws.</w:t>
      </w:r>
    </w:p>
    <w:p>
      <w:pPr>
        <w:spacing w:after="0" w:line="75" w:lineRule="exact"/>
        <w:rPr>
          <w:rFonts w:ascii="Times New Roman" w:cs="Times New Roman" w:eastAsia="Times New Roman" w:hAnsi="Times New Roman"/>
          <w:sz w:val="18"/>
          <w:szCs w:val="18"/>
          <w:color w:val="auto"/>
        </w:rPr>
      </w:pPr>
    </w:p>
    <w:p>
      <w:pPr>
        <w:jc w:val="both"/>
        <w:ind w:right="160" w:firstLine="408"/>
        <w:spacing w:after="0" w:line="266" w:lineRule="auto"/>
        <w:tabs>
          <w:tab w:leader="none" w:pos="80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 has such knowledge and experience in financial and business affairs as to be capable of evaluating the merits and risks of entering into this Transaction; (ii) has consulted with its own legal, financial, accounting and tax advisors in connection with this Transaction; and (iii) is entering into this Transaction for a bona fide business purpose.</w:t>
      </w:r>
    </w:p>
    <w:p>
      <w:pPr>
        <w:spacing w:after="0" w:line="67" w:lineRule="exact"/>
        <w:rPr>
          <w:rFonts w:ascii="Times New Roman" w:cs="Times New Roman" w:eastAsia="Times New Roman" w:hAnsi="Times New Roman"/>
          <w:sz w:val="18"/>
          <w:szCs w:val="18"/>
          <w:color w:val="auto"/>
        </w:rPr>
      </w:pPr>
    </w:p>
    <w:p>
      <w:pPr>
        <w:ind w:firstLine="408"/>
        <w:spacing w:after="0" w:line="282" w:lineRule="auto"/>
        <w:tabs>
          <w:tab w:leader="none" w:pos="79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will, by the next succeeding Scheduled Trading Day notify Dealer upon obtaining knowledge of the occurrence of any event that would constitute an Event of Default, a Potential Event of Default or a Potential Adjustment Event.</w:t>
      </w:r>
    </w:p>
    <w:p>
      <w:pPr>
        <w:spacing w:after="0" w:line="53" w:lineRule="exact"/>
        <w:rPr>
          <w:rFonts w:ascii="Times New Roman" w:cs="Times New Roman" w:eastAsia="Times New Roman" w:hAnsi="Times New Roman"/>
          <w:sz w:val="18"/>
          <w:szCs w:val="18"/>
          <w:color w:val="auto"/>
        </w:rPr>
      </w:pPr>
    </w:p>
    <w:p>
      <w:pPr>
        <w:ind w:firstLine="408"/>
        <w:spacing w:after="0" w:line="261" w:lineRule="auto"/>
        <w:tabs>
          <w:tab w:leader="none" w:pos="74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positions of Counterparty’s common stock held by Dealer or any of its affiliates solely in its capacity as a nominee or fiduciary (where Dealer and such affiliates have no economic interest in such positions) do not constitute “ownership” by Dealer, and Dealer shall not be deemed or treated as the beneficial or constructive “owner” of such positions, in each case, for purposes of Article VII of the Declaration of Trust of Counterparty, as amended and supplemented, except for purposes of Section 7.2.4 thereof.</w:t>
      </w:r>
    </w:p>
    <w:p>
      <w:pPr>
        <w:spacing w:after="0" w:line="71" w:lineRule="exact"/>
        <w:rPr>
          <w:rFonts w:ascii="Times New Roman" w:cs="Times New Roman" w:eastAsia="Times New Roman" w:hAnsi="Times New Roman"/>
          <w:sz w:val="18"/>
          <w:szCs w:val="18"/>
          <w:color w:val="auto"/>
        </w:rPr>
      </w:pPr>
    </w:p>
    <w:p>
      <w:pPr>
        <w:jc w:val="both"/>
        <w:ind w:right="140" w:firstLine="408"/>
        <w:spacing w:after="0" w:line="261" w:lineRule="auto"/>
        <w:tabs>
          <w:tab w:leader="none" w:pos="79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 is capable of evaluating investment risks independently, both in general and with regard to particular transactions and investment strategies involving a security or securities; (ii) will exercise independent judgment in evaluating the recommendations of any broker-dealer or its associated persons, unless it has otherwise notified the broker-dealer in writing; and (iii) has total assets of at least USD 50 million as of the date hereof.</w:t>
      </w:r>
    </w:p>
    <w:p>
      <w:pPr>
        <w:spacing w:after="0" w:line="11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B-1-20</w:t>
      </w:r>
    </w:p>
    <w:p>
      <w:pPr>
        <w:sectPr>
          <w:pgSz w:w="11900" w:h="16838" w:orient="portrait"/>
          <w:cols w:equalWidth="0" w:num="1">
            <w:col w:w="10020"/>
          </w:cols>
          <w:pgMar w:left="1420" w:top="270" w:right="459" w:bottom="1440" w:gutter="0" w:footer="0" w:header="0"/>
        </w:sectPr>
      </w:pPr>
    </w:p>
    <w:bookmarkStart w:id="75" w:name="page76"/>
    <w:bookmarkEnd w:id="75"/>
    <w:p>
      <w:pPr>
        <w:ind w:left="221" w:hanging="221"/>
        <w:spacing w:after="0"/>
        <w:tabs>
          <w:tab w:leader="none" w:pos="22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Acceleration Events</w:t>
      </w:r>
      <w:r>
        <w:rPr>
          <w:rFonts w:ascii="Times New Roman" w:cs="Times New Roman" w:eastAsia="Times New Roman" w:hAnsi="Times New Roman"/>
          <w:sz w:val="18"/>
          <w:szCs w:val="18"/>
          <w:color w:val="auto"/>
        </w:rPr>
        <w:t>. Each of the following events shall constitute an “</w:t>
      </w:r>
      <w:r>
        <w:rPr>
          <w:rFonts w:ascii="Times New Roman" w:cs="Times New Roman" w:eastAsia="Times New Roman" w:hAnsi="Times New Roman"/>
          <w:sz w:val="18"/>
          <w:szCs w:val="18"/>
          <w:b w:val="1"/>
          <w:bCs w:val="1"/>
          <w:i w:val="1"/>
          <w:iCs w:val="1"/>
          <w:color w:val="auto"/>
        </w:rPr>
        <w:t>Acceleration Event</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121" w:right="460" w:firstLine="408"/>
        <w:spacing w:after="0" w:line="272" w:lineRule="auto"/>
        <w:tabs>
          <w:tab w:leader="none" w:pos="736"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Borrow Event</w:t>
      </w:r>
      <w:r>
        <w:rPr>
          <w:rFonts w:ascii="Times New Roman" w:cs="Times New Roman" w:eastAsia="Times New Roman" w:hAnsi="Times New Roman"/>
          <w:sz w:val="17"/>
          <w:szCs w:val="17"/>
          <w:color w:val="auto"/>
        </w:rPr>
        <w:t>. In the commercially reasonable judgment of Dealer, Dealer (or an affiliate of Dealer) (A) is not able to hedge in a commercially reasonable manner its exposure under this Transaction because insufficient Shares are made available for borrowing by securities lenders or (B) would incur a cost to borrow (or to maintain a borrow of) Shares to hedge in a commercially</w:t>
      </w:r>
    </w:p>
    <w:p>
      <w:pPr>
        <w:ind w:left="121"/>
        <w:spacing w:after="0" w:line="189" w:lineRule="auto"/>
        <w:tabs>
          <w:tab w:leader="none" w:pos="6820" w:val="left"/>
        </w:tabs>
        <w:rPr>
          <w:sz w:val="20"/>
          <w:szCs w:val="20"/>
          <w:color w:val="auto"/>
        </w:rPr>
      </w:pPr>
      <w:r>
        <w:rPr>
          <w:rFonts w:ascii="Times New Roman" w:cs="Times New Roman" w:eastAsia="Times New Roman" w:hAnsi="Times New Roman"/>
          <w:sz w:val="18"/>
          <w:szCs w:val="18"/>
          <w:color w:val="auto"/>
        </w:rPr>
        <w:t>reasonable manner its exposure under this Transaction that is greater than a rate equal to [</w:t>
        <w:tab/>
        <w:t>] basis points per annum (each, a “</w:t>
      </w:r>
      <w:r>
        <w:rPr>
          <w:rFonts w:ascii="Times New Roman" w:cs="Times New Roman" w:eastAsia="Times New Roman" w:hAnsi="Times New Roman"/>
          <w:sz w:val="18"/>
          <w:szCs w:val="18"/>
          <w:b w:val="1"/>
          <w:bCs w:val="1"/>
          <w:i w:val="1"/>
          <w:iCs w:val="1"/>
          <w:color w:val="auto"/>
        </w:rPr>
        <w:t>Stock</w:t>
      </w:r>
    </w:p>
    <w:p>
      <w:pPr>
        <w:spacing w:after="0" w:line="56" w:lineRule="exact"/>
        <w:rPr>
          <w:sz w:val="20"/>
          <w:szCs w:val="20"/>
          <w:color w:val="auto"/>
        </w:rPr>
      </w:pPr>
    </w:p>
    <w:p>
      <w:pPr>
        <w:ind w:left="121"/>
        <w:spacing w:after="0"/>
        <w:rPr>
          <w:sz w:val="20"/>
          <w:szCs w:val="20"/>
          <w:color w:val="auto"/>
        </w:rPr>
      </w:pPr>
      <w:r>
        <w:rPr>
          <w:rFonts w:ascii="Times New Roman" w:cs="Times New Roman" w:eastAsia="Times New Roman" w:hAnsi="Times New Roman"/>
          <w:sz w:val="18"/>
          <w:szCs w:val="18"/>
          <w:b w:val="1"/>
          <w:bCs w:val="1"/>
          <w:i w:val="1"/>
          <w:iCs w:val="1"/>
          <w:color w:val="auto"/>
        </w:rPr>
        <w:t>Borrow Event</w:t>
      </w:r>
      <w:r>
        <w:rPr>
          <w:rFonts w:ascii="Times New Roman" w:cs="Times New Roman" w:eastAsia="Times New Roman" w:hAnsi="Times New Roman"/>
          <w:sz w:val="18"/>
          <w:szCs w:val="18"/>
          <w:color w:val="auto"/>
        </w:rPr>
        <w:t>”);</w:t>
      </w:r>
    </w:p>
    <w:p>
      <w:pPr>
        <w:spacing w:after="0" w:line="97" w:lineRule="exact"/>
        <w:rPr>
          <w:sz w:val="20"/>
          <w:szCs w:val="20"/>
          <w:color w:val="auto"/>
        </w:rPr>
      </w:pPr>
    </w:p>
    <w:p>
      <w:pPr>
        <w:ind w:left="121" w:right="40" w:firstLine="408"/>
        <w:spacing w:after="0" w:line="269" w:lineRule="auto"/>
        <w:tabs>
          <w:tab w:leader="none" w:pos="786"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Dividends and Other Distributions</w:t>
      </w:r>
      <w:r>
        <w:rPr>
          <w:rFonts w:ascii="Times New Roman" w:cs="Times New Roman" w:eastAsia="Times New Roman" w:hAnsi="Times New Roman"/>
          <w:sz w:val="17"/>
          <w:szCs w:val="17"/>
          <w:color w:val="auto"/>
        </w:rPr>
        <w:t>. On any day occurring after the Trade Date, Counterparty declares a distribution, issue or dividend to existing holders of the Shares of (A) any cash dividend (other than an Extraordinary Dividend) to the extent all cash dividends having an ex-dividend date during the period from, and including, any Forward Price Reduction Date (with the Trade Date being a Forward Price Reduction Date for purposes of this paragraph (ii) only) to, but excluding, the next subsequent Forward Price Reduction Date exceeds, on a per Share basis, the Forward Price Reduction Amount set forth opposite the first date of any such period on Schedule I,</w:t>
      </w:r>
    </w:p>
    <w:p>
      <w:pPr>
        <w:spacing w:after="0" w:line="2" w:lineRule="exact"/>
        <w:rPr>
          <w:rFonts w:ascii="Times New Roman" w:cs="Times New Roman" w:eastAsia="Times New Roman" w:hAnsi="Times New Roman"/>
          <w:sz w:val="17"/>
          <w:szCs w:val="17"/>
          <w:color w:val="auto"/>
        </w:rPr>
      </w:pPr>
    </w:p>
    <w:p>
      <w:pPr>
        <w:ind w:left="121" w:firstLine="7"/>
        <w:spacing w:after="0" w:line="251" w:lineRule="auto"/>
        <w:tabs>
          <w:tab w:leader="none" w:pos="40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Extraordinary Dividend, (C) any share capital or other securities of another issuer acquired or owned (directly or indirectly) by Counterparty as a result of a spin-off or other similar transaction or (D) any other type of securities (other than Shares), rights or warrants or other assets, in any case for payment (cash or other consideration) at less than the prevailing market price, as determined in a commercially reasonable manner by Dealer; “</w:t>
      </w:r>
      <w:r>
        <w:rPr>
          <w:rFonts w:ascii="Times New Roman" w:cs="Times New Roman" w:eastAsia="Times New Roman" w:hAnsi="Times New Roman"/>
          <w:sz w:val="18"/>
          <w:szCs w:val="18"/>
          <w:b w:val="1"/>
          <w:bCs w:val="1"/>
          <w:i w:val="1"/>
          <w:iCs w:val="1"/>
          <w:color w:val="auto"/>
        </w:rPr>
        <w:t>Extraordinary Dividend</w:t>
      </w:r>
      <w:r>
        <w:rPr>
          <w:rFonts w:ascii="Times New Roman" w:cs="Times New Roman" w:eastAsia="Times New Roman" w:hAnsi="Times New Roman"/>
          <w:sz w:val="18"/>
          <w:szCs w:val="18"/>
          <w:color w:val="auto"/>
        </w:rPr>
        <w:t>” means any dividend or distribution (that is not an ordinary cash dividend) declared by the Issuer with respect to the Shares that, in the commercially reasonable determination of Dealer, is (1) a dividend or distribution declared on the Shares at a time at which the Issuer has not previously declared or paid dividends or distributions on such Shares for the prior four quarterly periods, (2) a payment or distribution by the Issuer to holders of Shares that the Issuer announces will be an “extraordinary” or “special” dividend or distribution, (3) a payment by the Issuer to holders of Shares out of the Issuer’s capital and surplus or (4) any other “special” dividend or distribution on the Shares that is, by its terms or declared intent, outside the normal course of operations or normal dividend policies or practices of the Issuer;</w:t>
      </w:r>
    </w:p>
    <w:p>
      <w:pPr>
        <w:spacing w:after="0" w:line="84" w:lineRule="exact"/>
        <w:rPr>
          <w:rFonts w:ascii="Times New Roman" w:cs="Times New Roman" w:eastAsia="Times New Roman" w:hAnsi="Times New Roman"/>
          <w:sz w:val="18"/>
          <w:szCs w:val="18"/>
          <w:color w:val="auto"/>
        </w:rPr>
      </w:pPr>
    </w:p>
    <w:p>
      <w:pPr>
        <w:ind w:left="121" w:right="140" w:firstLine="408"/>
        <w:spacing w:after="0" w:line="289" w:lineRule="auto"/>
        <w:tabs>
          <w:tab w:leader="none" w:pos="836"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ISDA Termination</w:t>
      </w:r>
      <w:r>
        <w:rPr>
          <w:rFonts w:ascii="Times New Roman" w:cs="Times New Roman" w:eastAsia="Times New Roman" w:hAnsi="Times New Roman"/>
          <w:sz w:val="17"/>
          <w:szCs w:val="17"/>
          <w:color w:val="auto"/>
        </w:rPr>
        <w:t>. Either Dealer or Counterparty has the right to designate an Early Termination Date pursuant to Section 6 of the Agreement, in which case, except as otherwise specified herein and except as a result of an Event of Default under Section 5(a)(i) of the Agreement, the provisions of Paragraph 7(g) below shall apply in lieu of the consequences specified in Section 6 of the Agreement;</w:t>
      </w:r>
    </w:p>
    <w:p>
      <w:pPr>
        <w:spacing w:after="0" w:line="90" w:lineRule="exact"/>
        <w:rPr>
          <w:sz w:val="20"/>
          <w:szCs w:val="20"/>
          <w:color w:val="auto"/>
        </w:rPr>
      </w:pPr>
    </w:p>
    <w:p>
      <w:pPr>
        <w:ind w:left="4381"/>
        <w:spacing w:after="0"/>
        <w:rPr>
          <w:sz w:val="20"/>
          <w:szCs w:val="20"/>
          <w:color w:val="auto"/>
        </w:rPr>
      </w:pPr>
      <w:r>
        <w:rPr>
          <w:rFonts w:ascii="Times New Roman" w:cs="Times New Roman" w:eastAsia="Times New Roman" w:hAnsi="Times New Roman"/>
          <w:sz w:val="18"/>
          <w:szCs w:val="18"/>
          <w:color w:val="auto"/>
        </w:rPr>
        <w:t>B-1-21</w:t>
      </w:r>
    </w:p>
    <w:p>
      <w:pPr>
        <w:sectPr>
          <w:pgSz w:w="11900" w:h="16838" w:orient="portrait"/>
          <w:cols w:equalWidth="0" w:num="1">
            <w:col w:w="10141"/>
          </w:cols>
          <w:pgMar w:left="1299" w:top="266" w:right="459" w:bottom="1440" w:gutter="0" w:footer="0" w:header="0"/>
        </w:sectPr>
      </w:pPr>
    </w:p>
    <w:bookmarkStart w:id="76" w:name="page77"/>
    <w:bookmarkEnd w:id="76"/>
    <w:p>
      <w:pPr>
        <w:ind w:left="-20" w:firstLine="408"/>
        <w:spacing w:after="0" w:line="253" w:lineRule="auto"/>
        <w:tabs>
          <w:tab w:leader="none" w:pos="68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Other ISDA Events</w:t>
      </w:r>
      <w:r>
        <w:rPr>
          <w:rFonts w:ascii="Times New Roman" w:cs="Times New Roman" w:eastAsia="Times New Roman" w:hAnsi="Times New Roman"/>
          <w:sz w:val="18"/>
          <w:szCs w:val="18"/>
          <w:color w:val="auto"/>
        </w:rPr>
        <w:t xml:space="preserve">. An Announcement Date occurs in respect of any Merger Event, Tender Offer, Nationalization, Insolvency, Delisting or the occurrence of any Hedging Disruption or Change in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case of a Delisting, in addition to the provisions of Section 12.6(a)(iii) of the Equity Definitions, it will also constitute a Delisting if the Exchange is located in the United States and the Shares are not immediately re-listed, re-traded or re-quoted on any of the New York Stock Exchange, The NASDAQ Global Select Market or The NASDAQ Global Market (or their respective successors);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 the definition of “Change in Law” provided in Section 12.9(a)(ii) of the Equity Definitions is hereby amended by (A) replacing the phrase “the interpretation” in the third line thereof with the phrase “or announcement or statement of the formal or informal interpretation” and (B) immediately following the word “Transaction” in clause (X) thereof, adding the phrase “in the manner contemplated by Dealer on the Trade Date” and (ii) any determination as to whether (A) the adoption of or any change in any applicable law or regulation (including, without limitation, any tax law) or (B) the promulgation of or any change in or announcement or statement of the formal or informal interpretation by any court, tribunal or regulatory authority with competent jurisdiction of any applicable law or regulation (including any action taken by a taxing authority), in each case, constitutes a “Change in Law” shall be made without regard to Section 739 of the Wall Street Transparency and Accountability Act of 2010 (the “</w:t>
      </w:r>
      <w:r>
        <w:rPr>
          <w:rFonts w:ascii="Times New Roman" w:cs="Times New Roman" w:eastAsia="Times New Roman" w:hAnsi="Times New Roman"/>
          <w:sz w:val="18"/>
          <w:szCs w:val="18"/>
          <w:b w:val="1"/>
          <w:bCs w:val="1"/>
          <w:i w:val="1"/>
          <w:iCs w:val="1"/>
          <w:color w:val="auto"/>
        </w:rPr>
        <w:t>WSTAA</w:t>
      </w:r>
      <w:r>
        <w:rPr>
          <w:rFonts w:ascii="Times New Roman" w:cs="Times New Roman" w:eastAsia="Times New Roman" w:hAnsi="Times New Roman"/>
          <w:sz w:val="18"/>
          <w:szCs w:val="18"/>
          <w:color w:val="auto"/>
        </w:rPr>
        <w:t>”) or any similar provision in any legislation enacted on or after the Trade Date; or</w:t>
      </w:r>
    </w:p>
    <w:p>
      <w:pPr>
        <w:spacing w:after="0" w:line="79" w:lineRule="exact"/>
        <w:rPr>
          <w:rFonts w:ascii="Times New Roman" w:cs="Times New Roman" w:eastAsia="Times New Roman" w:hAnsi="Times New Roman"/>
          <w:sz w:val="18"/>
          <w:szCs w:val="18"/>
          <w:color w:val="auto"/>
        </w:rPr>
      </w:pPr>
    </w:p>
    <w:p>
      <w:pPr>
        <w:ind w:left="-20" w:right="20" w:firstLine="408"/>
        <w:spacing w:after="0" w:line="253" w:lineRule="auto"/>
        <w:tabs>
          <w:tab w:leader="none" w:pos="6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Event</w:t>
      </w:r>
      <w:r>
        <w:rPr>
          <w:rFonts w:ascii="Times New Roman" w:cs="Times New Roman" w:eastAsia="Times New Roman" w:hAnsi="Times New Roman"/>
          <w:sz w:val="18"/>
          <w:szCs w:val="18"/>
          <w:color w:val="auto"/>
        </w:rPr>
        <w:t>. In the good faith judgment of Dealer, on any day, the Share Amount for such day exceeds the Post-Effective Limit for such day (if any applies) (each, an “</w:t>
      </w:r>
      <w:r>
        <w:rPr>
          <w:rFonts w:ascii="Times New Roman" w:cs="Times New Roman" w:eastAsia="Times New Roman" w:hAnsi="Times New Roman"/>
          <w:sz w:val="18"/>
          <w:szCs w:val="18"/>
          <w:b w:val="1"/>
          <w:bCs w:val="1"/>
          <w:i w:val="1"/>
          <w:iCs w:val="1"/>
          <w:color w:val="auto"/>
        </w:rPr>
        <w:t>Ownership Event</w:t>
      </w:r>
      <w:r>
        <w:rPr>
          <w:rFonts w:ascii="Times New Roman" w:cs="Times New Roman" w:eastAsia="Times New Roman" w:hAnsi="Times New Roman"/>
          <w:sz w:val="18"/>
          <w:szCs w:val="18"/>
          <w:color w:val="auto"/>
        </w:rPr>
        <w:t>”). For purposes of this clause (v), the “</w:t>
      </w:r>
      <w:r>
        <w:rPr>
          <w:rFonts w:ascii="Times New Roman" w:cs="Times New Roman" w:eastAsia="Times New Roman" w:hAnsi="Times New Roman"/>
          <w:sz w:val="18"/>
          <w:szCs w:val="18"/>
          <w:b w:val="1"/>
          <w:bCs w:val="1"/>
          <w:i w:val="1"/>
          <w:iCs w:val="1"/>
          <w:color w:val="auto"/>
        </w:rPr>
        <w:t>Share Amount</w:t>
      </w:r>
      <w:r>
        <w:rPr>
          <w:rFonts w:ascii="Times New Roman" w:cs="Times New Roman" w:eastAsia="Times New Roman" w:hAnsi="Times New Roman"/>
          <w:sz w:val="18"/>
          <w:szCs w:val="18"/>
          <w:color w:val="auto"/>
        </w:rPr>
        <w:t>” as of any day is the number of Shares that Dealer and any person whose ownership position would be aggregated with that of Dealer (Dealer or any such person, a “</w:t>
      </w:r>
      <w:r>
        <w:rPr>
          <w:rFonts w:ascii="Times New Roman" w:cs="Times New Roman" w:eastAsia="Times New Roman" w:hAnsi="Times New Roman"/>
          <w:sz w:val="18"/>
          <w:szCs w:val="18"/>
          <w:b w:val="1"/>
          <w:bCs w:val="1"/>
          <w:i w:val="1"/>
          <w:iCs w:val="1"/>
          <w:color w:val="auto"/>
        </w:rPr>
        <w:t>Dealer Person</w:t>
      </w:r>
      <w:r>
        <w:rPr>
          <w:rFonts w:ascii="Times New Roman" w:cs="Times New Roman" w:eastAsia="Times New Roman" w:hAnsi="Times New Roman"/>
          <w:sz w:val="18"/>
          <w:szCs w:val="18"/>
          <w:color w:val="auto"/>
        </w:rPr>
        <w:t>”) under any law, rule, regulation or regulatory order or Counterparty constituent document that for any reason is, or after the Trade Date becomes, applicable to ownership of Shares (“</w:t>
      </w:r>
      <w:r>
        <w:rPr>
          <w:rFonts w:ascii="Times New Roman" w:cs="Times New Roman" w:eastAsia="Times New Roman" w:hAnsi="Times New Roman"/>
          <w:sz w:val="18"/>
          <w:szCs w:val="18"/>
          <w:b w:val="1"/>
          <w:bCs w:val="1"/>
          <w:i w:val="1"/>
          <w:iCs w:val="1"/>
          <w:color w:val="auto"/>
        </w:rPr>
        <w:t>Applicable Provisions</w:t>
      </w:r>
      <w:r>
        <w:rPr>
          <w:rFonts w:ascii="Times New Roman" w:cs="Times New Roman" w:eastAsia="Times New Roman" w:hAnsi="Times New Roman"/>
          <w:sz w:val="18"/>
          <w:szCs w:val="18"/>
          <w:color w:val="auto"/>
        </w:rPr>
        <w:t>”), owns, beneficially owns, constructively owns, controls, holds the power to vote or otherwise meets a relevant definition of ownership of under the Applicable Provisions, as determined by Dealer in its reasonable discretion. The “</w:t>
      </w:r>
      <w:r>
        <w:rPr>
          <w:rFonts w:ascii="Times New Roman" w:cs="Times New Roman" w:eastAsia="Times New Roman" w:hAnsi="Times New Roman"/>
          <w:sz w:val="18"/>
          <w:szCs w:val="18"/>
          <w:b w:val="1"/>
          <w:bCs w:val="1"/>
          <w:i w:val="1"/>
          <w:iCs w:val="1"/>
          <w:color w:val="auto"/>
        </w:rPr>
        <w:t>Post-Effective Limit</w:t>
      </w:r>
      <w:r>
        <w:rPr>
          <w:rFonts w:ascii="Times New Roman" w:cs="Times New Roman" w:eastAsia="Times New Roman" w:hAnsi="Times New Roman"/>
          <w:sz w:val="18"/>
          <w:szCs w:val="18"/>
          <w:color w:val="auto"/>
        </w:rPr>
        <w:t xml:space="preserve">” means (x) the minimum number of Shares that would give rise to reporting or registration obligations (except for any filing requirements on Form 13F, Schedule 13D or Schedule 13G under the Exchange Act, in each case, as in effect on the Trade Date) or other requirements (including obtaining prior approval from any person or entity) of a Dealer Person, or would result in an adverse effect on a Dealer Person, under the Applicable Provisions, as determined by Dealer in its reasonable discretion,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(y) 1.0% of the number of Shares outstanding.</w:t>
      </w:r>
    </w:p>
    <w:p>
      <w:pPr>
        <w:spacing w:after="0" w:line="12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B-1-22</w:t>
      </w:r>
    </w:p>
    <w:p>
      <w:pPr>
        <w:sectPr>
          <w:pgSz w:w="11900" w:h="16838" w:orient="portrait"/>
          <w:cols w:equalWidth="0" w:num="1">
            <w:col w:w="10020"/>
          </w:cols>
          <w:pgMar w:left="1440" w:top="270" w:right="439" w:bottom="1440" w:gutter="0" w:footer="0" w:header="0"/>
        </w:sectPr>
      </w:pPr>
    </w:p>
    <w:bookmarkStart w:id="77" w:name="page78"/>
    <w:bookmarkEnd w:id="77"/>
    <w:p>
      <w:pPr>
        <w:ind w:left="4" w:firstLine="419"/>
        <w:spacing w:after="0" w:line="266" w:lineRule="auto"/>
        <w:tabs>
          <w:tab w:leader="none" w:pos="681"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Termination Settlement</w:t>
      </w:r>
      <w:r>
        <w:rPr>
          <w:rFonts w:ascii="Times New Roman" w:cs="Times New Roman" w:eastAsia="Times New Roman" w:hAnsi="Times New Roman"/>
          <w:sz w:val="17"/>
          <w:szCs w:val="17"/>
          <w:color w:val="auto"/>
        </w:rPr>
        <w:t>. Upon the occurrence of any Acceleration Event, Dealer shall have the right to designate, upon at least one Scheduled Trading Day’s notice, any Scheduled Trading Day following such occurrence to be a Settlement Date hereunder (a “</w:t>
      </w:r>
      <w:r>
        <w:rPr>
          <w:rFonts w:ascii="Times New Roman" w:cs="Times New Roman" w:eastAsia="Times New Roman" w:hAnsi="Times New Roman"/>
          <w:sz w:val="17"/>
          <w:szCs w:val="17"/>
          <w:b w:val="1"/>
          <w:bCs w:val="1"/>
          <w:i w:val="1"/>
          <w:iCs w:val="1"/>
          <w:color w:val="auto"/>
        </w:rPr>
        <w:t>Termination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Settlement Date</w:t>
      </w:r>
      <w:r>
        <w:rPr>
          <w:rFonts w:ascii="Times New Roman" w:cs="Times New Roman" w:eastAsia="Times New Roman" w:hAnsi="Times New Roman"/>
          <w:sz w:val="17"/>
          <w:szCs w:val="17"/>
          <w:color w:val="auto"/>
        </w:rPr>
        <w:t>”) to which Physical Settlement shall apply, and to select the number of Settlement Shares relating to such Termination Settlement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 in the case of an Acceleration Event arising out of an Ownership Event, the number of Settlement Shares so designated by Dealer shall not exceed the number of Shares necessary to reduce the Share Amount to reasonably below the Post-Effective Limit and (ii) in the case of an Acceleration Event arising out of a Stock Borrow Event, the number of Settlement Shares so designated by Dealer shall not exceed the number of Shares as to which such Stock Borrow Event exists. If, upon designation of a Termination Settlement Date by Dealer pursuant to the preceding sentence, Counterparty fails to deliver the Settlement Shares relating to such Termination Settlement Date when due or otherwise fails to perform obligations within its control in respect of this Transaction, it shall be an Event of Default with respect to Counterparty and Section 6 of the Agreement shall apply. If an Acceleration Event occurs during an Unwind Period relating to a number of Settlement Shares to which Cash Settlement or Net Share Settlement applies, then on the Termination Settlement Date relating to such Acceleration Event, notwithstanding any election to the contrary by Counterparty, Cash Settlement or Net Share Settlement shall apply to the portion of the Settlement Shares relating to such Unwind Period as to which Dealer has unwound its hedge (assuming that Dealer has a commercially reasonable hedge and unwinds its hedge in a commercially reasonable manner) and Physical Settlement shall apply in respect of (x) the remainder (if any) of such Settlement Shares and</w:t>
      </w:r>
    </w:p>
    <w:p>
      <w:pPr>
        <w:spacing w:after="0" w:line="9" w:lineRule="exact"/>
        <w:rPr>
          <w:rFonts w:ascii="Times New Roman" w:cs="Times New Roman" w:eastAsia="Times New Roman" w:hAnsi="Times New Roman"/>
          <w:sz w:val="17"/>
          <w:szCs w:val="17"/>
          <w:color w:val="auto"/>
        </w:rPr>
      </w:pPr>
    </w:p>
    <w:p>
      <w:pPr>
        <w:ind w:left="4" w:hanging="4"/>
        <w:spacing w:after="0" w:line="251" w:lineRule="auto"/>
        <w:tabs>
          <w:tab w:leader="none" w:pos="25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Shares designated by Dealer in respect of such Termination Settlement Date. If an Acceleration Event occurs after Counterparty has designated a Settlement Date to which Physical Settlement applies but before the relevant Settlement Shares have been delivered to Dealer, then Dealer shall have the right to cancel such Settlement Date and designate a Termination Settlement Date in respect of such Shares pursuant to the first sentence hereof. Notwithstanding the foregoing, in the case of a Nationalization or Merger Event, if at the time of the related Relevant Settlement Date the Shares have changed into cash or any other property or the right to receive cash or any other property, the Calculation Agent shall adjust the nature of the Shares as it determines appropriate to account for such change such that the nature of the Shares is consistent with what shareholders receive in such event. If Dealer designates a Termination Settlement Date as a result of an Acceleration Event caused by an excess dividend of the type described in Paragraph 7(f)(ii), no adjustments(s) shall be made to the terms of this contract to account for the amount of such excess dividend.</w:t>
      </w:r>
    </w:p>
    <w:p>
      <w:pPr>
        <w:spacing w:after="0" w:line="85" w:lineRule="exact"/>
        <w:rPr>
          <w:rFonts w:ascii="Times New Roman" w:cs="Times New Roman" w:eastAsia="Times New Roman" w:hAnsi="Times New Roman"/>
          <w:sz w:val="18"/>
          <w:szCs w:val="18"/>
          <w:color w:val="auto"/>
        </w:rPr>
      </w:pPr>
    </w:p>
    <w:p>
      <w:pPr>
        <w:ind w:left="4" w:right="60" w:firstLine="419"/>
        <w:spacing w:after="0" w:line="256" w:lineRule="auto"/>
        <w:tabs>
          <w:tab w:leader="none" w:pos="681"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 Procedures</w:t>
      </w:r>
      <w:r>
        <w:rPr>
          <w:rFonts w:ascii="Times New Roman" w:cs="Times New Roman" w:eastAsia="Times New Roman" w:hAnsi="Times New Roman"/>
          <w:sz w:val="18"/>
          <w:szCs w:val="18"/>
          <w:color w:val="auto"/>
        </w:rPr>
        <w:t>. If Counterparty is unable to comply with the provisions of sub-paragraph (ii) of “Agreements and Acknowledgments Regarding Shares” above because of a change in law or a change in the policy of the Securities and Exchange Commission or its staff, or Dealer otherwise determines that in its reasonable opinion any Shares to be delivered to Dealer by Counterparty may not be freely returned by Dealer or its affiliates to securities lenders as described under such sub-paragraph (ii) or otherwise constitute “restricted securities” as defined in Rule 144 under the Securities Act, then delivery of any such Shares (the “</w:t>
      </w:r>
      <w:r>
        <w:rPr>
          <w:rFonts w:ascii="Times New Roman" w:cs="Times New Roman" w:eastAsia="Times New Roman" w:hAnsi="Times New Roman"/>
          <w:sz w:val="18"/>
          <w:szCs w:val="18"/>
          <w:b w:val="1"/>
          <w:bCs w:val="1"/>
          <w:i w:val="1"/>
          <w:iCs w:val="1"/>
          <w:color w:val="auto"/>
        </w:rPr>
        <w:t>Restricted Shares</w:t>
      </w:r>
      <w:r>
        <w:rPr>
          <w:rFonts w:ascii="Times New Roman" w:cs="Times New Roman" w:eastAsia="Times New Roman" w:hAnsi="Times New Roman"/>
          <w:sz w:val="18"/>
          <w:szCs w:val="18"/>
          <w:color w:val="auto"/>
        </w:rPr>
        <w:t>”) shall be effected as provided below, unless waived by Dealer.</w:t>
      </w:r>
    </w:p>
    <w:p>
      <w:pPr>
        <w:spacing w:after="0" w:line="120"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B-1-23</w:t>
      </w:r>
    </w:p>
    <w:p>
      <w:pPr>
        <w:sectPr>
          <w:pgSz w:w="11900" w:h="16838" w:orient="portrait"/>
          <w:cols w:equalWidth="0" w:num="1">
            <w:col w:w="10544"/>
          </w:cols>
          <w:pgMar w:left="876" w:top="270" w:right="479" w:bottom="1440" w:gutter="0" w:footer="0" w:header="0"/>
        </w:sectPr>
      </w:pPr>
    </w:p>
    <w:bookmarkStart w:id="78" w:name="page79"/>
    <w:bookmarkEnd w:id="78"/>
    <w:p>
      <w:pPr>
        <w:ind w:left="-20" w:firstLine="408"/>
        <w:spacing w:after="0" w:line="252" w:lineRule="auto"/>
        <w:tabs>
          <w:tab w:leader="none" w:pos="59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Counterparty delivers the Restricted Shares pursuant to this clause (i) (a “</w:t>
      </w:r>
      <w:r>
        <w:rPr>
          <w:rFonts w:ascii="Times New Roman" w:cs="Times New Roman" w:eastAsia="Times New Roman" w:hAnsi="Times New Roman"/>
          <w:sz w:val="18"/>
          <w:szCs w:val="18"/>
          <w:b w:val="1"/>
          <w:bCs w:val="1"/>
          <w:i w:val="1"/>
          <w:iCs w:val="1"/>
          <w:color w:val="auto"/>
        </w:rPr>
        <w:t>Private Placement Settlement</w:t>
      </w:r>
      <w:r>
        <w:rPr>
          <w:rFonts w:ascii="Times New Roman" w:cs="Times New Roman" w:eastAsia="Times New Roman" w:hAnsi="Times New Roman"/>
          <w:sz w:val="18"/>
          <w:szCs w:val="18"/>
          <w:color w:val="auto"/>
        </w:rPr>
        <w:t xml:space="preserve">”), then delivery of Restricted Shares by Counterparty shall be effected in accordance with private placement procedures customary for private placements of equity securities of substantially similar size with respect to such Restricted Shares reasonably acceptable to Dealer;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Counterparty may not elect a Private Placement Settlement if, on the date of its election, it has taken, or caused to be taken, any action that would make unavailable either the exemption pursuant to Section 4(a)(2) of the Securities Act for the sale by Counterparty to Dealer (or any affiliate designated by Dealer) of the Restricted Shares or the exemption pursuant to Section 4(a)(1) or Section 4(a)(3) of the Securities Act for resales of the Restricted Shares by Dealer (or any such affiliate of Dealer), and if Counterparty fails to deliver the Restricted Shares when due or otherwise fails to perform obligations within its control in respect of a Private Placement Settlement, it shall be an Event of Default with respect to Counterparty and Section 6 of the Agreement shall apply. The Private Placement Settlement of such Restricted Shares shall include customary representations, covenants, blue sky and other governmental filings and/or registrations, indemnities to Dealer, due diligence rights (for Dealer or any designated buyer of the Restricted Shares by Dealer), opinions and certificates, and such other documentation as is customary for private placement agreements of equity securities of a substantially similar size, all reasonably acceptable to Dealer. In the case of a Private Placement Settlement, Dealer shall, in its good faith discretion, adjust the amount of Restricted Shares to be delivered to Dealer hereunder in a commercially reasonable manner to reflect the fact that such Restricted Shares may not be freely returned to securities lenders by Dealer and may only be saleable by Dealer at a discount to reflect the lack of liquidity in Restricted Shares. Notwithstanding the Agreement or this Confirmation, the date of delivery of such Restricted Shares shall be the Clearance System Business Day following notice by Dealer to Counterparty of the number of Restricted Shares to be delivered pursuant to this clause (i). For the avoidance of doubt, delivery of Restricted Shares shall be due as set forth in the previous sentence and not be due on the date that would otherwise be applicable.</w:t>
      </w:r>
    </w:p>
    <w:p>
      <w:pPr>
        <w:spacing w:after="0" w:line="86" w:lineRule="exact"/>
        <w:rPr>
          <w:rFonts w:ascii="Times New Roman" w:cs="Times New Roman" w:eastAsia="Times New Roman" w:hAnsi="Times New Roman"/>
          <w:sz w:val="18"/>
          <w:szCs w:val="18"/>
          <w:color w:val="auto"/>
        </w:rPr>
      </w:pPr>
    </w:p>
    <w:p>
      <w:pPr>
        <w:ind w:left="-20" w:right="40" w:firstLine="408"/>
        <w:spacing w:after="0" w:line="256" w:lineRule="auto"/>
        <w:tabs>
          <w:tab w:leader="none" w:pos="64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Counterparty delivers any Restricted Shares in respect of this Transaction, Counterparty agrees that (A) such Shares may be transferred by and among Dealer and its affiliates and (B) after the minimum “holding period” within the meaning of Rule 144(d) under the Securities Act has elapsed, Counterparty shall promptly remove, or cause the transfer agent for the Shares to remove, any legends referring to any transfer restrictions from such Shares upon delivery by Dealer (or such affiliate of Dealer) to Counterparty or such transfer agent of any seller’s and broker’s representation letters customarily delivered by Dealer or its affiliates in connection with resales of restricted securities pursuant</w:t>
      </w:r>
    </w:p>
    <w:p>
      <w:pPr>
        <w:spacing w:after="0" w:line="12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B-1-24</w:t>
      </w:r>
    </w:p>
    <w:p>
      <w:pPr>
        <w:sectPr>
          <w:pgSz w:w="11900" w:h="16838" w:orient="portrait"/>
          <w:cols w:equalWidth="0" w:num="1">
            <w:col w:w="10020"/>
          </w:cols>
          <w:pgMar w:left="1440" w:top="266" w:right="439" w:bottom="1440" w:gutter="0" w:footer="0" w:header="0"/>
        </w:sectPr>
      </w:pPr>
    </w:p>
    <w:bookmarkStart w:id="79" w:name="page80"/>
    <w:bookmarkEnd w:id="79"/>
    <w:p>
      <w:pPr>
        <w:jc w:val="both"/>
        <w:ind w:left="540"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Rule 144 under the Securities Act, each without any further requirement for the delivery of any certificate, consent, agreement, opinion of counsel, notice or any other document, any transfer tax stamps or payment of any other amount or any other action by Dealer (or such affiliate of Dealer).</w:t>
      </w:r>
    </w:p>
    <w:p>
      <w:pPr>
        <w:spacing w:after="0" w:line="68" w:lineRule="exact"/>
        <w:rPr>
          <w:sz w:val="20"/>
          <w:szCs w:val="20"/>
          <w:color w:val="auto"/>
        </w:rPr>
      </w:pPr>
    </w:p>
    <w:p>
      <w:pPr>
        <w:ind w:right="20" w:firstLine="419"/>
        <w:spacing w:after="0" w:line="254" w:lineRule="auto"/>
        <w:tabs>
          <w:tab w:leader="none" w:pos="63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Counterparty agrees to indemnify Dealer and its affiliates and their respective directors, officers, employees, agents and controlling persons (Dealer and each such affiliate or person being an “</w:t>
      </w:r>
      <w:r>
        <w:rPr>
          <w:rFonts w:ascii="Times New Roman" w:cs="Times New Roman" w:eastAsia="Times New Roman" w:hAnsi="Times New Roman"/>
          <w:sz w:val="18"/>
          <w:szCs w:val="18"/>
          <w:b w:val="1"/>
          <w:bCs w:val="1"/>
          <w:i w:val="1"/>
          <w:iCs w:val="1"/>
          <w:color w:val="auto"/>
        </w:rPr>
        <w:t>Indemnified Party</w:t>
      </w:r>
      <w:r>
        <w:rPr>
          <w:rFonts w:ascii="Times New Roman" w:cs="Times New Roman" w:eastAsia="Times New Roman" w:hAnsi="Times New Roman"/>
          <w:sz w:val="18"/>
          <w:szCs w:val="18"/>
          <w:color w:val="auto"/>
        </w:rPr>
        <w:t>”) from and against any and all losses, claims, damages and liabilities, joint and several, incurred by or asserted against such Indemnified Party arising out of, in connection with, or relating to, any breach of any covenant or representation made by Counterparty in this Confirmation or the Agreement and will reimburse any Indemnified Party for all reasonable expenses (including reasonable legal fees and expenses) as they are incurred in connection with the investigation of, preparation for, or defense of any pending or threatened claim or any action or proceeding arising therefrom, whether or not such Indemnified Party is a party thereto, except to the extent determined in a final and nonappealable judgment by a court of competent jurisdiction to have resulted from Dealer’s gross negligence, fraud, bad faith and/or willful misconduct or from a breach of any representation or covenant of Dealer contained in this Confirmation or the Agreement. The foregoing provisions shall survive any termination or completion of the Transaction.</w:t>
      </w:r>
    </w:p>
    <w:p>
      <w:pPr>
        <w:spacing w:after="0" w:line="80" w:lineRule="exact"/>
        <w:rPr>
          <w:rFonts w:ascii="Times New Roman" w:cs="Times New Roman" w:eastAsia="Times New Roman" w:hAnsi="Times New Roman"/>
          <w:sz w:val="18"/>
          <w:szCs w:val="18"/>
          <w:color w:val="auto"/>
        </w:rPr>
      </w:pPr>
    </w:p>
    <w:p>
      <w:pPr>
        <w:ind w:right="40" w:firstLine="419"/>
        <w:spacing w:after="0" w:line="258" w:lineRule="auto"/>
        <w:tabs>
          <w:tab w:leader="none" w:pos="63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Trial by Jury</w:t>
      </w:r>
      <w:r>
        <w:rPr>
          <w:rFonts w:ascii="Times New Roman" w:cs="Times New Roman" w:eastAsia="Times New Roman" w:hAnsi="Times New Roman"/>
          <w:sz w:val="18"/>
          <w:szCs w:val="18"/>
          <w:color w:val="auto"/>
        </w:rPr>
        <w:t>. COUNTERPARTY AND DEALER HEREBY IRREVOCABLY WAIVE (ON ITS OWN BEHALF AND, TO THE EXTENT PERMITTED BY APPLICABLE LAW, ON BEHALF OF ITS STOCKHOLDERS) ALL RIGHT TO TRIAL BY JURY IN ANY ACTION, PROCEEDING OR COUNTERCLAIM (WHETHER BASED ON CONTRACT, TORT OR OTHERWISE) ARISING OUT OF OR RELATING TO THE TRANSACTION OR THE ACTIONS OF DEALER OR ITS AFFILIATES IN THE NEGOTIATION, PERFORMANCE OR ENFORCEMENT HEREOF.</w:t>
      </w:r>
    </w:p>
    <w:p>
      <w:pPr>
        <w:spacing w:after="0" w:line="75" w:lineRule="exact"/>
        <w:rPr>
          <w:rFonts w:ascii="Times New Roman" w:cs="Times New Roman" w:eastAsia="Times New Roman" w:hAnsi="Times New Roman"/>
          <w:sz w:val="18"/>
          <w:szCs w:val="18"/>
          <w:color w:val="auto"/>
        </w:rPr>
      </w:pPr>
    </w:p>
    <w:p>
      <w:pPr>
        <w:ind w:firstLine="419"/>
        <w:spacing w:after="0" w:line="258" w:lineRule="auto"/>
        <w:tabs>
          <w:tab w:leader="none" w:pos="67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Law/Jurisdiction</w:t>
      </w:r>
      <w:r>
        <w:rPr>
          <w:rFonts w:ascii="Times New Roman" w:cs="Times New Roman" w:eastAsia="Times New Roman" w:hAnsi="Times New Roman"/>
          <w:sz w:val="18"/>
          <w:szCs w:val="18"/>
          <w:color w:val="auto"/>
        </w:rPr>
        <w:t>. This Confirmation and any claim, controversy or dispute arising under or related to this Confirmation shall be governed by the laws of the State of New York without reference to the conflict of laws provisions thereof. The parties hereto irrevocably submit to the exclusive jurisdiction of the courts of the State of New York and the United States Court for the Southern District of New York in connection with all matters relating hereto and waive any objection to the laying of venue in, and any claim of inconvenient forum with respect to, these courts.</w:t>
      </w:r>
    </w:p>
    <w:p>
      <w:pPr>
        <w:spacing w:after="0" w:line="75"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by Dealer</w:t>
      </w:r>
      <w:r>
        <w:rPr>
          <w:rFonts w:ascii="Times New Roman" w:cs="Times New Roman" w:eastAsia="Times New Roman" w:hAnsi="Times New Roman"/>
          <w:sz w:val="18"/>
          <w:szCs w:val="18"/>
          <w:color w:val="auto"/>
        </w:rPr>
        <w:t>. Notwithstanding any other provision in this Confirmation to the contrary requiring or allowing Dealer to</w:t>
      </w:r>
    </w:p>
    <w:p>
      <w:pPr>
        <w:spacing w:after="0" w:line="27" w:lineRule="exact"/>
        <w:rPr>
          <w:rFonts w:ascii="Times New Roman" w:cs="Times New Roman" w:eastAsia="Times New Roman" w:hAnsi="Times New Roman"/>
          <w:sz w:val="18"/>
          <w:szCs w:val="18"/>
          <w:color w:val="auto"/>
        </w:rPr>
      </w:pPr>
    </w:p>
    <w:p>
      <w:pPr>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sell, receive or deliver any Shares or other securities to or from Counterparty, Dealer may designate any of its affiliates to purchase, sell, receive or deliver such Shares or other securities and otherwise to perform Dealer’s obligations in respect of the Transaction and any such designee may assume such obligations. Dealer shall be discharged of its obligations to Counterparty only to the extent of any such performance.</w:t>
      </w:r>
    </w:p>
    <w:p>
      <w:pPr>
        <w:spacing w:after="0" w:line="11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B-1-25</w:t>
      </w:r>
    </w:p>
    <w:p>
      <w:pPr>
        <w:sectPr>
          <w:pgSz w:w="11900" w:h="16838" w:orient="portrait"/>
          <w:cols w:equalWidth="0" w:num="1">
            <w:col w:w="10540"/>
          </w:cols>
          <w:pgMar w:left="880" w:top="270" w:right="479" w:bottom="1440" w:gutter="0" w:footer="0" w:header="0"/>
        </w:sectPr>
      </w:pPr>
    </w:p>
    <w:bookmarkStart w:id="80" w:name="page81"/>
    <w:bookmarkEnd w:id="80"/>
    <w:p>
      <w:pPr>
        <w:ind w:right="60" w:firstLine="419"/>
        <w:spacing w:after="0" w:line="258" w:lineRule="auto"/>
        <w:tabs>
          <w:tab w:leader="none" w:pos="72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Insolvency Filing</w:t>
      </w:r>
      <w:r>
        <w:rPr>
          <w:rFonts w:ascii="Times New Roman" w:cs="Times New Roman" w:eastAsia="Times New Roman" w:hAnsi="Times New Roman"/>
          <w:sz w:val="18"/>
          <w:szCs w:val="18"/>
          <w:color w:val="auto"/>
        </w:rPr>
        <w:t>. Notwithstanding anything to the contrary herein, in the Agreement or in the Equity Definitions, upon any Insolvency Filing or other proceeding under the Bankruptcy Code in respect of the Issuer, this Transaction shall automatically terminate on the date thereof without further liability of either party to this Confirmation to the other party (except for any liability in respect of any breach of representation or covenant by a party under this Confirmation prior to the date of such Insolvency Filing or other proceeding), it being understood that this Transaction is a contract for the issuance of Shares by the Issuer.</w:t>
      </w:r>
    </w:p>
    <w:p>
      <w:pPr>
        <w:spacing w:after="0" w:line="75" w:lineRule="exact"/>
        <w:rPr>
          <w:rFonts w:ascii="Times New Roman" w:cs="Times New Roman" w:eastAsia="Times New Roman" w:hAnsi="Times New Roman"/>
          <w:sz w:val="18"/>
          <w:szCs w:val="18"/>
          <w:color w:val="auto"/>
        </w:rPr>
      </w:pPr>
    </w:p>
    <w:p>
      <w:pPr>
        <w:ind w:right="80" w:firstLine="419"/>
        <w:spacing w:after="0" w:line="261" w:lineRule="auto"/>
        <w:tabs>
          <w:tab w:leader="none" w:pos="67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Effective from the date of commencement of discussions concerning the Transaction, each of Dealer and Counterparty and each of their employees, representatives, or other agents may disclose to any and all persons, without limitation of any kind, the tax treatment and tax structure of the Transaction and all materials of any kind (including opinions or other tax analyses) relating to such tax treatment and tax structure.</w:t>
      </w:r>
    </w:p>
    <w:p>
      <w:pPr>
        <w:spacing w:after="0" w:line="71" w:lineRule="exact"/>
        <w:rPr>
          <w:rFonts w:ascii="Times New Roman" w:cs="Times New Roman" w:eastAsia="Times New Roman" w:hAnsi="Times New Roman"/>
          <w:sz w:val="18"/>
          <w:szCs w:val="18"/>
          <w:color w:val="auto"/>
        </w:rPr>
      </w:pPr>
    </w:p>
    <w:p>
      <w:pPr>
        <w:ind w:right="100" w:firstLine="419"/>
        <w:spacing w:after="0" w:line="261" w:lineRule="auto"/>
        <w:tabs>
          <w:tab w:leader="none" w:pos="67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Extend</w:t>
      </w:r>
      <w:r>
        <w:rPr>
          <w:rFonts w:ascii="Times New Roman" w:cs="Times New Roman" w:eastAsia="Times New Roman" w:hAnsi="Times New Roman"/>
          <w:sz w:val="18"/>
          <w:szCs w:val="18"/>
          <w:color w:val="auto"/>
        </w:rPr>
        <w:t>. Dealer may postpone any Settlement Date or any other date of valuation or delivery, with respect to some or all of the relevant Settlement Shares, if Dealer determines, based on advice of counsel, that such extension is reasonably necessary or appropriate to enable Dealer to effect purchases of Shares in connection with its hedging activity hereunder in a manner that would, if Dealer were Counterparty or an affiliated purchaser of Counterparty, be in compliance with applicable legal and regulatory requirements.</w:t>
      </w:r>
    </w:p>
    <w:p>
      <w:pPr>
        <w:spacing w:after="0" w:line="71" w:lineRule="exact"/>
        <w:rPr>
          <w:rFonts w:ascii="Times New Roman" w:cs="Times New Roman" w:eastAsia="Times New Roman" w:hAnsi="Times New Roman"/>
          <w:sz w:val="18"/>
          <w:szCs w:val="18"/>
          <w:color w:val="auto"/>
        </w:rPr>
      </w:pPr>
    </w:p>
    <w:p>
      <w:pPr>
        <w:ind w:firstLine="419"/>
        <w:spacing w:after="0" w:line="258" w:lineRule="auto"/>
        <w:tabs>
          <w:tab w:leader="none" w:pos="67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Counterparty Share Repurchases</w:t>
      </w:r>
      <w:r>
        <w:rPr>
          <w:rFonts w:ascii="Times New Roman" w:cs="Times New Roman" w:eastAsia="Times New Roman" w:hAnsi="Times New Roman"/>
          <w:sz w:val="18"/>
          <w:szCs w:val="18"/>
          <w:color w:val="auto"/>
        </w:rPr>
        <w:t>. Counterparty agrees not to repurchase, directly or indirectly, any Shares if, immediately following such purchase, the Outstanding Share Percentage would be equal to or greater than [4.5]%. The “</w:t>
      </w:r>
      <w:r>
        <w:rPr>
          <w:rFonts w:ascii="Times New Roman" w:cs="Times New Roman" w:eastAsia="Times New Roman" w:hAnsi="Times New Roman"/>
          <w:sz w:val="18"/>
          <w:szCs w:val="18"/>
          <w:b w:val="1"/>
          <w:bCs w:val="1"/>
          <w:i w:val="1"/>
          <w:iCs w:val="1"/>
          <w:color w:val="auto"/>
        </w:rPr>
        <w:t>Outstanding Share Percentage</w:t>
      </w:r>
      <w:r>
        <w:rPr>
          <w:rFonts w:ascii="Times New Roman" w:cs="Times New Roman" w:eastAsia="Times New Roman" w:hAnsi="Times New Roman"/>
          <w:sz w:val="18"/>
          <w:szCs w:val="18"/>
          <w:color w:val="auto"/>
        </w:rPr>
        <w:t>” as of any day is the fraction (1) the numerator of which is the aggregate of the Number of Shares for this Transaction and the “Number of Shares” (as defined in the applicable Additional Confirmation) under any outstanding Additional Transactions and (2) the denominator of which is the number of Shares outstanding on such day.</w:t>
      </w:r>
    </w:p>
    <w:p>
      <w:pPr>
        <w:spacing w:after="0" w:line="75" w:lineRule="exact"/>
        <w:rPr>
          <w:rFonts w:ascii="Times New Roman" w:cs="Times New Roman" w:eastAsia="Times New Roman" w:hAnsi="Times New Roman"/>
          <w:sz w:val="18"/>
          <w:szCs w:val="18"/>
          <w:color w:val="auto"/>
        </w:rPr>
      </w:pPr>
    </w:p>
    <w:p>
      <w:pPr>
        <w:ind w:right="20" w:firstLine="419"/>
        <w:spacing w:after="0" w:line="254" w:lineRule="auto"/>
        <w:tabs>
          <w:tab w:leader="none" w:pos="67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 on Beneficial Ownership</w:t>
      </w:r>
      <w:r>
        <w:rPr>
          <w:rFonts w:ascii="Times New Roman" w:cs="Times New Roman" w:eastAsia="Times New Roman" w:hAnsi="Times New Roman"/>
          <w:sz w:val="18"/>
          <w:szCs w:val="18"/>
          <w:color w:val="auto"/>
        </w:rPr>
        <w:t>. Notwithstanding any other provisions hereof, Dealer shall not have the right to acquire Shares hereunder and Dealer shall not be entitled to take delivery of any Shares hereunder (in each case, whether in connection with the purchase of Shares on any Settlement Date or any Termination Settlement Date, any Private Placement Settlement or otherwise) to the extent (but only to the extent) that, after such receipt of any Shares hereunder, (i) the Share Amount would exceed the Post-Effective Limit, (ii) Dealer and each person subject to aggregation of Shares with Dealer under Section 13 or Section 16 of the Exchange Act and rules promulgated thereunder (including all persons who may form a “group” within the meaning of Rule 13d-5(b)(1) under the Exchange Act) (collectively, the “</w:t>
      </w:r>
      <w:r>
        <w:rPr>
          <w:rFonts w:ascii="Times New Roman" w:cs="Times New Roman" w:eastAsia="Times New Roman" w:hAnsi="Times New Roman"/>
          <w:sz w:val="18"/>
          <w:szCs w:val="18"/>
          <w:b w:val="1"/>
          <w:bCs w:val="1"/>
          <w:i w:val="1"/>
          <w:iCs w:val="1"/>
          <w:color w:val="auto"/>
        </w:rPr>
        <w:t>Dealer Group</w:t>
      </w:r>
      <w:r>
        <w:rPr>
          <w:rFonts w:ascii="Times New Roman" w:cs="Times New Roman" w:eastAsia="Times New Roman" w:hAnsi="Times New Roman"/>
          <w:sz w:val="18"/>
          <w:szCs w:val="18"/>
          <w:color w:val="auto"/>
        </w:rPr>
        <w:t>”) would directly or indirectly beneficially own (as such term is defined for purposes of Section 13 or Section 16 of the Exchange Act and rules promulgated thereunder) in excess of 4.9% of the then outstanding Shares (the “</w:t>
      </w:r>
      <w:r>
        <w:rPr>
          <w:rFonts w:ascii="Times New Roman" w:cs="Times New Roman" w:eastAsia="Times New Roman" w:hAnsi="Times New Roman"/>
          <w:sz w:val="18"/>
          <w:szCs w:val="18"/>
          <w:b w:val="1"/>
          <w:bCs w:val="1"/>
          <w:i w:val="1"/>
          <w:iCs w:val="1"/>
          <w:color w:val="auto"/>
        </w:rPr>
        <w:t>Threshold Number of Shares</w:t>
      </w:r>
      <w:r>
        <w:rPr>
          <w:rFonts w:ascii="Times New Roman" w:cs="Times New Roman" w:eastAsia="Times New Roman" w:hAnsi="Times New Roman"/>
          <w:sz w:val="18"/>
          <w:szCs w:val="18"/>
          <w:color w:val="auto"/>
        </w:rPr>
        <w:t>”), (iii) Dealer would hold 5% or</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B-1-26</w:t>
      </w:r>
    </w:p>
    <w:p>
      <w:pPr>
        <w:sectPr>
          <w:pgSz w:w="11900" w:h="16838" w:orient="portrait"/>
          <w:cols w:equalWidth="0" w:num="1">
            <w:col w:w="10560"/>
          </w:cols>
          <w:pgMar w:left="880" w:top="270" w:right="459" w:bottom="1440" w:gutter="0" w:footer="0" w:header="0"/>
        </w:sectPr>
      </w:pPr>
    </w:p>
    <w:bookmarkStart w:id="81" w:name="page82"/>
    <w:bookmarkEnd w:id="8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more of the number of Shares of Counterparty’s outstanding common stock or 5% or more of Counterparty’s outstanding voting power (the</w:t>
      </w:r>
    </w:p>
    <w:p>
      <w:pPr>
        <w:spacing w:after="0" w:line="27" w:lineRule="exact"/>
        <w:rPr>
          <w:sz w:val="20"/>
          <w:szCs w:val="20"/>
          <w:color w:val="auto"/>
        </w:rPr>
      </w:pPr>
    </w:p>
    <w:p>
      <w:pPr>
        <w:ind w:left="4" w:right="60"/>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Exchange Limit</w:t>
      </w:r>
      <w:r>
        <w:rPr>
          <w:rFonts w:ascii="Times New Roman" w:cs="Times New Roman" w:eastAsia="Times New Roman" w:hAnsi="Times New Roman"/>
          <w:sz w:val="17"/>
          <w:szCs w:val="17"/>
          <w:color w:val="auto"/>
        </w:rPr>
        <w:t>”) or (iv) such acquisition would result in a violation of any restriction on ownership or transfer set forth in Article VII of the Declaration of Trust of Counterparty, as amended and supplemented (the “</w:t>
      </w:r>
      <w:r>
        <w:rPr>
          <w:rFonts w:ascii="Times New Roman" w:cs="Times New Roman" w:eastAsia="Times New Roman" w:hAnsi="Times New Roman"/>
          <w:sz w:val="17"/>
          <w:szCs w:val="17"/>
          <w:b w:val="1"/>
          <w:bCs w:val="1"/>
          <w:i w:val="1"/>
          <w:iCs w:val="1"/>
          <w:color w:val="auto"/>
        </w:rPr>
        <w:t>Counterparty Stock Ownership Restrictions</w:t>
      </w:r>
      <w:r>
        <w:rPr>
          <w:rFonts w:ascii="Times New Roman" w:cs="Times New Roman" w:eastAsia="Times New Roman" w:hAnsi="Times New Roman"/>
          <w:sz w:val="17"/>
          <w:szCs w:val="17"/>
          <w:color w:val="auto"/>
        </w:rPr>
        <w:t>”). Any purported delivery hereunder shall be void and have no effect to the extent (but only to the extent) that, after such delivery, (i) the Share Amount would exceed the Post-Effective Limit, (ii) the Dealer Group would directly or indirectly so beneficially own in excess of the Threshold Number of Shares,</w:t>
      </w:r>
    </w:p>
    <w:p>
      <w:pPr>
        <w:spacing w:after="0" w:line="1" w:lineRule="exact"/>
        <w:rPr>
          <w:sz w:val="20"/>
          <w:szCs w:val="20"/>
          <w:color w:val="auto"/>
        </w:rPr>
      </w:pPr>
    </w:p>
    <w:p>
      <w:pPr>
        <w:ind w:left="4" w:right="140" w:hanging="4"/>
        <w:spacing w:after="0" w:line="252" w:lineRule="auto"/>
        <w:tabs>
          <w:tab w:leader="none" w:pos="31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would directly or indirectly hold in excess of the Exchange Limit or (iv) such delivery would result in a violation of the Counterparty Stock Ownership Restrictions. If any delivery owed to Dealer hereunder is not made, in whole or in part, as a result of this provision, Counterparty’s obligation to make such delivery shall not be extinguished and Counterparty shall make such delivery as promptly as practicable after, but in no event later than one Scheduled Trading Day after, Dealer gives notice to Counterparty that, after such delivery, (i) the Share Amount would not exceed the Post-Effective Limit, (ii) the Dealer Group would not directly or indirectly so beneficially own in excess of the Threshold Number of Shares, (iii) Dealer would not directly or indirectly hold in excess of the Exchange Limit and (iv) such delivery would not result in a violation of the Counterparty Stock Ownership Restrictions.</w:t>
      </w:r>
    </w:p>
    <w:p>
      <w:pPr>
        <w:spacing w:after="0" w:line="80" w:lineRule="exact"/>
        <w:rPr>
          <w:sz w:val="20"/>
          <w:szCs w:val="20"/>
          <w:color w:val="auto"/>
        </w:rPr>
      </w:pPr>
    </w:p>
    <w:p>
      <w:pPr>
        <w:ind w:left="4" w:right="140" w:firstLine="423"/>
        <w:spacing w:after="0" w:line="261" w:lineRule="auto"/>
        <w:rPr>
          <w:sz w:val="20"/>
          <w:szCs w:val="20"/>
          <w:color w:val="auto"/>
        </w:rPr>
      </w:pPr>
      <w:r>
        <w:rPr>
          <w:rFonts w:ascii="Times New Roman" w:cs="Times New Roman" w:eastAsia="Times New Roman" w:hAnsi="Times New Roman"/>
          <w:sz w:val="18"/>
          <w:szCs w:val="18"/>
          <w:color w:val="auto"/>
        </w:rPr>
        <w:t>In addition, notwithstanding anything herein to the contrary, if any delivery owed to Dealer hereunder is not made, in whole or in part, as a result of the immediately preceding paragraph, Dealer shall be permitted to make any payment due in respect of such Shares to Counterparty in two or more tranches that correspond in amount to the number of Shares delivered by Counterparty to Dealer pursuant to the immediately preceding paragraph.</w:t>
      </w:r>
    </w:p>
    <w:p>
      <w:pPr>
        <w:spacing w:after="0" w:line="72"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Dealer represents and warrants that, as of the Trade Date, if Dealer received the maximum number of Shares hereunder assuming both</w:t>
      </w:r>
    </w:p>
    <w:p>
      <w:pPr>
        <w:spacing w:after="0" w:line="27" w:lineRule="exact"/>
        <w:rPr>
          <w:sz w:val="20"/>
          <w:szCs w:val="20"/>
          <w:color w:val="auto"/>
        </w:rPr>
      </w:pPr>
    </w:p>
    <w:p>
      <w:pPr>
        <w:ind w:left="4" w:hanging="4"/>
        <w:spacing w:after="0" w:line="260" w:lineRule="auto"/>
        <w:tabs>
          <w:tab w:leader="none" w:pos="21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Settlement applies and (ii) no restrictions on the delivery of Shares hereunder were applicable, then the Counterparty Stock Ownership Restrictions would not apply so as to limit the number of Shares that Dealer could receive hereunder.</w:t>
      </w:r>
    </w:p>
    <w:p>
      <w:pPr>
        <w:spacing w:after="0" w:line="73" w:lineRule="exact"/>
        <w:rPr>
          <w:rFonts w:ascii="Times New Roman" w:cs="Times New Roman" w:eastAsia="Times New Roman" w:hAnsi="Times New Roman"/>
          <w:sz w:val="18"/>
          <w:szCs w:val="18"/>
          <w:color w:val="auto"/>
        </w:rPr>
      </w:pPr>
    </w:p>
    <w:p>
      <w:pPr>
        <w:ind w:left="4" w:right="140" w:firstLine="419"/>
        <w:spacing w:after="0" w:line="266" w:lineRule="auto"/>
        <w:tabs>
          <w:tab w:leader="none" w:pos="651"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Each of Dealer and Counterparty agrees and represents that it is an “eligible contract participant” as defined in Section 1a(18) of the U.S. Commodity Exchange Act, as amended (the “</w:t>
      </w:r>
      <w:r>
        <w:rPr>
          <w:rFonts w:ascii="Times New Roman" w:cs="Times New Roman" w:eastAsia="Times New Roman" w:hAnsi="Times New Roman"/>
          <w:sz w:val="18"/>
          <w:szCs w:val="18"/>
          <w:b w:val="1"/>
          <w:bCs w:val="1"/>
          <w:i w:val="1"/>
          <w:iCs w:val="1"/>
          <w:color w:val="auto"/>
        </w:rPr>
        <w:t>CEA</w:t>
      </w:r>
      <w:r>
        <w:rPr>
          <w:rFonts w:ascii="Times New Roman" w:cs="Times New Roman" w:eastAsia="Times New Roman" w:hAnsi="Times New Roman"/>
          <w:sz w:val="18"/>
          <w:szCs w:val="18"/>
          <w:color w:val="auto"/>
        </w:rPr>
        <w:t>”), the Agreement and this Transaction are subject to individual negotiation by the parties and have not been executed or traded on a “trading facility” as defined in Section 1a(51) of the CEA.</w:t>
      </w:r>
    </w:p>
    <w:p>
      <w:pPr>
        <w:spacing w:after="0" w:line="67" w:lineRule="exact"/>
        <w:rPr>
          <w:rFonts w:ascii="Times New Roman" w:cs="Times New Roman" w:eastAsia="Times New Roman" w:hAnsi="Times New Roman"/>
          <w:sz w:val="18"/>
          <w:szCs w:val="18"/>
          <w:color w:val="auto"/>
        </w:rPr>
      </w:pPr>
    </w:p>
    <w:p>
      <w:pPr>
        <w:ind w:left="4" w:firstLine="419"/>
        <w:spacing w:after="0" w:line="258" w:lineRule="auto"/>
        <w:tabs>
          <w:tab w:leader="none" w:pos="661"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Bankruptcy Status</w:t>
      </w:r>
      <w:r>
        <w:rPr>
          <w:rFonts w:ascii="Times New Roman" w:cs="Times New Roman" w:eastAsia="Times New Roman" w:hAnsi="Times New Roman"/>
          <w:sz w:val="18"/>
          <w:szCs w:val="18"/>
          <w:color w:val="auto"/>
        </w:rPr>
        <w:t xml:space="preserve">. Subject to Paragraph 7(m) above, Dealer acknowledges and agrees that this Confirmation is not intended to convey to Dealer rights with respect to the transactions contemplated hereby that are senior to the claims of Counterparty’s common stockholders in any U.S. bankruptcy proceedings of Counterparty;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nothing herein shall be deemed to limit Dealer’s right to pursue remedies in the event of a breach by Counterparty of its obligations and agreements with respect to this Confirmation and the Agreement;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nothing herein shall limit or shall be deemed to limit Dealer’s rights in respect of any transaction other than this Transaction.</w:t>
      </w:r>
    </w:p>
    <w:p>
      <w:pPr>
        <w:spacing w:after="0" w:line="116"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B-1-27</w:t>
      </w:r>
    </w:p>
    <w:p>
      <w:pPr>
        <w:sectPr>
          <w:pgSz w:w="11900" w:h="16838" w:orient="portrait"/>
          <w:cols w:equalWidth="0" w:num="1">
            <w:col w:w="10564"/>
          </w:cols>
          <w:pgMar w:left="876" w:top="270" w:right="459" w:bottom="1440" w:gutter="0" w:footer="0" w:header="0"/>
        </w:sectPr>
      </w:pPr>
    </w:p>
    <w:bookmarkStart w:id="82" w:name="page83"/>
    <w:bookmarkEnd w:id="82"/>
    <w:p>
      <w:pPr>
        <w:ind w:firstLine="419"/>
        <w:spacing w:after="0" w:line="255" w:lineRule="auto"/>
        <w:tabs>
          <w:tab w:leader="none" w:pos="63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Collateral or Setoff</w:t>
      </w:r>
      <w:r>
        <w:rPr>
          <w:rFonts w:ascii="Times New Roman" w:cs="Times New Roman" w:eastAsia="Times New Roman" w:hAnsi="Times New Roman"/>
          <w:sz w:val="18"/>
          <w:szCs w:val="18"/>
          <w:color w:val="auto"/>
        </w:rPr>
        <w:t>. Notwithstanding Section 6(f) or any other provision of the Agreement or any other agreement between the parties to the contrary, the obligations of Counterparty hereunder are not secured by any collateral. Obligations in respect of this Transaction shall not be set off against any other obligations of the parties, whether arising under the Agreement, this Confirmation, under any other agreement between the parties hereto, by operation of law or otherwise, and no other obligations of the parties shall be set off against obligations in respect of this Transaction, whether arising under the Agreement, this Confirmation, under any other agreement between the parties hereto, by operation of law or otherwise, and each party hereby waives any such right of setoff, except that set-off solely with respect to amounts payable under this Transaction and any and all Additional Transactions governed by the Agreement shall be permissible.</w:t>
      </w:r>
    </w:p>
    <w:p>
      <w:pPr>
        <w:spacing w:after="0" w:line="80"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right="80" w:firstLine="408"/>
        <w:spacing w:after="0" w:line="253" w:lineRule="auto"/>
        <w:tabs>
          <w:tab w:leader="none" w:pos="115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Payer Tax Representations</w:t>
      </w:r>
      <w:r>
        <w:rPr>
          <w:rFonts w:ascii="Times New Roman" w:cs="Times New Roman" w:eastAsia="Times New Roman" w:hAnsi="Times New Roman"/>
          <w:sz w:val="18"/>
          <w:szCs w:val="18"/>
          <w:color w:val="auto"/>
        </w:rPr>
        <w:t>. For the purpose of Section 3(e) of the Agreement, each of Dealer and Counterparty makes the following representation: It is not required by any applicable law, as modified by the practice of any relevant governmental revenue authority, of any Relevant Jurisdiction to make any deduction or withholding for or on account of any Tax from any payment (other than interest under Section 9(h) of the Agreement or amounts payable hereunder that may be considered to be interest for U.S. federal income tax purposes) to be made by it to the other party under the Agreement. In making this representation, it may rely on (A) the accuracy of any representations made by the other party pursuant to Section 3(f) of the Agreement, (B) the satisfaction of the agreement contained in Section 4(a)(i) or Section 4(a)(iii) of the Agreement and the accuracy and effectiveness of any document provided by the other party pursuant to Section 4(a)(i) or Section 4(a)(iii) of the Agreement and (C) the satisfaction of the agreement of the other party contained in Section 4(d) of the Agreement, except that it will not be a breach of this representation where reliance is placed on clause (B) above and the other party does not deliver a form or document under Section 4(a)(iii) of the Agreement by reason of material prejudice to its legal or commercial position.</w:t>
      </w:r>
    </w:p>
    <w:p>
      <w:pPr>
        <w:spacing w:after="0" w:line="83" w:lineRule="exact"/>
        <w:rPr>
          <w:rFonts w:ascii="Times New Roman" w:cs="Times New Roman" w:eastAsia="Times New Roman" w:hAnsi="Times New Roman"/>
          <w:sz w:val="18"/>
          <w:szCs w:val="18"/>
          <w:color w:val="auto"/>
        </w:rPr>
      </w:pPr>
    </w:p>
    <w:p>
      <w:pPr>
        <w:ind w:left="1220" w:hanging="272"/>
        <w:spacing w:after="0"/>
        <w:tabs>
          <w:tab w:leader="none" w:pos="12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Payee Tax Representations</w:t>
      </w:r>
      <w:r>
        <w:rPr>
          <w:rFonts w:ascii="Times New Roman" w:cs="Times New Roman" w:eastAsia="Times New Roman" w:hAnsi="Times New Roman"/>
          <w:sz w:val="18"/>
          <w:szCs w:val="18"/>
          <w:color w:val="auto"/>
        </w:rPr>
        <w:t>. For the purpose of Section 3(f) of the Agreement:</w:t>
      </w:r>
    </w:p>
    <w:p>
      <w:pPr>
        <w:spacing w:after="0" w:line="117" w:lineRule="exact"/>
        <w:rPr>
          <w:rFonts w:ascii="Times New Roman" w:cs="Times New Roman" w:eastAsia="Times New Roman" w:hAnsi="Times New Roman"/>
          <w:sz w:val="18"/>
          <w:szCs w:val="18"/>
          <w:color w:val="auto"/>
        </w:rPr>
      </w:pPr>
    </w:p>
    <w:p>
      <w:pPr>
        <w:ind w:left="1620" w:hanging="249"/>
        <w:spacing w:after="0"/>
        <w:tabs>
          <w:tab w:leader="none" w:pos="1620"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makes the following representations:</w:t>
      </w:r>
    </w:p>
    <w:p>
      <w:pPr>
        <w:spacing w:after="0" w:line="130" w:lineRule="exact"/>
        <w:rPr>
          <w:rFonts w:ascii="Times New Roman" w:cs="Times New Roman" w:eastAsia="Times New Roman" w:hAnsi="Times New Roman"/>
          <w:sz w:val="18"/>
          <w:szCs w:val="18"/>
          <w:color w:val="auto"/>
        </w:rPr>
      </w:pPr>
    </w:p>
    <w:p>
      <w:pPr>
        <w:ind w:left="1960" w:right="180" w:hanging="433"/>
        <w:spacing w:after="0" w:line="282" w:lineRule="auto"/>
        <w:tabs>
          <w:tab w:leader="none" w:pos="1960" w:val="left"/>
        </w:tabs>
        <w:numPr>
          <w:ilvl w:val="3"/>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“U.S. person” (as that term is used in section 1.1441-4(a)(3)(ii) of the United States Treasury Regulations) for U.S. federal income tax purposes.]</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B-1-28</w:t>
      </w:r>
    </w:p>
    <w:p>
      <w:pPr>
        <w:sectPr>
          <w:pgSz w:w="11900" w:h="16838" w:orient="portrait"/>
          <w:cols w:equalWidth="0" w:num="1">
            <w:col w:w="10560"/>
          </w:cols>
          <w:pgMar w:left="880" w:top="270" w:right="459" w:bottom="1440" w:gutter="0" w:footer="0" w:header="0"/>
        </w:sectPr>
      </w:pPr>
    </w:p>
    <w:bookmarkStart w:id="83" w:name="page84"/>
    <w:bookmarkEnd w:id="83"/>
    <w:p>
      <w:pPr>
        <w:ind w:left="1960" w:hanging="433"/>
        <w:spacing w:after="0"/>
        <w:tabs>
          <w:tab w:leader="none" w:pos="1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 is a national banking association organized and existing under the laws of the United States of America and is an</w:t>
      </w:r>
    </w:p>
    <w:p>
      <w:pPr>
        <w:ind w:left="1960"/>
        <w:spacing w:after="0" w:line="219" w:lineRule="auto"/>
        <w:tabs>
          <w:tab w:leader="none" w:pos="9120" w:val="left"/>
        </w:tabs>
        <w:rPr>
          <w:sz w:val="20"/>
          <w:szCs w:val="20"/>
          <w:color w:val="auto"/>
        </w:rPr>
      </w:pPr>
      <w:r>
        <w:rPr>
          <w:rFonts w:ascii="Times New Roman" w:cs="Times New Roman" w:eastAsia="Times New Roman" w:hAnsi="Times New Roman"/>
          <w:sz w:val="18"/>
          <w:szCs w:val="18"/>
          <w:color w:val="auto"/>
        </w:rPr>
        <w:t>exempt recipient under section 1.6049-4(c)(1)(ii)(M) of the United States Treasury Regulations.][</w:t>
        <w:tab/>
        <w:t>]</w:t>
      </w:r>
    </w:p>
    <w:p>
      <w:pPr>
        <w:spacing w:after="0" w:line="144" w:lineRule="exact"/>
        <w:rPr>
          <w:sz w:val="20"/>
          <w:szCs w:val="20"/>
          <w:color w:val="auto"/>
        </w:rPr>
      </w:pPr>
    </w:p>
    <w:p>
      <w:pPr>
        <w:ind w:left="1620" w:hanging="249"/>
        <w:spacing w:after="0"/>
        <w:tabs>
          <w:tab w:leader="none" w:pos="162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makes the following representations:</w:t>
      </w:r>
    </w:p>
    <w:p>
      <w:pPr>
        <w:spacing w:after="0" w:line="130" w:lineRule="exact"/>
        <w:rPr>
          <w:rFonts w:ascii="Times New Roman" w:cs="Times New Roman" w:eastAsia="Times New Roman" w:hAnsi="Times New Roman"/>
          <w:sz w:val="18"/>
          <w:szCs w:val="18"/>
          <w:color w:val="auto"/>
        </w:rPr>
      </w:pPr>
    </w:p>
    <w:p>
      <w:pPr>
        <w:ind w:left="1960" w:right="120" w:hanging="433"/>
        <w:spacing w:after="0" w:line="282" w:lineRule="auto"/>
        <w:tabs>
          <w:tab w:leader="none" w:pos="1960"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“U.S. person” (as that term is used in section 1.1441-4(a)(3)(ii) of United States Treasury Regulations) for U.S. federal income tax purposes.</w:t>
      </w:r>
    </w:p>
    <w:p>
      <w:pPr>
        <w:spacing w:after="0" w:line="67" w:lineRule="exact"/>
        <w:rPr>
          <w:rFonts w:ascii="Times New Roman" w:cs="Times New Roman" w:eastAsia="Times New Roman" w:hAnsi="Times New Roman"/>
          <w:sz w:val="18"/>
          <w:szCs w:val="18"/>
          <w:color w:val="auto"/>
        </w:rPr>
      </w:pPr>
    </w:p>
    <w:p>
      <w:pPr>
        <w:ind w:left="1960" w:right="160" w:hanging="433"/>
        <w:spacing w:after="0" w:line="312" w:lineRule="auto"/>
        <w:tabs>
          <w:tab w:leader="none" w:pos="1960" w:val="left"/>
        </w:tabs>
        <w:numPr>
          <w:ilvl w:val="2"/>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a real estate investment trust for U.S. federal income tax purposes and is organized under the laws of the State of Maryland, and is an exempt recipient under section 1.6049-4(c)(1)(ii)(J) of the United States Treasury Regulations.</w:t>
      </w:r>
    </w:p>
    <w:p>
      <w:pPr>
        <w:spacing w:after="0" w:line="31" w:lineRule="exact"/>
        <w:rPr>
          <w:rFonts w:ascii="Times New Roman" w:cs="Times New Roman" w:eastAsia="Times New Roman" w:hAnsi="Times New Roman"/>
          <w:sz w:val="17"/>
          <w:szCs w:val="17"/>
          <w:color w:val="auto"/>
        </w:rPr>
      </w:pPr>
    </w:p>
    <w:p>
      <w:pPr>
        <w:ind w:firstLine="419"/>
        <w:spacing w:after="0" w:line="261" w:lineRule="auto"/>
        <w:tabs>
          <w:tab w:leader="none" w:pos="73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 imposed on payments to non-U.S. counterparties under the United States Foreign Account Tax Compliance Act</w:t>
      </w:r>
      <w:r>
        <w:rPr>
          <w:rFonts w:ascii="Times New Roman" w:cs="Times New Roman" w:eastAsia="Times New Roman" w:hAnsi="Times New Roman"/>
          <w:sz w:val="18"/>
          <w:szCs w:val="18"/>
          <w:color w:val="auto"/>
        </w:rPr>
        <w:t>. “Tax” and “Indemnifiable Tax”, each as defined in Section 14 of the Agreement, shall not include any FATCA Withholding Tax. For the avoidance of doubt, a FATCA Withholding Tax is a Tax the deduction or withholding of which is required by applicable law for the purposes of Section 2(d) of the Agreement.</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w:t>
      </w:r>
    </w:p>
    <w:p>
      <w:pPr>
        <w:spacing w:after="0" w:line="117" w:lineRule="exact"/>
        <w:rPr>
          <w:sz w:val="20"/>
          <w:szCs w:val="20"/>
          <w:color w:val="auto"/>
        </w:rPr>
      </w:pPr>
    </w:p>
    <w:p>
      <w:pPr>
        <w:ind w:right="140" w:firstLine="42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FATCA Withholding Tax</w:t>
      </w:r>
      <w:r>
        <w:rPr>
          <w:rFonts w:ascii="Times New Roman" w:cs="Times New Roman" w:eastAsia="Times New Roman" w:hAnsi="Times New Roman"/>
          <w:sz w:val="18"/>
          <w:szCs w:val="18"/>
          <w:color w:val="auto"/>
        </w:rPr>
        <w:t>” means any U.S. federal withholding tax imposed or collected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w:t>
      </w:r>
    </w:p>
    <w:p>
      <w:pPr>
        <w:spacing w:after="0" w:line="72" w:lineRule="exact"/>
        <w:rPr>
          <w:sz w:val="20"/>
          <w:szCs w:val="20"/>
          <w:color w:val="auto"/>
        </w:rPr>
      </w:pPr>
    </w:p>
    <w:p>
      <w:pPr>
        <w:ind w:right="60" w:firstLine="419"/>
        <w:spacing w:after="0" w:line="254" w:lineRule="auto"/>
        <w:tabs>
          <w:tab w:leader="none" w:pos="72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HIRE Act</w:t>
      </w:r>
      <w:r>
        <w:rPr>
          <w:rFonts w:ascii="Times New Roman" w:cs="Times New Roman" w:eastAsia="Times New Roman" w:hAnsi="Times New Roman"/>
          <w:sz w:val="18"/>
          <w:szCs w:val="18"/>
          <w:color w:val="auto"/>
        </w:rPr>
        <w:t xml:space="preserve">. To the extent that either party to the Agreement with respect to this Transaction is not an adhering party to the ISDA 2015 Section 871(m) Protocol published by the ISDA on November 2, 2015 and available at </w:t>
      </w:r>
      <w:r>
        <w:rPr>
          <w:rFonts w:ascii="Times New Roman" w:cs="Times New Roman" w:eastAsia="Times New Roman" w:hAnsi="Times New Roman"/>
          <w:sz w:val="18"/>
          <w:szCs w:val="18"/>
          <w:u w:val="single" w:color="auto"/>
          <w:color w:val="auto"/>
        </w:rPr>
        <w:t>www.isda.org</w:t>
      </w:r>
      <w:r>
        <w:rPr>
          <w:rFonts w:ascii="Times New Roman" w:cs="Times New Roman" w:eastAsia="Times New Roman" w:hAnsi="Times New Roman"/>
          <w:sz w:val="18"/>
          <w:szCs w:val="18"/>
          <w:color w:val="auto"/>
        </w:rPr>
        <w:t>, as may be amended, supplemented, replaced or superseded from time to time (the “</w:t>
      </w:r>
      <w:r>
        <w:rPr>
          <w:rFonts w:ascii="Times New Roman" w:cs="Times New Roman" w:eastAsia="Times New Roman" w:hAnsi="Times New Roman"/>
          <w:sz w:val="18"/>
          <w:szCs w:val="18"/>
          <w:b w:val="1"/>
          <w:bCs w:val="1"/>
          <w:i w:val="1"/>
          <w:iCs w:val="1"/>
          <w:color w:val="auto"/>
        </w:rPr>
        <w:t>871(m) Protocol</w:t>
      </w:r>
      <w:r>
        <w:rPr>
          <w:rFonts w:ascii="Times New Roman" w:cs="Times New Roman" w:eastAsia="Times New Roman" w:hAnsi="Times New Roman"/>
          <w:sz w:val="18"/>
          <w:szCs w:val="18"/>
          <w:color w:val="auto"/>
        </w:rPr>
        <w:t>”), the parties agree that the provisions and amendments contained in the Attachment to the 871(m) Protocol are incorporated into and apply to the Agreement with respect to this Transaction as if set forth in full herein. The parties further agree that, solely for purposes of applying such provisions and amendments to the Agreement with respect to this Transaction, references to “each Covered Master Agreement” in the 871(m) Protocol will be deemed to be references to the Agreement with respect to this Transaction, and references to the “Implementation Date” in the 871(m) Protocol will be deemed to be references to the Trade Date of this Transaction. For greater</w:t>
      </w:r>
    </w:p>
    <w:p>
      <w:pPr>
        <w:spacing w:after="0" w:line="1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B-1-29</w:t>
      </w:r>
    </w:p>
    <w:p>
      <w:pPr>
        <w:sectPr>
          <w:pgSz w:w="11900" w:h="16838" w:orient="portrait"/>
          <w:cols w:equalWidth="0" w:num="1">
            <w:col w:w="10540"/>
          </w:cols>
          <w:pgMar w:left="880" w:top="270" w:right="479" w:bottom="1440" w:gutter="0" w:footer="0" w:header="0"/>
        </w:sectPr>
      </w:pPr>
    </w:p>
    <w:bookmarkStart w:id="84" w:name="page85"/>
    <w:bookmarkEnd w:id="84"/>
    <w:p>
      <w:pPr>
        <w:ind w:left="440"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certainty, if there is any inconsistency between this provision and the provisions contained in any other agreement between the parties with respect to this Transaction, this provision shall prevail unless such other agreement expressly overrides the provisions of the Attachment to the 871(m) Protocol.</w:t>
      </w:r>
    </w:p>
    <w:p>
      <w:pPr>
        <w:spacing w:after="0" w:line="68" w:lineRule="exact"/>
        <w:rPr>
          <w:sz w:val="20"/>
          <w:szCs w:val="20"/>
          <w:color w:val="auto"/>
        </w:rPr>
      </w:pPr>
    </w:p>
    <w:p>
      <w:pPr>
        <w:jc w:val="both"/>
        <w:ind w:left="440" w:right="80" w:firstLine="419"/>
        <w:spacing w:after="0" w:line="272" w:lineRule="auto"/>
        <w:tabs>
          <w:tab w:leader="none" w:pos="1118"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Documentation</w:t>
      </w:r>
      <w:r>
        <w:rPr>
          <w:rFonts w:ascii="Times New Roman" w:cs="Times New Roman" w:eastAsia="Times New Roman" w:hAnsi="Times New Roman"/>
          <w:sz w:val="17"/>
          <w:szCs w:val="17"/>
          <w:color w:val="auto"/>
        </w:rPr>
        <w:t>. For the purposes of Sections 4(a)(i) and 4(a)(ii) of the Agreement, Counterparty shall provide to Dealer a valid and duly executed U.S. Internal Revenue Service Form W-9, or any successor thereto, completed accurately and in a manner reasonably acceptable to Dealer and, in particular, with the “C Corporation” box checked on line 3 thereof (i) on or before the date of execution of this Confirmation;</w:t>
      </w:r>
    </w:p>
    <w:p>
      <w:pPr>
        <w:spacing w:after="0" w:line="1" w:lineRule="exact"/>
        <w:rPr>
          <w:rFonts w:ascii="Times New Roman" w:cs="Times New Roman" w:eastAsia="Times New Roman" w:hAnsi="Times New Roman"/>
          <w:sz w:val="17"/>
          <w:szCs w:val="17"/>
          <w:color w:val="auto"/>
        </w:rPr>
      </w:pPr>
    </w:p>
    <w:p>
      <w:pPr>
        <w:ind w:left="440" w:hanging="4"/>
        <w:spacing w:after="0" w:line="260" w:lineRule="auto"/>
        <w:tabs>
          <w:tab w:leader="none" w:pos="70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reasonable demand by Dealer; and (iii) promptly upon learning that any such tax form previously provided by Counterparty has become inaccurate or incorrect.</w:t>
      </w:r>
    </w:p>
    <w:p>
      <w:pPr>
        <w:spacing w:after="0" w:line="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For the purposes of Sections 4(a)(i) and 4(a)(ii) of the Agreement, Dealer shall provide to Counterparty a valid and duly executed</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U.S. Internal Revenue Service Form W-9 or W-8ECI, or any successor thereto, completed accurately and in a manner reasonably acceptable to</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Counterparty and, in particular, with the “C Corporation” or “Corporation” box checked on line 3 or 4 thereof, respectively, (i) on or before the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 of execution of this Confirmation; (ii) promptly upon reasonable demand by Counterparty; and (iii) promptly upon learning that any such tax</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form previously provided by Dealer has become inaccurate or incorrect.</w:t>
      </w:r>
    </w:p>
    <w:p>
      <w:pPr>
        <w:spacing w:after="0" w:line="99" w:lineRule="exact"/>
        <w:rPr>
          <w:sz w:val="20"/>
          <w:szCs w:val="20"/>
          <w:color w:val="auto"/>
        </w:rPr>
      </w:pPr>
    </w:p>
    <w:p>
      <w:pPr>
        <w:ind w:left="440" w:right="140" w:firstLine="419"/>
        <w:spacing w:after="0" w:line="282" w:lineRule="auto"/>
        <w:tabs>
          <w:tab w:leader="none" w:pos="1168"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Account</w:t>
      </w:r>
      <w:r>
        <w:rPr>
          <w:rFonts w:ascii="Times New Roman" w:cs="Times New Roman" w:eastAsia="Times New Roman" w:hAnsi="Times New Roman"/>
          <w:sz w:val="18"/>
          <w:szCs w:val="18"/>
          <w:color w:val="auto"/>
        </w:rPr>
        <w:t>. Section 2(b) of the Agreement is hereby amended by the addition of the following after the word “delivery” in the first line thereof: “to another account in the same legal and tax jurisdiction”.</w:t>
      </w:r>
    </w:p>
    <w:p>
      <w:pPr>
        <w:spacing w:after="0" w:line="53" w:lineRule="exact"/>
        <w:rPr>
          <w:rFonts w:ascii="Times New Roman" w:cs="Times New Roman" w:eastAsia="Times New Roman" w:hAnsi="Times New Roman"/>
          <w:sz w:val="18"/>
          <w:szCs w:val="18"/>
          <w:color w:val="auto"/>
        </w:rPr>
      </w:pPr>
    </w:p>
    <w:p>
      <w:pPr>
        <w:ind w:left="440" w:right="200" w:firstLine="419"/>
        <w:spacing w:after="0" w:line="312" w:lineRule="auto"/>
        <w:tabs>
          <w:tab w:leader="none" w:pos="1218"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Deduction or Withholding for Tax</w:t>
      </w:r>
      <w:r>
        <w:rPr>
          <w:rFonts w:ascii="Times New Roman" w:cs="Times New Roman" w:eastAsia="Times New Roman" w:hAnsi="Times New Roman"/>
          <w:sz w:val="17"/>
          <w:szCs w:val="17"/>
          <w:color w:val="auto"/>
        </w:rPr>
        <w:t>. Sections 2(d)(i), 2(d)(i)(4), 2(d)(ii)(1) are hereby amended by replacing the words “pay,” “paid,” “payment” or “payments” with the words “pay or deliver,” “paid or delivered,” “payment or delivery” or “payments or deliveries,” respectively.</w:t>
      </w:r>
    </w:p>
    <w:p>
      <w:pPr>
        <w:spacing w:after="0" w:line="139" w:lineRule="exact"/>
        <w:rPr>
          <w:rFonts w:ascii="Times New Roman" w:cs="Times New Roman" w:eastAsia="Times New Roman" w:hAnsi="Times New Roman"/>
          <w:sz w:val="17"/>
          <w:szCs w:val="17"/>
          <w:color w:val="auto"/>
        </w:rPr>
      </w:pPr>
    </w:p>
    <w:p>
      <w:pPr>
        <w:ind w:firstLine="436"/>
        <w:spacing w:after="0" w:line="256" w:lineRule="auto"/>
        <w:tabs>
          <w:tab w:leader="none" w:pos="69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Wall Street Transparency and Accountability Act of 2010</w:t>
      </w:r>
      <w:r>
        <w:rPr>
          <w:rFonts w:ascii="Times New Roman" w:cs="Times New Roman" w:eastAsia="Times New Roman" w:hAnsi="Times New Roman"/>
          <w:sz w:val="18"/>
          <w:szCs w:val="18"/>
          <w:color w:val="auto"/>
        </w:rPr>
        <w:t>. The parties hereby agree that none of (i) Section 739 of the WSTAA, (ii) any similar legal certainty provision included in any legislation enacted, or rule or regulation promulgated, on or after the Trade Date, (iii) the enactment of the WSTAA or any regulation under the WSTAA, (iv) any requirement under the WSTAA or (v) any amendment made by the WSTAA shall limit or otherwise impair either party’s right to terminate, renegotiate, modify, amend or supplement this Confirmation or the Agreement, as applicable, arising from a termination event, force majeure, illegality, increased cost, regulatory change or similar event under this Confirmation, the Equity Definitions or the Agreement (including, but not limited to, any right arising from any Acceleration Event).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B-1-30</w:t>
      </w:r>
    </w:p>
    <w:p>
      <w:pPr>
        <w:sectPr>
          <w:pgSz w:w="11900" w:h="16838" w:orient="portrait"/>
          <w:cols w:equalWidth="0" w:num="1">
            <w:col w:w="11000"/>
          </w:cols>
          <w:pgMar w:left="440" w:top="270" w:right="459" w:bottom="1440" w:gutter="0" w:footer="0" w:header="0"/>
        </w:sectPr>
      </w:pPr>
    </w:p>
    <w:bookmarkStart w:id="85" w:name="page86"/>
    <w:bookmarkEnd w:id="85"/>
    <w:p>
      <w:pPr>
        <w:ind w:left="-40" w:firstLine="436"/>
        <w:spacing w:after="0" w:line="253" w:lineRule="auto"/>
        <w:tabs>
          <w:tab w:leader="none" w:pos="69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Other Forwards / Dealers</w:t>
      </w:r>
      <w:r>
        <w:rPr>
          <w:rFonts w:ascii="Times New Roman" w:cs="Times New Roman" w:eastAsia="Times New Roman" w:hAnsi="Times New Roman"/>
          <w:sz w:val="18"/>
          <w:szCs w:val="18"/>
          <w:color w:val="auto"/>
        </w:rPr>
        <w:t>. Dealer acknowledges that Counterparty has entered or may enter in the future into one or more substantially similar forward transactions for the Shares (each, an “</w:t>
      </w:r>
      <w:r>
        <w:rPr>
          <w:rFonts w:ascii="Times New Roman" w:cs="Times New Roman" w:eastAsia="Times New Roman" w:hAnsi="Times New Roman"/>
          <w:sz w:val="18"/>
          <w:szCs w:val="18"/>
          <w:b w:val="1"/>
          <w:bCs w:val="1"/>
          <w:i w:val="1"/>
          <w:iCs w:val="1"/>
          <w:color w:val="auto"/>
        </w:rPr>
        <w:t>Other Forward</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Other Forwards</w:t>
      </w:r>
      <w:r>
        <w:rPr>
          <w:rFonts w:ascii="Times New Roman" w:cs="Times New Roman" w:eastAsia="Times New Roman" w:hAnsi="Times New Roman"/>
          <w:sz w:val="18"/>
          <w:szCs w:val="18"/>
          <w:color w:val="auto"/>
        </w:rPr>
        <w:t>”) with one or more other dealers. Dealer and Counterparty agree that if Counterparty designates a “Settlement Date” with respect to one or more Other Forwards for which “Cash Settlement” or “Net Share Settlement” is applicable, and the resulting “Unwind Period” for such Other Forwards coincides for any period of time with an Unwind Period for this Transaction (the “</w:t>
      </w:r>
      <w:r>
        <w:rPr>
          <w:rFonts w:ascii="Times New Roman" w:cs="Times New Roman" w:eastAsia="Times New Roman" w:hAnsi="Times New Roman"/>
          <w:sz w:val="18"/>
          <w:szCs w:val="18"/>
          <w:b w:val="1"/>
          <w:bCs w:val="1"/>
          <w:i w:val="1"/>
          <w:iCs w:val="1"/>
          <w:color w:val="auto"/>
        </w:rPr>
        <w:t>Overlap Unwind Period</w:t>
      </w:r>
      <w:r>
        <w:rPr>
          <w:rFonts w:ascii="Times New Roman" w:cs="Times New Roman" w:eastAsia="Times New Roman" w:hAnsi="Times New Roman"/>
          <w:sz w:val="18"/>
          <w:szCs w:val="18"/>
          <w:color w:val="auto"/>
        </w:rPr>
        <w:t>”), Counterparty shall notify Dealer at least one Scheduled Trading Day prior to the commencement of such Overlap Unwind Period of the first Scheduled Trading Day and length of such Overlap Unwind Period, and Dealer shall be permitted to purchase Shares to unwind its commercially reasonable hedge in a commercially reasonable manner in respect of this Transaction only on alternating Scheduled Trading Days during such Overlap Unwind Period, commencing on the first, second, third or later Scheduled Trading Day of such Overlap Unwind Period, as notified to Dealer by Counterparty at least one Business Day prior to such Overlap Unwind Period (which alternating Scheduled Trading Days, for the avoidance of doubt, may be every other Scheduled Trading Day if there is only one other dealer, every third Scheduled Trading Day if there are two other dealers, etc.).</w:t>
      </w:r>
    </w:p>
    <w:p>
      <w:pPr>
        <w:spacing w:after="0" w:line="191" w:lineRule="exact"/>
        <w:rPr>
          <w:rFonts w:ascii="Times New Roman" w:cs="Times New Roman" w:eastAsia="Times New Roman" w:hAnsi="Times New Roman"/>
          <w:sz w:val="18"/>
          <w:szCs w:val="18"/>
          <w:color w:val="auto"/>
        </w:rPr>
      </w:pPr>
    </w:p>
    <w:p>
      <w:pPr>
        <w:ind w:left="-40" w:right="160" w:firstLine="436"/>
        <w:spacing w:after="0" w:line="258" w:lineRule="auto"/>
        <w:tabs>
          <w:tab w:leader="none" w:pos="6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Cash</w:t>
      </w:r>
      <w:r>
        <w:rPr>
          <w:rFonts w:ascii="Times New Roman" w:cs="Times New Roman" w:eastAsia="Times New Roman" w:hAnsi="Times New Roman"/>
          <w:sz w:val="18"/>
          <w:szCs w:val="18"/>
          <w:color w:val="auto"/>
        </w:rPr>
        <w:t>. For the avoidance of doubt, nothing in this Confirmation shall be interpreted as requiring Counterparty to deliver cash in respect of the settlement of this Transaction, except in circumstances where the required cash settlement thereof is permitted for classification of the contract as equity by ASC 815-40 (formerly EITF 00-19) as in effect on the Trade Date (including, without limitation, where Counterparty so elects to deliver cash or fails timely to elect to deliver Shares in respect of such settlement). For the avoidance of doubt, the preceding sentence shall not be construed as limiting (i) Paragraph 7(i) hereunder or (ii) any damages that may be payable by Counterparty as a result of breach of this Confirmation.</w:t>
      </w:r>
    </w:p>
    <w:p>
      <w:pPr>
        <w:spacing w:after="0" w:line="183" w:lineRule="exact"/>
        <w:rPr>
          <w:rFonts w:ascii="Times New Roman" w:cs="Times New Roman" w:eastAsia="Times New Roman" w:hAnsi="Times New Roman"/>
          <w:sz w:val="18"/>
          <w:szCs w:val="18"/>
          <w:color w:val="auto"/>
        </w:rPr>
      </w:pPr>
    </w:p>
    <w:p>
      <w:pPr>
        <w:ind w:left="660" w:hanging="264"/>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B-1-31</w:t>
      </w:r>
    </w:p>
    <w:p>
      <w:pPr>
        <w:sectPr>
          <w:pgSz w:w="11900" w:h="16838" w:orient="portrait"/>
          <w:cols w:equalWidth="0" w:num="1">
            <w:col w:w="10940"/>
          </w:cols>
          <w:pgMar w:left="480" w:top="270" w:right="479" w:bottom="1440" w:gutter="0" w:footer="0" w:header="0"/>
        </w:sectPr>
      </w:pPr>
    </w:p>
    <w:bookmarkStart w:id="86" w:name="page87"/>
    <w:bookmarkEnd w:id="86"/>
    <w:p>
      <w:pPr>
        <w:ind w:left="420" w:right="80" w:firstLine="419"/>
        <w:spacing w:after="0" w:line="256" w:lineRule="auto"/>
        <w:tabs>
          <w:tab w:leader="none" w:pos="1058"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Counterparts may be delivered via facsimile, electronic mail (including any electronic signature covered by the U.S. federal ESIGN Act of 2000, Uniform Electronic Transactions Act, the Electronic Signatures and Records Act or other applicable law, e.g., DocuSign and AdobeSign (any such signature, an “</w:t>
      </w:r>
      <w:r>
        <w:rPr>
          <w:rFonts w:ascii="Times New Roman" w:cs="Times New Roman" w:eastAsia="Times New Roman" w:hAnsi="Times New Roman"/>
          <w:sz w:val="18"/>
          <w:szCs w:val="18"/>
          <w:b w:val="1"/>
          <w:bCs w:val="1"/>
          <w:i w:val="1"/>
          <w:iCs w:val="1"/>
          <w:color w:val="auto"/>
        </w:rPr>
        <w:t>Electronic Signature</w:t>
      </w:r>
      <w:r>
        <w:rPr>
          <w:rFonts w:ascii="Times New Roman" w:cs="Times New Roman" w:eastAsia="Times New Roman" w:hAnsi="Times New Roman"/>
          <w:sz w:val="18"/>
          <w:szCs w:val="18"/>
          <w:color w:val="auto"/>
        </w:rPr>
        <w:t>”)) or other transmission method and any counterpart so delivered shall be deemed to have been duly and validly delivered and be valid and effective for all purposes. The words “execution,” “signed,” “signature” and words of like import in this Confirmation or in any other certificate, agreement or document related to this Confirmation shall include any Electronic Signature, except to the extent electronic notices are expressly prohibited under this Confirmation or the Agreement.</w:t>
      </w:r>
    </w:p>
    <w:p>
      <w:pPr>
        <w:spacing w:after="0" w:line="79" w:lineRule="exact"/>
        <w:rPr>
          <w:rFonts w:ascii="Times New Roman" w:cs="Times New Roman" w:eastAsia="Times New Roman" w:hAnsi="Times New Roman"/>
          <w:sz w:val="18"/>
          <w:szCs w:val="18"/>
          <w:color w:val="auto"/>
        </w:rPr>
      </w:pPr>
    </w:p>
    <w:p>
      <w:pPr>
        <w:ind w:left="420" w:right="180" w:firstLine="419"/>
        <w:spacing w:after="0" w:line="282" w:lineRule="auto"/>
        <w:tabs>
          <w:tab w:leader="none" w:pos="1108"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the Agreement, either party may deliver to the other party a notice relating to any Event of Default or Termination Event under this Confirmation by e-mail.</w:t>
      </w:r>
    </w:p>
    <w:p>
      <w:pPr>
        <w:spacing w:after="0" w:line="161" w:lineRule="exact"/>
        <w:rPr>
          <w:rFonts w:ascii="Times New Roman" w:cs="Times New Roman" w:eastAsia="Times New Roman" w:hAnsi="Times New Roman"/>
          <w:sz w:val="18"/>
          <w:szCs w:val="18"/>
          <w:color w:val="auto"/>
        </w:rPr>
      </w:pPr>
    </w:p>
    <w:p>
      <w:pPr>
        <w:ind w:left="-20" w:firstLine="436"/>
        <w:spacing w:after="0" w:line="252" w:lineRule="auto"/>
        <w:tabs>
          <w:tab w:leader="none" w:pos="66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Stay Regulations</w:t>
      </w:r>
      <w:r>
        <w:rPr>
          <w:rFonts w:ascii="Times New Roman" w:cs="Times New Roman" w:eastAsia="Times New Roman" w:hAnsi="Times New Roman"/>
          <w:sz w:val="18"/>
          <w:szCs w:val="18"/>
          <w:color w:val="auto"/>
        </w:rPr>
        <w:t>. To the extent that the QFC Stay Rules are applicable hereto, then the parties agree that (i) to the extent that prior to the date hereof both parties have adhered to the 2018 ISDA U.S. Resolution Stay Protocol (the “</w:t>
      </w:r>
      <w:r>
        <w:rPr>
          <w:rFonts w:ascii="Times New Roman" w:cs="Times New Roman" w:eastAsia="Times New Roman" w:hAnsi="Times New Roman"/>
          <w:sz w:val="18"/>
          <w:szCs w:val="18"/>
          <w:b w:val="1"/>
          <w:bCs w:val="1"/>
          <w:i w:val="1"/>
          <w:iCs w:val="1"/>
          <w:color w:val="auto"/>
        </w:rPr>
        <w:t>Protocol</w:t>
      </w:r>
      <w:r>
        <w:rPr>
          <w:rFonts w:ascii="Times New Roman" w:cs="Times New Roman" w:eastAsia="Times New Roman" w:hAnsi="Times New Roman"/>
          <w:sz w:val="18"/>
          <w:szCs w:val="18"/>
          <w:color w:val="auto"/>
        </w:rPr>
        <w:t>”), the terms of the Protocol are incorporated into and form a part of this Confirmation, and for such purposes this Confirmation shall be deemed a Protocol Covered Agreement and each party shall be deemed to have the same status as “Regulated Entity” and/or “Adhering Party” as applicable to it under the Protocol; (ii) to the extent that prior to the date hereof the parties have executed a separate agreement the effect of which is to amend the qualified financial contracts between them to conform with the requirements of the QFC Stay Rules (the “</w:t>
      </w:r>
      <w:r>
        <w:rPr>
          <w:rFonts w:ascii="Times New Roman" w:cs="Times New Roman" w:eastAsia="Times New Roman" w:hAnsi="Times New Roman"/>
          <w:sz w:val="18"/>
          <w:szCs w:val="18"/>
          <w:b w:val="1"/>
          <w:bCs w:val="1"/>
          <w:i w:val="1"/>
          <w:iCs w:val="1"/>
          <w:color w:val="auto"/>
        </w:rPr>
        <w:t>Bilateral Agreement</w:t>
      </w:r>
      <w:r>
        <w:rPr>
          <w:rFonts w:ascii="Times New Roman" w:cs="Times New Roman" w:eastAsia="Times New Roman" w:hAnsi="Times New Roman"/>
          <w:sz w:val="18"/>
          <w:szCs w:val="18"/>
          <w:color w:val="auto"/>
        </w:rPr>
        <w:t>”), the terms of the Bilateral Agreement are incorporated into and form a part of this Confirmation and each party shall be deemed to have the status of “Covered Entity” or “Counterparty Entity” (or other similar term) as applicable to it under the Bilateral Agreement; or (iii) if clause (i) and clause (ii) do not apply, the terms of Section 1 and Section 2 and the related defined terms (together, the “</w:t>
      </w:r>
      <w:r>
        <w:rPr>
          <w:rFonts w:ascii="Times New Roman" w:cs="Times New Roman" w:eastAsia="Times New Roman" w:hAnsi="Times New Roman"/>
          <w:sz w:val="18"/>
          <w:szCs w:val="18"/>
          <w:b w:val="1"/>
          <w:bCs w:val="1"/>
          <w:i w:val="1"/>
          <w:iCs w:val="1"/>
          <w:color w:val="auto"/>
        </w:rPr>
        <w:t>Bilateral Terms</w:t>
      </w:r>
      <w:r>
        <w:rPr>
          <w:rFonts w:ascii="Times New Roman" w:cs="Times New Roman" w:eastAsia="Times New Roman" w:hAnsi="Times New Roman"/>
          <w:sz w:val="18"/>
          <w:szCs w:val="18"/>
          <w:color w:val="auto"/>
        </w:rPr>
        <w:t xml:space="preserve">”) of the form of bilateral template entitled “Full-Length Omnibus (for use between U.S. G-SIBs and Corporate Groups)” published by ISDA on November 2, 2018 (currently available on the 2018 ISDA U.S. Resolution Stay Protocol page at </w:t>
      </w:r>
      <w:r>
        <w:rPr>
          <w:rFonts w:ascii="Times New Roman" w:cs="Times New Roman" w:eastAsia="Times New Roman" w:hAnsi="Times New Roman"/>
          <w:sz w:val="18"/>
          <w:szCs w:val="18"/>
          <w:u w:val="single" w:color="auto"/>
          <w:color w:val="auto"/>
        </w:rPr>
        <w:t>www.isda.org</w:t>
      </w:r>
      <w:r>
        <w:rPr>
          <w:rFonts w:ascii="Times New Roman" w:cs="Times New Roman" w:eastAsia="Times New Roman" w:hAnsi="Times New Roman"/>
          <w:sz w:val="18"/>
          <w:szCs w:val="18"/>
          <w:color w:val="auto"/>
        </w:rPr>
        <w:t xml:space="preserve"> and, a copy of which is available upon request), the effect of which is to amend the qualified financial contracts between the parties thereto to conform with the requirements of the QFC Stay Rules, are hereby incorporated into and form a part of this Confirmation, and for such purposes this Confirmation shall be deemed a “Covered Agreement,” Dealer shall be deemed a “Covered Entity” and Counterparty shall be deemed a “Counterparty Entity.” In the event that, after the date of this Confirmation, both parties hereto become adhering parties to the Protocol, the terms of the Protocol will replace the terms of this paragraph. In the event of any inconsistencies between this Confirmation and the terms of the Protocol, the Bilateral Agreement or the Bilateral Terms (each, the “</w:t>
      </w:r>
      <w:r>
        <w:rPr>
          <w:rFonts w:ascii="Times New Roman" w:cs="Times New Roman" w:eastAsia="Times New Roman" w:hAnsi="Times New Roman"/>
          <w:sz w:val="18"/>
          <w:szCs w:val="18"/>
          <w:b w:val="1"/>
          <w:bCs w:val="1"/>
          <w:i w:val="1"/>
          <w:iCs w:val="1"/>
          <w:color w:val="auto"/>
        </w:rPr>
        <w:t>QFC Stay Terms</w:t>
      </w:r>
      <w:r>
        <w:rPr>
          <w:rFonts w:ascii="Times New Roman" w:cs="Times New Roman" w:eastAsia="Times New Roman" w:hAnsi="Times New Roman"/>
          <w:sz w:val="18"/>
          <w:szCs w:val="18"/>
          <w:color w:val="auto"/>
        </w:rPr>
        <w:t>”), as applicable, the QFC Stay Terms will govern. Terms used in this paragraph without definition shall have the meanings assigned to them under the QFC Stay Rules. For purposes of this paragraph, references to “this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B-1-32</w:t>
      </w:r>
    </w:p>
    <w:p>
      <w:pPr>
        <w:sectPr>
          <w:pgSz w:w="11900" w:h="16838" w:orient="portrait"/>
          <w:cols w:equalWidth="0" w:num="1">
            <w:col w:w="10980"/>
          </w:cols>
          <w:pgMar w:left="460" w:top="270" w:right="459" w:bottom="1440" w:gutter="0" w:footer="0" w:header="0"/>
        </w:sectPr>
      </w:pPr>
    </w:p>
    <w:bookmarkStart w:id="87" w:name="page88"/>
    <w:bookmarkEnd w:id="87"/>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Confirmation” include any related credit enhancements entered into between the parties or provided by one to the other. In addition, the parties agree that the terms of this paragraph shall be incorporated into any related covered affiliate credit enhancements, with all references to Dealer replaced by references to the covered affiliate support provider.</w:t>
      </w:r>
    </w:p>
    <w:p>
      <w:pPr>
        <w:spacing w:after="0" w:line="172"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QFC Stay Rules</w:t>
      </w:r>
      <w:r>
        <w:rPr>
          <w:rFonts w:ascii="Times New Roman" w:cs="Times New Roman" w:eastAsia="Times New Roman" w:hAnsi="Times New Roman"/>
          <w:sz w:val="18"/>
          <w:szCs w:val="18"/>
          <w:color w:val="auto"/>
        </w:rPr>
        <w:t>” mean the regulations codified at 12 C.F.R. 252.2, 252.81–8, 12 C.F.R. 382.1-7 and 12 C.F.R. 47.1-8, which, subject to limited exceptions, require an express recognition of the stay-and-transfer powers of the Federal Deposit Insurance Corporation under the Federal Deposit Insurance Act and the Orderly Liquidation Authority under Title II of the Dodd Frank Wall Street Reform and Consumer Protection Act and the override of default rights related directly or indirectly to the entry of an affiliate into certain insolvency proceedings and any restrictions on the transfer of any covered affiliate credit enhancements.</w:t>
      </w:r>
    </w:p>
    <w:p>
      <w:pPr>
        <w:spacing w:after="0" w:line="183" w:lineRule="exact"/>
        <w:rPr>
          <w:sz w:val="20"/>
          <w:szCs w:val="20"/>
          <w:color w:val="auto"/>
        </w:rPr>
      </w:pPr>
    </w:p>
    <w:p>
      <w:pPr>
        <w:ind w:left="760" w:hanging="324"/>
        <w:spacing w:after="0"/>
        <w:tabs>
          <w:tab w:leader="none" w:pos="7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[Insert Dealer Boilerplate, if 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B-1-33</w:t>
      </w:r>
    </w:p>
    <w:p>
      <w:pPr>
        <w:sectPr>
          <w:pgSz w:w="11900" w:h="16838" w:orient="portrait"/>
          <w:cols w:equalWidth="0" w:num="1">
            <w:col w:w="11000"/>
          </w:cols>
          <w:pgMar w:left="440" w:top="270" w:right="459" w:bottom="1440" w:gutter="0" w:footer="0" w:header="0"/>
        </w:sectPr>
      </w:pPr>
    </w:p>
    <w:bookmarkStart w:id="88" w:name="page89"/>
    <w:bookmarkEnd w:id="88"/>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Please confirm your agreement to be bound by the terms stated herein by executing the copy of this Confirmation enclosed for that purpose and returning it to us.</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Yours sincerely,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[DEALER]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B-1-34</w:t>
      </w:r>
    </w:p>
    <w:p>
      <w:pPr>
        <w:sectPr>
          <w:pgSz w:w="11900" w:h="16838" w:orient="portrait"/>
          <w:cols w:equalWidth="0" w:num="1">
            <w:col w:w="10780"/>
          </w:cols>
          <w:pgMar w:left="440" w:top="270" w:right="6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Confirmed as of the date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FEDERAL REALTY INVESTMENT TRUST</w:t>
      </w:r>
    </w:p>
    <w:p>
      <w:pPr>
        <w:spacing w:after="0" w:line="2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B-1-35</w:t>
      </w:r>
    </w:p>
    <w:p>
      <w:pPr>
        <w:sectPr>
          <w:pgSz w:w="11900" w:h="16838" w:orient="portrait"/>
          <w:cols w:equalWidth="0" w:num="1">
            <w:col w:w="9579"/>
          </w:cols>
          <w:pgMar w:left="880" w:top="270" w:right="1440"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8"/>
        </w:trPr>
        <w:tc>
          <w:tcPr>
            <w:tcW w:w="1880" w:type="dxa"/>
            <w:vAlign w:val="bottom"/>
          </w:tcPr>
          <w:p>
            <w:pPr>
              <w:spacing w:after="0"/>
              <w:rPr>
                <w:sz w:val="20"/>
                <w:szCs w:val="20"/>
                <w:color w:val="auto"/>
              </w:rPr>
            </w:pPr>
          </w:p>
        </w:tc>
        <w:tc>
          <w:tcPr>
            <w:tcW w:w="9140" w:type="dxa"/>
            <w:vAlign w:val="bottom"/>
            <w:gridSpan w:val="2"/>
          </w:tcPr>
          <w:p>
            <w:pPr>
              <w:ind w:left="3080"/>
              <w:spacing w:after="0"/>
              <w:rPr>
                <w:sz w:val="20"/>
                <w:szCs w:val="20"/>
                <w:color w:val="auto"/>
              </w:rPr>
            </w:pPr>
            <w:r>
              <w:rPr>
                <w:rFonts w:ascii="Times New Roman" w:cs="Times New Roman" w:eastAsia="Times New Roman" w:hAnsi="Times New Roman"/>
                <w:sz w:val="18"/>
                <w:szCs w:val="18"/>
                <w:b w:val="1"/>
                <w:bCs w:val="1"/>
                <w:color w:val="auto"/>
              </w:rPr>
              <w:t>SCHEDULE I</w:t>
            </w:r>
          </w:p>
        </w:tc>
        <w:tc>
          <w:tcPr>
            <w:tcW w:w="0" w:type="dxa"/>
            <w:vAlign w:val="bottom"/>
          </w:tcPr>
          <w:p>
            <w:pPr>
              <w:spacing w:after="0"/>
              <w:rPr>
                <w:sz w:val="1"/>
                <w:szCs w:val="1"/>
                <w:color w:val="auto"/>
              </w:rPr>
            </w:pPr>
          </w:p>
        </w:tc>
      </w:tr>
      <w:tr>
        <w:trPr>
          <w:trHeight w:val="367"/>
        </w:trPr>
        <w:tc>
          <w:tcPr>
            <w:tcW w:w="188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Forward Price</w:t>
            </w:r>
          </w:p>
        </w:tc>
        <w:tc>
          <w:tcPr>
            <w:tcW w:w="0" w:type="dxa"/>
            <w:vAlign w:val="bottom"/>
          </w:tcPr>
          <w:p>
            <w:pPr>
              <w:spacing w:after="0"/>
              <w:rPr>
                <w:sz w:val="1"/>
                <w:szCs w:val="1"/>
                <w:color w:val="auto"/>
              </w:rPr>
            </w:pPr>
          </w:p>
        </w:tc>
      </w:tr>
      <w:tr>
        <w:trPr>
          <w:trHeight w:val="148"/>
        </w:trPr>
        <w:tc>
          <w:tcPr>
            <w:tcW w:w="1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Forward Price Reduction Date</w:t>
            </w:r>
          </w:p>
        </w:tc>
        <w:tc>
          <w:tcPr>
            <w:tcW w:w="81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Reduction</w:t>
            </w:r>
          </w:p>
        </w:tc>
        <w:tc>
          <w:tcPr>
            <w:tcW w:w="0" w:type="dxa"/>
            <w:vAlign w:val="bottom"/>
          </w:tcPr>
          <w:p>
            <w:pPr>
              <w:spacing w:after="0"/>
              <w:rPr>
                <w:sz w:val="1"/>
                <w:szCs w:val="1"/>
                <w:color w:val="auto"/>
              </w:rPr>
            </w:pPr>
          </w:p>
        </w:tc>
      </w:tr>
      <w:tr>
        <w:trPr>
          <w:trHeight w:val="193"/>
        </w:trPr>
        <w:tc>
          <w:tcPr>
            <w:tcW w:w="1880" w:type="dxa"/>
            <w:vAlign w:val="bottom"/>
            <w:tcBorders>
              <w:bottom w:val="single" w:sz="8" w:color="auto"/>
            </w:tcBorders>
            <w:vMerge w:val="continue"/>
          </w:tcPr>
          <w:p>
            <w:pPr>
              <w:spacing w:after="0"/>
              <w:rPr>
                <w:sz w:val="16"/>
                <w:szCs w:val="16"/>
                <w:color w:val="auto"/>
              </w:rPr>
            </w:pPr>
          </w:p>
        </w:tc>
        <w:tc>
          <w:tcPr>
            <w:tcW w:w="814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85"/>
        </w:trPr>
        <w:tc>
          <w:tcPr>
            <w:tcW w:w="188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Trade Date</w:t>
            </w:r>
          </w:p>
        </w:tc>
        <w:tc>
          <w:tcPr>
            <w:tcW w:w="8140" w:type="dxa"/>
            <w:vAlign w:val="bottom"/>
          </w:tcPr>
          <w:p>
            <w:pPr>
              <w:spacing w:after="0"/>
              <w:rPr>
                <w:sz w:val="16"/>
                <w:szCs w:val="16"/>
                <w:color w:val="auto"/>
              </w:rPr>
            </w:pPr>
          </w:p>
        </w:tc>
        <w:tc>
          <w:tcPr>
            <w:tcW w:w="100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USD 0.000</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140" w:type="dxa"/>
            <w:vAlign w:val="bottom"/>
            <w:gridSpan w:val="2"/>
          </w:tcPr>
          <w:p>
            <w:pPr>
              <w:ind w:left="8140"/>
              <w:spacing w:after="0"/>
              <w:rPr>
                <w:sz w:val="20"/>
                <w:szCs w:val="20"/>
                <w:color w:val="auto"/>
              </w:rPr>
            </w:pPr>
            <w:r>
              <w:rPr>
                <w:rFonts w:ascii="Times New Roman" w:cs="Times New Roman" w:eastAsia="Times New Roman" w:hAnsi="Times New Roman"/>
                <w:sz w:val="18"/>
                <w:szCs w:val="18"/>
                <w:color w:val="auto"/>
              </w:rPr>
              <w:t>USD [•]</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140" w:type="dxa"/>
            <w:vAlign w:val="bottom"/>
            <w:gridSpan w:val="2"/>
          </w:tcPr>
          <w:p>
            <w:pPr>
              <w:ind w:left="8140"/>
              <w:spacing w:after="0"/>
              <w:rPr>
                <w:sz w:val="20"/>
                <w:szCs w:val="20"/>
                <w:color w:val="auto"/>
              </w:rPr>
            </w:pPr>
            <w:r>
              <w:rPr>
                <w:rFonts w:ascii="Times New Roman" w:cs="Times New Roman" w:eastAsia="Times New Roman" w:hAnsi="Times New Roman"/>
                <w:sz w:val="18"/>
                <w:szCs w:val="18"/>
                <w:color w:val="auto"/>
              </w:rPr>
              <w:t>USD [•]</w:t>
            </w:r>
          </w:p>
        </w:tc>
        <w:tc>
          <w:tcPr>
            <w:tcW w:w="0" w:type="dxa"/>
            <w:vAlign w:val="bottom"/>
          </w:tcPr>
          <w:p>
            <w:pPr>
              <w:spacing w:after="0"/>
              <w:rPr>
                <w:sz w:val="1"/>
                <w:szCs w:val="1"/>
                <w:color w:val="auto"/>
              </w:rPr>
            </w:pPr>
          </w:p>
        </w:tc>
      </w:tr>
      <w:tr>
        <w:trPr>
          <w:trHeight w:val="23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Final Date</w:t>
            </w:r>
          </w:p>
        </w:tc>
        <w:tc>
          <w:tcPr>
            <w:tcW w:w="9140" w:type="dxa"/>
            <w:vAlign w:val="bottom"/>
            <w:gridSpan w:val="2"/>
          </w:tcPr>
          <w:p>
            <w:pPr>
              <w:ind w:left="8140"/>
              <w:spacing w:after="0"/>
              <w:rPr>
                <w:sz w:val="20"/>
                <w:szCs w:val="20"/>
                <w:color w:val="auto"/>
              </w:rPr>
            </w:pPr>
            <w:r>
              <w:rPr>
                <w:rFonts w:ascii="Times New Roman" w:cs="Times New Roman" w:eastAsia="Times New Roman" w:hAnsi="Times New Roman"/>
                <w:sz w:val="18"/>
                <w:szCs w:val="18"/>
                <w:color w:val="auto"/>
              </w:rPr>
              <w:t>USD 0.000</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ANNEX 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PRICING SUPPLEMENT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[DEALER 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11620 Wilshire Boulevard, Suite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 90025</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color w:val="auto"/>
        </w:rPr>
        <w:t>This Pricing Supplement is the Pricing Supplement contemplated by the Registered Forward Transaction dated as of [•] (the “</w:t>
      </w:r>
      <w:r>
        <w:rPr>
          <w:rFonts w:ascii="Times New Roman" w:cs="Times New Roman" w:eastAsia="Times New Roman" w:hAnsi="Times New Roman"/>
          <w:sz w:val="18"/>
          <w:szCs w:val="18"/>
          <w:b w:val="1"/>
          <w:bCs w:val="1"/>
          <w:i w:val="1"/>
          <w:iCs w:val="1"/>
          <w:color w:val="auto"/>
        </w:rPr>
        <w:t>Confirmation</w:t>
      </w:r>
      <w:r>
        <w:rPr>
          <w:rFonts w:ascii="Times New Roman" w:cs="Times New Roman" w:eastAsia="Times New Roman" w:hAnsi="Times New Roman"/>
          <w:sz w:val="18"/>
          <w:szCs w:val="18"/>
          <w:color w:val="auto"/>
        </w:rPr>
        <w:t>”) between Federal Realty Investment Trust (“</w:t>
      </w:r>
      <w:r>
        <w:rPr>
          <w:rFonts w:ascii="Times New Roman" w:cs="Times New Roman" w:eastAsia="Times New Roman" w:hAnsi="Times New Roman"/>
          <w:sz w:val="18"/>
          <w:szCs w:val="18"/>
          <w:b w:val="1"/>
          <w:bCs w:val="1"/>
          <w:i w:val="1"/>
          <w:iCs w:val="1"/>
          <w:color w:val="auto"/>
        </w:rPr>
        <w:t>Counterparty</w:t>
      </w:r>
      <w:r>
        <w:rPr>
          <w:rFonts w:ascii="Times New Roman" w:cs="Times New Roman" w:eastAsia="Times New Roman" w:hAnsi="Times New Roman"/>
          <w:sz w:val="18"/>
          <w:szCs w:val="18"/>
          <w:color w:val="auto"/>
        </w:rPr>
        <w:t>”) and [DEALER] (“</w:t>
      </w:r>
      <w:r>
        <w:rPr>
          <w:rFonts w:ascii="Times New Roman" w:cs="Times New Roman" w:eastAsia="Times New Roman" w:hAnsi="Times New Roman"/>
          <w:sz w:val="18"/>
          <w:szCs w:val="18"/>
          <w:b w:val="1"/>
          <w:bCs w:val="1"/>
          <w:i w:val="1"/>
          <w:iCs w:val="1"/>
          <w:color w:val="auto"/>
        </w:rPr>
        <w:t>Dealer</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all purposes under the Confirmation,</w:t>
      </w:r>
    </w:p>
    <w:p>
      <w:pPr>
        <w:spacing w:after="0" w:line="117" w:lineRule="exact"/>
        <w:rPr>
          <w:sz w:val="20"/>
          <w:szCs w:val="20"/>
          <w:color w:val="auto"/>
        </w:rPr>
      </w:pPr>
    </w:p>
    <w:p>
      <w:pPr>
        <w:ind w:left="680" w:hanging="244"/>
        <w:spacing w:after="0"/>
        <w:tabs>
          <w:tab w:leader="none" w:pos="6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Hedge Completion Date is [•];</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shall be [•], subject to further adjustment in accordance with the terms of the Confirmation;</w:t>
      </w:r>
    </w:p>
    <w:p>
      <w:pPr>
        <w:spacing w:after="0" w:line="117"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Forward Price shall be USD [•]; and</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Date shall be [•].</w:t>
      </w:r>
    </w:p>
    <w:p>
      <w:pPr>
        <w:spacing w:after="0" w:line="1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[DEALER]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-121920</wp:posOffset>
            </wp:positionV>
            <wp:extent cx="24599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 B-2</w:t>
      </w:r>
    </w:p>
    <w:p>
      <w:pPr>
        <w:sectPr>
          <w:pgSz w:w="11900" w:h="16838" w:orient="portrait"/>
          <w:cols w:equalWidth="0" w:num="1">
            <w:col w:w="11020"/>
          </w:cols>
          <w:pgMar w:left="440" w:top="270"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Confirmed as of the date first above written:</w:t>
      </w:r>
    </w:p>
    <w:p>
      <w:pPr>
        <w:spacing w:after="0" w:line="25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FEDERAL REALTY INVESTMENT TRUST</w:t>
      </w:r>
    </w:p>
    <w:p>
      <w:pPr>
        <w:spacing w:after="0" w:line="25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17145</wp:posOffset>
            </wp:positionV>
            <wp:extent cx="260604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299"/>
          </w:cols>
          <w:pgMar w:left="1160" w:top="270" w:right="1440" w:bottom="1440" w:gutter="0" w:footer="0" w:header="0"/>
        </w:sectPr>
      </w:pPr>
    </w:p>
    <w:bookmarkStart w:id="93" w:name="page94"/>
    <w:bookmarkEnd w:id="93"/>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B-2</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AUTHORIZED INDIVIDUALS FOR PLACEMENT NOTICES AND ACCEPTANCES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80" w:type="dxa"/>
            <w:vAlign w:val="bottom"/>
            <w:tcBorders>
              <w:bottom w:val="single" w:sz="8" w:color="auto"/>
            </w:tcBorders>
          </w:tcPr>
          <w:p>
            <w:pPr>
              <w:jc w:val="center"/>
              <w:ind w:left="1459"/>
              <w:spacing w:after="0"/>
              <w:rPr>
                <w:sz w:val="20"/>
                <w:szCs w:val="20"/>
                <w:color w:val="auto"/>
              </w:rPr>
            </w:pPr>
            <w:r>
              <w:rPr>
                <w:rFonts w:ascii="Times New Roman" w:cs="Times New Roman" w:eastAsia="Times New Roman" w:hAnsi="Times New Roman"/>
                <w:sz w:val="14"/>
                <w:szCs w:val="14"/>
                <w:color w:val="auto"/>
              </w:rPr>
              <w:t>Name</w:t>
            </w:r>
          </w:p>
        </w:tc>
        <w:tc>
          <w:tcPr>
            <w:tcW w:w="1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Email</w:t>
            </w:r>
          </w:p>
        </w:tc>
      </w:tr>
      <w:tr>
        <w:trPr>
          <w:trHeight w:val="228"/>
        </w:trPr>
        <w:tc>
          <w:tcPr>
            <w:tcW w:w="4080" w:type="dxa"/>
            <w:vAlign w:val="bottom"/>
          </w:tcPr>
          <w:p>
            <w:pPr>
              <w:jc w:val="center"/>
              <w:ind w:left="1459"/>
              <w:spacing w:after="0"/>
              <w:rPr>
                <w:sz w:val="20"/>
                <w:szCs w:val="20"/>
                <w:color w:val="auto"/>
              </w:rPr>
            </w:pPr>
            <w:r>
              <w:rPr>
                <w:rFonts w:ascii="Times New Roman" w:cs="Times New Roman" w:eastAsia="Times New Roman" w:hAnsi="Times New Roman"/>
                <w:sz w:val="18"/>
                <w:szCs w:val="18"/>
                <w:color w:val="auto"/>
                <w:w w:val="96"/>
              </w:rPr>
              <w:t>[●]</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360"/>
        </w:trPr>
        <w:tc>
          <w:tcPr>
            <w:tcW w:w="4080" w:type="dxa"/>
            <w:vAlign w:val="bottom"/>
          </w:tcPr>
          <w:p>
            <w:pPr>
              <w:spacing w:after="0"/>
              <w:rPr>
                <w:sz w:val="24"/>
                <w:szCs w:val="24"/>
                <w:color w:val="auto"/>
              </w:rPr>
            </w:pPr>
          </w:p>
        </w:tc>
        <w:tc>
          <w:tcPr>
            <w:tcW w:w="694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Exh. B-2</w:t>
            </w:r>
          </w:p>
        </w:tc>
      </w:tr>
    </w:tbl>
    <w:p>
      <w:pPr>
        <w:sectPr>
          <w:pgSz w:w="11900" w:h="16838" w:orient="portrait"/>
          <w:cols w:equalWidth="0" w:num="1">
            <w:col w:w="11020"/>
          </w:cols>
          <w:pgMar w:left="440" w:top="270" w:right="439"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COMPENSATION</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Sales Agents and the Forward Sellers shall be paid compensation at a mutually agreed rate not to exceed 2.00% of the gross sales price of Securities sold pursuant to the terms of this Agreement. The Forward Sellers shall receive any such compensation in the form of a reduced Forward Hedge Price for the corresponding Forward Purchaser.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 C-1</w:t>
      </w:r>
    </w:p>
    <w:p>
      <w:pPr>
        <w:sectPr>
          <w:pgSz w:w="11900" w:h="16838" w:orient="portrait"/>
          <w:cols w:equalWidth="0" w:num="1">
            <w:col w:w="10980"/>
          </w:cols>
          <w:pgMar w:left="440" w:top="270" w:right="479"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D-1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FORM OF OPINION OF PILLSBURY WINTHROP SHAW PITTMAN LLP (CORPORATE)</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 D-1</w:t>
      </w:r>
    </w:p>
    <w:p>
      <w:pPr>
        <w:sectPr>
          <w:pgSz w:w="11900" w:h="16838" w:orient="portrait"/>
          <w:cols w:equalWidth="0" w:num="1">
            <w:col w:w="9019"/>
          </w:cols>
          <w:pgMar w:left="1440" w:top="270" w:right="1440"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D-2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FORM OF OPINION OF PILLSBURY WINTHROP SHAW PITTMAN LLP (TAX)</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 D-2</w:t>
      </w:r>
    </w:p>
    <w:p>
      <w:pPr>
        <w:sectPr>
          <w:pgSz w:w="11900" w:h="16838" w:orient="portrait"/>
          <w:cols w:equalWidth="0" w:num="1">
            <w:col w:w="9019"/>
          </w:cols>
          <w:pgMar w:left="1440" w:top="270" w:right="1440" w:bottom="1440" w:gutter="0" w:footer="0" w:header="0"/>
        </w:sectPr>
      </w:pPr>
    </w:p>
    <w:bookmarkStart w:id="97" w:name="page98"/>
    <w:bookmarkEnd w:id="97"/>
    <w:p>
      <w:pPr>
        <w:jc w:val="center"/>
        <w:ind w:right="-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E</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OFFICER’S CERTIFICATE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 the duly qualified and elected [*] of Federal Realty Investment Trust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 Maryland real estate investment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 does hereby certify on behalf of the Company, pursuant to Section 7(o) of the Equity Distribution Agreement dated February 24, 2021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between the Company and Bank of America, N.A., Citibank, N.A., JPMorgan Chase Bank, National Association, Wells Fargo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Association and Jefferies LLC (each in its capacity as forward purchaser, a “</w:t>
      </w:r>
      <w:r>
        <w:rPr>
          <w:rFonts w:ascii="Times New Roman" w:cs="Times New Roman" w:eastAsia="Times New Roman" w:hAnsi="Times New Roman"/>
          <w:sz w:val="18"/>
          <w:szCs w:val="18"/>
          <w:u w:val="single" w:color="auto"/>
          <w:color w:val="auto"/>
        </w:rPr>
        <w:t>Forward Purchaser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Forward Purchasers</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 Citigroup Global Markets Inc., J.P. Morgan Securities LLC, Wells Fargo Securities, LLC and Jefferies LLC (each in its capacity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agent for the Company and/or principal in connection with the offering and sale of any Issuance Securities, a “</w:t>
      </w:r>
      <w:r>
        <w:rPr>
          <w:rFonts w:ascii="Times New Roman" w:cs="Times New Roman" w:eastAsia="Times New Roman" w:hAnsi="Times New Roman"/>
          <w:sz w:val="18"/>
          <w:szCs w:val="18"/>
          <w:u w:val="single" w:color="auto"/>
          <w:color w:val="auto"/>
        </w:rPr>
        <w:t>Sales Agent</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Sales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and in their capacity as agent for the related Forward Purchaser in connection with the offering and sale of any Forward Hedge Securities,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Forward Seller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Forward Sellers</w:t>
      </w:r>
      <w:r>
        <w:rPr>
          <w:rFonts w:ascii="Times New Roman" w:cs="Times New Roman" w:eastAsia="Times New Roman" w:hAnsi="Times New Roman"/>
          <w:sz w:val="18"/>
          <w:szCs w:val="18"/>
          <w:color w:val="auto"/>
        </w:rPr>
        <w:t>,”) that to the knowledge of the undersigned:</w:t>
      </w:r>
    </w:p>
    <w:p>
      <w:pPr>
        <w:spacing w:after="0" w:line="207" w:lineRule="exact"/>
        <w:rPr>
          <w:sz w:val="20"/>
          <w:szCs w:val="20"/>
          <w:color w:val="auto"/>
        </w:rPr>
      </w:pPr>
    </w:p>
    <w:p>
      <w:pPr>
        <w:ind w:firstLine="436"/>
        <w:spacing w:after="0" w:line="255" w:lineRule="auto"/>
        <w:tabs>
          <w:tab w:leader="none" w:pos="65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in Section 5 of the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spacing w:after="0" w:line="188" w:lineRule="exact"/>
        <w:rPr>
          <w:rFonts w:ascii="Times New Roman" w:cs="Times New Roman" w:eastAsia="Times New Roman" w:hAnsi="Times New Roman"/>
          <w:sz w:val="18"/>
          <w:szCs w:val="18"/>
          <w:color w:val="auto"/>
        </w:rPr>
      </w:pPr>
    </w:p>
    <w:p>
      <w:pPr>
        <w:ind w:right="300" w:firstLine="436"/>
        <w:spacing w:after="0" w:line="282" w:lineRule="auto"/>
        <w:tabs>
          <w:tab w:leader="none" w:pos="70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in all material respects with all agreements and satisfied all conditions on its part to be performed or satisfied pursuant to the Agreement at or prior to the date hereof (other than those conditions waived by the Agent).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Capitalized terms used herein but not otherwise defined shall have the meanings assigned to such terms in the Agreement.</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1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Exh. E-1</w:t>
      </w:r>
    </w:p>
    <w:p>
      <w:pPr>
        <w:sectPr>
          <w:pgSz w:w="11900" w:h="16838" w:orient="portrait"/>
          <w:cols w:equalWidth="0" w:num="1">
            <w:col w:w="10920"/>
          </w:cols>
          <w:pgMar w:left="440" w:top="270" w:right="5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PERMITTED FREE WRITING PROSPECTUSES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 F-1</w:t>
      </w:r>
    </w:p>
    <w:p>
      <w:pPr>
        <w:sectPr>
          <w:pgSz w:w="11900" w:h="16838" w:orient="portrait"/>
          <w:cols w:equalWidth="0" w:num="1">
            <w:col w:w="9019"/>
          </w:cols>
          <w:pgMar w:left="1440" w:top="270" w:right="1440"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PILLSBURY WINTHROP SHAW PITTMAN LLP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1200 Seventeenth Street NW</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909 Rose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 Bethesda, MD 20852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are acting as counsel for Federal Realty Investment Trust, a Maryland real estate investment trust (the “Company”), in connection with the issuance and sale, from time to time, of up to $500,000,000 aggregate offering price of common shares of beneficial interest (the “Shares”), par value $0.01 per share, of the Company, all of which are authorized but heretofore unissued shares to be offered and sold by the Company, pursuant to the Registration Statement on Form S-3 (Registration No. 333-224701) (the “Registration Statement”), filed by the Company with the Securities and Exchange Commission (the “Commission”) under the Securities Act of 1933 (the “Act”), and related prospectus, dated May 7, 2018, as supplemented by the prospectus supplement dated February 24, 2021 relating to the offer and sale of the Shares (as so supplemented, the “Prospectus”).</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reviewed and are familiar with such documents, corporate proceedings and other matters as we have considered relevant or necessary as a basis for the opinions in this letter. Based on the foregoing, we are of the opinion that the Shares have been duly authorized and, when issued and sold by the Company in the manner described in the Registration Statement and the Prospectus and in accordance with the resolutions adopted by the Board of Trustees of the Company and the Pricing Committee thereof, will be validly issued, fully paid and nonassessable.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opinions set forth in this letter are limited to the laws of the State of Maryland as in effect on the date hereof.</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letter as Exhibit 5.1 to the Company’s Current Report on Form 8-K filed by the Company with the Commission on the date hereof and the incorporation thereof in the Registration Statement and to the use of our name under the caption “Legal Matters” in the Prospectus. In giving this consent, we do not thereby admit that we are within the category of persons whose consent is required under Section 7 of the Act or the rules and regulations of the Commission promulgated thereunder.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PILLSBURY WINTHROP SHAW PITTMAN LLP</w:t>
      </w:r>
    </w:p>
    <w:p>
      <w:pPr>
        <w:sectPr>
          <w:pgSz w:w="11900" w:h="16838" w:orient="portrait"/>
          <w:cols w:equalWidth="0" w:num="1">
            <w:col w:w="11020"/>
          </w:cols>
          <w:pgMar w:left="440" w:top="117" w:right="439" w:bottom="1440" w:gutter="0" w:footer="0" w:header="0"/>
        </w:sectPr>
      </w:pPr>
    </w:p>
    <w:bookmarkStart w:id="100" w:name="page101"/>
    <w:bookmarkEnd w:id="100"/>
    <w:p>
      <w:pPr>
        <w:ind w:left="10184"/>
        <w:spacing w:after="0"/>
        <w:rPr>
          <w:sz w:val="20"/>
          <w:szCs w:val="20"/>
          <w:color w:val="auto"/>
        </w:rPr>
      </w:pPr>
      <w:r>
        <w:rPr>
          <w:rFonts w:ascii="Times New Roman" w:cs="Times New Roman" w:eastAsia="Times New Roman" w:hAnsi="Times New Roman"/>
          <w:sz w:val="17"/>
          <w:szCs w:val="17"/>
          <w:b w:val="1"/>
          <w:bCs w:val="1"/>
          <w:color w:val="auto"/>
        </w:rPr>
        <w:t>Exhibit 8.1</w:t>
      </w:r>
    </w:p>
    <w:p>
      <w:pPr>
        <w:sectPr>
          <w:pgSz w:w="11900" w:h="16838" w:orient="portrait"/>
          <w:cols w:equalWidth="0" w:num="1">
            <w:col w:w="11024"/>
          </w:cols>
          <w:pgMar w:left="436" w:top="117" w:right="439" w:bottom="1440" w:gutter="0" w:footer="0" w:header="0"/>
        </w:sectPr>
      </w:pPr>
    </w:p>
    <w:p>
      <w:pPr>
        <w:spacing w:after="0" w:line="268" w:lineRule="exact"/>
        <w:rPr>
          <w:sz w:val="20"/>
          <w:szCs w:val="20"/>
          <w:color w:val="auto"/>
        </w:rPr>
      </w:pPr>
    </w:p>
    <w:p>
      <w:pPr>
        <w:ind w:left="5844"/>
        <w:spacing w:after="0"/>
        <w:rPr>
          <w:sz w:val="20"/>
          <w:szCs w:val="20"/>
          <w:color w:val="auto"/>
        </w:rPr>
      </w:pPr>
      <w:r>
        <w:rPr>
          <w:rFonts w:ascii="Times New Roman" w:cs="Times New Roman" w:eastAsia="Times New Roman" w:hAnsi="Times New Roman"/>
          <w:sz w:val="18"/>
          <w:szCs w:val="18"/>
          <w:color w:val="auto"/>
        </w:rPr>
        <w:t>1200 Seventeenth Street NW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899795" cy="5918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99795" cy="591820"/>
                    </a:xfrm>
                    <a:prstGeom prst="rect">
                      <a:avLst/>
                    </a:prstGeom>
                    <a:noFill/>
                  </pic:spPr>
                </pic:pic>
              </a:graphicData>
            </a:graphic>
          </wp:anchor>
        </w:drawing>
      </w:r>
    </w:p>
    <w:p>
      <w:pPr>
        <w:spacing w:after="0" w:line="7" w:lineRule="exact"/>
        <w:rPr>
          <w:sz w:val="20"/>
          <w:szCs w:val="20"/>
          <w:color w:val="auto"/>
        </w:rPr>
      </w:pPr>
    </w:p>
    <w:p>
      <w:pPr>
        <w:ind w:left="5844"/>
        <w:spacing w:after="0"/>
        <w:rPr>
          <w:sz w:val="20"/>
          <w:szCs w:val="20"/>
          <w:color w:val="auto"/>
        </w:rPr>
      </w:pPr>
      <w:r>
        <w:rPr>
          <w:rFonts w:ascii="Times New Roman" w:cs="Times New Roman" w:eastAsia="Times New Roman" w:hAnsi="Times New Roman"/>
          <w:sz w:val="17"/>
          <w:szCs w:val="17"/>
          <w:color w:val="auto"/>
        </w:rPr>
        <w:t>Washington, DC 20036-3006</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202.663.8000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202.663.8007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www.pillsburylaw.com</w:t>
      </w:r>
    </w:p>
    <w:p>
      <w:pPr>
        <w:spacing w:after="0" w:line="200" w:lineRule="exact"/>
        <w:rPr>
          <w:sz w:val="20"/>
          <w:szCs w:val="20"/>
          <w:color w:val="auto"/>
        </w:rPr>
      </w:pPr>
    </w:p>
    <w:p>
      <w:pPr>
        <w:sectPr>
          <w:pgSz w:w="11900" w:h="16838" w:orient="portrait"/>
          <w:cols w:equalWidth="0" w:num="2">
            <w:col w:w="8104" w:space="720"/>
            <w:col w:w="2200"/>
          </w:cols>
          <w:pgMar w:left="436" w:top="117" w:right="439" w:bottom="1440"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7"/>
          <w:szCs w:val="17"/>
          <w:color w:val="auto"/>
        </w:rPr>
        <w:t>February 24, 2021</w:t>
      </w:r>
    </w:p>
    <w:p>
      <w:pPr>
        <w:sectPr>
          <w:pgSz w:w="11900" w:h="16838" w:orient="portrait"/>
          <w:cols w:equalWidth="0" w:num="1">
            <w:col w:w="11024"/>
          </w:cols>
          <w:pgMar w:left="436" w:top="117" w:right="439" w:bottom="1440" w:gutter="0" w:footer="0" w:header="0"/>
          <w:type w:val="continuous"/>
        </w:sectPr>
      </w:pPr>
    </w:p>
    <w:p>
      <w:pPr>
        <w:spacing w:after="0" w:line="2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1626 East Jefferson Street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Rockville, Maryland 20852</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You have requested certain opinions regarding the application of U.S. federal income tax laws to Federal Realty Investment Trust, a Maryland real estate investment trust (the “Company”), in connection with the filing of a prospectus supplement dated February 24, 2021 (the “Prospectus Supplement”) to a prospectus (the “Base Prospectus”) filed as part of a registration statement on Form S-3 (File No. 333-224701, the “Registration Statement,” which term includes the Base Prospectus, Prospectus Supplement, and all documents incorporated and deemed to be incorporated by reference therein) with the Securities and Exchange Commission.</w:t>
      </w:r>
    </w:p>
    <w:p>
      <w:pPr>
        <w:spacing w:after="0" w:line="183" w:lineRule="exact"/>
        <w:rPr>
          <w:sz w:val="20"/>
          <w:szCs w:val="20"/>
          <w:color w:val="auto"/>
        </w:rPr>
      </w:pPr>
    </w:p>
    <w:p>
      <w:pPr>
        <w:jc w:val="both"/>
        <w:ind w:left="4" w:right="40" w:firstLine="440"/>
        <w:spacing w:after="0" w:line="272" w:lineRule="auto"/>
        <w:rPr>
          <w:sz w:val="20"/>
          <w:szCs w:val="20"/>
          <w:color w:val="auto"/>
        </w:rPr>
      </w:pPr>
      <w:r>
        <w:rPr>
          <w:rFonts w:ascii="Times New Roman" w:cs="Times New Roman" w:eastAsia="Times New Roman" w:hAnsi="Times New Roman"/>
          <w:sz w:val="17"/>
          <w:szCs w:val="17"/>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w:t>
      </w:r>
    </w:p>
    <w:p>
      <w:pPr>
        <w:spacing w:after="0" w:line="2" w:lineRule="exact"/>
        <w:rPr>
          <w:sz w:val="20"/>
          <w:szCs w:val="20"/>
          <w:color w:val="auto"/>
        </w:rPr>
      </w:pPr>
    </w:p>
    <w:p>
      <w:pPr>
        <w:ind w:left="4" w:right="160" w:hanging="4"/>
        <w:spacing w:after="0" w:line="251" w:lineRule="auto"/>
        <w:tabs>
          <w:tab w:leader="none" w:pos="25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written representations of the Company contained in a letter to us dated as of the date hereof, a copy of which is attached as Schedule 1 hereto, (4) 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94" w:lineRule="exact"/>
        <w:rPr>
          <w:sz w:val="20"/>
          <w:szCs w:val="20"/>
          <w:color w:val="auto"/>
        </w:rPr>
      </w:pPr>
    </w:p>
    <w:p>
      <w:pPr>
        <w:ind w:left="4" w:right="220" w:firstLine="440"/>
        <w:spacing w:after="0" w:line="266" w:lineRule="auto"/>
        <w:rPr>
          <w:sz w:val="20"/>
          <w:szCs w:val="20"/>
          <w:color w:val="auto"/>
        </w:rPr>
      </w:pPr>
      <w:r>
        <w:rPr>
          <w:rFonts w:ascii="Times New Roman" w:cs="Times New Roman" w:eastAsia="Times New Roman" w:hAnsi="Times New Roman"/>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w:t>
      </w:r>
    </w:p>
    <w:p>
      <w:pPr>
        <w:sectPr>
          <w:pgSz w:w="11900" w:h="16838" w:orient="portrait"/>
          <w:cols w:equalWidth="0" w:num="1">
            <w:col w:w="11024"/>
          </w:cols>
          <w:pgMar w:left="436" w:top="117" w:right="4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Revenue Code of 1986, as amended (the “Code”) or the regulations promulgated 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8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2021;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(2021) taxable year and for future taxable years, and (iii) the discussions in (x) the Base Prospectus under the caption “Material Federal Income Tax Considerations,” and (y) the Company’s Annual Report on Form 10-K for the year ended December 31, 2020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“Risk Factors–To maintain our status as a REIT, we limit the amount of shares any one shareholder can own,” and “Risk Factors– Legislative, administrative, regulatory or other actions affecting REITs, including positions taken by the IRS, could have a material adverse effect on us and our investors,” which are incorporated by reference into the Registration Statement, to the extent that they discuss matters of law or legal conclusions or purport to describe certain provisions of the federal tax laws, are correct summaries of the matters discussed therein.</w:t>
      </w:r>
    </w:p>
    <w:p>
      <w:pPr>
        <w:spacing w:after="0" w:line="190"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The opinions set forth in this letter are based on existing law as contained in the Code, Treasury Regulations (including any Temporary and Proposed Regulations), and interpretations of the foregoing by the Internal Revenue Service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 of the Company’s stock and its actual operating results and distributions satisfy the tests necessary to achieve and maintain its status as a REIT.</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Pillsbury Winthrop Shaw Pittman LLP</w:t>
      </w:r>
    </w:p>
    <w:p>
      <w:pPr>
        <w:sectPr>
          <w:pgSz w:w="11900" w:h="16838" w:orient="portrait"/>
          <w:cols w:equalWidth="0" w:num="1">
            <w:col w:w="11020"/>
          </w:cols>
          <w:pgMar w:left="440" w:top="270" w:right="4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17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PILLSBURY WINTHROP SHAW PITTMAN LLP</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Pillsbury Winthrop Shaw Pittman LLP</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1"/>
      <w:numFmt w:val="decimal"/>
      <w:start w:val="104"/>
    </w:lvl>
  </w:abstractNum>
  <w:abstractNum w:abstractNumId="2">
    <w:nsid w:val="79A1DEAA"/>
    <w:multiLevelType w:val="hybridMultilevel"/>
    <w:lvl w:ilvl="0">
      <w:lvlJc w:val="left"/>
      <w:lvlText w:val="(%1)"/>
      <w:numFmt w:val="lowerLetter"/>
      <w:start w:val="1"/>
    </w:lvl>
  </w:abstractNum>
  <w:abstractNum w:abstractNumId="3">
    <w:nsid w:val="75C6C33A"/>
    <w:multiLevelType w:val="hybridMultilevel"/>
    <w:lvl w:ilvl="0">
      <w:lvlJc w:val="left"/>
      <w:lvlText w:val="(%1)"/>
      <w:numFmt w:val="lowerLetter"/>
      <w:start w:val="2"/>
    </w:lvl>
    <w:lvl w:ilvl="1">
      <w:lvlJc w:val="left"/>
      <w:lvlText w:val="(%2)"/>
      <w:numFmt w:val="lowerLetter"/>
      <w:start w:val="3"/>
    </w:lvl>
  </w:abstractNum>
  <w:abstractNum w:abstractNumId="4">
    <w:nsid w:val="12E685FB"/>
    <w:multiLevelType w:val="hybridMultilevel"/>
    <w:lvl w:ilvl="0">
      <w:lvlJc w:val="left"/>
      <w:lvlText w:val="(%1)"/>
      <w:numFmt w:val="lowerLetter"/>
      <w:start w:val="1"/>
    </w:lvl>
  </w:abstractNum>
  <w:abstractNum w:abstractNumId="5">
    <w:nsid w:val="70C6A529"/>
    <w:multiLevelType w:val="hybridMultilevel"/>
    <w:lvl w:ilvl="0">
      <w:lvlJc w:val="left"/>
      <w:lvlText w:val="(%1)"/>
      <w:numFmt w:val="lowerLetter"/>
      <w:start w:val="1"/>
    </w:lvl>
  </w:abstractNum>
  <w:abstractNum w:abstractNumId="6">
    <w:nsid w:val="520EEDD1"/>
    <w:multiLevelType w:val="hybridMultilevel"/>
    <w:lvl w:ilvl="0">
      <w:lvlJc w:val="left"/>
      <w:lvlText w:val="(%1)"/>
      <w:numFmt w:val="lowerLetter"/>
      <w:start w:val="1"/>
    </w:lvl>
    <w:lvl w:ilvl="1">
      <w:lvlJc w:val="left"/>
      <w:lvlText w:val="(%2)"/>
      <w:numFmt w:val="decimal"/>
      <w:start w:val="1"/>
    </w:lvl>
  </w:abstractNum>
  <w:abstractNum w:abstractNumId="7">
    <w:nsid w:val="374A3FE6"/>
    <w:multiLevelType w:val="hybridMultilevel"/>
    <w:lvl w:ilvl="0">
      <w:lvlJc w:val="left"/>
      <w:lvlText w:val="(%1)"/>
      <w:numFmt w:val="decimal"/>
      <w:start w:val="2"/>
    </w:lvl>
  </w:abstractNum>
  <w:abstractNum w:abstractNumId="8">
    <w:nsid w:val="4F4EF005"/>
    <w:multiLevelType w:val="hybridMultilevel"/>
    <w:lvl w:ilvl="0">
      <w:lvlJc w:val="left"/>
      <w:lvlText w:val="(%1)"/>
      <w:numFmt w:val="decimal"/>
      <w:start w:val="4"/>
    </w:lvl>
  </w:abstractNum>
  <w:abstractNum w:abstractNumId="9">
    <w:nsid w:val="23F9C13C"/>
    <w:multiLevelType w:val="hybridMultilevel"/>
    <w:lvl w:ilvl="0">
      <w:lvlJc w:val="left"/>
      <w:lvlText w:val="(%1)"/>
      <w:numFmt w:val="lowerRoman"/>
      <w:start w:val="6"/>
    </w:lvl>
    <w:lvl w:ilvl="1">
      <w:lvlJc w:val="left"/>
      <w:lvlText w:val="(%2)"/>
      <w:numFmt w:val="decimal"/>
      <w:start w:val="5"/>
    </w:lvl>
  </w:abstractNum>
  <w:abstractNum w:abstractNumId="10">
    <w:nsid w:val="649BB77C"/>
    <w:multiLevelType w:val="hybridMultilevel"/>
    <w:lvl w:ilvl="0">
      <w:lvlJc w:val="left"/>
      <w:lvlText w:val="%1"/>
      <w:numFmt w:val="lowerRoman"/>
      <w:start w:val="1"/>
    </w:lvl>
    <w:lvl w:ilvl="1">
      <w:lvlJc w:val="left"/>
      <w:lvlText w:val="(%2)"/>
      <w:numFmt w:val="decimal"/>
      <w:start w:val="9"/>
    </w:lvl>
  </w:abstractNum>
  <w:abstractNum w:abstractNumId="11">
    <w:nsid w:val="275AC794"/>
    <w:multiLevelType w:val="hybridMultilevel"/>
    <w:lvl w:ilvl="0">
      <w:lvlJc w:val="left"/>
      <w:lvlText w:val="(%1)"/>
      <w:numFmt w:val="lowerRoman"/>
      <w:start w:val="4"/>
    </w:lvl>
    <w:lvl w:ilvl="1">
      <w:lvlJc w:val="left"/>
      <w:lvlText w:val="(%2)"/>
      <w:numFmt w:val="decimal"/>
      <w:start w:val="10"/>
    </w:lvl>
  </w:abstractNum>
  <w:abstractNum w:abstractNumId="12">
    <w:nsid w:val="39386575"/>
    <w:multiLevelType w:val="hybridMultilevel"/>
    <w:lvl w:ilvl="0">
      <w:lvlJc w:val="left"/>
      <w:lvlText w:val="(%1)"/>
      <w:numFmt w:val="decimal"/>
      <w:start w:val="11"/>
    </w:lvl>
  </w:abstractNum>
  <w:abstractNum w:abstractNumId="13">
    <w:nsid w:val="1CF10FD8"/>
    <w:multiLevelType w:val="hybridMultilevel"/>
    <w:lvl w:ilvl="0">
      <w:lvlJc w:val="left"/>
      <w:lvlText w:val="(%1)"/>
      <w:numFmt w:val="decimal"/>
      <w:start w:val="15"/>
    </w:lvl>
  </w:abstractNum>
  <w:abstractNum w:abstractNumId="14">
    <w:nsid w:val="180115BE"/>
    <w:multiLevelType w:val="hybridMultilevel"/>
    <w:lvl w:ilvl="0">
      <w:lvlJc w:val="left"/>
      <w:lvlText w:val="%1"/>
      <w:numFmt w:val="lowerRoman"/>
      <w:start w:val="1"/>
    </w:lvl>
    <w:lvl w:ilvl="1">
      <w:lvlJc w:val="left"/>
      <w:lvlText w:val="(%2)"/>
      <w:numFmt w:val="decimal"/>
      <w:start w:val="19"/>
    </w:lvl>
  </w:abstractNum>
  <w:abstractNum w:abstractNumId="15">
    <w:nsid w:val="235BA861"/>
    <w:multiLevelType w:val="hybridMultilevel"/>
    <w:lvl w:ilvl="0">
      <w:lvlJc w:val="left"/>
      <w:lvlText w:val="(%1)"/>
      <w:numFmt w:val="lowerRoman"/>
      <w:start w:val="3"/>
    </w:lvl>
    <w:lvl w:ilvl="1">
      <w:lvlJc w:val="left"/>
      <w:lvlText w:val="%2"/>
      <w:numFmt w:val="decimal"/>
      <w:start w:val="1"/>
    </w:lvl>
  </w:abstractNum>
  <w:abstractNum w:abstractNumId="16">
    <w:nsid w:val="47398C89"/>
    <w:multiLevelType w:val="hybridMultilevel"/>
    <w:lvl w:ilvl="0">
      <w:lvlJc w:val="left"/>
      <w:lvlText w:val="(%1)"/>
      <w:numFmt w:val="decimal"/>
      <w:start w:val="23"/>
    </w:lvl>
  </w:abstractNum>
  <w:abstractNum w:abstractNumId="17">
    <w:nsid w:val="354FE9F9"/>
    <w:multiLevelType w:val="hybridMultilevel"/>
    <w:lvl w:ilvl="0">
      <w:lvlJc w:val="left"/>
      <w:lvlText w:val="(%1)"/>
      <w:numFmt w:val="decimal"/>
      <w:start w:val="26"/>
    </w:lvl>
  </w:abstractNum>
  <w:abstractNum w:abstractNumId="18">
    <w:nsid w:val="15B5AF5C"/>
    <w:multiLevelType w:val="hybridMultilevel"/>
    <w:lvl w:ilvl="0">
      <w:lvlJc w:val="left"/>
      <w:lvlText w:val="(%1)"/>
      <w:numFmt w:val="lowerLetter"/>
      <w:start w:val="2"/>
    </w:lvl>
  </w:abstractNum>
  <w:abstractNum w:abstractNumId="19">
    <w:nsid w:val="741226BB"/>
    <w:multiLevelType w:val="hybridMultilevel"/>
    <w:lvl w:ilvl="0">
      <w:lvlJc w:val="left"/>
      <w:lvlText w:val="(%1)"/>
      <w:numFmt w:val="lowerLetter"/>
      <w:start w:val="1"/>
    </w:lvl>
  </w:abstractNum>
  <w:abstractNum w:abstractNumId="20">
    <w:nsid w:val="D34B6A8"/>
    <w:multiLevelType w:val="hybridMultilevel"/>
    <w:lvl w:ilvl="0">
      <w:lvlJc w:val="left"/>
      <w:lvlText w:val="(%1)"/>
      <w:numFmt w:val="lowerLetter"/>
      <w:start w:val="2"/>
    </w:lvl>
  </w:abstractNum>
  <w:abstractNum w:abstractNumId="21">
    <w:nsid w:val="10233C99"/>
    <w:multiLevelType w:val="hybridMultilevel"/>
    <w:lvl w:ilvl="0">
      <w:lvlJc w:val="left"/>
      <w:lvlText w:val="%1"/>
      <w:numFmt w:val="upperLetter"/>
      <w:start w:val="1"/>
    </w:lvl>
    <w:lvl w:ilvl="1">
      <w:lvlJc w:val="left"/>
      <w:lvlText w:val="(%2)"/>
      <w:numFmt w:val="lowerLetter"/>
      <w:start w:val="4"/>
    </w:lvl>
  </w:abstractNum>
  <w:abstractNum w:abstractNumId="22">
    <w:nsid w:val="3F6AB60F"/>
    <w:multiLevelType w:val="hybridMultilevel"/>
    <w:lvl w:ilvl="0">
      <w:lvlJc w:val="left"/>
      <w:lvlText w:val="(%1)"/>
      <w:numFmt w:val="upperLetter"/>
      <w:start w:val="1"/>
    </w:lvl>
    <w:lvl w:ilvl="1">
      <w:lvlJc w:val="left"/>
      <w:lvlText w:val="(%2)"/>
      <w:numFmt w:val="lowerLetter"/>
      <w:start w:val="8"/>
    </w:lvl>
  </w:abstractNum>
  <w:abstractNum w:abstractNumId="23">
    <w:nsid w:val="61574095"/>
    <w:multiLevelType w:val="hybridMultilevel"/>
    <w:lvl w:ilvl="0">
      <w:lvlJc w:val="left"/>
      <w:lvlText w:val="%1"/>
      <w:numFmt w:val="lowerLetter"/>
      <w:start w:val="1"/>
    </w:lvl>
    <w:lvl w:ilvl="1">
      <w:lvlJc w:val="left"/>
      <w:lvlText w:val="(%2)"/>
      <w:numFmt w:val="lowerLetter"/>
      <w:start w:val="9"/>
    </w:lvl>
  </w:abstractNum>
  <w:abstractNum w:abstractNumId="24">
    <w:nsid w:val="7E0C57B1"/>
    <w:multiLevelType w:val="hybridMultilevel"/>
    <w:lvl w:ilvl="0">
      <w:lvlJc w:val="left"/>
      <w:lvlText w:val="(%1)"/>
      <w:numFmt w:val="lowerLetter"/>
      <w:start w:val="61"/>
    </w:lvl>
    <w:lvl w:ilvl="1">
      <w:lvlJc w:val="left"/>
      <w:lvlText w:val="%2"/>
      <w:numFmt w:val="lowerLetter"/>
      <w:start w:val="1"/>
    </w:lvl>
  </w:abstractNum>
  <w:abstractNum w:abstractNumId="25">
    <w:nsid w:val="77AE35EB"/>
    <w:multiLevelType w:val="hybridMultilevel"/>
    <w:lvl w:ilvl="0">
      <w:lvlJc w:val="left"/>
      <w:lvlText w:val="(%1)"/>
      <w:numFmt w:val="upperLetter"/>
      <w:start w:val="1"/>
    </w:lvl>
  </w:abstractNum>
  <w:abstractNum w:abstractNumId="26">
    <w:nsid w:val="579BE4F1"/>
    <w:multiLevelType w:val="hybridMultilevel"/>
    <w:lvl w:ilvl="0">
      <w:lvlJc w:val="left"/>
      <w:lvlText w:val="(%1)"/>
      <w:numFmt w:val="lowerLetter"/>
      <w:start w:val="1"/>
    </w:lvl>
  </w:abstractNum>
  <w:abstractNum w:abstractNumId="27">
    <w:nsid w:val="310C50B3"/>
    <w:multiLevelType w:val="hybridMultilevel"/>
    <w:lvl w:ilvl="0">
      <w:lvlJc w:val="left"/>
      <w:lvlText w:val="(%1)"/>
      <w:numFmt w:val="lowerLetter"/>
      <w:start w:val="2"/>
    </w:lvl>
  </w:abstractNum>
  <w:abstractNum w:abstractNumId="28">
    <w:nsid w:val="5FF87E05"/>
    <w:multiLevelType w:val="hybridMultilevel"/>
    <w:lvl w:ilvl="0">
      <w:lvlJc w:val="left"/>
      <w:lvlText w:val="(%1)"/>
      <w:numFmt w:val="lowerLetter"/>
      <w:start w:val="5"/>
    </w:lvl>
  </w:abstractNum>
  <w:abstractNum w:abstractNumId="29">
    <w:nsid w:val="2F305DEF"/>
    <w:multiLevelType w:val="hybridMultilevel"/>
    <w:lvl w:ilvl="0">
      <w:lvlJc w:val="left"/>
      <w:lvlText w:val="(%1)"/>
      <w:numFmt w:val="lowerLetter"/>
      <w:start w:val="7"/>
    </w:lvl>
  </w:abstractNum>
  <w:abstractNum w:abstractNumId="30">
    <w:nsid w:val="25A70BF7"/>
    <w:multiLevelType w:val="hybridMultilevel"/>
    <w:lvl w:ilvl="0">
      <w:lvlJc w:val="left"/>
      <w:lvlText w:val="(%1)"/>
      <w:numFmt w:val="lowerLetter"/>
      <w:start w:val="12"/>
    </w:lvl>
    <w:lvl w:ilvl="1">
      <w:lvlJc w:val="left"/>
      <w:lvlText w:val="(%2)"/>
      <w:numFmt w:val="decimal"/>
      <w:start w:val="1"/>
    </w:lvl>
    <w:lvl w:ilvl="2">
      <w:lvlJc w:val="left"/>
      <w:lvlText w:val="(%3)"/>
      <w:numFmt w:val="lowerRoman"/>
      <w:start w:val="1"/>
    </w:lvl>
  </w:abstractNum>
  <w:abstractNum w:abstractNumId="31">
    <w:nsid w:val="1DBABF00"/>
    <w:multiLevelType w:val="hybridMultilevel"/>
    <w:lvl w:ilvl="0">
      <w:lvlJc w:val="left"/>
      <w:lvlText w:val="(%1)"/>
      <w:numFmt w:val="lowerLetter"/>
      <w:start w:val="16"/>
    </w:lvl>
  </w:abstractNum>
  <w:abstractNum w:abstractNumId="32">
    <w:nsid w:val="4AD084E9"/>
    <w:multiLevelType w:val="hybridMultilevel"/>
    <w:lvl w:ilvl="0">
      <w:lvlJc w:val="left"/>
      <w:lvlText w:val="(%1)"/>
      <w:numFmt w:val="lowerLetter"/>
      <w:start w:val="18"/>
    </w:lvl>
  </w:abstractNum>
  <w:abstractNum w:abstractNumId="33">
    <w:nsid w:val="1F48EAA1"/>
    <w:multiLevelType w:val="hybridMultilevel"/>
    <w:lvl w:ilvl="0">
      <w:lvlJc w:val="left"/>
      <w:lvlText w:val="(%1)"/>
      <w:numFmt w:val="lowerLetter"/>
      <w:start w:val="21"/>
    </w:lvl>
  </w:abstractNum>
  <w:abstractNum w:abstractNumId="34">
    <w:nsid w:val="1381823A"/>
    <w:multiLevelType w:val="hybridMultilevel"/>
    <w:lvl w:ilvl="0">
      <w:lvlJc w:val="left"/>
      <w:lvlText w:val="(%1)"/>
      <w:numFmt w:val="lowerLetter"/>
      <w:start w:val="27"/>
    </w:lvl>
  </w:abstractNum>
  <w:abstractNum w:abstractNumId="35">
    <w:nsid w:val="5DB70AE5"/>
    <w:multiLevelType w:val="hybridMultilevel"/>
    <w:lvl w:ilvl="0">
      <w:lvlJc w:val="left"/>
      <w:lvlText w:val="(%1)"/>
      <w:numFmt w:val="lowerLetter"/>
      <w:start w:val="28"/>
    </w:lvl>
  </w:abstractNum>
  <w:abstractNum w:abstractNumId="36">
    <w:nsid w:val="100F8FCA"/>
    <w:multiLevelType w:val="hybridMultilevel"/>
    <w:lvl w:ilvl="0">
      <w:lvlJc w:val="left"/>
      <w:lvlText w:val="%1"/>
      <w:numFmt w:val="lowerRoman"/>
      <w:start w:val="1"/>
    </w:lvl>
    <w:lvl w:ilvl="1">
      <w:lvlJc w:val="left"/>
      <w:lvlText w:val="(%2)"/>
      <w:numFmt w:val="lowerLetter"/>
      <w:start w:val="1"/>
    </w:lvl>
  </w:abstractNum>
  <w:abstractNum w:abstractNumId="37">
    <w:nsid w:val="6590700B"/>
    <w:multiLevelType w:val="hybridMultilevel"/>
    <w:lvl w:ilvl="0">
      <w:lvlJc w:val="left"/>
      <w:lvlText w:val="(%1)"/>
      <w:numFmt w:val="lowerRoman"/>
      <w:start w:val="6"/>
    </w:lvl>
    <w:lvl w:ilvl="1">
      <w:lvlJc w:val="left"/>
      <w:lvlText w:val="%2"/>
      <w:numFmt w:val="lowerLetter"/>
      <w:start w:val="1"/>
    </w:lvl>
  </w:abstractNum>
  <w:abstractNum w:abstractNumId="38">
    <w:nsid w:val="15014ACB"/>
    <w:multiLevelType w:val="hybridMultilevel"/>
    <w:lvl w:ilvl="0">
      <w:lvlJc w:val="left"/>
      <w:lvlText w:val="(%1)"/>
      <w:numFmt w:val="lowerLetter"/>
      <w:start w:val="2"/>
    </w:lvl>
  </w:abstractNum>
  <w:abstractNum w:abstractNumId="39">
    <w:nsid w:val="5F5E7FD0"/>
    <w:multiLevelType w:val="hybridMultilevel"/>
    <w:lvl w:ilvl="0">
      <w:lvlJc w:val="left"/>
      <w:lvlText w:val="(%1)"/>
      <w:numFmt w:val="lowerLetter"/>
      <w:start w:val="1"/>
    </w:lvl>
  </w:abstractNum>
  <w:abstractNum w:abstractNumId="40">
    <w:nsid w:val="98A3148"/>
    <w:multiLevelType w:val="hybridMultilevel"/>
    <w:lvl w:ilvl="0">
      <w:lvlJc w:val="left"/>
      <w:lvlText w:val="(%1)"/>
      <w:numFmt w:val="lowerLetter"/>
      <w:start w:val="3"/>
    </w:lvl>
  </w:abstractNum>
  <w:abstractNum w:abstractNumId="41">
    <w:nsid w:val="799D0247"/>
    <w:multiLevelType w:val="hybridMultilevel"/>
    <w:lvl w:ilvl="0">
      <w:lvlJc w:val="left"/>
      <w:lvlText w:val="(%1)"/>
      <w:numFmt w:val="lowerLetter"/>
      <w:start w:val="8"/>
    </w:lvl>
  </w:abstractNum>
  <w:abstractNum w:abstractNumId="42">
    <w:nsid w:val="6B94764"/>
    <w:multiLevelType w:val="hybridMultilevel"/>
    <w:lvl w:ilvl="0">
      <w:lvlJc w:val="left"/>
      <w:lvlText w:val="(%1)"/>
      <w:numFmt w:val="lowerLetter"/>
      <w:start w:val="1"/>
    </w:lvl>
  </w:abstractNum>
  <w:abstractNum w:abstractNumId="43">
    <w:nsid w:val="42C296BD"/>
    <w:multiLevelType w:val="hybridMultilevel"/>
    <w:lvl w:ilvl="0">
      <w:lvlJc w:val="left"/>
      <w:lvlText w:val="(%1)"/>
      <w:numFmt w:val="lowerLetter"/>
      <w:start w:val="2"/>
    </w:lvl>
  </w:abstractNum>
  <w:abstractNum w:abstractNumId="44">
    <w:nsid w:val="168E121F"/>
    <w:multiLevelType w:val="hybridMultilevel"/>
    <w:lvl w:ilvl="0">
      <w:lvlJc w:val="left"/>
      <w:lvlText w:val="(%1)"/>
      <w:numFmt w:val="lowerRoman"/>
      <w:start w:val="1"/>
    </w:lvl>
  </w:abstractNum>
  <w:abstractNum w:abstractNumId="45">
    <w:nsid w:val="1EBA5D23"/>
    <w:multiLevelType w:val="hybridMultilevel"/>
    <w:lvl w:ilvl="0">
      <w:lvlJc w:val="left"/>
      <w:lvlText w:val="%1"/>
      <w:numFmt w:val="lowerLetter"/>
      <w:start w:val="1"/>
    </w:lvl>
    <w:lvl w:ilvl="1">
      <w:lvlJc w:val="left"/>
      <w:lvlText w:val="(%2)"/>
      <w:numFmt w:val="lowerLetter"/>
      <w:start w:val="1"/>
    </w:lvl>
  </w:abstractNum>
  <w:abstractNum w:abstractNumId="46">
    <w:nsid w:val="661E3F1E"/>
    <w:multiLevelType w:val="hybridMultilevel"/>
    <w:lvl w:ilvl="0">
      <w:lvlJc w:val="left"/>
      <w:lvlText w:val="(%1)"/>
      <w:numFmt w:val="lowerLetter"/>
      <w:start w:val="4"/>
    </w:lvl>
    <w:lvl w:ilvl="1">
      <w:lvlJc w:val="left"/>
      <w:lvlText w:val="(%2)"/>
      <w:numFmt w:val="lowerLetter"/>
      <w:start w:val="6"/>
    </w:lvl>
  </w:abstractNum>
  <w:abstractNum w:abstractNumId="47">
    <w:nsid w:val="5DC79EA8"/>
    <w:multiLevelType w:val="hybridMultilevel"/>
    <w:lvl w:ilvl="0">
      <w:lvlJc w:val="left"/>
      <w:lvlText w:val="(%1)"/>
      <w:numFmt w:val="lowerLetter"/>
      <w:start w:val="7"/>
    </w:lvl>
  </w:abstractNum>
  <w:abstractNum w:abstractNumId="48">
    <w:nsid w:val="540A471C"/>
    <w:multiLevelType w:val="hybridMultilevel"/>
    <w:lvl w:ilvl="0">
      <w:lvlJc w:val="left"/>
      <w:lvlText w:val="(%1)"/>
      <w:numFmt w:val="lowerRoman"/>
      <w:start w:val="1"/>
    </w:lvl>
  </w:abstractNum>
  <w:abstractNum w:abstractNumId="49">
    <w:nsid w:val="7BD3EE7B"/>
    <w:multiLevelType w:val="hybridMultilevel"/>
    <w:lvl w:ilvl="0">
      <w:lvlJc w:val="left"/>
      <w:lvlText w:val="."/>
      <w:numFmt w:val="bullet"/>
      <w:start w:val="1"/>
    </w:lvl>
  </w:abstractNum>
  <w:abstractNum w:abstractNumId="50">
    <w:nsid w:val="51D9C564"/>
    <w:multiLevelType w:val="hybridMultilevel"/>
    <w:lvl w:ilvl="0">
      <w:lvlJc w:val="left"/>
      <w:lvlText w:val="(%1)"/>
      <w:numFmt w:val="lowerLetter"/>
      <w:start w:val="1"/>
    </w:lvl>
  </w:abstractNum>
  <w:abstractNum w:abstractNumId="51">
    <w:nsid w:val="613EFDC5"/>
    <w:multiLevelType w:val="hybridMultilevel"/>
    <w:lvl w:ilvl="0">
      <w:lvlJc w:val="left"/>
      <w:lvlText w:val="(%1)"/>
      <w:numFmt w:val="lowerLetter"/>
      <w:start w:val="4"/>
    </w:lvl>
  </w:abstractNum>
  <w:abstractNum w:abstractNumId="52">
    <w:nsid w:val="BF72B14"/>
    <w:multiLevelType w:val="hybridMultilevel"/>
    <w:lvl w:ilvl="0">
      <w:lvlJc w:val="left"/>
      <w:lvlText w:val="1"/>
      <w:numFmt w:val="bullet"/>
      <w:start w:val="1"/>
    </w:lvl>
  </w:abstractNum>
  <w:abstractNum w:abstractNumId="53">
    <w:nsid w:val="11447B73"/>
    <w:multiLevelType w:val="hybridMultilevel"/>
    <w:lvl w:ilvl="0">
      <w:lvlJc w:val="left"/>
      <w:lvlText w:val="2"/>
      <w:numFmt w:val="bullet"/>
      <w:start w:val="1"/>
    </w:lvl>
  </w:abstractNum>
  <w:abstractNum w:abstractNumId="54">
    <w:nsid w:val="42963E5A"/>
    <w:multiLevelType w:val="hybridMultilevel"/>
    <w:lvl w:ilvl="0">
      <w:lvlJc w:val="left"/>
      <w:lvlText w:val="3"/>
      <w:numFmt w:val="bullet"/>
      <w:start w:val="1"/>
    </w:lvl>
  </w:abstractNum>
  <w:abstractNum w:abstractNumId="55">
    <w:nsid w:val="A0382C5"/>
    <w:multiLevelType w:val="hybridMultilevel"/>
    <w:lvl w:ilvl="0">
      <w:lvlJc w:val="left"/>
      <w:lvlText w:val="4"/>
      <w:numFmt w:val="bullet"/>
      <w:start w:val="1"/>
    </w:lvl>
  </w:abstractNum>
  <w:abstractNum w:abstractNumId="56">
    <w:nsid w:val="8F2B15E"/>
    <w:multiLevelType w:val="hybridMultilevel"/>
    <w:lvl w:ilvl="0">
      <w:lvlJc w:val="left"/>
      <w:lvlText w:val="5"/>
      <w:numFmt w:val="bullet"/>
      <w:start w:val="1"/>
    </w:lvl>
  </w:abstractNum>
  <w:abstractNum w:abstractNumId="57">
    <w:nsid w:val="1A32234B"/>
    <w:multiLevelType w:val="hybridMultilevel"/>
    <w:lvl w:ilvl="0">
      <w:lvlJc w:val="left"/>
      <w:lvlText w:val="6"/>
      <w:numFmt w:val="bullet"/>
      <w:start w:val="1"/>
    </w:lvl>
  </w:abstractNum>
  <w:abstractNum w:abstractNumId="58">
    <w:nsid w:val="3B0FD379"/>
    <w:multiLevelType w:val="hybridMultilevel"/>
    <w:lvl w:ilvl="0">
      <w:lvlJc w:val="left"/>
      <w:lvlText w:val="7"/>
      <w:numFmt w:val="bullet"/>
      <w:start w:val="1"/>
    </w:lvl>
  </w:abstractNum>
  <w:abstractNum w:abstractNumId="59">
    <w:nsid w:val="68EB2F63"/>
    <w:multiLevelType w:val="hybridMultilevel"/>
    <w:lvl w:ilvl="0">
      <w:lvlJc w:val="left"/>
      <w:lvlText w:val="8"/>
      <w:numFmt w:val="bullet"/>
      <w:start w:val="1"/>
    </w:lvl>
  </w:abstractNum>
  <w:abstractNum w:abstractNumId="60">
    <w:nsid w:val="4962813B"/>
    <w:multiLevelType w:val="hybridMultilevel"/>
    <w:lvl w:ilvl="0">
      <w:lvlJc w:val="left"/>
      <w:lvlText w:val="9"/>
      <w:numFmt w:val="bullet"/>
      <w:start w:val="1"/>
    </w:lvl>
  </w:abstractNum>
  <w:abstractNum w:abstractNumId="61">
    <w:nsid w:val="60B6DF70"/>
    <w:multiLevelType w:val="hybridMultilevel"/>
    <w:lvl w:ilvl="0">
      <w:lvlJc w:val="left"/>
      <w:lvlText w:val="%1."/>
      <w:numFmt w:val="decimal"/>
      <w:start w:val="1"/>
    </w:lvl>
  </w:abstractNum>
  <w:abstractNum w:abstractNumId="62">
    <w:nsid w:val="6A5EE64"/>
    <w:multiLevelType w:val="hybridMultilevel"/>
    <w:lvl w:ilvl="0">
      <w:lvlJc w:val="left"/>
      <w:lvlText w:val="(%1)"/>
      <w:numFmt w:val="lowerLetter"/>
      <w:start w:val="4"/>
    </w:lvl>
    <w:lvl w:ilvl="1">
      <w:lvlJc w:val="left"/>
      <w:lvlText w:val="%2."/>
      <w:numFmt w:val="decimal"/>
      <w:start w:val="2"/>
    </w:lvl>
  </w:abstractNum>
  <w:abstractNum w:abstractNumId="63">
    <w:nsid w:val="14330624"/>
    <w:multiLevelType w:val="hybridMultilevel"/>
    <w:lvl w:ilvl="0">
      <w:lvlJc w:val="left"/>
      <w:lvlText w:val="%1"/>
      <w:numFmt w:val="decimal"/>
      <w:start w:val="12"/>
    </w:lvl>
  </w:abstractNum>
  <w:abstractNum w:abstractNumId="64">
    <w:nsid w:val="7FFFCA11"/>
    <w:multiLevelType w:val="hybridMultilevel"/>
    <w:lvl w:ilvl="0">
      <w:lvlJc w:val="left"/>
      <w:lvlText w:val="%1."/>
      <w:numFmt w:val="decimal"/>
      <w:start w:val="6"/>
    </w:lvl>
    <w:lvl w:ilvl="1">
      <w:lvlJc w:val="left"/>
      <w:lvlText w:val="(%2)"/>
      <w:numFmt w:val="lowerLetter"/>
      <w:start w:val="1"/>
    </w:lvl>
  </w:abstractNum>
  <w:abstractNum w:abstractNumId="65">
    <w:nsid w:val="1A27709E"/>
    <w:multiLevelType w:val="hybridMultilevel"/>
    <w:lvl w:ilvl="0">
      <w:lvlJc w:val="left"/>
      <w:lvlText w:val="%1"/>
      <w:numFmt w:val="decimal"/>
      <w:start w:val="1"/>
    </w:lvl>
    <w:lvl w:ilvl="1">
      <w:lvlJc w:val="left"/>
      <w:lvlText w:val="(%2)"/>
      <w:numFmt w:val="lowerLetter"/>
      <w:start w:val="2"/>
    </w:lvl>
  </w:abstractNum>
  <w:abstractNum w:abstractNumId="66">
    <w:nsid w:val="71EA1109"/>
    <w:multiLevelType w:val="hybridMultilevel"/>
    <w:lvl w:ilvl="0">
      <w:lvlJc w:val="left"/>
      <w:lvlText w:val="%1."/>
      <w:numFmt w:val="decimal"/>
      <w:start w:val="7"/>
    </w:lvl>
    <w:lvl w:ilvl="1">
      <w:lvlJc w:val="left"/>
      <w:lvlText w:val="(%2)"/>
      <w:numFmt w:val="lowerLetter"/>
      <w:start w:val="1"/>
    </w:lvl>
  </w:abstractNum>
  <w:abstractNum w:abstractNumId="67">
    <w:nsid w:val="100F59DC"/>
    <w:multiLevelType w:val="hybridMultilevel"/>
    <w:lvl w:ilvl="0">
      <w:lvlJc w:val="left"/>
      <w:lvlText w:val="(%1)"/>
      <w:numFmt w:val="lowerLetter"/>
      <w:start w:val="2"/>
    </w:lvl>
    <w:lvl w:ilvl="1">
      <w:lvlJc w:val="left"/>
      <w:lvlText w:val="(%2)"/>
      <w:numFmt w:val="lowerRoman"/>
      <w:start w:val="1"/>
    </w:lvl>
  </w:abstractNum>
  <w:abstractNum w:abstractNumId="68">
    <w:nsid w:val="7FB7E0AA"/>
    <w:multiLevelType w:val="hybridMultilevel"/>
    <w:lvl w:ilvl="0">
      <w:lvlJc w:val="left"/>
      <w:lvlText w:val="%1"/>
      <w:numFmt w:val="lowerLetter"/>
      <w:start w:val="1"/>
    </w:lvl>
    <w:lvl w:ilvl="1">
      <w:lvlJc w:val="left"/>
      <w:lvlText w:val="(%2)"/>
      <w:numFmt w:val="lowerRoman"/>
      <w:start w:val="3"/>
    </w:lvl>
  </w:abstractNum>
  <w:abstractNum w:abstractNumId="69">
    <w:nsid w:val="6EB5BD4"/>
    <w:multiLevelType w:val="hybridMultilevel"/>
    <w:lvl w:ilvl="0">
      <w:lvlJc w:val="left"/>
      <w:lvlText w:val="(%1)"/>
      <w:numFmt w:val="lowerLetter"/>
      <w:start w:val="5"/>
    </w:lvl>
    <w:lvl w:ilvl="1">
      <w:lvlJc w:val="left"/>
      <w:lvlText w:val="(%2)"/>
      <w:numFmt w:val="lowerRoman"/>
      <w:start w:val="1"/>
    </w:lvl>
  </w:abstractNum>
  <w:abstractNum w:abstractNumId="70">
    <w:nsid w:val="6F6DD9AC"/>
    <w:multiLevelType w:val="hybridMultilevel"/>
    <w:lvl w:ilvl="0">
      <w:lvlJc w:val="left"/>
      <w:lvlText w:val="(%1)"/>
      <w:numFmt w:val="lowerRoman"/>
      <w:start w:val="2"/>
    </w:lvl>
  </w:abstractNum>
  <w:abstractNum w:abstractNumId="71">
    <w:nsid w:val="94211F2"/>
    <w:multiLevelType w:val="hybridMultilevel"/>
    <w:lvl w:ilvl="0">
      <w:lvlJc w:val="left"/>
      <w:lvlText w:val="(%1)"/>
      <w:numFmt w:val="lowerRoman"/>
      <w:start w:val="5"/>
    </w:lvl>
  </w:abstractNum>
  <w:abstractNum w:abstractNumId="72">
    <w:nsid w:val="885E1B"/>
    <w:multiLevelType w:val="hybridMultilevel"/>
    <w:lvl w:ilvl="0">
      <w:lvlJc w:val="left"/>
      <w:lvlText w:val="(%1)"/>
      <w:numFmt w:val="lowerRoman"/>
      <w:start w:val="12"/>
    </w:lvl>
  </w:abstractNum>
  <w:abstractNum w:abstractNumId="73">
    <w:nsid w:val="76272110"/>
    <w:multiLevelType w:val="hybridMultilevel"/>
    <w:lvl w:ilvl="0">
      <w:lvlJc w:val="left"/>
      <w:lvlText w:val="(%1)"/>
      <w:numFmt w:val="lowerLetter"/>
      <w:start w:val="6"/>
    </w:lvl>
    <w:lvl w:ilvl="1">
      <w:lvlJc w:val="left"/>
      <w:lvlText w:val="(%2)"/>
      <w:numFmt w:val="lowerLetter"/>
      <w:start w:val="9"/>
    </w:lvl>
  </w:abstractNum>
  <w:abstractNum w:abstractNumId="74">
    <w:nsid w:val="4C04A8AF"/>
    <w:multiLevelType w:val="hybridMultilevel"/>
    <w:lvl w:ilvl="0">
      <w:lvlJc w:val="left"/>
      <w:lvlText w:val="%1"/>
      <w:numFmt w:val="upperLetter"/>
      <w:start w:val="1"/>
    </w:lvl>
    <w:lvl w:ilvl="1">
      <w:lvlJc w:val="left"/>
      <w:lvlText w:val="(%2)"/>
      <w:numFmt w:val="lowerRoman"/>
      <w:start w:val="2"/>
    </w:lvl>
  </w:abstractNum>
  <w:abstractNum w:abstractNumId="75">
    <w:nsid w:val="1716703B"/>
    <w:multiLevelType w:val="hybridMultilevel"/>
    <w:lvl w:ilvl="0">
      <w:lvlJc w:val="left"/>
      <w:lvlText w:val="(%1)"/>
      <w:numFmt w:val="upperLetter"/>
      <w:start w:val="2"/>
    </w:lvl>
    <w:lvl w:ilvl="1">
      <w:lvlJc w:val="left"/>
      <w:lvlText w:val="(%2)"/>
      <w:numFmt w:val="lowerRoman"/>
      <w:start w:val="3"/>
    </w:lvl>
  </w:abstractNum>
  <w:abstractNum w:abstractNumId="76">
    <w:nsid w:val="14E17E33"/>
    <w:multiLevelType w:val="hybridMultilevel"/>
    <w:lvl w:ilvl="0">
      <w:lvlJc w:val="left"/>
      <w:lvlText w:val="(%1)"/>
      <w:numFmt w:val="lowerRoman"/>
      <w:start w:val="4"/>
    </w:lvl>
  </w:abstractNum>
  <w:abstractNum w:abstractNumId="77">
    <w:nsid w:val="3222E7CD"/>
    <w:multiLevelType w:val="hybridMultilevel"/>
    <w:lvl w:ilvl="0">
      <w:lvlJc w:val="left"/>
      <w:lvlText w:val="%1"/>
      <w:numFmt w:val="lowerLetter"/>
      <w:start w:val="1"/>
    </w:lvl>
    <w:lvl w:ilvl="1">
      <w:lvlJc w:val="left"/>
      <w:lvlText w:val="(%2)"/>
      <w:numFmt w:val="lowerLetter"/>
      <w:start w:val="7"/>
    </w:lvl>
  </w:abstractNum>
  <w:abstractNum w:abstractNumId="78">
    <w:nsid w:val="74DE0EE3"/>
    <w:multiLevelType w:val="hybridMultilevel"/>
    <w:lvl w:ilvl="0">
      <w:lvlJc w:val="left"/>
      <w:lvlText w:val="(%1)"/>
      <w:numFmt w:val="lowerLetter"/>
      <w:start w:val="25"/>
    </w:lvl>
    <w:lvl w:ilvl="1">
      <w:lvlJc w:val="left"/>
      <w:lvlText w:val="(%2)"/>
      <w:numFmt w:val="lowerLetter"/>
      <w:start w:val="8"/>
    </w:lvl>
  </w:abstractNum>
  <w:abstractNum w:abstractNumId="79">
    <w:nsid w:val="68EBC550"/>
    <w:multiLevelType w:val="hybridMultilevel"/>
    <w:lvl w:ilvl="0">
      <w:lvlJc w:val="left"/>
      <w:lvlText w:val="(%1)"/>
      <w:numFmt w:val="lowerRoman"/>
      <w:start w:val="1"/>
    </w:lvl>
  </w:abstractNum>
  <w:abstractNum w:abstractNumId="80">
    <w:nsid w:val="2DF6D648"/>
    <w:multiLevelType w:val="hybridMultilevel"/>
    <w:lvl w:ilvl="0">
      <w:lvlJc w:val="left"/>
      <w:lvlText w:val="(%1)"/>
      <w:numFmt w:val="lowerLetter"/>
      <w:start w:val="9"/>
    </w:lvl>
  </w:abstractNum>
  <w:abstractNum w:abstractNumId="81">
    <w:nsid w:val="46B7D447"/>
    <w:multiLevelType w:val="hybridMultilevel"/>
    <w:lvl w:ilvl="0">
      <w:lvlJc w:val="left"/>
      <w:lvlText w:val="(%1)"/>
      <w:numFmt w:val="lowerLetter"/>
      <w:start w:val="13"/>
    </w:lvl>
  </w:abstractNum>
  <w:abstractNum w:abstractNumId="82">
    <w:nsid w:val="4A2AC315"/>
    <w:multiLevelType w:val="hybridMultilevel"/>
    <w:lvl w:ilvl="0">
      <w:lvlJc w:val="left"/>
      <w:lvlText w:val="(%1)"/>
      <w:numFmt w:val="lowerRoman"/>
      <w:start w:val="3"/>
    </w:lvl>
  </w:abstractNum>
  <w:abstractNum w:abstractNumId="83">
    <w:nsid w:val="39EE015C"/>
    <w:multiLevelType w:val="hybridMultilevel"/>
    <w:lvl w:ilvl="0">
      <w:lvlJc w:val="left"/>
      <w:lvlText w:val="(%1)"/>
      <w:numFmt w:val="lowerLetter"/>
      <w:start w:val="9"/>
    </w:lvl>
    <w:lvl w:ilvl="1">
      <w:lvlJc w:val="left"/>
      <w:lvlText w:val="(%2)"/>
      <w:numFmt w:val="lowerLetter"/>
      <w:start w:val="18"/>
    </w:lvl>
  </w:abstractNum>
  <w:abstractNum w:abstractNumId="84">
    <w:nsid w:val="57FC4FBB"/>
    <w:multiLevelType w:val="hybridMultilevel"/>
    <w:lvl w:ilvl="0">
      <w:lvlJc w:val="left"/>
      <w:lvlText w:val="(%1)"/>
      <w:numFmt w:val="lowerLetter"/>
      <w:start w:val="20"/>
    </w:lvl>
    <w:lvl w:ilvl="1">
      <w:lvlJc w:val="left"/>
      <w:lvlText w:val="(%2)"/>
      <w:numFmt w:val="lowerRoman"/>
      <w:start w:val="1"/>
    </w:lvl>
    <w:lvl w:ilvl="2">
      <w:lvlJc w:val="left"/>
      <w:lvlText w:val="(%3)"/>
      <w:numFmt w:val="decimal"/>
      <w:start w:val="1"/>
    </w:lvl>
    <w:lvl w:ilvl="3">
      <w:lvlJc w:val="left"/>
      <w:lvlText w:val="%4."/>
      <w:numFmt w:val="lowerLetter"/>
      <w:start w:val="1"/>
    </w:lvl>
  </w:abstractNum>
  <w:abstractNum w:abstractNumId="85">
    <w:nsid w:val="CC1016F"/>
    <w:multiLevelType w:val="hybridMultilevel"/>
    <w:lvl w:ilvl="0">
      <w:lvlJc w:val="left"/>
      <w:lvlText w:val="%1."/>
      <w:numFmt w:val="lowerLetter"/>
      <w:start w:val="2"/>
    </w:lvl>
  </w:abstractNum>
  <w:abstractNum w:abstractNumId="86">
    <w:nsid w:val="43F18422"/>
    <w:multiLevelType w:val="hybridMultilevel"/>
    <w:lvl w:ilvl="0">
      <w:lvlJc w:val="left"/>
      <w:lvlText w:val="%1"/>
      <w:numFmt w:val="lowerRoman"/>
      <w:start w:val="1"/>
    </w:lvl>
    <w:lvl w:ilvl="1">
      <w:lvlJc w:val="left"/>
      <w:lvlText w:val="(%2)"/>
      <w:numFmt w:val="decimal"/>
      <w:start w:val="2"/>
    </w:lvl>
    <w:lvl w:ilvl="2">
      <w:lvlJc w:val="left"/>
      <w:lvlText w:val="%3."/>
      <w:numFmt w:val="lowerLetter"/>
      <w:start w:val="1"/>
    </w:lvl>
  </w:abstractNum>
  <w:abstractNum w:abstractNumId="87">
    <w:nsid w:val="60EF0119"/>
    <w:multiLevelType w:val="hybridMultilevel"/>
    <w:lvl w:ilvl="0">
      <w:lvlJc w:val="left"/>
      <w:lvlText w:val="(%1)"/>
      <w:numFmt w:val="lowerRoman"/>
      <w:start w:val="3"/>
    </w:lvl>
    <w:lvl w:ilvl="1">
      <w:lvlJc w:val="left"/>
      <w:lvlText w:val="%2"/>
      <w:numFmt w:val="decimal"/>
      <w:start w:val="1"/>
    </w:lvl>
    <w:lvl w:ilvl="2">
      <w:lvlJc w:val="left"/>
      <w:lvlText w:val="%3"/>
      <w:numFmt w:val="lowerLetter"/>
      <w:start w:val="1"/>
    </w:lvl>
  </w:abstractNum>
  <w:abstractNum w:abstractNumId="88">
    <w:nsid w:val="26F324BA"/>
    <w:multiLevelType w:val="hybridMultilevel"/>
    <w:lvl w:ilvl="0">
      <w:lvlJc w:val="left"/>
      <w:lvlText w:val="(%1)"/>
      <w:numFmt w:val="lowerRoman"/>
      <w:start w:val="4"/>
    </w:lvl>
  </w:abstractNum>
  <w:abstractNum w:abstractNumId="89">
    <w:nsid w:val="7F01579B"/>
    <w:multiLevelType w:val="hybridMultilevel"/>
    <w:lvl w:ilvl="0">
      <w:lvlJc w:val="left"/>
      <w:lvlText w:val="%1"/>
      <w:numFmt w:val="lowerRoman"/>
      <w:start w:val="1"/>
    </w:lvl>
    <w:lvl w:ilvl="1">
      <w:lvlJc w:val="left"/>
      <w:lvlText w:val="(%2)"/>
      <w:numFmt w:val="lowerRoman"/>
      <w:start w:val="5"/>
    </w:lvl>
  </w:abstractNum>
  <w:abstractNum w:abstractNumId="90">
    <w:nsid w:val="49DA307D"/>
    <w:multiLevelType w:val="hybridMultilevel"/>
    <w:lvl w:ilvl="0">
      <w:lvlJc w:val="left"/>
      <w:lvlText w:val="(%1)"/>
      <w:numFmt w:val="lowerRoman"/>
      <w:start w:val="2"/>
    </w:lvl>
    <w:lvl w:ilvl="1">
      <w:lvlJc w:val="left"/>
      <w:lvlText w:val="%2"/>
      <w:numFmt w:val="lowerRoman"/>
      <w:start w:val="1"/>
    </w:lvl>
  </w:abstractNum>
  <w:abstractNum w:abstractNumId="91">
    <w:nsid w:val="7055A5F5"/>
    <w:multiLevelType w:val="hybridMultilevel"/>
    <w:lvl w:ilvl="0">
      <w:lvlJc w:val="left"/>
      <w:lvlText w:val="%1"/>
      <w:numFmt w:val="lowerRoman"/>
      <w:start w:val="1"/>
    </w:lvl>
    <w:lvl w:ilvl="1">
      <w:lvlJc w:val="left"/>
      <w:lvlText w:val="(%2)"/>
      <w:numFmt w:val="lowerRoman"/>
      <w:start w:val="6"/>
    </w:lvl>
  </w:abstractNum>
  <w:abstractNum w:abstractNumId="92">
    <w:nsid w:val="5FB8370B"/>
    <w:multiLevelType w:val="hybridMultilevel"/>
    <w:lvl w:ilvl="0">
      <w:lvlJc w:val="left"/>
      <w:lvlText w:val="(%1)"/>
      <w:numFmt w:val="lowerRoman"/>
      <w:start w:val="5"/>
    </w:lvl>
    <w:lvl w:ilvl="1">
      <w:lvlJc w:val="left"/>
      <w:lvlText w:val="%2"/>
      <w:numFmt w:val="lowerRoman"/>
      <w:start w:val="1"/>
    </w:lvl>
  </w:abstractNum>
  <w:abstractNum w:abstractNumId="93">
    <w:nsid w:val="50801EE1"/>
    <w:multiLevelType w:val="hybridMultilevel"/>
    <w:lvl w:ilvl="0">
      <w:lvlJc w:val="left"/>
      <w:lvlText w:val="(%1)"/>
      <w:numFmt w:val="lowerLetter"/>
      <w:start w:val="23"/>
    </w:lvl>
  </w:abstractNum>
  <w:abstractNum w:abstractNumId="94">
    <w:nsid w:val="488AC1A"/>
    <w:multiLevelType w:val="hybridMultilevel"/>
    <w:lvl w:ilvl="0">
      <w:lvlJc w:val="left"/>
      <w:lvlText w:val="%1"/>
      <w:numFmt w:val="lowerLetter"/>
      <w:start w:val="1"/>
    </w:lvl>
    <w:lvl w:ilvl="1">
      <w:lvlJc w:val="left"/>
      <w:lvlText w:val="(%2)"/>
      <w:numFmt w:val="lowerRoman"/>
      <w:start w:val="1"/>
    </w:lvl>
  </w:abstractNum>
  <w:abstractNum w:abstractNumId="95">
    <w:nsid w:val="5FB8011C"/>
    <w:multiLevelType w:val="hybridMultilevel"/>
    <w:lvl w:ilvl="0">
      <w:lvlJc w:val="left"/>
      <w:lvlText w:val="(%1)"/>
      <w:numFmt w:val="lowerLetter"/>
      <w:start w:val="26"/>
    </w:lvl>
    <w:lvl w:ilvl="1">
      <w:lvlJc w:val="left"/>
      <w:lvlText w:val="%2"/>
      <w:numFmt w:val="lowerRoman"/>
      <w:start w:val="1"/>
    </w:lvl>
  </w:abstractNum>
  <w:abstractNum w:abstractNumId="96">
    <w:nsid w:val="6AA78F7F"/>
    <w:multiLevelType w:val="hybridMultilevel"/>
    <w:lvl w:ilvl="0">
      <w:lvlJc w:val="left"/>
      <w:lvlText w:val="(%1)"/>
      <w:numFmt w:val="lowerLetter"/>
      <w:start w:val="27"/>
    </w:lvl>
  </w:abstractNum>
  <w:abstractNum w:abstractNumId="97">
    <w:nsid w:val="7672BD23"/>
    <w:multiLevelType w:val="hybridMultilevel"/>
    <w:lvl w:ilvl="0">
      <w:lvlJc w:val="left"/>
      <w:lvlText w:val="(%1)"/>
      <w:numFmt w:val="lowerLetter"/>
      <w:start w:val="1"/>
    </w:lvl>
  </w:abstractNum>
  <w:abstractNum w:abstractNumId="98">
    <w:nsid w:val="6FC75AF8"/>
    <w:multiLevelType w:val="hybridMultilevel"/>
    <w:lvl w:ilvl="0">
      <w:lvlJc w:val="left"/>
      <w:lvlText w:val="(%1)"/>
      <w:numFmt w:val="lowerRoman"/>
      <w:start w:val="1"/>
    </w:lvl>
  </w:abstractNum>
  <w:abstractNum w:abstractNumId="99">
    <w:nsid w:val="6A5F7029"/>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2021-02-24T08:05:30Z</dcterms:created>
  <dcterms:modified xsi:type="dcterms:W3CDTF">2021-02-24T08:05:30Z</dcterms:modified>
</cp:coreProperties>
</file>