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1 )</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Federal Realty Investment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Real Estate Investment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313747206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313747206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73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w w:val="93"/>
              </w:rPr>
              <w:t>I.R.S. IDENTIFICATION NO. OF ABOVE PERSONS (ENTITIES ONLY)</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Invesco Ltd.</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98-0557567</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7360" w:type="dxa"/>
            <w:vAlign w:val="bottom"/>
          </w:tcPr>
          <w:p>
            <w:pPr>
              <w:ind w:left="780"/>
              <w:spacing w:after="0"/>
              <w:rPr>
                <w:sz w:val="20"/>
                <w:szCs w:val="20"/>
                <w:color w:val="auto"/>
              </w:rPr>
            </w:pPr>
            <w:r>
              <w:rPr>
                <w:rFonts w:ascii="Arial" w:cs="Arial" w:eastAsia="Arial" w:hAnsi="Arial"/>
                <w:sz w:val="22"/>
                <w:szCs w:val="22"/>
                <w:color w:val="auto"/>
              </w:rPr>
              <w:t>CHECK THE APPROPRIATE BOX IF A MEMBER OF A GROUP*</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73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73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Bermuda</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32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720" w:type="dxa"/>
            <w:vAlign w:val="bottom"/>
          </w:tcPr>
          <w:p>
            <w:pPr>
              <w:ind w:left="1840"/>
              <w:spacing w:after="0"/>
              <w:rPr>
                <w:sz w:val="20"/>
                <w:szCs w:val="20"/>
                <w:color w:val="auto"/>
              </w:rPr>
            </w:pPr>
            <w:r>
              <w:rPr>
                <w:rFonts w:ascii="Arial" w:cs="Arial" w:eastAsia="Arial" w:hAnsi="Arial"/>
                <w:sz w:val="22"/>
                <w:szCs w:val="22"/>
                <w:color w:val="auto"/>
                <w:w w:val="87"/>
              </w:rPr>
              <w:t>1,474,159</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320" w:type="dxa"/>
            <w:vAlign w:val="bottom"/>
          </w:tcPr>
          <w:p>
            <w:pPr>
              <w:spacing w:after="0"/>
              <w:rPr>
                <w:sz w:val="4"/>
                <w:szCs w:val="4"/>
                <w:color w:val="auto"/>
              </w:rPr>
            </w:pP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320" w:type="dxa"/>
            <w:vAlign w:val="bottom"/>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3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3,211,119</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320" w:type="dxa"/>
            <w:vAlign w:val="bottom"/>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320" w:type="dxa"/>
            <w:vAlign w:val="bottom"/>
            <w:vMerge w:val="continue"/>
          </w:tcPr>
          <w:p>
            <w:pPr>
              <w:spacing w:after="0"/>
              <w:rPr>
                <w:sz w:val="7"/>
                <w:szCs w:val="7"/>
                <w:color w:val="auto"/>
              </w:rPr>
            </w:pPr>
          </w:p>
        </w:tc>
        <w:tc>
          <w:tcPr>
            <w:tcW w:w="2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46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3,211,119</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1"/>
          <w:szCs w:val="21"/>
          <w:color w:val="auto"/>
        </w:rPr>
        <w:t>10.</w:t>
      </w:r>
      <w:r>
        <w:rPr>
          <w:sz w:val="20"/>
          <w:szCs w:val="20"/>
          <w:color w:val="auto"/>
        </w:rPr>
        <w:tab/>
      </w:r>
      <w:r>
        <w:rPr>
          <w:rFonts w:ascii="Arial" w:cs="Arial" w:eastAsia="Arial" w:hAnsi="Arial"/>
          <w:sz w:val="21"/>
          <w:szCs w:val="21"/>
          <w:color w:val="auto"/>
        </w:rPr>
        <w:t>CHECK IF THE AGGREGATE AMOUNT IN ROW (9) EXCLUDES CERTAIN SHARES</w:t>
      </w:r>
    </w:p>
    <w:p>
      <w:pPr>
        <w:spacing w:after="0" w:line="245"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4.6%</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HC,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388" w:right="1440" w:bottom="1440" w:gutter="0" w:footer="0" w:header="0"/>
        </w:sectPr>
      </w:pPr>
    </w:p>
    <w:bookmarkStart w:id="2" w:name="page3"/>
    <w:bookmarkEnd w:id="2"/>
    <w:p>
      <w:pPr>
        <w:spacing w:after="0" w:line="182" w:lineRule="auto"/>
        <w:framePr w:w="680" w:h="193" w:wrap="auto" w:vAnchor="page" w:hAnchor="page" w:x="1660" w:y="9563"/>
        <w:rPr>
          <w:rFonts w:ascii="Arial" w:cs="Arial" w:eastAsia="Arial" w:hAnsi="Arial"/>
          <w:sz w:val="22"/>
          <w:szCs w:val="22"/>
          <w:color w:val="auto"/>
        </w:rPr>
      </w:pPr>
      <w:r>
        <w:rPr>
          <w:rFonts w:ascii="Arial" w:cs="Arial" w:eastAsia="Arial" w:hAnsi="Arial"/>
          <w:sz w:val="22"/>
          <w:szCs w:val="22"/>
          <w:color w:val="auto"/>
        </w:rPr>
        <w:t>(i)  [ ]</w:t>
      </w:r>
    </w:p>
    <w:p>
      <w:pPr>
        <w:spacing w:after="0" w:line="182" w:lineRule="auto"/>
        <w:framePr w:w="680" w:h="193" w:wrap="auto" w:vAnchor="page" w:hAnchor="page" w:x="1660" w:y="10063"/>
        <w:rPr>
          <w:rFonts w:ascii="Arial" w:cs="Arial" w:eastAsia="Arial" w:hAnsi="Arial"/>
          <w:sz w:val="22"/>
          <w:szCs w:val="22"/>
          <w:color w:val="auto"/>
        </w:rPr>
      </w:pPr>
      <w:r>
        <w:rPr>
          <w:rFonts w:ascii="Arial" w:cs="Arial" w:eastAsia="Arial" w:hAnsi="Arial"/>
          <w:sz w:val="22"/>
          <w:szCs w:val="22"/>
          <w:color w:val="auto"/>
        </w:rPr>
        <w:t>(j)  [ ]</w:t>
      </w:r>
    </w:p>
    <w:p>
      <w:pPr>
        <w:spacing w:after="0" w:line="182" w:lineRule="auto"/>
        <w:framePr w:w="680" w:h="193" w:wrap="auto" w:vAnchor="page" w:hAnchor="page" w:x="1660" w:y="7429"/>
        <w:rPr>
          <w:rFonts w:ascii="Arial" w:cs="Arial" w:eastAsia="Arial" w:hAnsi="Arial"/>
          <w:sz w:val="22"/>
          <w:szCs w:val="22"/>
          <w:color w:val="auto"/>
        </w:rPr>
      </w:pPr>
      <w:r>
        <w:rPr>
          <w:rFonts w:ascii="Arial" w:cs="Arial" w:eastAsia="Arial" w:hAnsi="Arial"/>
          <w:sz w:val="22"/>
          <w:szCs w:val="22"/>
          <w:color w:val="auto"/>
        </w:rPr>
        <w:t>(d)  [ ]</w:t>
      </w:r>
    </w:p>
    <w:p>
      <w:pPr>
        <w:spacing w:after="0" w:line="26" w:lineRule="exact"/>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Federal Realty Investment Trust</w:t>
      </w:r>
    </w:p>
    <w:p>
      <w:pPr>
        <w:spacing w:after="0" w:line="101" w:lineRule="exact"/>
        <w:rPr>
          <w:rFonts w:ascii="Arial" w:cs="Arial" w:eastAsia="Arial" w:hAnsi="Arial"/>
          <w:sz w:val="22"/>
          <w:szCs w:val="22"/>
          <w:b w:val="1"/>
          <w:bCs w:val="1"/>
          <w:color w:val="auto"/>
        </w:rPr>
      </w:pPr>
    </w:p>
    <w:p>
      <w:pPr>
        <w:ind w:left="1780" w:right="5180" w:hanging="407"/>
        <w:spacing w:after="0" w:line="335" w:lineRule="auto"/>
        <w:tabs>
          <w:tab w:leader="none" w:pos="17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Issuer's Principal Executive Offices </w:t>
      </w:r>
      <w:r>
        <w:rPr>
          <w:rFonts w:ascii="Arial" w:cs="Arial" w:eastAsia="Arial" w:hAnsi="Arial"/>
          <w:sz w:val="19"/>
          <w:szCs w:val="19"/>
          <w:color w:val="auto"/>
        </w:rPr>
        <w:t>1626 East Jefferson Street, Rockville MD 20852</w:t>
      </w:r>
    </w:p>
    <w:p>
      <w:pPr>
        <w:spacing w:after="0" w:line="11" w:lineRule="exact"/>
        <w:rPr>
          <w:rFonts w:ascii="Arial" w:cs="Arial" w:eastAsia="Arial" w:hAnsi="Arial"/>
          <w:sz w:val="22"/>
          <w:szCs w:val="22"/>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rFonts w:ascii="Arial" w:cs="Arial" w:eastAsia="Arial" w:hAnsi="Arial"/>
          <w:sz w:val="22"/>
          <w:szCs w:val="22"/>
          <w:color w:val="auto"/>
        </w:rPr>
      </w:pPr>
    </w:p>
    <w:p>
      <w:pPr>
        <w:ind w:left="1780" w:right="694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Invesco Ltd. ("Invesco Ltd.")</w:t>
      </w:r>
    </w:p>
    <w:p>
      <w:pPr>
        <w:spacing w:after="0" w:line="11" w:lineRule="exact"/>
        <w:rPr>
          <w:rFonts w:ascii="Arial" w:cs="Arial" w:eastAsia="Arial" w:hAnsi="Arial"/>
          <w:sz w:val="19"/>
          <w:szCs w:val="19"/>
          <w:b w:val="1"/>
          <w:bCs w:val="1"/>
          <w:color w:val="auto"/>
        </w:rPr>
      </w:pPr>
    </w:p>
    <w:p>
      <w:pPr>
        <w:ind w:left="1780" w:right="4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1555 Peachtree Street NE, Suite 1800, Atlanta GA 30309</w:t>
      </w:r>
    </w:p>
    <w:p>
      <w:pPr>
        <w:spacing w:after="0" w:line="11" w:lineRule="exact"/>
        <w:rPr>
          <w:rFonts w:ascii="Arial" w:cs="Arial" w:eastAsia="Arial" w:hAnsi="Arial"/>
          <w:sz w:val="19"/>
          <w:szCs w:val="19"/>
          <w:b w:val="1"/>
          <w:bCs w:val="1"/>
          <w:color w:val="auto"/>
        </w:rPr>
      </w:pPr>
    </w:p>
    <w:p>
      <w:pPr>
        <w:ind w:left="1780" w:right="844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Bermuda</w:t>
      </w:r>
    </w:p>
    <w:p>
      <w:pPr>
        <w:spacing w:after="0" w:line="11" w:lineRule="exact"/>
        <w:rPr>
          <w:rFonts w:ascii="Arial" w:cs="Arial" w:eastAsia="Arial" w:hAnsi="Arial"/>
          <w:sz w:val="19"/>
          <w:szCs w:val="19"/>
          <w:b w:val="1"/>
          <w:bCs w:val="1"/>
          <w:color w:val="auto"/>
        </w:rPr>
      </w:pPr>
    </w:p>
    <w:p>
      <w:pPr>
        <w:ind w:left="1780" w:right="69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Real Estate Investment Trust</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313747206</w:t>
      </w:r>
    </w:p>
    <w:p>
      <w:pPr>
        <w:spacing w:after="0" w:line="11" w:lineRule="exact"/>
        <w:rPr>
          <w:rFonts w:ascii="Arial" w:cs="Arial" w:eastAsia="Arial" w:hAnsi="Arial"/>
          <w:sz w:val="22"/>
          <w:szCs w:val="22"/>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spacing w:after="0"/>
        <w:rPr>
          <w:sz w:val="20"/>
          <w:szCs w:val="20"/>
          <w:color w:val="auto"/>
        </w:rPr>
      </w:pPr>
      <w:r>
        <w:rPr>
          <w:rFonts w:ascii="Arial" w:cs="Arial" w:eastAsia="Arial" w:hAnsi="Arial"/>
          <w:sz w:val="19"/>
          <w:szCs w:val="19"/>
          <w:color w:val="auto"/>
        </w:rPr>
        <w:t>Investment Company registered under Section 8 of the Investment Company Act of 1940 (15 U.S.C.</w:t>
      </w:r>
    </w:p>
    <w:p>
      <w:pPr>
        <w:spacing w:after="0" w:line="43" w:lineRule="exact"/>
        <w:rPr>
          <w:rFonts w:ascii="Arial" w:cs="Arial" w:eastAsia="Arial" w:hAnsi="Arial"/>
          <w:sz w:val="22"/>
          <w:szCs w:val="22"/>
          <w:color w:val="auto"/>
        </w:rPr>
      </w:pPr>
    </w:p>
    <w:p>
      <w:pPr>
        <w:ind w:left="2240"/>
        <w:spacing w:after="0"/>
        <w:rPr>
          <w:sz w:val="20"/>
          <w:szCs w:val="20"/>
          <w:color w:val="auto"/>
        </w:rPr>
      </w:pPr>
      <w:r>
        <w:rPr>
          <w:rFonts w:ascii="Arial" w:cs="Arial" w:eastAsia="Arial" w:hAnsi="Arial"/>
          <w:sz w:val="22"/>
          <w:szCs w:val="22"/>
          <w:color w:val="auto"/>
        </w:rPr>
        <w:t>80a-8).</w:t>
      </w:r>
    </w:p>
    <w:p>
      <w:pPr>
        <w:spacing w:after="0" w:line="107"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[X]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60" w:lineRule="exact"/>
        <w:rPr>
          <w:rFonts w:ascii="Arial" w:cs="Arial" w:eastAsia="Arial" w:hAnsi="Arial"/>
          <w:sz w:val="22"/>
          <w:szCs w:val="22"/>
          <w:color w:val="auto"/>
        </w:rPr>
      </w:pPr>
    </w:p>
    <w:p>
      <w:pPr>
        <w:ind w:left="2240" w:right="120"/>
        <w:spacing w:after="0" w:line="251"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2240"/>
        <w:spacing w:after="0"/>
        <w:rPr>
          <w:sz w:val="20"/>
          <w:szCs w:val="20"/>
          <w:color w:val="auto"/>
        </w:rPr>
      </w:pPr>
      <w:r>
        <w:rPr>
          <w:rFonts w:ascii="Arial" w:cs="Arial" w:eastAsia="Arial" w:hAnsi="Arial"/>
          <w:sz w:val="22"/>
          <w:szCs w:val="22"/>
          <w:color w:val="auto"/>
        </w:rPr>
        <w:t>Group, in accordance with Rule 240.13d-1(b)(1)(ii)(J).</w:t>
      </w:r>
    </w:p>
    <w:p>
      <w:pPr>
        <w:spacing w:after="0" w:line="119" w:lineRule="exact"/>
        <w:rPr>
          <w:rFonts w:ascii="Arial" w:cs="Arial" w:eastAsia="Arial" w:hAnsi="Arial"/>
          <w:sz w:val="22"/>
          <w:szCs w:val="22"/>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rFonts w:ascii="Arial" w:cs="Arial" w:eastAsia="Arial" w:hAnsi="Arial"/>
          <w:sz w:val="22"/>
          <w:szCs w:val="22"/>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6"/>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right="220"/>
        <w:spacing w:after="0" w:line="251" w:lineRule="auto"/>
        <w:rPr>
          <w:rFonts w:ascii="Arial" w:cs="Arial" w:eastAsia="Arial" w:hAnsi="Arial"/>
          <w:sz w:val="22"/>
          <w:szCs w:val="22"/>
          <w:color w:val="auto"/>
        </w:rPr>
      </w:pPr>
      <w:r>
        <w:rPr>
          <w:rFonts w:ascii="Arial" w:cs="Arial" w:eastAsia="Arial" w:hAnsi="Arial"/>
          <w:sz w:val="22"/>
          <w:szCs w:val="22"/>
          <w:color w:val="auto"/>
        </w:rPr>
        <w:t>Invesco Ltd. , in its capacity as investment adviser, may be deemed to beneficially own 3,211,119 shares of the Issuer which are held of record by clients of Invesco Ltd. ..</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6"/>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4.6%</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6"/>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320" w:type="dxa"/>
            <w:vAlign w:val="bottom"/>
          </w:tcPr>
          <w:p>
            <w:pPr>
              <w:ind w:left="1460"/>
              <w:spacing w:after="0"/>
              <w:rPr>
                <w:sz w:val="20"/>
                <w:szCs w:val="20"/>
                <w:color w:val="auto"/>
              </w:rPr>
            </w:pPr>
            <w:r>
              <w:rPr>
                <w:rFonts w:ascii="Arial" w:cs="Arial" w:eastAsia="Arial" w:hAnsi="Arial"/>
                <w:sz w:val="22"/>
                <w:szCs w:val="22"/>
                <w:color w:val="auto"/>
                <w:w w:val="85"/>
              </w:rPr>
              <w:t>1,474,159</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320" w:type="dxa"/>
            <w:vAlign w:val="bottom"/>
          </w:tcPr>
          <w:p>
            <w:pPr>
              <w:ind w:left="146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320" w:type="dxa"/>
            <w:vAlign w:val="bottom"/>
          </w:tcPr>
          <w:p>
            <w:pPr>
              <w:ind w:left="1460"/>
              <w:spacing w:after="0"/>
              <w:rPr>
                <w:sz w:val="20"/>
                <w:szCs w:val="20"/>
                <w:color w:val="auto"/>
              </w:rPr>
            </w:pPr>
            <w:r>
              <w:rPr>
                <w:rFonts w:ascii="Arial" w:cs="Arial" w:eastAsia="Arial" w:hAnsi="Arial"/>
                <w:sz w:val="22"/>
                <w:szCs w:val="22"/>
                <w:color w:val="auto"/>
                <w:w w:val="85"/>
              </w:rPr>
              <w:t>3,211,119</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320" w:type="dxa"/>
            <w:vAlign w:val="bottom"/>
          </w:tcPr>
          <w:p>
            <w:pPr>
              <w:ind w:left="1460"/>
              <w:spacing w:after="0"/>
              <w:rPr>
                <w:sz w:val="20"/>
                <w:szCs w:val="20"/>
                <w:color w:val="auto"/>
              </w:rPr>
            </w:pPr>
            <w:r>
              <w:rPr>
                <w:rFonts w:ascii="Arial" w:cs="Arial" w:eastAsia="Arial" w:hAnsi="Arial"/>
                <w:sz w:val="22"/>
                <w:szCs w:val="22"/>
                <w:color w:val="auto"/>
              </w:rPr>
              <w:t>0</w:t>
            </w:r>
          </w:p>
        </w:tc>
      </w:tr>
    </w:tbl>
    <w:p>
      <w:pPr>
        <w:spacing w:after="0" w:line="98" w:lineRule="exact"/>
        <w:rPr>
          <w:rFonts w:ascii="Arial" w:cs="Arial" w:eastAsia="Arial" w:hAnsi="Arial"/>
          <w:sz w:val="22"/>
          <w:szCs w:val="22"/>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rFonts w:ascii="Arial" w:cs="Arial" w:eastAsia="Arial" w:hAnsi="Arial"/>
          <w:sz w:val="22"/>
          <w:szCs w:val="22"/>
          <w:color w:val="auto"/>
        </w:rPr>
      </w:pPr>
    </w:p>
    <w:p>
      <w:pPr>
        <w:ind w:left="1380" w:right="8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X ]</w:t>
      </w:r>
    </w:p>
    <w:p>
      <w:pPr>
        <w:spacing w:after="0" w:line="64" w:lineRule="exact"/>
        <w:rPr>
          <w:rFonts w:ascii="Arial" w:cs="Arial" w:eastAsia="Arial" w:hAnsi="Arial"/>
          <w:sz w:val="22"/>
          <w:szCs w:val="22"/>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1" w:lineRule="exact"/>
        <w:rPr>
          <w:rFonts w:ascii="Arial" w:cs="Arial" w:eastAsia="Arial" w:hAnsi="Arial"/>
          <w:sz w:val="22"/>
          <w:szCs w:val="22"/>
          <w:color w:val="auto"/>
        </w:rPr>
      </w:pPr>
    </w:p>
    <w:p>
      <w:pPr>
        <w:ind w:left="1380"/>
        <w:spacing w:after="0"/>
        <w:rPr>
          <w:sz w:val="20"/>
          <w:szCs w:val="20"/>
          <w:color w:val="auto"/>
        </w:rPr>
      </w:pPr>
      <w:r>
        <w:rPr>
          <w:rFonts w:ascii="Arial" w:cs="Arial" w:eastAsia="Arial" w:hAnsi="Arial"/>
          <w:sz w:val="19"/>
          <w:szCs w:val="19"/>
          <w:color w:val="auto"/>
        </w:rPr>
        <w:t>However, no one individual has greater than 5% economic ownership. The shareholders of the Fund have the</w:t>
      </w:r>
    </w:p>
    <w:p>
      <w:pPr>
        <w:sectPr>
          <w:pgSz w:w="11900" w:h="16865" w:orient="portrait"/>
          <w:cols w:equalWidth="0" w:num="1">
            <w:col w:w="11260"/>
          </w:cols>
          <w:pgMar w:left="320" w:top="423" w:right="319" w:bottom="0" w:gutter="0" w:footer="0" w:header="0"/>
        </w:sectPr>
      </w:pPr>
    </w:p>
    <w:bookmarkStart w:id="3" w:name="page4"/>
    <w:bookmarkEnd w:id="3"/>
    <w:p>
      <w:pPr>
        <w:ind w:left="1380" w:right="520"/>
        <w:spacing w:after="0" w:line="251" w:lineRule="auto"/>
        <w:rPr>
          <w:sz w:val="20"/>
          <w:szCs w:val="20"/>
          <w:color w:val="auto"/>
        </w:rPr>
      </w:pPr>
      <w:r>
        <w:rPr>
          <w:rFonts w:ascii="Arial" w:cs="Arial" w:eastAsia="Arial" w:hAnsi="Arial"/>
          <w:sz w:val="22"/>
          <w:szCs w:val="22"/>
          <w:color w:val="auto"/>
        </w:rPr>
        <w:t>right to receive or the power to direct the receipt of dividends and proceeds from the sale of securities listed above.</w:t>
      </w:r>
    </w:p>
    <w:p>
      <w:pPr>
        <w:spacing w:after="0" w:line="87" w:lineRule="exact"/>
        <w:rPr>
          <w:sz w:val="20"/>
          <w:szCs w:val="20"/>
          <w:color w:val="auto"/>
        </w:rPr>
      </w:pPr>
    </w:p>
    <w:p>
      <w:pPr>
        <w:ind w:left="1380" w:right="10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7.</w:t>
      </w:r>
      <w:r>
        <w:rPr>
          <w:sz w:val="20"/>
          <w:szCs w:val="20"/>
          <w:color w:val="auto"/>
        </w:rPr>
        <w:tab/>
      </w:r>
      <w:r>
        <w:rPr>
          <w:rFonts w:ascii="Arial" w:cs="Arial" w:eastAsia="Arial" w:hAnsi="Arial"/>
          <w:sz w:val="22"/>
          <w:szCs w:val="22"/>
          <w:b w:val="1"/>
          <w:bCs w:val="1"/>
          <w:color w:val="auto"/>
        </w:rPr>
        <w:t>Identification and Classification of the Subsidiary Which Acquired the Security Being Reported on by the Parent Holding Company.</w:t>
      </w:r>
    </w:p>
    <w:p>
      <w:pPr>
        <w:spacing w:after="0" w:line="88"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Invesco Advisers Inc.</w:t>
      </w:r>
    </w:p>
    <w:p>
      <w:pPr>
        <w:ind w:left="1380"/>
        <w:spacing w:after="0" w:line="238" w:lineRule="auto"/>
        <w:rPr>
          <w:sz w:val="20"/>
          <w:szCs w:val="20"/>
          <w:color w:val="auto"/>
        </w:rPr>
      </w:pPr>
      <w:r>
        <w:rPr>
          <w:rFonts w:ascii="Arial" w:cs="Arial" w:eastAsia="Arial" w:hAnsi="Arial"/>
          <w:sz w:val="22"/>
          <w:szCs w:val="22"/>
          <w:color w:val="auto"/>
        </w:rPr>
        <w:t>Invesco Powershares Capital Management LLC</w:t>
      </w:r>
    </w:p>
    <w:p>
      <w:pPr>
        <w:ind w:left="1380"/>
        <w:spacing w:after="0" w:line="230" w:lineRule="auto"/>
        <w:rPr>
          <w:sz w:val="20"/>
          <w:szCs w:val="20"/>
          <w:color w:val="auto"/>
        </w:rPr>
      </w:pPr>
      <w:r>
        <w:rPr>
          <w:rFonts w:ascii="Arial" w:cs="Arial" w:eastAsia="Arial" w:hAnsi="Arial"/>
          <w:sz w:val="22"/>
          <w:szCs w:val="22"/>
          <w:color w:val="auto"/>
        </w:rPr>
        <w:t>Invesco Investment Advisers, LLC</w:t>
      </w:r>
    </w:p>
    <w:p>
      <w:pPr>
        <w:spacing w:after="0" w:line="1"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Invesco Asset Management (Japan) Limited</w:t>
      </w:r>
    </w:p>
    <w:p>
      <w:pPr>
        <w:spacing w:after="0" w:line="101"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Certification.</w:t>
      </w:r>
    </w:p>
    <w:p>
      <w:pPr>
        <w:spacing w:after="0" w:line="239" w:lineRule="exact"/>
        <w:rPr>
          <w:sz w:val="20"/>
          <w:szCs w:val="20"/>
          <w:color w:val="auto"/>
        </w:rPr>
      </w:pPr>
    </w:p>
    <w:p>
      <w:pPr>
        <w:ind w:left="138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00"/>
          </w:cols>
          <w:pgMar w:left="320" w:top="118" w:right="37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t>SIGNATURE</w:t>
      </w:r>
    </w:p>
    <w:p>
      <w:pPr>
        <w:spacing w:after="0" w:line="334" w:lineRule="exact"/>
        <w:rPr>
          <w:sz w:val="20"/>
          <w:szCs w:val="20"/>
          <w:color w:val="auto"/>
        </w:rPr>
      </w:pPr>
    </w:p>
    <w:p>
      <w:pPr>
        <w:ind w:right="259"/>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Invesco Ltd.</w:t>
      </w:r>
    </w:p>
    <w:p>
      <w:pPr>
        <w:spacing w:after="0" w:line="4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Nancy Tomassone</w:t>
      </w:r>
    </w:p>
    <w:p>
      <w:pPr>
        <w:spacing w:after="0" w:line="4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Date: February 01, 2016</w:t>
      </w:r>
    </w:p>
    <w:p>
      <w:pPr>
        <w:spacing w:after="0" w:line="4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Name: Nancy Tomassone</w:t>
      </w:r>
    </w:p>
    <w:p>
      <w:pPr>
        <w:spacing w:after="0" w:line="4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Title: Global Assurance Officer</w:t>
      </w:r>
    </w:p>
    <w:sectPr>
      <w:pgSz w:w="11900" w:h="16838" w:orient="portrait"/>
      <w:cols w:equalWidth="0" w:num="1">
        <w:col w:w="9019"/>
      </w:cols>
      <w:pgMar w:left="1440" w:top="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5"/>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2019-12-05T05:44:48Z</dcterms:created>
  <dcterms:modified xsi:type="dcterms:W3CDTF">2019-12-05T05:44:48Z</dcterms:modified>
</cp:coreProperties>
</file>