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07, 2025</w:t>
      </w:r>
    </w:p>
    <w:p>
      <w:pPr>
        <w:spacing w:after="0" w:line="1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OP LP</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6" w:lineRule="exact"/>
        <w:rPr>
          <w:sz w:val="24"/>
          <w:szCs w:val="24"/>
          <w:color w:val="auto"/>
        </w:rPr>
      </w:pPr>
    </w:p>
    <w:tbl>
      <w:tblPr>
        <w:tblLayout w:type="fixed"/>
        <w:tblInd w:w="460" w:type="dxa"/>
        <w:tblCellMar>
          <w:top w:w="0" w:type="dxa"/>
          <w:left w:w="0" w:type="dxa"/>
          <w:bottom w:w="0" w:type="dxa"/>
          <w:right w:w="0" w:type="dxa"/>
        </w:tblCellMar>
      </w:tblPr>
      <w:tr>
        <w:trPr>
          <w:trHeight w:val="226"/>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Maryland (Federal Realty Investment Trust)</w:t>
            </w:r>
          </w:p>
        </w:tc>
        <w:tc>
          <w:tcPr>
            <w:tcW w:w="1700" w:type="dxa"/>
            <w:vAlign w:val="bottom"/>
          </w:tcPr>
          <w:p>
            <w:pPr>
              <w:jc w:val="right"/>
              <w:ind w:right="444"/>
              <w:spacing w:after="0"/>
              <w:rPr>
                <w:sz w:val="20"/>
                <w:szCs w:val="20"/>
                <w:color w:val="auto"/>
              </w:rPr>
            </w:pPr>
            <w:r>
              <w:rPr>
                <w:rFonts w:ascii="Times New Roman" w:cs="Times New Roman" w:eastAsia="Times New Roman" w:hAnsi="Times New Roman"/>
                <w:sz w:val="17"/>
                <w:szCs w:val="17"/>
                <w:b w:val="1"/>
                <w:bCs w:val="1"/>
                <w:color w:val="auto"/>
              </w:rPr>
              <w:t>1-07533</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87-3916363</w:t>
            </w:r>
          </w:p>
        </w:tc>
      </w:tr>
      <w:tr>
        <w:trPr>
          <w:trHeight w:val="229"/>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Delaware (Federal Realty OP LP)</w:t>
            </w:r>
          </w:p>
        </w:tc>
        <w:tc>
          <w:tcPr>
            <w:tcW w:w="1700" w:type="dxa"/>
            <w:vAlign w:val="bottom"/>
          </w:tcPr>
          <w:p>
            <w:pPr>
              <w:jc w:val="right"/>
              <w:ind w:right="184"/>
              <w:spacing w:after="0"/>
              <w:rPr>
                <w:sz w:val="20"/>
                <w:szCs w:val="20"/>
                <w:color w:val="auto"/>
              </w:rPr>
            </w:pPr>
            <w:r>
              <w:rPr>
                <w:rFonts w:ascii="Times New Roman" w:cs="Times New Roman" w:eastAsia="Times New Roman" w:hAnsi="Times New Roman"/>
                <w:sz w:val="17"/>
                <w:szCs w:val="17"/>
                <w:b w:val="1"/>
                <w:bCs w:val="1"/>
                <w:color w:val="auto"/>
              </w:rPr>
              <w:t>333-262016-01</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52-0782497</w:t>
            </w:r>
          </w:p>
        </w:tc>
      </w:tr>
      <w:tr>
        <w:trPr>
          <w:trHeight w:val="144"/>
        </w:trPr>
        <w:tc>
          <w:tcPr>
            <w:tcW w:w="4240" w:type="dxa"/>
            <w:vAlign w:val="bottom"/>
          </w:tcPr>
          <w:p>
            <w:pPr>
              <w:jc w:val="center"/>
              <w:ind w:right="884"/>
              <w:spacing w:after="0" w:line="144"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1700" w:type="dxa"/>
            <w:vAlign w:val="bottom"/>
          </w:tcPr>
          <w:p>
            <w:pPr>
              <w:ind w:left="560"/>
              <w:spacing w:after="0" w:line="144"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1340" w:type="dxa"/>
            <w:vAlign w:val="bottom"/>
          </w:tcPr>
          <w:p>
            <w:pPr>
              <w:spacing w:after="0"/>
              <w:rPr>
                <w:sz w:val="12"/>
                <w:szCs w:val="12"/>
                <w:color w:val="auto"/>
              </w:rPr>
            </w:pPr>
          </w:p>
        </w:tc>
        <w:tc>
          <w:tcPr>
            <w:tcW w:w="1900" w:type="dxa"/>
            <w:vAlign w:val="bottom"/>
          </w:tcPr>
          <w:p>
            <w:pPr>
              <w:jc w:val="center"/>
              <w:ind w:left="844"/>
              <w:spacing w:after="0" w:line="144"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4240" w:type="dxa"/>
            <w:vAlign w:val="bottom"/>
          </w:tcPr>
          <w:p>
            <w:pPr>
              <w:jc w:val="center"/>
              <w:ind w:right="884"/>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170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340" w:type="dxa"/>
            <w:vAlign w:val="bottom"/>
          </w:tcPr>
          <w:p>
            <w:pPr>
              <w:spacing w:after="0"/>
              <w:rPr>
                <w:sz w:val="14"/>
                <w:szCs w:val="14"/>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442"/>
        </w:trPr>
        <w:tc>
          <w:tcPr>
            <w:tcW w:w="4240" w:type="dxa"/>
            <w:vAlign w:val="bottom"/>
          </w:tcPr>
          <w:p>
            <w:pPr>
              <w:ind w:left="2140"/>
              <w:spacing w:after="0"/>
              <w:rPr>
                <w:sz w:val="20"/>
                <w:szCs w:val="20"/>
                <w:color w:val="auto"/>
              </w:rPr>
            </w:pPr>
            <w:r>
              <w:rPr>
                <w:rFonts w:ascii="Times New Roman" w:cs="Times New Roman" w:eastAsia="Times New Roman" w:hAnsi="Times New Roman"/>
                <w:sz w:val="16"/>
                <w:szCs w:val="16"/>
                <w:b w:val="1"/>
                <w:bCs w:val="1"/>
                <w:color w:val="auto"/>
              </w:rPr>
              <w:t>909 Rose Avenue, Suite 200</w:t>
            </w:r>
          </w:p>
        </w:tc>
        <w:tc>
          <w:tcPr>
            <w:tcW w:w="17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North Bethesda,</w:t>
            </w:r>
          </w:p>
        </w:tc>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1900" w:type="dxa"/>
            <w:vAlign w:val="bottom"/>
          </w:tcPr>
          <w:p>
            <w:pPr>
              <w:jc w:val="right"/>
              <w:ind w:right="724"/>
              <w:spacing w:after="0"/>
              <w:rPr>
                <w:sz w:val="20"/>
                <w:szCs w:val="20"/>
                <w:color w:val="auto"/>
              </w:rPr>
            </w:pPr>
            <w:r>
              <w:rPr>
                <w:rFonts w:ascii="Times New Roman" w:cs="Times New Roman" w:eastAsia="Times New Roman" w:hAnsi="Times New Roman"/>
                <w:sz w:val="16"/>
                <w:szCs w:val="16"/>
                <w:b w:val="1"/>
                <w:bCs w:val="1"/>
                <w:color w:val="auto"/>
              </w:rPr>
              <w:t>20852</w:t>
            </w:r>
          </w:p>
        </w:tc>
      </w:tr>
      <w:tr>
        <w:trPr>
          <w:trHeight w:val="216"/>
        </w:trPr>
        <w:tc>
          <w:tcPr>
            <w:tcW w:w="5940" w:type="dxa"/>
            <w:vAlign w:val="bottom"/>
            <w:gridSpan w:val="2"/>
          </w:tcPr>
          <w:p>
            <w:pPr>
              <w:ind w:left="31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340" w:type="dxa"/>
            <w:vAlign w:val="bottom"/>
          </w:tcPr>
          <w:p>
            <w:pPr>
              <w:spacing w:after="0"/>
              <w:rPr>
                <w:sz w:val="18"/>
                <w:szCs w:val="18"/>
                <w:color w:val="auto"/>
              </w:rPr>
            </w:pPr>
          </w:p>
        </w:tc>
        <w:tc>
          <w:tcPr>
            <w:tcW w:w="190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1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301/998-8100</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36"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30"/>
        </w:trPr>
        <w:tc>
          <w:tcPr>
            <w:tcW w:w="44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Common Shares of Beneficial Interest</w:t>
            </w:r>
          </w:p>
        </w:tc>
        <w:tc>
          <w:tcPr>
            <w:tcW w:w="580" w:type="dxa"/>
            <w:vAlign w:val="bottom"/>
          </w:tcPr>
          <w:p>
            <w:pPr>
              <w:spacing w:after="0"/>
              <w:rPr>
                <w:sz w:val="20"/>
                <w:szCs w:val="20"/>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5"/>
              </w:rPr>
              <w:t>FRT</w:t>
            </w:r>
          </w:p>
        </w:tc>
        <w:tc>
          <w:tcPr>
            <w:tcW w:w="28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4480" w:type="dxa"/>
            <w:vAlign w:val="bottom"/>
            <w:gridSpan w:val="3"/>
          </w:tcPr>
          <w:p>
            <w:pPr>
              <w:jc w:val="center"/>
              <w:ind w:left="99"/>
              <w:spacing w:after="0" w:line="168" w:lineRule="exact"/>
              <w:rPr>
                <w:sz w:val="20"/>
                <w:szCs w:val="20"/>
                <w:color w:val="auto"/>
              </w:rPr>
            </w:pPr>
            <w:r>
              <w:rPr>
                <w:rFonts w:ascii="Times New Roman" w:cs="Times New Roman" w:eastAsia="Times New Roman" w:hAnsi="Times New Roman"/>
                <w:sz w:val="16"/>
                <w:szCs w:val="16"/>
                <w:color w:val="auto"/>
              </w:rPr>
              <w:t>$.01 par value per share, with associated Common Share Purchase</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rPr>
              <w:t>Rights</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44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Depositary Shares, each representing 1/1000 of a share</w:t>
            </w:r>
          </w:p>
        </w:tc>
        <w:tc>
          <w:tcPr>
            <w:tcW w:w="580" w:type="dxa"/>
            <w:vAlign w:val="bottom"/>
          </w:tcPr>
          <w:p>
            <w:pPr>
              <w:spacing w:after="0"/>
              <w:rPr>
                <w:sz w:val="24"/>
                <w:szCs w:val="24"/>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6"/>
              </w:rPr>
              <w:t>FRT-C</w:t>
            </w:r>
          </w:p>
        </w:tc>
        <w:tc>
          <w:tcPr>
            <w:tcW w:w="28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7020" w:type="dxa"/>
            <w:vAlign w:val="bottom"/>
            <w:gridSpan w:val="6"/>
          </w:tcPr>
          <w:p>
            <w:pPr>
              <w:jc w:val="center"/>
              <w:ind w:right="2380"/>
              <w:spacing w:after="0" w:line="168" w:lineRule="exact"/>
              <w:rPr>
                <w:sz w:val="20"/>
                <w:szCs w:val="20"/>
                <w:color w:val="auto"/>
              </w:rPr>
            </w:pPr>
            <w:r>
              <w:rPr>
                <w:rFonts w:ascii="Times New Roman" w:cs="Times New Roman" w:eastAsia="Times New Roman" w:hAnsi="Times New Roman"/>
                <w:sz w:val="16"/>
                <w:szCs w:val="16"/>
                <w:color w:val="auto"/>
              </w:rPr>
              <w:t>of 5.00% Series C Cumulative Redeemable Preferred Stock, $.01 par</w:t>
            </w: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rPr>
              <w:t>value per share</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10"/>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Federal Realty OP LP</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0"/>
        </w:trPr>
        <w:tc>
          <w:tcPr>
            <w:tcW w:w="168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r>
    </w:tbl>
    <w:p>
      <w:pPr>
        <w:spacing w:after="0" w:line="208" w:lineRule="exact"/>
        <w:rPr>
          <w:sz w:val="24"/>
          <w:szCs w:val="24"/>
          <w:color w:val="auto"/>
        </w:rPr>
      </w:pPr>
    </w:p>
    <w:p>
      <w:pPr>
        <w:ind w:left="20" w:right="600"/>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ind w:left="20"/>
        <w:spacing w:after="0" w:line="184" w:lineRule="exact"/>
        <w:tabs>
          <w:tab w:leader="none" w:pos="3980" w:val="left"/>
        </w:tabs>
        <w:rPr>
          <w:sz w:val="20"/>
          <w:szCs w:val="20"/>
          <w:color w:val="auto"/>
        </w:rPr>
      </w:pPr>
      <w:r>
        <w:rPr>
          <w:rFonts w:ascii="Times New Roman" w:cs="Times New Roman" w:eastAsia="Times New Roman" w:hAnsi="Times New Roman"/>
          <w:sz w:val="16"/>
          <w:szCs w:val="16"/>
          <w:color w:val="auto"/>
        </w:rPr>
        <w:t xml:space="preserve">Federal Realty Investment Trust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Federal Realty OP LP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59" w:lineRule="exact"/>
        <w:rPr>
          <w:sz w:val="24"/>
          <w:szCs w:val="24"/>
          <w:color w:val="auto"/>
        </w:rPr>
      </w:pPr>
    </w:p>
    <w:p>
      <w:pPr>
        <w:ind w:left="20" w:right="100"/>
        <w:spacing w:after="0" w:line="242" w:lineRule="auto"/>
        <w:rPr>
          <w:sz w:val="20"/>
          <w:szCs w:val="20"/>
          <w:color w:val="auto"/>
        </w:rPr>
      </w:pPr>
      <w:r>
        <w:rPr>
          <w:rFonts w:ascii="Times New Roman" w:cs="Times New Roman" w:eastAsia="Times New Roman" w:hAnsi="Times New Roman"/>
          <w:sz w:val="16"/>
          <w:szCs w:val="16"/>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20"/>
        <w:spacing w:after="0" w:line="184" w:lineRule="exact"/>
        <w:tabs>
          <w:tab w:leader="none" w:pos="3980" w:val="left"/>
        </w:tabs>
        <w:rPr>
          <w:sz w:val="20"/>
          <w:szCs w:val="20"/>
          <w:color w:val="auto"/>
        </w:rPr>
      </w:pPr>
      <w:r>
        <w:rPr>
          <w:rFonts w:ascii="Times New Roman" w:cs="Times New Roman" w:eastAsia="Times New Roman" w:hAnsi="Times New Roman"/>
          <w:sz w:val="16"/>
          <w:szCs w:val="16"/>
          <w:color w:val="auto"/>
        </w:rPr>
        <w:t xml:space="preserve">Federal Realty Investment Trust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Federal Realty OP LP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3" w:right="399" w:bottom="1440" w:gutter="0" w:footer="0" w:header="0"/>
        </w:sectPr>
      </w:pPr>
    </w:p>
    <w:bookmarkStart w:id="1" w:name="page2"/>
    <w:bookmarkEnd w:id="1"/>
    <w:p>
      <w:pPr>
        <w:ind w:right="22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On May 7, 2025, Federal Realty Investment Trust (the “Company”) and Mr. Daniel Guglielmone, the Company’s Executive Vice President-Chief Financial Officer and Treasurer, entered into an amendment to Mr. Guglielmone’s Severance Agreement dated August 15, 2016. The amendment provides for a payment to Mr. Guglielmone of one (1) year of base salary and annual bonus if he is terminated without cause, subject to the terms and conditions described in the agreement, as amended by the amendment. The amendment is filed as an exhibit to this report.</w:t>
      </w:r>
    </w:p>
    <w:p>
      <w:pPr>
        <w:spacing w:after="0" w:line="20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5.07</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4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annual meeting of shareholders of Federal Realty Investment Trust was held on May 7, 2025. The following table sets forth the matters presented for a vote by the shareholders and the voting results with respect to such matters: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Matter</w:t>
            </w: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00" w:type="dxa"/>
            <w:vAlign w:val="bottom"/>
          </w:tcPr>
          <w:p>
            <w:pPr>
              <w:spacing w:after="0"/>
              <w:rPr>
                <w:sz w:val="20"/>
                <w:szCs w:val="20"/>
                <w:color w:val="auto"/>
              </w:rPr>
            </w:pPr>
          </w:p>
        </w:tc>
        <w:tc>
          <w:tcPr>
            <w:tcW w:w="1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358"/>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Proposal 1: Election of Trustees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79"/>
        </w:trPr>
        <w:tc>
          <w:tcPr>
            <w:tcW w:w="3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David W. Faeder</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70,657,385</w:t>
            </w:r>
          </w:p>
        </w:tc>
        <w:tc>
          <w:tcPr>
            <w:tcW w:w="1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3,101,572</w:t>
            </w:r>
          </w:p>
        </w:tc>
        <w:tc>
          <w:tcPr>
            <w:tcW w:w="1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47,452</w:t>
            </w:r>
          </w:p>
        </w:tc>
        <w:tc>
          <w:tcPr>
            <w:tcW w:w="1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4,190,130</w:t>
            </w:r>
          </w:p>
        </w:tc>
      </w:tr>
      <w:tr>
        <w:trPr>
          <w:trHeight w:val="229"/>
        </w:trPr>
        <w:tc>
          <w:tcPr>
            <w:tcW w:w="3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Elizabeth I. Holland</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71,636,636</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2,126,458</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43,315</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4,190,130</w:t>
            </w:r>
          </w:p>
        </w:tc>
      </w:tr>
      <w:tr>
        <w:trPr>
          <w:trHeight w:val="230"/>
        </w:trPr>
        <w:tc>
          <w:tcPr>
            <w:tcW w:w="3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Nicole Y. Lamb-Hale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73,361,482</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254,337</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190,589</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4,190,130</w:t>
            </w:r>
          </w:p>
        </w:tc>
      </w:tr>
      <w:tr>
        <w:trPr>
          <w:trHeight w:val="229"/>
        </w:trPr>
        <w:tc>
          <w:tcPr>
            <w:tcW w:w="3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Thomas A. McEachin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73,339,283</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273,656</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193,469</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4,190,130</w:t>
            </w:r>
          </w:p>
        </w:tc>
      </w:tr>
      <w:tr>
        <w:trPr>
          <w:trHeight w:val="230"/>
        </w:trPr>
        <w:tc>
          <w:tcPr>
            <w:tcW w:w="3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Anthony P. Nader, III</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71,995,387</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1,805,601</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45,420</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4,190,130</w:t>
            </w:r>
          </w:p>
        </w:tc>
      </w:tr>
      <w:tr>
        <w:trPr>
          <w:trHeight w:val="229"/>
        </w:trPr>
        <w:tc>
          <w:tcPr>
            <w:tcW w:w="3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Gail P. Steinel</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70,233,100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3,528,213</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45,096</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4,190,130</w:t>
            </w:r>
          </w:p>
        </w:tc>
      </w:tr>
      <w:tr>
        <w:trPr>
          <w:trHeight w:val="234"/>
        </w:trPr>
        <w:tc>
          <w:tcPr>
            <w:tcW w:w="3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Donald C. Wood</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73,554,743</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208,306</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43,359</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4,190,130</w:t>
            </w:r>
          </w:p>
        </w:tc>
      </w:tr>
      <w:tr>
        <w:trPr>
          <w:trHeight w:val="446"/>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Proposal 2: Advisory vote on the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67,971,680</w:t>
            </w:r>
          </w:p>
        </w:tc>
        <w:tc>
          <w:tcPr>
            <w:tcW w:w="1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5,721,669</w:t>
            </w:r>
          </w:p>
        </w:tc>
        <w:tc>
          <w:tcPr>
            <w:tcW w:w="1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113,059</w:t>
            </w:r>
          </w:p>
        </w:tc>
        <w:tc>
          <w:tcPr>
            <w:tcW w:w="1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4,190,130</w:t>
            </w:r>
          </w:p>
        </w:tc>
      </w:tr>
      <w:tr>
        <w:trPr>
          <w:trHeight w:val="180"/>
        </w:trPr>
        <w:tc>
          <w:tcPr>
            <w:tcW w:w="364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compensation of our named executive</w:t>
            </w: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238"/>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45"/>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Proposal 3: Ratification of the appointment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74,631,396</w:t>
            </w:r>
          </w:p>
        </w:tc>
        <w:tc>
          <w:tcPr>
            <w:tcW w:w="1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3,312,622</w:t>
            </w:r>
          </w:p>
        </w:tc>
        <w:tc>
          <w:tcPr>
            <w:tcW w:w="1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52,520</w:t>
            </w:r>
          </w:p>
        </w:tc>
        <w:tc>
          <w:tcPr>
            <w:tcW w:w="1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04"/>
        </w:trPr>
        <w:tc>
          <w:tcPr>
            <w:tcW w:w="364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of Grant Thornton LLP as the Company’s</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r>
    </w:tbl>
    <w:p>
      <w:pPr>
        <w:ind w:left="20"/>
        <w:spacing w:after="0" w:line="203" w:lineRule="auto"/>
        <w:rPr>
          <w:sz w:val="20"/>
          <w:szCs w:val="20"/>
          <w:color w:val="auto"/>
        </w:rPr>
      </w:pPr>
      <w:r>
        <w:rPr>
          <w:rFonts w:ascii="Times New Roman" w:cs="Times New Roman" w:eastAsia="Times New Roman" w:hAnsi="Times New Roman"/>
          <w:sz w:val="18"/>
          <w:szCs w:val="18"/>
          <w:b w:val="1"/>
          <w:bCs w:val="1"/>
          <w:color w:val="auto"/>
        </w:rPr>
        <w:t>independent registered public accounting</w:t>
      </w:r>
    </w:p>
    <w:p>
      <w:pPr>
        <w:ind w:left="20"/>
        <w:spacing w:after="0"/>
        <w:rPr>
          <w:sz w:val="20"/>
          <w:szCs w:val="20"/>
          <w:color w:val="auto"/>
        </w:rPr>
      </w:pPr>
      <w:r>
        <w:rPr>
          <w:rFonts w:ascii="Times New Roman" w:cs="Times New Roman" w:eastAsia="Times New Roman" w:hAnsi="Times New Roman"/>
          <w:sz w:val="18"/>
          <w:szCs w:val="18"/>
          <w:b w:val="1"/>
          <w:bCs w:val="1"/>
          <w:color w:val="auto"/>
        </w:rPr>
        <w:t>firm for the year ending December 31, 2025</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84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99"/>
        </w:trPr>
        <w:tc>
          <w:tcPr>
            <w:tcW w:w="2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1380" w:type="dxa"/>
            <w:vAlign w:val="bottom"/>
            <w:tcBorders>
              <w:top w:val="single" w:sz="8" w:color="auto"/>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80" w:type="dxa"/>
            <w:vAlign w:val="bottom"/>
          </w:tcPr>
          <w:p>
            <w:pPr>
              <w:spacing w:after="0"/>
              <w:rPr>
                <w:sz w:val="15"/>
                <w:szCs w:val="15"/>
                <w:color w:val="auto"/>
              </w:rPr>
            </w:pPr>
          </w:p>
        </w:tc>
        <w:tc>
          <w:tcPr>
            <w:tcW w:w="84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First Amendment to Severance Agreement, dated as of May 7, 2025, by and between the Company and Daniel H.</w:t>
            </w:r>
          </w:p>
        </w:tc>
        <w:tc>
          <w:tcPr>
            <w:tcW w:w="1300" w:type="dxa"/>
            <w:vAlign w:val="bottom"/>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78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Guglielmone</w:t>
            </w:r>
          </w:p>
        </w:tc>
      </w:tr>
      <w:tr>
        <w:trPr>
          <w:trHeight w:val="234"/>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65"/>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ind w:left="44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hereunto duly authorized.</w:t>
      </w:r>
    </w:p>
    <w:p>
      <w:pPr>
        <w:spacing w:after="0" w:line="22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FEDERAL REALTY OP LP</w:t>
      </w:r>
    </w:p>
    <w:p>
      <w:pPr>
        <w:spacing w:after="0" w:line="288" w:lineRule="exact"/>
        <w:rPr>
          <w:sz w:val="20"/>
          <w:szCs w:val="20"/>
          <w:color w:val="auto"/>
        </w:rPr>
      </w:pPr>
    </w:p>
    <w:p>
      <w:pPr>
        <w:ind w:left="40"/>
        <w:spacing w:after="0"/>
        <w:tabs>
          <w:tab w:leader="none" w:pos="840" w:val="left"/>
          <w:tab w:leader="none" w:pos="4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2025</w:t>
      </w:r>
      <w:r>
        <w:rPr>
          <w:sz w:val="20"/>
          <w:szCs w:val="20"/>
          <w:color w:val="auto"/>
        </w:rPr>
        <w:tab/>
      </w:r>
      <w:r>
        <w:rPr>
          <w:rFonts w:ascii="Times New Roman" w:cs="Times New Roman" w:eastAsia="Times New Roman" w:hAnsi="Times New Roman"/>
          <w:sz w:val="18"/>
          <w:szCs w:val="18"/>
          <w:u w:val="single" w:color="auto"/>
          <w:color w:val="auto"/>
        </w:rPr>
        <w:t>/s/ Dawn M. Becker</w:t>
      </w:r>
    </w:p>
    <w:p>
      <w:pPr>
        <w:spacing w:after="0" w:line="29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Dawn M. Becker</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Executive Vice President-General Counsel and Secretary</w:t>
      </w:r>
    </w:p>
    <w:p>
      <w:pPr>
        <w:sectPr>
          <w:pgSz w:w="11900" w:h="16838" w:orient="portrait"/>
          <w:cols w:equalWidth="0" w:num="1">
            <w:col w:w="10800"/>
          </w:cols>
          <w:pgMar w:left="320" w:top="1130" w:right="7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SEVERANCE AGREEMENT</w:t>
      </w:r>
    </w:p>
    <w:p>
      <w:pPr>
        <w:spacing w:after="0" w:line="239"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THIS FIRST AMENDMENT TO SEVERANCE AGREEMENT </w:t>
      </w:r>
      <w:r>
        <w:rPr>
          <w:rFonts w:ascii="Times New Roman" w:cs="Times New Roman" w:eastAsia="Times New Roman" w:hAnsi="Times New Roman"/>
          <w:sz w:val="18"/>
          <w:szCs w:val="18"/>
          <w:color w:val="auto"/>
        </w:rPr>
        <w:t>(“Amendment”) is made effective as of May 7, 2025 by and between</w:t>
      </w:r>
      <w:r>
        <w:rPr>
          <w:rFonts w:ascii="Times New Roman" w:cs="Times New Roman" w:eastAsia="Times New Roman" w:hAnsi="Times New Roman"/>
          <w:sz w:val="18"/>
          <w:szCs w:val="18"/>
          <w:b w:val="1"/>
          <w:bCs w:val="1"/>
          <w:color w:val="auto"/>
        </w:rPr>
        <w:t xml:space="preserve"> FEDERAL REALTY INVESTMENT TRUST</w:t>
      </w:r>
      <w:r>
        <w:rPr>
          <w:rFonts w:ascii="Times New Roman" w:cs="Times New Roman" w:eastAsia="Times New Roman" w:hAnsi="Times New Roman"/>
          <w:sz w:val="18"/>
          <w:szCs w:val="18"/>
          <w:color w:val="auto"/>
        </w:rPr>
        <w:t>, a Maryland real estate investment trust (collectively with Federal Realty OP LP, the “Company”) and</w:t>
      </w:r>
      <w:r>
        <w:rPr>
          <w:rFonts w:ascii="Times New Roman" w:cs="Times New Roman" w:eastAsia="Times New Roman" w:hAnsi="Times New Roman"/>
          <w:sz w:val="18"/>
          <w:szCs w:val="18"/>
          <w:b w:val="1"/>
          <w:bCs w:val="1"/>
          <w:color w:val="auto"/>
        </w:rPr>
        <w:t xml:space="preserve"> DANIEL H. GUGLIELMONE </w:t>
      </w:r>
      <w:r>
        <w:rPr>
          <w:rFonts w:ascii="Times New Roman" w:cs="Times New Roman" w:eastAsia="Times New Roman" w:hAnsi="Times New Roman"/>
          <w:sz w:val="18"/>
          <w:szCs w:val="18"/>
          <w:color w:val="auto"/>
        </w:rPr>
        <w:t>(“Employee”).</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Employee previously entered into a Severance Agreement dated August 15, 2016 (the “Prior Agreement”); and</w:t>
      </w:r>
    </w:p>
    <w:p>
      <w:pPr>
        <w:spacing w:after="0" w:line="239"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based on a review of current market compensation and benefits for chief financial officers in the Company’s industry,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now wish to modify certain of the terms of the Prior Agreement as set forth herein.</w:t>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promises and mutual covenants contained herein and for other good and valuable consideration,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and the Company agree as follows:</w:t>
      </w:r>
    </w:p>
    <w:p>
      <w:pPr>
        <w:spacing w:after="0" w:line="215" w:lineRule="exact"/>
        <w:rPr>
          <w:sz w:val="20"/>
          <w:szCs w:val="20"/>
          <w:color w:val="auto"/>
        </w:rPr>
      </w:pPr>
    </w:p>
    <w:p>
      <w:pPr>
        <w:jc w:val="both"/>
        <w:ind w:firstLine="656"/>
        <w:spacing w:after="0" w:line="252" w:lineRule="auto"/>
        <w:tabs>
          <w:tab w:leader="none" w:pos="1296"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capitalized terms used in this Amendment and not otherwise defined shall have the same meanings as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Agreement. From and after the effective date of this Amendment, the Prior Agreement as modified by this Amendment shall collectively be referred to as the “Severance Agreement.”</w:t>
      </w:r>
    </w:p>
    <w:p>
      <w:pPr>
        <w:spacing w:after="0" w:line="198" w:lineRule="exact"/>
        <w:rPr>
          <w:rFonts w:ascii="Times New Roman" w:cs="Times New Roman" w:eastAsia="Times New Roman" w:hAnsi="Times New Roman"/>
          <w:sz w:val="18"/>
          <w:szCs w:val="18"/>
          <w:b w:val="1"/>
          <w:bCs w:val="1"/>
          <w:color w:val="auto"/>
        </w:rPr>
      </w:pPr>
    </w:p>
    <w:p>
      <w:pPr>
        <w:ind w:firstLine="656"/>
        <w:spacing w:after="0" w:line="271" w:lineRule="auto"/>
        <w:tabs>
          <w:tab w:leader="none" w:pos="1296"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Elimination of Modifier.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each place it appears in Paragraphs 1, 1(d), 1(e), 1(f), 1(g), and 1(h), the phrase “on or prior to August 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 is hereby deleted in its entirety. In addition, Paragraph 1(d) is hereby further amended by deleting the second sentence thereof in its entirety.</w:t>
      </w:r>
    </w:p>
    <w:p>
      <w:pPr>
        <w:spacing w:after="0" w:line="180" w:lineRule="exact"/>
        <w:rPr>
          <w:rFonts w:ascii="Times New Roman" w:cs="Times New Roman" w:eastAsia="Times New Roman" w:hAnsi="Times New Roman"/>
          <w:sz w:val="18"/>
          <w:szCs w:val="18"/>
          <w:b w:val="1"/>
          <w:bCs w:val="1"/>
          <w:color w:val="auto"/>
        </w:rPr>
      </w:pPr>
    </w:p>
    <w:p>
      <w:pPr>
        <w:jc w:val="both"/>
        <w:ind w:right="20" w:firstLine="656"/>
        <w:spacing w:after="0" w:line="252" w:lineRule="auto"/>
        <w:tabs>
          <w:tab w:leader="none" w:pos="1296"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Supercedes other Severance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is intended that the payments and benefits provided under the Severance Agreement are in lieu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not in addition to, termination, severance or change of control payments and benefits provided under the other termination or severance plans, policies or agreements, if any, of the Company.</w:t>
      </w:r>
    </w:p>
    <w:p>
      <w:pPr>
        <w:spacing w:after="0" w:line="198"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Other Modifications.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Prior Agreement as modified by this Amendment remains in full force and effect in accordance with its</w:t>
      </w:r>
    </w:p>
    <w:p>
      <w:pPr>
        <w:spacing w:after="0" w:line="1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terms.</w:t>
      </w: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duly executed this Amendment effective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EMPLOYEE:</w:t>
            </w:r>
          </w:p>
        </w:tc>
      </w:tr>
      <w:tr>
        <w:trPr>
          <w:trHeight w:val="238"/>
        </w:trPr>
        <w:tc>
          <w:tcPr>
            <w:tcW w:w="6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FEDERAL REALTY OP LP</w:t>
            </w:r>
          </w:p>
        </w:tc>
        <w:tc>
          <w:tcPr>
            <w:tcW w:w="4660" w:type="dxa"/>
            <w:vAlign w:val="bottom"/>
          </w:tcPr>
          <w:p>
            <w:pPr>
              <w:spacing w:after="0"/>
              <w:rPr>
                <w:sz w:val="20"/>
                <w:szCs w:val="20"/>
                <w:color w:val="auto"/>
              </w:rPr>
            </w:pPr>
          </w:p>
        </w:tc>
      </w:tr>
      <w:tr>
        <w:trPr>
          <w:trHeight w:val="76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Donald C. Wood</w:t>
            </w: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Daniel H. Guglielmone</w:t>
            </w:r>
          </w:p>
        </w:tc>
      </w:tr>
      <w:tr>
        <w:trPr>
          <w:trHeight w:val="218"/>
        </w:trPr>
        <w:tc>
          <w:tcPr>
            <w:tcW w:w="700" w:type="dxa"/>
            <w:vAlign w:val="bottom"/>
          </w:tcPr>
          <w:p>
            <w:pPr>
              <w:spacing w:after="0"/>
              <w:rPr>
                <w:sz w:val="18"/>
                <w:szCs w:val="18"/>
                <w:color w:val="auto"/>
              </w:rPr>
            </w:pPr>
          </w:p>
        </w:tc>
        <w:tc>
          <w:tcPr>
            <w:tcW w:w="4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Donald C. Wood</w:t>
            </w:r>
          </w:p>
        </w:tc>
        <w:tc>
          <w:tcPr>
            <w:tcW w:w="1380" w:type="dxa"/>
            <w:vAlign w:val="bottom"/>
          </w:tcPr>
          <w:p>
            <w:pPr>
              <w:spacing w:after="0"/>
              <w:rPr>
                <w:sz w:val="18"/>
                <w:szCs w:val="18"/>
                <w:color w:val="auto"/>
              </w:rPr>
            </w:pPr>
          </w:p>
        </w:tc>
        <w:tc>
          <w:tcPr>
            <w:tcW w:w="4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Daniel H. Guglielmone</w:t>
            </w:r>
          </w:p>
        </w:tc>
      </w:tr>
      <w:tr>
        <w:trPr>
          <w:trHeight w:val="234"/>
        </w:trPr>
        <w:tc>
          <w:tcPr>
            <w:tcW w:w="700" w:type="dxa"/>
            <w:vAlign w:val="bottom"/>
          </w:tcPr>
          <w:p>
            <w:pPr>
              <w:spacing w:after="0"/>
              <w:rPr>
                <w:sz w:val="20"/>
                <w:szCs w:val="20"/>
                <w:color w:val="auto"/>
              </w:rPr>
            </w:pPr>
          </w:p>
        </w:tc>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466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2025-05-09T07:51:25Z</dcterms:created>
  <dcterms:modified xsi:type="dcterms:W3CDTF">2025-05-09T07:51:25Z</dcterms:modified>
</cp:coreProperties>
</file>