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(Date of earliest event reported) June 30, 2014</w:t>
      </w:r>
    </w:p>
    <w:p>
      <w:pPr>
        <w:spacing w:after="0" w:line="200" w:lineRule="exact"/>
        <w:rPr>
          <w:sz w:val="24"/>
          <w:szCs w:val="24"/>
          <w:color w:val="auto"/>
        </w:rPr>
      </w:pPr>
    </w:p>
    <w:p>
      <w:pPr>
        <w:spacing w:after="0" w:line="368"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1168"/>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280" w:type="dxa"/>
            <w:vAlign w:val="bottom"/>
          </w:tcPr>
          <w:p>
            <w:pPr>
              <w:jc w:val="center"/>
              <w:ind w:left="120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660" w:type="dxa"/>
            <w:vAlign w:val="bottom"/>
          </w:tcPr>
          <w:p>
            <w:pPr>
              <w:jc w:val="center"/>
              <w:ind w:right="1168"/>
              <w:spacing w:after="0"/>
              <w:rPr>
                <w:sz w:val="20"/>
                <w:szCs w:val="20"/>
                <w:color w:val="auto"/>
              </w:rPr>
            </w:pPr>
            <w:r>
              <w:rPr>
                <w:rFonts w:ascii="Arial" w:cs="Arial" w:eastAsia="Arial" w:hAnsi="Arial"/>
                <w:sz w:val="13"/>
                <w:szCs w:val="13"/>
                <w:b w:val="1"/>
                <w:bCs w:val="1"/>
                <w:color w:val="auto"/>
                <w:w w:val="87"/>
              </w:rPr>
              <w:t>(State or other jurisdiction</w:t>
            </w:r>
          </w:p>
        </w:tc>
        <w:tc>
          <w:tcPr>
            <w:tcW w:w="326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660" w:type="dxa"/>
            <w:vAlign w:val="bottom"/>
          </w:tcPr>
          <w:p>
            <w:pPr>
              <w:jc w:val="center"/>
              <w:ind w:right="1148"/>
              <w:spacing w:after="0"/>
              <w:rPr>
                <w:sz w:val="20"/>
                <w:szCs w:val="20"/>
                <w:color w:val="auto"/>
              </w:rPr>
            </w:pPr>
            <w:r>
              <w:rPr>
                <w:rFonts w:ascii="Arial" w:cs="Arial" w:eastAsia="Arial" w:hAnsi="Arial"/>
                <w:sz w:val="13"/>
                <w:szCs w:val="13"/>
                <w:b w:val="1"/>
                <w:bCs w:val="1"/>
                <w:color w:val="auto"/>
                <w:w w:val="88"/>
              </w:rPr>
              <w:t>of incorporation)</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00" w:lineRule="exact"/>
        <w:rPr>
          <w:sz w:val="24"/>
          <w:szCs w:val="24"/>
          <w:color w:val="auto"/>
        </w:rPr>
      </w:pPr>
    </w:p>
    <w:p>
      <w:pPr>
        <w:sectPr>
          <w:pgSz w:w="11900" w:h="16838" w:orient="portrait"/>
          <w:cols w:equalWidth="0" w:num="1">
            <w:col w:w="11380"/>
          </w:cols>
          <w:pgMar w:left="240" w:top="679" w:right="279" w:bottom="11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3380"/>
          </w:cols>
          <w:pgMar w:left="240" w:top="679" w:right="279" w:bottom="115"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3240"/>
          </w:cols>
          <w:pgMar w:left="240" w:top="679" w:right="279" w:bottom="115"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right="400"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6" w:lineRule="exact"/>
        <w:rPr>
          <w:sz w:val="24"/>
          <w:szCs w:val="24"/>
          <w:color w:val="auto"/>
        </w:rPr>
      </w:pPr>
    </w:p>
    <w:p>
      <w:pPr>
        <w:ind w:firstLine="648"/>
        <w:spacing w:after="0" w:line="297" w:lineRule="auto"/>
        <w:rPr>
          <w:sz w:val="20"/>
          <w:szCs w:val="20"/>
          <w:color w:val="auto"/>
        </w:rPr>
      </w:pPr>
      <w:r>
        <w:rPr>
          <w:rFonts w:ascii="Arial" w:cs="Arial" w:eastAsia="Arial" w:hAnsi="Arial"/>
          <w:sz w:val="19"/>
          <w:szCs w:val="19"/>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7" w:lineRule="exact"/>
        <w:rPr>
          <w:sz w:val="24"/>
          <w:szCs w:val="24"/>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On August 7, 2014, Federal Realty Investment Trust issued supplemental data pertaining to its operations, as well as a press release, to report its financial results for the quarter ended June 30, 2014. The supplemental data and press release are furnished as Exhibit 99.1 hereto.</w:t>
      </w:r>
    </w:p>
    <w:p>
      <w:pPr>
        <w:spacing w:after="0" w:line="180" w:lineRule="exact"/>
        <w:rPr>
          <w:sz w:val="24"/>
          <w:szCs w:val="24"/>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4"/>
          <w:szCs w:val="24"/>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33" w:lineRule="exact"/>
        <w:rPr>
          <w:sz w:val="24"/>
          <w:szCs w:val="24"/>
          <w:color w:val="auto"/>
        </w:rPr>
      </w:pPr>
    </w:p>
    <w:p>
      <w:pPr>
        <w:ind w:left="1960"/>
        <w:spacing w:after="0"/>
        <w:tabs>
          <w:tab w:leader="none" w:pos="25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June 30, 2014 (including press release dated August 7, 2014)</w:t>
      </w:r>
    </w:p>
    <w:p>
      <w:pPr>
        <w:sectPr>
          <w:pgSz w:w="11900" w:h="16838" w:orient="portrait"/>
          <w:cols w:equalWidth="0" w:num="1">
            <w:col w:w="11380"/>
          </w:cols>
          <w:pgMar w:left="240" w:top="679" w:right="279" w:bottom="115" w:gutter="0" w:footer="0" w:header="0"/>
          <w:type w:val="continuous"/>
        </w:sectPr>
      </w:pPr>
    </w:p>
    <w:bookmarkStart w:id="1" w:name="page2"/>
    <w:bookmarkEnd w:id="1"/>
    <w:p>
      <w:pPr>
        <w:jc w:val="center"/>
        <w:ind w:right="-13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FEDERAL REALTY INVESTMENT TRUST</w:t>
      </w:r>
    </w:p>
    <w:p>
      <w:pPr>
        <w:spacing w:after="0" w:line="374" w:lineRule="exact"/>
        <w:rPr>
          <w:sz w:val="20"/>
          <w:szCs w:val="20"/>
          <w:color w:val="auto"/>
        </w:rPr>
      </w:pPr>
    </w:p>
    <w:p>
      <w:pPr>
        <w:ind w:left="1120"/>
        <w:spacing w:after="0"/>
        <w:tabs>
          <w:tab w:leader="none" w:pos="1780" w:val="left"/>
          <w:tab w:leader="none" w:pos="4960" w:val="left"/>
        </w:tabs>
        <w:rPr>
          <w:sz w:val="20"/>
          <w:szCs w:val="20"/>
          <w:color w:val="auto"/>
        </w:rPr>
      </w:pPr>
      <w:r>
        <w:rPr>
          <w:rFonts w:ascii="Arial" w:cs="Arial" w:eastAsia="Arial" w:hAnsi="Arial"/>
          <w:sz w:val="22"/>
          <w:szCs w:val="22"/>
          <w:color w:val="auto"/>
        </w:rPr>
        <w:t>Date:</w:t>
        <w:tab/>
        <w:t>August 7, 2014</w:t>
      </w:r>
      <w:r>
        <w:rPr>
          <w:sz w:val="20"/>
          <w:szCs w:val="20"/>
          <w:color w:val="auto"/>
        </w:rPr>
        <w:tab/>
      </w:r>
      <w:r>
        <w:rPr>
          <w:rFonts w:ascii="Arial" w:cs="Arial" w:eastAsia="Arial" w:hAnsi="Arial"/>
          <w:sz w:val="19"/>
          <w:szCs w:val="19"/>
          <w:u w:val="single" w:color="auto"/>
          <w:color w:val="auto"/>
        </w:rPr>
        <w:t>/s/ James M. Taylor, Jr.</w:t>
      </w:r>
    </w:p>
    <w:p>
      <w:pPr>
        <w:spacing w:after="0" w:line="36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James M. Taylor, Jr.</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Executive Vice President-</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Chief Financial Officer and Treasurer</w:t>
      </w:r>
    </w:p>
    <w:p>
      <w:pPr>
        <w:spacing w:after="0" w:line="28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u w:val="single" w:color="auto"/>
          <w:color w:val="auto"/>
        </w:rPr>
        <w:t>Exh No.</w:t>
      </w:r>
      <w:r>
        <w:rPr>
          <w:sz w:val="20"/>
          <w:szCs w:val="20"/>
          <w:color w:val="auto"/>
        </w:rPr>
        <w:tab/>
      </w:r>
      <w:r>
        <w:rPr>
          <w:rFonts w:ascii="Arial" w:cs="Arial" w:eastAsia="Arial" w:hAnsi="Arial"/>
          <w:sz w:val="21"/>
          <w:szCs w:val="21"/>
          <w:u w:val="single" w:color="auto"/>
          <w:color w:val="auto"/>
        </w:rPr>
        <w:t>Exhibit</w:t>
      </w:r>
    </w:p>
    <w:p>
      <w:pPr>
        <w:spacing w:after="0" w:line="22"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June 30, 2014</w:t>
      </w:r>
    </w:p>
    <w:p>
      <w:pPr>
        <w:sectPr>
          <w:pgSz w:w="11900" w:h="16838" w:orient="portrait"/>
          <w:cols w:equalWidth="0" w:num="1">
            <w:col w:w="11280"/>
          </w:cols>
          <w:pgMar w:left="240" w:top="558"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2014</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1</w:t>
            </w: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Second Quarter 2014 Earnings Press Release</w:t>
            </w:r>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70"/>
        </w:trPr>
        <w:tc>
          <w:tcPr>
            <w:tcW w:w="50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2</w:t>
            </w:r>
          </w:p>
        </w:tc>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Financial Highlights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Summarized Income Statements</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Summarized Balance Sheets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8</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Funds From Operations / Summary of Capital Expenditures</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9</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Market Data</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10</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Components of Rental Income</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11</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00" w:type="dxa"/>
            <w:vAlign w:val="bottom"/>
            <w:shd w:val="clear" w:color="auto" w:fill="CCEEFF"/>
          </w:tcPr>
          <w:p>
            <w:pPr>
              <w:spacing w:after="0"/>
              <w:rPr>
                <w:sz w:val="23"/>
                <w:szCs w:val="23"/>
                <w:color w:val="auto"/>
              </w:rPr>
            </w:pPr>
          </w:p>
        </w:tc>
        <w:tc>
          <w:tcPr>
            <w:tcW w:w="8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900" w:hanging="873"/>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Summary of Outstanding Debt and Capital Lease Obligations</w:t>
            </w:r>
          </w:p>
        </w:tc>
        <w:tc>
          <w:tcPr>
            <w:tcW w:w="200" w:type="dxa"/>
            <w:vAlign w:val="bottom"/>
            <w:gridSpan w:val="2"/>
            <w:shd w:val="clear" w:color="auto" w:fill="CCEEFF"/>
          </w:tcPr>
          <w:p>
            <w:pPr>
              <w:jc w:val="right"/>
              <w:ind w:right="20"/>
              <w:spacing w:after="0"/>
              <w:rPr>
                <w:rFonts w:ascii="Arial" w:cs="Arial" w:eastAsia="Arial" w:hAnsi="Arial"/>
                <w:sz w:val="18"/>
                <w:szCs w:val="18"/>
                <w:color w:val="0000EE"/>
                <w:w w:val="79"/>
              </w:rPr>
            </w:pPr>
            <w:hyperlink w:anchor="page13">
              <w:r>
                <w:rPr>
                  <w:rFonts w:ascii="Arial" w:cs="Arial" w:eastAsia="Arial" w:hAnsi="Arial"/>
                  <w:sz w:val="18"/>
                  <w:szCs w:val="18"/>
                  <w:color w:val="0000EE"/>
                  <w:w w:val="79"/>
                </w:rPr>
                <w:t>12</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Debt Maturities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14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4</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15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5</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Pike &amp; Rose and Assembly Row</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6</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Future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17</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7</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2014 Significant Acquisition &amp; Disposition</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18</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8</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19</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9</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Retail Leasing Summary</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22</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10</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Lease Expirations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23</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11</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Portfolio Leased Statistics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12</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Top 25 Tenants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13</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Reconciliation of Net Income to FFO Guidance</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43"/>
        </w:trPr>
        <w:tc>
          <w:tcPr>
            <w:tcW w:w="540" w:type="dxa"/>
            <w:vAlign w:val="bottom"/>
          </w:tcPr>
          <w:p>
            <w:pPr>
              <w:ind w:left="20"/>
              <w:spacing w:after="0"/>
              <w:rPr>
                <w:sz w:val="20"/>
                <w:szCs w:val="20"/>
                <w:color w:val="auto"/>
              </w:rPr>
            </w:pPr>
            <w:r>
              <w:rPr>
                <w:rFonts w:ascii="Arial" w:cs="Arial" w:eastAsia="Arial" w:hAnsi="Arial"/>
                <w:sz w:val="18"/>
                <w:szCs w:val="18"/>
                <w:color w:val="auto"/>
              </w:rPr>
              <w:t>14</w:t>
            </w:r>
          </w:p>
        </w:tc>
        <w:tc>
          <w:tcPr>
            <w:tcW w:w="8720" w:type="dxa"/>
            <w:vAlign w:val="bottom"/>
          </w:tcPr>
          <w:p>
            <w:pPr>
              <w:ind w:left="360"/>
              <w:spacing w:after="0"/>
              <w:rPr>
                <w:sz w:val="20"/>
                <w:szCs w:val="20"/>
                <w:color w:val="auto"/>
              </w:rPr>
            </w:pPr>
            <w:r>
              <w:rPr>
                <w:rFonts w:ascii="Arial" w:cs="Arial" w:eastAsia="Arial" w:hAnsi="Arial"/>
                <w:sz w:val="18"/>
                <w:szCs w:val="18"/>
                <w:color w:val="auto"/>
              </w:rPr>
              <w:t>30% Owned Joint Venture Disclosure</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Summarized Income Statements and Balance Sheets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27</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Outstanding Debt and Debt Maturities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28</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540" w:type="dxa"/>
            <w:vAlign w:val="bottom"/>
            <w:shd w:val="clear" w:color="auto" w:fill="CCEEFF"/>
          </w:tcPr>
          <w:p>
            <w:pPr>
              <w:spacing w:after="0"/>
              <w:rPr>
                <w:sz w:val="21"/>
                <w:szCs w:val="21"/>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29</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15</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Glossary of Terms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30</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0115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9460"/>
          </w:cols>
          <w:pgMar w:left="1220" w:top="742" w:right="121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460"/>
          </w:cols>
          <w:pgMar w:left="1220" w:top="742" w:right="121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11, 2014, and include the following:</w:t>
      </w:r>
    </w:p>
    <w:p>
      <w:pPr>
        <w:spacing w:after="0" w:line="190" w:lineRule="exact"/>
        <w:rPr>
          <w:sz w:val="20"/>
          <w:szCs w:val="20"/>
          <w:color w:val="auto"/>
        </w:rPr>
      </w:pPr>
    </w:p>
    <w:p>
      <w:pPr>
        <w:ind w:left="980" w:right="140" w:hanging="324"/>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i w:val="1"/>
          <w:iCs w:val="1"/>
          <w:color w:val="auto"/>
        </w:rPr>
      </w:pPr>
    </w:p>
    <w:p>
      <w:pPr>
        <w:ind w:left="980" w:right="40" w:hanging="324"/>
        <w:spacing w:after="0" w:line="265"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8"/>
          <w:szCs w:val="18"/>
          <w:color w:val="auto"/>
        </w:rPr>
      </w:pPr>
    </w:p>
    <w:p>
      <w:pPr>
        <w:jc w:val="both"/>
        <w:ind w:left="980" w:right="58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11, 2014.</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14579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1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8"/>
        </w:trPr>
        <w:tc>
          <w:tcPr>
            <w:tcW w:w="2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8"/>
                <w:szCs w:val="18"/>
                <w:i w:val="1"/>
                <w:iCs w:val="1"/>
                <w:color w:val="auto"/>
                <w:w w:val="98"/>
              </w:rPr>
              <w:t>Media Inquiries</w:t>
            </w:r>
          </w:p>
        </w:tc>
        <w:tc>
          <w:tcPr>
            <w:tcW w:w="490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Arial" w:cs="Arial" w:eastAsia="Arial" w:hAnsi="Arial"/>
                <w:sz w:val="18"/>
                <w:szCs w:val="18"/>
                <w:i w:val="1"/>
                <w:iCs w:val="1"/>
                <w:color w:val="auto"/>
              </w:rPr>
              <w:t>Investor Inquiries</w:t>
            </w:r>
          </w:p>
        </w:tc>
      </w:tr>
      <w:tr>
        <w:trPr>
          <w:trHeight w:val="20"/>
        </w:trPr>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Andrea Simpson</w:t>
            </w:r>
          </w:p>
        </w:tc>
        <w:tc>
          <w:tcPr>
            <w:tcW w:w="2200" w:type="dxa"/>
            <w:vAlign w:val="bottom"/>
            <w:gridSpan w:val="2"/>
          </w:tcPr>
          <w:p>
            <w:pPr>
              <w:spacing w:after="0"/>
              <w:rPr>
                <w:sz w:val="20"/>
                <w:szCs w:val="20"/>
                <w:color w:val="auto"/>
              </w:rPr>
            </w:pPr>
            <w:r>
              <w:rPr>
                <w:rFonts w:ascii="Arial" w:cs="Arial" w:eastAsia="Arial" w:hAnsi="Arial"/>
                <w:sz w:val="18"/>
                <w:szCs w:val="18"/>
                <w:color w:val="auto"/>
              </w:rPr>
              <w:t>Kristina Lennox</w:t>
            </w:r>
          </w:p>
        </w:tc>
      </w:tr>
      <w:tr>
        <w:trPr>
          <w:trHeight w:val="257"/>
        </w:trPr>
        <w:tc>
          <w:tcPr>
            <w:tcW w:w="200" w:type="dxa"/>
            <w:vAlign w:val="bottom"/>
          </w:tcPr>
          <w:p>
            <w:pPr>
              <w:spacing w:after="0"/>
              <w:rPr>
                <w:sz w:val="22"/>
                <w:szCs w:val="22"/>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Director, Marketing</w:t>
            </w:r>
          </w:p>
        </w:tc>
        <w:tc>
          <w:tcPr>
            <w:tcW w:w="2200" w:type="dxa"/>
            <w:vAlign w:val="bottom"/>
            <w:gridSpan w:val="2"/>
          </w:tcPr>
          <w:p>
            <w:pPr>
              <w:spacing w:after="0"/>
              <w:rPr>
                <w:sz w:val="20"/>
                <w:szCs w:val="20"/>
                <w:color w:val="auto"/>
              </w:rPr>
            </w:pPr>
            <w:r>
              <w:rPr>
                <w:rFonts w:ascii="Arial" w:cs="Arial" w:eastAsia="Arial" w:hAnsi="Arial"/>
                <w:sz w:val="18"/>
                <w:szCs w:val="18"/>
                <w:color w:val="auto"/>
                <w:w w:val="99"/>
              </w:rPr>
              <w:t>Investor Relations Manager</w:t>
            </w:r>
          </w:p>
        </w:tc>
      </w:tr>
      <w:tr>
        <w:trPr>
          <w:trHeight w:val="257"/>
        </w:trPr>
        <w:tc>
          <w:tcPr>
            <w:tcW w:w="1420" w:type="dxa"/>
            <w:vAlign w:val="bottom"/>
            <w:gridSpan w:val="2"/>
          </w:tcPr>
          <w:p>
            <w:pPr>
              <w:ind w:left="200"/>
              <w:spacing w:after="0"/>
              <w:rPr>
                <w:sz w:val="20"/>
                <w:szCs w:val="20"/>
                <w:color w:val="auto"/>
              </w:rPr>
            </w:pPr>
            <w:r>
              <w:rPr>
                <w:rFonts w:ascii="Arial" w:cs="Arial" w:eastAsia="Arial" w:hAnsi="Arial"/>
                <w:sz w:val="18"/>
                <w:szCs w:val="18"/>
                <w:color w:val="auto"/>
              </w:rPr>
              <w:t>617/684-1511</w:t>
            </w:r>
          </w:p>
        </w:tc>
        <w:tc>
          <w:tcPr>
            <w:tcW w:w="4900" w:type="dxa"/>
            <w:vAlign w:val="bottom"/>
          </w:tcPr>
          <w:p>
            <w:pPr>
              <w:spacing w:after="0"/>
              <w:rPr>
                <w:sz w:val="22"/>
                <w:szCs w:val="22"/>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301/998-8265</w:t>
            </w:r>
          </w:p>
        </w:tc>
        <w:tc>
          <w:tcPr>
            <w:tcW w:w="840" w:type="dxa"/>
            <w:vAlign w:val="bottom"/>
          </w:tcPr>
          <w:p>
            <w:pPr>
              <w:spacing w:after="0"/>
              <w:rPr>
                <w:sz w:val="22"/>
                <w:szCs w:val="22"/>
                <w:color w:val="auto"/>
              </w:rPr>
            </w:pPr>
          </w:p>
        </w:tc>
      </w:tr>
      <w:tr>
        <w:trPr>
          <w:trHeight w:val="257"/>
        </w:trPr>
        <w:tc>
          <w:tcPr>
            <w:tcW w:w="200" w:type="dxa"/>
            <w:vAlign w:val="bottom"/>
          </w:tcPr>
          <w:p>
            <w:pPr>
              <w:spacing w:after="0"/>
              <w:rPr>
                <w:sz w:val="22"/>
                <w:szCs w:val="22"/>
                <w:color w:val="auto"/>
              </w:rPr>
            </w:pPr>
          </w:p>
        </w:tc>
        <w:tc>
          <w:tcPr>
            <w:tcW w:w="6120" w:type="dxa"/>
            <w:vAlign w:val="bottom"/>
            <w:gridSpan w:val="2"/>
          </w:tcPr>
          <w:p>
            <w:pPr>
              <w:spacing w:after="0"/>
              <w:rPr>
                <w:sz w:val="20"/>
                <w:szCs w:val="20"/>
                <w:color w:val="auto"/>
              </w:rPr>
            </w:pPr>
            <w:r>
              <w:rPr>
                <w:rFonts w:ascii="Arial" w:cs="Arial" w:eastAsia="Arial" w:hAnsi="Arial"/>
                <w:sz w:val="18"/>
                <w:szCs w:val="18"/>
                <w:i w:val="1"/>
                <w:iCs w:val="1"/>
                <w:color w:val="auto"/>
              </w:rPr>
              <w:t>asimpson@federalrealty.com</w:t>
            </w:r>
          </w:p>
        </w:tc>
        <w:tc>
          <w:tcPr>
            <w:tcW w:w="2200" w:type="dxa"/>
            <w:vAlign w:val="bottom"/>
            <w:gridSpan w:val="2"/>
          </w:tcPr>
          <w:p>
            <w:pPr>
              <w:spacing w:after="0"/>
              <w:rPr>
                <w:sz w:val="20"/>
                <w:szCs w:val="20"/>
                <w:color w:val="auto"/>
              </w:rPr>
            </w:pPr>
            <w:r>
              <w:rPr>
                <w:rFonts w:ascii="Arial" w:cs="Arial" w:eastAsia="Arial" w:hAnsi="Arial"/>
                <w:sz w:val="18"/>
                <w:szCs w:val="18"/>
                <w:i w:val="1"/>
                <w:iCs w:val="1"/>
                <w:color w:val="auto"/>
                <w:w w:val="99"/>
              </w:rPr>
              <w:t>klennox@federalrealty.com</w:t>
            </w: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ANNOUNCES SECOND QUARTER 2014 OPERATING RESULTS</w:t>
      </w:r>
    </w:p>
    <w:p>
      <w:pPr>
        <w:spacing w:after="0" w:line="301"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ROCKVILLE, Md. (August 7, 2014) - Federal Realty Investment Trust (NYSE:FRT) today reported operating results for its second quarter ended June 30, 2014.</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126"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In the second quarter 2014, Federal Realty generated funds from operations available for common shareholders (FFO) of $83.6 million, or $1.23 per diluted share. This compares to FFO of $71.1 million, or $1.08 per diluted share, in second quarter 2013. For the six months ended June 30, 2014, Federal Realty reported FFO of $165.4 million, or $2.43 per diluted share, compared to $145.2 million, or $2.22 per diluted share for the same six month period in 2013. Excluding the debt prepayment charge in the second quarter 2013, FFO per diluted share was $1.14 in second quarter 2013 and $2.27 for the six months ended June 30, 2013.</w:t>
      </w:r>
    </w:p>
    <w:p>
      <w:pPr>
        <w:spacing w:after="0" w:line="298"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Net income available for common shareholders was $43.4 million and earnings per diluted share was $0.64 for the quarter ended June 30, 2014 versus $37.4 million and $0.57, respectively, for second quarter 2013. Year-to-date, Federal Realty reported net income available for common shareholders of $82.0 million and earnings per diluted share of $1.22. This compares to net income available for common shareholders of $71.9 million and earnings per diluted share of $1.10 for the six months ended June 30, 2013.</w:t>
      </w:r>
    </w:p>
    <w:p>
      <w:pPr>
        <w:spacing w:after="0" w:line="297"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12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In second quarter 2014, same-center property operating income increased 4.2% including redevelopment and expansion properties. When redevelopment and expansion properties are excluded from same-center, property operating income for second quarter 2014 increased 4.0% compared to second quarter 2013.</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FEDERAL REALTY INVESTMENT TRUST ANNOUNCES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2014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7,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79"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The overall portfolio was 95.3% leased as of June 30, 2014, compared to 95.6% on March 31, 2014 and 95.3% on June 30, 2013. Federal Realty’s same-center portfolio was 95.5% leased as of June 30, 2014, compared to 95.5% on March 31, 2014 and 95.4% on June 30, 2013.</w:t>
      </w:r>
    </w:p>
    <w:p>
      <w:pPr>
        <w:spacing w:after="0" w:line="274"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During second quarter 2014, the Trust signed 128 leases for 622,916 square feet of retail space. On a comparable space basis (</w:t>
      </w:r>
      <w:r>
        <w:rPr>
          <w:rFonts w:ascii="Arial" w:cs="Arial" w:eastAsia="Arial" w:hAnsi="Arial"/>
          <w:sz w:val="18"/>
          <w:szCs w:val="18"/>
          <w:i w:val="1"/>
          <w:iCs w:val="1"/>
          <w:color w:val="auto"/>
        </w:rPr>
        <w:t>i.e.</w:t>
      </w:r>
      <w:r>
        <w:rPr>
          <w:rFonts w:ascii="Arial" w:cs="Arial" w:eastAsia="Arial" w:hAnsi="Arial"/>
          <w:sz w:val="18"/>
          <w:szCs w:val="18"/>
          <w:color w:val="auto"/>
        </w:rPr>
        <w:t>, spaces for which there was a former tenant), the Trust leased 536,819 square feet at an average cash-basis contractual rent increase per square foot (</w:t>
      </w:r>
      <w:r>
        <w:rPr>
          <w:rFonts w:ascii="Arial" w:cs="Arial" w:eastAsia="Arial" w:hAnsi="Arial"/>
          <w:sz w:val="18"/>
          <w:szCs w:val="18"/>
          <w:i w:val="1"/>
          <w:iCs w:val="1"/>
          <w:color w:val="auto"/>
        </w:rPr>
        <w:t>i.e.</w:t>
      </w:r>
      <w:r>
        <w:rPr>
          <w:rFonts w:ascii="Arial" w:cs="Arial" w:eastAsia="Arial" w:hAnsi="Arial"/>
          <w:sz w:val="18"/>
          <w:szCs w:val="18"/>
          <w:color w:val="auto"/>
        </w:rPr>
        <w:t>, excluding the impact of straight-line rents) of 16%. The weighted average contractual rent on this comparable space for the first year of the new lease is $34.93 per square foot compared to the weighted average contractual rent of $30.13 per square foot for the last year of the prior lease. The previous weighted average contractual rent is calculated by including both the minimum rent and any percentage rent actually paid during the last year of the lease term for the re-leased space. On a GAAP basis (</w:t>
      </w:r>
      <w:r>
        <w:rPr>
          <w:rFonts w:ascii="Arial" w:cs="Arial" w:eastAsia="Arial" w:hAnsi="Arial"/>
          <w:sz w:val="18"/>
          <w:szCs w:val="18"/>
          <w:i w:val="1"/>
          <w:iCs w:val="1"/>
          <w:color w:val="auto"/>
        </w:rPr>
        <w:t>i.e.</w:t>
      </w:r>
      <w:r>
        <w:rPr>
          <w:rFonts w:ascii="Arial" w:cs="Arial" w:eastAsia="Arial" w:hAnsi="Arial"/>
          <w:sz w:val="18"/>
          <w:szCs w:val="18"/>
          <w:color w:val="auto"/>
        </w:rPr>
        <w:t>, including the impact of straight-line rents), rent increases per square foot for comparable retail space averaged 30% for second quarter 2014.</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126" w:lineRule="exact"/>
        <w:rPr>
          <w:sz w:val="20"/>
          <w:szCs w:val="20"/>
          <w:color w:val="auto"/>
        </w:rPr>
      </w:pPr>
    </w:p>
    <w:p>
      <w:pPr>
        <w:jc w:val="both"/>
        <w:spacing w:after="0" w:line="362" w:lineRule="auto"/>
        <w:rPr>
          <w:sz w:val="20"/>
          <w:szCs w:val="20"/>
          <w:color w:val="auto"/>
        </w:rPr>
      </w:pPr>
      <w:r>
        <w:rPr>
          <w:rFonts w:ascii="Arial" w:cs="Arial" w:eastAsia="Arial" w:hAnsi="Arial"/>
          <w:sz w:val="18"/>
          <w:szCs w:val="18"/>
          <w:color w:val="auto"/>
        </w:rPr>
        <w:t>Federal Realty announced today that its Board of Trustees increased the dividend rate on its common shares, declaring a regular quarterly cash dividend of $0.87 per share, resulting in an indicated annual rate of $3.48 per share. This $0.09 per share increase in the regular quarterly dividend is the largest increase in the Trust's history. The regular common dividend will be payable on October 15, 2014 to common shareholders of record on September 22, 2014. This increase represents the 47th consecutive year that Federal Realty has increased its common dividend, the longest record of consecutive annual dividend increases in the REIT sector, and amongst the longest such records for publicly traded companies in the US.</w:t>
      </w:r>
    </w:p>
    <w:p>
      <w:pPr>
        <w:spacing w:after="0" w:line="301" w:lineRule="exact"/>
        <w:rPr>
          <w:sz w:val="20"/>
          <w:szCs w:val="20"/>
          <w:color w:val="auto"/>
        </w:rPr>
      </w:pPr>
    </w:p>
    <w:p>
      <w:pPr>
        <w:jc w:val="both"/>
        <w:spacing w:after="0" w:line="353" w:lineRule="auto"/>
        <w:rPr>
          <w:sz w:val="20"/>
          <w:szCs w:val="20"/>
          <w:color w:val="auto"/>
        </w:rPr>
      </w:pPr>
      <w:r>
        <w:rPr>
          <w:rFonts w:ascii="Arial" w:cs="Arial" w:eastAsia="Arial" w:hAnsi="Arial"/>
          <w:sz w:val="18"/>
          <w:szCs w:val="18"/>
          <w:color w:val="auto"/>
        </w:rPr>
        <w:t>“Our team continued to deliver record bottom line results while also driving future value creation with the successful openings of the initial phases of Pike &amp; Rose and Assembly Row, the delivery and stabilization of Misora at Santana Row and the ongoing execution of over $175 million of tactical redevelopment of our core,” commented Donald C. Wood, president and chief executive officer of Federal Realty. “The continued success and growth in our business supports our decision to raise our common dividend this year by 12%, marking it as the 47</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consecutive year of increased dividends, the only REIT to have such record."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126" w:lineRule="exact"/>
        <w:rPr>
          <w:sz w:val="20"/>
          <w:szCs w:val="20"/>
          <w:color w:val="auto"/>
        </w:rPr>
      </w:pPr>
    </w:p>
    <w:p>
      <w:pPr>
        <w:jc w:val="both"/>
        <w:ind w:left="660" w:hanging="328"/>
        <w:spacing w:after="0" w:line="3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June 12, 2014 - Federal Realty was presented with three prestigious honors by the Alliance for Workplace Excellence (AWE). The Trust received the 2014 Workplace Excellence Seal of Approval Award, 2014 Health &amp; Wellness Seal of Approval Award and 2014 EcoLeadership Award. 2014 marks the seventh consecutive year Federal Realty has won Workplace Excellence and Health &amp; Wellness awards, and the fourth year it has won the EcoLeadership award.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FEDERAL REALTY INVESTMENT TRUST ANNOUNCES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2014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7,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79" w:lineRule="exact"/>
        <w:rPr>
          <w:sz w:val="20"/>
          <w:szCs w:val="20"/>
          <w:color w:val="auto"/>
        </w:rPr>
      </w:pPr>
    </w:p>
    <w:p>
      <w:pPr>
        <w:jc w:val="both"/>
        <w:ind w:left="660" w:hanging="328"/>
        <w:spacing w:after="0" w:line="3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July 7, 2014 - Federal Realty announced Bank of America Merrill Lynch as the lead office tenant at Pike &amp; Rose, the new transit-oriented, pedestrian-friendly, mixed-use neighborhood at the top of the White Flint District of North Bethesda. Bank of America Merrill Lynch will occupy 40,000 square feet, half of the 80,000 square foot LEED certified, Class "A" office building at 11810 Grand Park Avenue in Phase 1 of Pike &amp; Rose.</w:t>
      </w:r>
    </w:p>
    <w:p>
      <w:pPr>
        <w:spacing w:after="0" w:line="14" w:lineRule="exact"/>
        <w:rPr>
          <w:rFonts w:ascii="Arial" w:cs="Arial" w:eastAsia="Arial" w:hAnsi="Arial"/>
          <w:sz w:val="18"/>
          <w:szCs w:val="18"/>
          <w:color w:val="auto"/>
        </w:rPr>
      </w:pPr>
    </w:p>
    <w:p>
      <w:pPr>
        <w:ind w:left="660" w:right="20" w:hanging="328"/>
        <w:spacing w:after="0" w:line="37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July 24, 2014 - Federal Realty’s partnership with a discretionary fund created and advised by ING Clarion Partners closed on the sale of Pleasant Shops in South Weymouth, Massachusetts for a sales price of $34.3 million.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126" w:lineRule="exact"/>
        <w:rPr>
          <w:sz w:val="20"/>
          <w:szCs w:val="20"/>
          <w:color w:val="auto"/>
        </w:rPr>
      </w:pPr>
    </w:p>
    <w:p>
      <w:pPr>
        <w:ind w:right="140"/>
        <w:spacing w:after="0" w:line="371" w:lineRule="auto"/>
        <w:rPr>
          <w:sz w:val="20"/>
          <w:szCs w:val="20"/>
          <w:color w:val="auto"/>
        </w:rPr>
      </w:pPr>
      <w:r>
        <w:rPr>
          <w:rFonts w:ascii="Arial" w:cs="Arial" w:eastAsia="Arial" w:hAnsi="Arial"/>
          <w:sz w:val="18"/>
          <w:szCs w:val="18"/>
          <w:color w:val="auto"/>
        </w:rPr>
        <w:t>We have updated our 2014 guidance for FFO per diluted share to a range of $4.90 to $4.94. Our earnings per share guidance was updated to $2.55 to $2.61.</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126"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 xml:space="preserve">Federal Realty’s management team will present an in-depth discussion of the Trust’s operating performance on its second quarter 2014 earnings conference call, which is scheduled for August 8, 2014, at 11 a.m. Eastern Daylight Time. To participate, please call (877) 445-3230 five to ten minutes prior to the call start time and use the passcode 65481268 (required). Federal Realty will also provide an online webcast on the Company’s web site, </w:t>
      </w:r>
      <w:r>
        <w:rPr>
          <w:rFonts w:ascii="Arial" w:cs="Arial" w:eastAsia="Arial" w:hAnsi="Arial"/>
          <w:sz w:val="18"/>
          <w:szCs w:val="18"/>
          <w:u w:val="single" w:color="auto"/>
          <w:color w:val="0000FF"/>
        </w:rPr>
        <w:t>www.federalrealty.com</w:t>
      </w:r>
      <w:r>
        <w:rPr>
          <w:rFonts w:ascii="Arial" w:cs="Arial" w:eastAsia="Arial" w:hAnsi="Arial"/>
          <w:sz w:val="18"/>
          <w:szCs w:val="18"/>
          <w:color w:val="auto"/>
        </w:rPr>
        <w:t>, which will remain available for 30 days following the call. A telephone recording of the call will also be available through August 15, 2014, by dialing (855) 859-2056 and using the passcode 65481268.</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126" w:lineRule="exact"/>
        <w:rPr>
          <w:sz w:val="20"/>
          <w:szCs w:val="20"/>
          <w:color w:val="auto"/>
        </w:rPr>
      </w:pPr>
    </w:p>
    <w:p>
      <w:pPr>
        <w:jc w:val="both"/>
        <w:spacing w:after="0" w:line="361" w:lineRule="auto"/>
        <w:rPr>
          <w:sz w:val="20"/>
          <w:szCs w:val="20"/>
          <w:color w:val="auto"/>
        </w:rPr>
      </w:pPr>
      <w:r>
        <w:rPr>
          <w:rFonts w:ascii="Arial" w:cs="Arial" w:eastAsia="Arial" w:hAnsi="Arial"/>
          <w:sz w:val="18"/>
          <w:szCs w:val="18"/>
          <w:color w:val="auto"/>
        </w:rPr>
        <w:t>Federal Realty Investment Trust is an equity real estate investment trust specializing in the ownership, management, development, and redevelopment of high quality retail assets. Federal Realty's portfolio (excluding joint venture properties) contains approximately 20 million square feet located primarily in strategically selected metropolitan markets in the Northeast, Mid-Atlantic, and California. In addition, the Trust has an ownership interest in approximately 1.0 million square feet of retail space through a joint venture in which the Trust has a 30% interest. Our operating portfolio (excluding joint venture properties) was 95.3% leased to national, regional, and local retailers as of June 30, 2014, with no single tenant accounting for more than approximately 3.2% of annualized base rent. Federal Realty has paid quarterly dividends to its shareholders continuously since its founding in 1962, and has increased its dividend rate for 47 consecutive years, the longest record in the REIT industry. Federal Realty is an S&amp;P MidCap 400 company and its shares are traded on the NYSE under the symbol FRT.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7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FEDERAL REALTY INVESTMENT TRUST ANNOUNCES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2014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7,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6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11, 2014, and include the following:</w:t>
      </w:r>
    </w:p>
    <w:p>
      <w:pPr>
        <w:spacing w:after="0" w:line="179" w:lineRule="exact"/>
        <w:rPr>
          <w:sz w:val="20"/>
          <w:szCs w:val="20"/>
          <w:color w:val="auto"/>
        </w:rPr>
      </w:pPr>
    </w:p>
    <w:p>
      <w:pPr>
        <w:ind w:left="980" w:right="240" w:hanging="324"/>
        <w:spacing w:after="0" w:line="252" w:lineRule="auto"/>
        <w:tabs>
          <w:tab w:leader="none" w:pos="980"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ind w:left="980" w:right="380" w:hanging="324"/>
        <w:spacing w:after="0" w:line="241" w:lineRule="auto"/>
        <w:tabs>
          <w:tab w:leader="none" w:pos="980"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ind w:left="980" w:right="80" w:hanging="324"/>
        <w:spacing w:after="0" w:line="241" w:lineRule="auto"/>
        <w:tabs>
          <w:tab w:leader="none" w:pos="98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ind w:left="980" w:right="100" w:hanging="324"/>
        <w:spacing w:after="0" w:line="242" w:lineRule="auto"/>
        <w:tabs>
          <w:tab w:leader="none" w:pos="980"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60" w:lineRule="exact"/>
        <w:rPr>
          <w:rFonts w:ascii="Arial" w:cs="Arial" w:eastAsia="Arial" w:hAnsi="Arial"/>
          <w:sz w:val="14"/>
          <w:szCs w:val="14"/>
          <w:color w:val="auto"/>
        </w:rPr>
      </w:pPr>
    </w:p>
    <w:p>
      <w:pPr>
        <w:ind w:left="980" w:hanging="324"/>
        <w:spacing w:after="0"/>
        <w:tabs>
          <w:tab w:leader="none" w:pos="980"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risks that our growth will be limited if we cannot obtain additional capital;</w:t>
      </w:r>
    </w:p>
    <w:p>
      <w:pPr>
        <w:spacing w:after="0" w:line="1" w:lineRule="exact"/>
        <w:rPr>
          <w:rFonts w:ascii="Arial" w:cs="Arial" w:eastAsia="Arial" w:hAnsi="Arial"/>
          <w:sz w:val="14"/>
          <w:szCs w:val="14"/>
          <w:color w:val="auto"/>
        </w:rPr>
      </w:pPr>
    </w:p>
    <w:p>
      <w:pPr>
        <w:ind w:left="980" w:hanging="324"/>
        <w:spacing w:after="0"/>
        <w:tabs>
          <w:tab w:leader="none" w:pos="980"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1" w:lineRule="exact"/>
        <w:rPr>
          <w:rFonts w:ascii="Arial" w:cs="Arial" w:eastAsia="Arial" w:hAnsi="Arial"/>
          <w:sz w:val="14"/>
          <w:szCs w:val="14"/>
          <w:color w:val="auto"/>
        </w:rPr>
      </w:pPr>
    </w:p>
    <w:p>
      <w:pPr>
        <w:jc w:val="both"/>
        <w:ind w:left="980" w:right="160" w:hanging="324"/>
        <w:spacing w:after="0" w:line="241" w:lineRule="auto"/>
        <w:tabs>
          <w:tab w:leader="none" w:pos="980"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4"/>
          <w:szCs w:val="14"/>
          <w:color w:val="auto"/>
        </w:rPr>
      </w:pPr>
    </w:p>
    <w:p>
      <w:pPr>
        <w:ind w:left="980" w:right="120" w:hanging="324"/>
        <w:spacing w:after="0" w:line="250" w:lineRule="auto"/>
        <w:tabs>
          <w:tab w:leader="none" w:pos="980" w:val="left"/>
        </w:tabs>
        <w:numPr>
          <w:ilvl w:val="0"/>
          <w:numId w:val="6"/>
        </w:numPr>
        <w:rPr>
          <w:rFonts w:ascii="Arial" w:cs="Arial" w:eastAsia="Arial" w:hAnsi="Arial"/>
          <w:sz w:val="14"/>
          <w:szCs w:val="14"/>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34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with the Securities and Exchange Commission on February 11, 2014.</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908" w:right="239" w:bottom="1440" w:gutter="0" w:footer="0" w:header="0"/>
        </w:sectPr>
      </w:pPr>
    </w:p>
    <w:bookmarkStart w:id="8" w:name="page9"/>
    <w:bookmarkEnd w:id="8"/>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Income Statements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2013</w:t>
            </w:r>
          </w:p>
        </w:tc>
      </w:tr>
      <w:tr>
        <w:trPr>
          <w:trHeight w:val="244"/>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0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6"/>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(unaudited)</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Rental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162,383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153,212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328,576</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305,828</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property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6,181</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Mortgage interest income</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2,474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2,528</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167,947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157,388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338,775</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314,537</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Expenses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68,535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57,710</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19,164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17,632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37,864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35,204</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15,828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15,359</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40,893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39,757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84,743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80,274</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99,586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93,900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206,970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188,547</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68,361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63,488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131,805</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125,990</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(23,213)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(27,147)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(46,350)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(54,552)</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Early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(3,399)</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Income from real estate partnership</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684</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33,379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85,961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68,818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Discontinued operations - income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before gain on sale of real estate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45,416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33,803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85,961</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69,645</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4,994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4,994</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45,416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38,797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85,961</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74,639</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43,545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37,539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82,298</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72,127</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on preferred shares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43,410</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37,404</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82,027</w:t>
            </w:r>
          </w:p>
        </w:tc>
        <w:tc>
          <w:tcPr>
            <w:tcW w:w="12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71,856</w:t>
            </w:r>
          </w:p>
        </w:tc>
      </w:tr>
      <w:tr>
        <w:trPr>
          <w:trHeight w:val="257"/>
        </w:trPr>
        <w:tc>
          <w:tcPr>
            <w:tcW w:w="56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EARNINGS PER COMMON SHARE, BASIC</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0.01</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r>
      <w:tr>
        <w:trPr>
          <w:trHeight w:val="237"/>
        </w:trPr>
        <w:tc>
          <w:tcPr>
            <w:tcW w:w="56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w:t>
            </w: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r>
      <w:tr>
        <w:trPr>
          <w:trHeight w:val="170"/>
        </w:trPr>
        <w:tc>
          <w:tcPr>
            <w:tcW w:w="5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304"/>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 average number of common shares, basic</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67,110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65,149</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66,858</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64,922</w:t>
            </w:r>
          </w:p>
        </w:tc>
      </w:tr>
      <w:tr>
        <w:trPr>
          <w:trHeight w:val="257"/>
        </w:trPr>
        <w:tc>
          <w:tcPr>
            <w:tcW w:w="56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EARNINGS PER COMMON SHARE, DILUTED</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0.01</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r>
      <w:tr>
        <w:trPr>
          <w:trHeight w:val="237"/>
        </w:trPr>
        <w:tc>
          <w:tcPr>
            <w:tcW w:w="56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w:t>
            </w: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r>
      <w:tr>
        <w:trPr>
          <w:trHeight w:val="170"/>
        </w:trPr>
        <w:tc>
          <w:tcPr>
            <w:tcW w:w="5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8"/>
                <w:szCs w:val="18"/>
                <w:color w:val="auto"/>
              </w:rPr>
              <w:t>Weighted average number of common shares, diluted</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67,277</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65,311</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67,021</w:t>
            </w:r>
          </w:p>
        </w:tc>
        <w:tc>
          <w:tcPr>
            <w:tcW w:w="1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65,080</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42" w:right="239" w:bottom="1440" w:gutter="0" w:footer="0" w:header="0"/>
          <w:type w:val="continuous"/>
        </w:sectPr>
      </w:pPr>
    </w:p>
    <w:bookmarkStart w:id="9" w:name="page10"/>
    <w:bookmarkEnd w:id="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Balance Sheets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4"/>
        </w:trPr>
        <w:tc>
          <w:tcPr>
            <w:tcW w:w="8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20" w:type="dxa"/>
            <w:vAlign w:val="bottom"/>
            <w:gridSpan w:val="4"/>
          </w:tcPr>
          <w:p>
            <w:pPr>
              <w:jc w:val="right"/>
              <w:ind w:right="891"/>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at cost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Operating (including $281,311 and $265,138 of consolidated variable interest entities, respectively)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5,004,993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4,618,258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Construction-in-progress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472,570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531,205</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5,477,563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5,149,463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Less accumulated depreciation and amortization (including $22,840 and $19,086 of consolidated variable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entities, respectively)</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(1,417,376)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(1,350,471)</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real estate</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4,060,187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3,798,992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41,312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88,927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97,741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84,838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notes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54,932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55,155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Investment in real estate partnership</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35,511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32,264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141,802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159,118</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4,431,485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4,219,294</w:t>
            </w:r>
          </w:p>
        </w:tc>
        <w:tc>
          <w:tcPr>
            <w:tcW w:w="0" w:type="dxa"/>
            <w:vAlign w:val="bottom"/>
          </w:tcPr>
          <w:p>
            <w:pPr>
              <w:spacing w:after="0"/>
              <w:rPr>
                <w:sz w:val="1"/>
                <w:szCs w:val="1"/>
                <w:color w:val="auto"/>
              </w:rPr>
            </w:pPr>
          </w:p>
        </w:tc>
      </w:tr>
      <w:tr>
        <w:trPr>
          <w:trHeight w:val="271"/>
        </w:trPr>
        <w:tc>
          <w:tcPr>
            <w:tcW w:w="85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LIABILITIES AND SHAREHOLDERS' EQUITY</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5"/>
              </w:rPr>
              <w:t>Mortgages and capital lease obligations (including $188,739 and $202,782 of consolidated variable interest,</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80"/>
              <w:spacing w:after="0"/>
              <w:rPr>
                <w:sz w:val="20"/>
                <w:szCs w:val="20"/>
                <w:color w:val="auto"/>
              </w:rPr>
            </w:pPr>
            <w:r>
              <w:rPr>
                <w:rFonts w:ascii="Arial" w:cs="Arial" w:eastAsia="Arial" w:hAnsi="Arial"/>
                <w:sz w:val="18"/>
                <w:szCs w:val="18"/>
                <w:color w:val="auto"/>
              </w:rPr>
              <w:t>entities respectively)</w:t>
            </w:r>
          </w:p>
        </w:tc>
        <w:tc>
          <w:tcPr>
            <w:tcW w:w="220" w:type="dxa"/>
            <w:vAlign w:val="bottom"/>
          </w:tcPr>
          <w:p>
            <w:pPr>
              <w:spacing w:after="0"/>
              <w:rPr>
                <w:sz w:val="20"/>
                <w:szCs w:val="20"/>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705,704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660,127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290,765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300,822</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Senior notes and debentures</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1,361,282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1,360,913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344,990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321,710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2,702,741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2,643,572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110,688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104,425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Preferred shares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43"/>
        </w:trPr>
        <w:tc>
          <w:tcPr>
            <w:tcW w:w="8580" w:type="dxa"/>
            <w:vAlign w:val="bottom"/>
          </w:tcPr>
          <w:p>
            <w:pPr>
              <w:ind w:left="420"/>
              <w:spacing w:after="0"/>
              <w:rPr>
                <w:sz w:val="20"/>
                <w:szCs w:val="20"/>
                <w:color w:val="auto"/>
              </w:rPr>
            </w:pPr>
            <w:r>
              <w:rPr>
                <w:rFonts w:ascii="Arial" w:cs="Arial" w:eastAsia="Arial" w:hAnsi="Arial"/>
                <w:sz w:val="18"/>
                <w:szCs w:val="18"/>
                <w:color w:val="auto"/>
              </w:rPr>
              <w:t>Common shares and other shareholders' equity</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1,519,764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1,438,163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 of the Trust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1,529,761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1,448,160</w:t>
            </w:r>
          </w:p>
        </w:tc>
        <w:tc>
          <w:tcPr>
            <w:tcW w:w="0" w:type="dxa"/>
            <w:vAlign w:val="bottom"/>
          </w:tcPr>
          <w:p>
            <w:pPr>
              <w:spacing w:after="0"/>
              <w:rPr>
                <w:sz w:val="1"/>
                <w:szCs w:val="1"/>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88,295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23,137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1,618,056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1,471,297</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4,431,485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4,219,294</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5660"/>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91" w:right="2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6"/>
                <w:szCs w:val="16"/>
                <w:color w:val="auto"/>
              </w:rPr>
            </w:pPr>
          </w:p>
        </w:tc>
        <w:tc>
          <w:tcPr>
            <w:tcW w:w="226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260" w:type="dxa"/>
            <w:vAlign w:val="bottom"/>
          </w:tcPr>
          <w:p>
            <w:pPr>
              <w:spacing w:after="0"/>
              <w:rPr>
                <w:sz w:val="24"/>
                <w:szCs w:val="24"/>
                <w:color w:val="auto"/>
              </w:rPr>
            </w:pPr>
          </w:p>
        </w:tc>
        <w:tc>
          <w:tcPr>
            <w:tcW w:w="13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2013</w:t>
            </w:r>
          </w:p>
        </w:tc>
      </w:tr>
      <w:tr>
        <w:trPr>
          <w:trHeight w:val="250"/>
        </w:trPr>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80" w:type="dxa"/>
            <w:vAlign w:val="bottom"/>
            <w:gridSpan w:val="5"/>
          </w:tcPr>
          <w:p>
            <w:pPr>
              <w:ind w:left="20"/>
              <w:spacing w:after="0"/>
              <w:rPr>
                <w:sz w:val="20"/>
                <w:szCs w:val="20"/>
                <w:color w:val="auto"/>
              </w:rPr>
            </w:pPr>
            <w:r>
              <w:rPr>
                <w:rFonts w:ascii="Arial" w:cs="Arial" w:eastAsia="Arial" w:hAnsi="Arial"/>
                <w:sz w:val="14"/>
                <w:szCs w:val="14"/>
                <w:b w:val="1"/>
                <w:bCs w:val="1"/>
                <w:color w:val="auto"/>
                <w:w w:val="98"/>
              </w:rPr>
              <w:t>(in thousands, except per share data)</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09"/>
        </w:trPr>
        <w:tc>
          <w:tcPr>
            <w:tcW w:w="62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Funds from Operations available for common shareholders (FFO) (1)</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560" w:type="dxa"/>
            <w:vAlign w:val="bottom"/>
            <w:tcBorders>
              <w:top w:val="single" w:sz="8" w:color="auto"/>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45,416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38,797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85,961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74,639</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(2,512)</w:t>
            </w: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Gain on sale of real estate</w:t>
            </w:r>
          </w:p>
        </w:tc>
        <w:tc>
          <w:tcPr>
            <w:tcW w:w="28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(4,994)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(4,994)</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36,499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35,834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76,048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72,396</w:t>
            </w: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2,947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2,639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5,778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5,407</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of joint venture real estate assets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746</w:t>
            </w:r>
          </w:p>
        </w:tc>
      </w:tr>
      <w:tr>
        <w:trPr>
          <w:trHeight w:val="237"/>
        </w:trPr>
        <w:tc>
          <w:tcPr>
            <w:tcW w:w="40" w:type="dxa"/>
            <w:vAlign w:val="bottom"/>
          </w:tcPr>
          <w:p>
            <w:pPr>
              <w:spacing w:after="0"/>
              <w:rPr>
                <w:sz w:val="20"/>
                <w:szCs w:val="20"/>
                <w:color w:val="auto"/>
              </w:rPr>
            </w:pPr>
          </w:p>
        </w:tc>
        <w:tc>
          <w:tcPr>
            <w:tcW w:w="6240" w:type="dxa"/>
            <w:vAlign w:val="bottom"/>
            <w:gridSpan w:val="4"/>
          </w:tcPr>
          <w:p>
            <w:pPr>
              <w:ind w:left="340"/>
              <w:spacing w:after="0"/>
              <w:rPr>
                <w:sz w:val="20"/>
                <w:szCs w:val="20"/>
                <w:color w:val="auto"/>
              </w:rPr>
            </w:pPr>
            <w:r>
              <w:rPr>
                <w:rFonts w:ascii="Arial" w:cs="Arial" w:eastAsia="Arial" w:hAnsi="Arial"/>
                <w:sz w:val="18"/>
                <w:szCs w:val="18"/>
                <w:color w:val="auto"/>
              </w:rPr>
              <w:t>Funds from operations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83,432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71,388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164,974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145,682</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Dividends on preferred shares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w:t>
            </w: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442</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(656)</w:t>
            </w:r>
          </w:p>
        </w:tc>
      </w:tr>
      <w:tr>
        <w:trPr>
          <w:trHeight w:val="237"/>
        </w:trPr>
        <w:tc>
          <w:tcPr>
            <w:tcW w:w="40" w:type="dxa"/>
            <w:vAlign w:val="bottom"/>
          </w:tcPr>
          <w:p>
            <w:pPr>
              <w:spacing w:after="0"/>
              <w:rPr>
                <w:sz w:val="20"/>
                <w:szCs w:val="20"/>
                <w:color w:val="auto"/>
              </w:rPr>
            </w:pPr>
          </w:p>
        </w:tc>
        <w:tc>
          <w:tcPr>
            <w:tcW w:w="6240" w:type="dxa"/>
            <w:vAlign w:val="bottom"/>
            <w:gridSpan w:val="4"/>
          </w:tcPr>
          <w:p>
            <w:pPr>
              <w:ind w:left="340"/>
              <w:spacing w:after="0"/>
              <w:rPr>
                <w:sz w:val="20"/>
                <w:szCs w:val="20"/>
                <w:color w:val="auto"/>
              </w:rPr>
            </w:pPr>
            <w:r>
              <w:rPr>
                <w:rFonts w:ascii="Arial" w:cs="Arial" w:eastAsia="Arial" w:hAnsi="Arial"/>
                <w:sz w:val="18"/>
                <w:szCs w:val="18"/>
                <w:color w:val="auto"/>
              </w:rPr>
              <w:t>FFO</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83,635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71,148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165,382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145,197</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Early extinguishment of debt, net of allocation to unvested shares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3,383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3,383</w:t>
            </w:r>
          </w:p>
        </w:tc>
      </w:tr>
      <w:tr>
        <w:trPr>
          <w:trHeight w:val="297"/>
        </w:trPr>
        <w:tc>
          <w:tcPr>
            <w:tcW w:w="40" w:type="dxa"/>
            <w:vAlign w:val="bottom"/>
            <w:tcBorders>
              <w:bottom w:val="single" w:sz="8" w:color="CCEEFF"/>
            </w:tcBorders>
          </w:tcPr>
          <w:p>
            <w:pPr>
              <w:spacing w:after="0"/>
              <w:rPr>
                <w:sz w:val="24"/>
                <w:szCs w:val="24"/>
                <w:color w:val="auto"/>
              </w:rPr>
            </w:pPr>
          </w:p>
        </w:tc>
        <w:tc>
          <w:tcPr>
            <w:tcW w:w="6240" w:type="dxa"/>
            <w:vAlign w:val="bottom"/>
            <w:tcBorders>
              <w:bottom w:val="single" w:sz="8" w:color="CCEEFF"/>
            </w:tcBorders>
            <w:gridSpan w:val="4"/>
          </w:tcPr>
          <w:p>
            <w:pPr>
              <w:ind w:left="320"/>
              <w:spacing w:after="0"/>
              <w:rPr>
                <w:sz w:val="20"/>
                <w:szCs w:val="20"/>
                <w:color w:val="auto"/>
              </w:rPr>
            </w:pPr>
            <w:r>
              <w:rPr>
                <w:rFonts w:ascii="Arial" w:cs="Arial" w:eastAsia="Arial" w:hAnsi="Arial"/>
                <w:sz w:val="18"/>
                <w:szCs w:val="18"/>
                <w:color w:val="auto"/>
              </w:rPr>
              <w:t>FFO excluding early extinguishment of debt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83,635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74,531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165,382</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148,580</w:t>
            </w:r>
          </w:p>
        </w:tc>
      </w:tr>
      <w:tr>
        <w:trPr>
          <w:trHeight w:val="251"/>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Weighted average number of common shares, diluted</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68,194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65,605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67,939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65,383</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64"/>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FFO per diluted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2.22</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64"/>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FFO excluding early extinguishment of debt, per diluted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2.27</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03"/>
        </w:trPr>
        <w:tc>
          <w:tcPr>
            <w:tcW w:w="62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Summary of Capital Expenditures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Non-maintenance capital expenditures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Development, redevelopment and expansions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78,908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79,168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152,288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123,584</w:t>
            </w:r>
          </w:p>
        </w:tc>
      </w:tr>
      <w:tr>
        <w:trPr>
          <w:trHeight w:val="243"/>
        </w:trPr>
        <w:tc>
          <w:tcPr>
            <w:tcW w:w="40" w:type="dxa"/>
            <w:vAlign w:val="bottom"/>
          </w:tcPr>
          <w:p>
            <w:pPr>
              <w:spacing w:after="0"/>
              <w:rPr>
                <w:sz w:val="21"/>
                <w:szCs w:val="21"/>
                <w:color w:val="auto"/>
              </w:rPr>
            </w:pPr>
          </w:p>
        </w:tc>
        <w:tc>
          <w:tcPr>
            <w:tcW w:w="6240" w:type="dxa"/>
            <w:vAlign w:val="bottom"/>
            <w:gridSpan w:val="4"/>
          </w:tcPr>
          <w:p>
            <w:pPr>
              <w:ind w:left="340"/>
              <w:spacing w:after="0"/>
              <w:rPr>
                <w:sz w:val="20"/>
                <w:szCs w:val="20"/>
                <w:color w:val="auto"/>
              </w:rPr>
            </w:pPr>
            <w:r>
              <w:rPr>
                <w:rFonts w:ascii="Arial" w:cs="Arial" w:eastAsia="Arial" w:hAnsi="Arial"/>
                <w:sz w:val="18"/>
                <w:szCs w:val="18"/>
                <w:color w:val="auto"/>
              </w:rPr>
              <w:t>Tenant improvements and incentives</w:t>
            </w: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9,004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6,789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14,223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11,872</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non-maintenance capital expenditures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87,912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85,957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166,511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135,456</w:t>
            </w:r>
          </w:p>
        </w:tc>
      </w:tr>
      <w:tr>
        <w:trPr>
          <w:trHeight w:val="243"/>
        </w:trPr>
        <w:tc>
          <w:tcPr>
            <w:tcW w:w="40" w:type="dxa"/>
            <w:vAlign w:val="bottom"/>
          </w:tcPr>
          <w:p>
            <w:pPr>
              <w:spacing w:after="0"/>
              <w:rPr>
                <w:sz w:val="21"/>
                <w:szCs w:val="21"/>
                <w:color w:val="auto"/>
              </w:rPr>
            </w:pPr>
          </w:p>
        </w:tc>
        <w:tc>
          <w:tcPr>
            <w:tcW w:w="6240" w:type="dxa"/>
            <w:vAlign w:val="bottom"/>
            <w:gridSpan w:val="4"/>
          </w:tcPr>
          <w:p>
            <w:pPr>
              <w:ind w:left="340"/>
              <w:spacing w:after="0"/>
              <w:rPr>
                <w:sz w:val="20"/>
                <w:szCs w:val="20"/>
                <w:color w:val="auto"/>
              </w:rPr>
            </w:pPr>
            <w:r>
              <w:rPr>
                <w:rFonts w:ascii="Arial" w:cs="Arial" w:eastAsia="Arial" w:hAnsi="Arial"/>
                <w:sz w:val="18"/>
                <w:szCs w:val="18"/>
                <w:color w:val="auto"/>
              </w:rPr>
              <w:t>Maintenance capital expenditures</w:t>
            </w: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5,113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5,155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5,948</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capital expenditures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91,541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91,070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171,666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141,404</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03"/>
        </w:trPr>
        <w:tc>
          <w:tcPr>
            <w:tcW w:w="62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Dividends and Payout Ratios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Regular common dividends declared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52,777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47,948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105,238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91"/>
              <w:spacing w:after="0"/>
              <w:rPr>
                <w:sz w:val="20"/>
                <w:szCs w:val="20"/>
                <w:color w:val="auto"/>
              </w:rPr>
            </w:pPr>
            <w:r>
              <w:rPr>
                <w:rFonts w:ascii="Arial" w:cs="Arial" w:eastAsia="Arial" w:hAnsi="Arial"/>
                <w:sz w:val="18"/>
                <w:szCs w:val="18"/>
                <w:color w:val="auto"/>
              </w:rPr>
              <w:t>95,455</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Dividend payout ratio as a percentage of FFO</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9"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2" w:right="23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r>
      <w:tr>
        <w:trPr>
          <w:trHeight w:val="264"/>
        </w:trPr>
        <w:tc>
          <w:tcPr>
            <w:tcW w:w="84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2013</w:t>
            </w:r>
          </w:p>
        </w:tc>
      </w:tr>
      <w:tr>
        <w:trPr>
          <w:trHeight w:val="250"/>
        </w:trPr>
        <w:tc>
          <w:tcPr>
            <w:tcW w:w="8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4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5"/>
              </w:rPr>
              <w:t>(in thousands, except per share data)</w:t>
            </w:r>
          </w:p>
        </w:tc>
      </w:tr>
      <w:tr>
        <w:trPr>
          <w:trHeight w:val="256"/>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Common shares outstanding (1)</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67,712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65,687</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Market price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120.92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103.68</w:t>
            </w:r>
          </w:p>
        </w:tc>
      </w:tr>
      <w:tr>
        <w:trPr>
          <w:trHeight w:val="237"/>
        </w:trPr>
        <w:tc>
          <w:tcPr>
            <w:tcW w:w="8420" w:type="dxa"/>
            <w:vAlign w:val="bottom"/>
          </w:tcPr>
          <w:p>
            <w:pPr>
              <w:ind w:left="720"/>
              <w:spacing w:after="0"/>
              <w:rPr>
                <w:sz w:val="20"/>
                <w:szCs w:val="20"/>
                <w:color w:val="auto"/>
              </w:rPr>
            </w:pPr>
            <w:r>
              <w:rPr>
                <w:rFonts w:ascii="Arial" w:cs="Arial" w:eastAsia="Arial" w:hAnsi="Arial"/>
                <w:sz w:val="18"/>
                <w:szCs w:val="18"/>
                <w:color w:val="auto"/>
              </w:rPr>
              <w:t>Common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8,187,735</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6,810,428</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Series 1 preferred shares outstanding (2)</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Liquidation price per Series 1 preferred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25.00</w:t>
            </w:r>
          </w:p>
        </w:tc>
      </w:tr>
      <w:tr>
        <w:trPr>
          <w:trHeight w:val="237"/>
        </w:trPr>
        <w:tc>
          <w:tcPr>
            <w:tcW w:w="8420" w:type="dxa"/>
            <w:vAlign w:val="bottom"/>
          </w:tcPr>
          <w:p>
            <w:pPr>
              <w:ind w:left="720"/>
              <w:spacing w:after="0"/>
              <w:rPr>
                <w:sz w:val="20"/>
                <w:szCs w:val="20"/>
                <w:color w:val="auto"/>
              </w:rPr>
            </w:pPr>
            <w:r>
              <w:rPr>
                <w:rFonts w:ascii="Arial" w:cs="Arial" w:eastAsia="Arial" w:hAnsi="Arial"/>
                <w:sz w:val="18"/>
                <w:szCs w:val="18"/>
                <w:color w:val="auto"/>
              </w:rPr>
              <w:t>Series 1 preferred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10,000</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Equity market capitalization</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8,197,735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6,820,428</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Total debt (3)</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2,357,751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2,309,978</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r>
      <w:tr>
        <w:trPr>
          <w:trHeight w:val="297"/>
        </w:trPr>
        <w:tc>
          <w:tcPr>
            <w:tcW w:w="8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market capitalization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10,555,486</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9,130,406</w:t>
            </w:r>
          </w:p>
        </w:tc>
      </w:tr>
      <w:tr>
        <w:trPr>
          <w:trHeight w:val="271"/>
        </w:trPr>
        <w:tc>
          <w:tcPr>
            <w:tcW w:w="8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Total debt to market capitalization at the current market price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Fixed rate debt ratio:</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Fixed rate debt and capital lease obligations (4)</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8420" w:type="dxa"/>
            <w:vAlign w:val="bottom"/>
          </w:tcPr>
          <w:p>
            <w:pPr>
              <w:ind w:left="720"/>
              <w:spacing w:after="0"/>
              <w:rPr>
                <w:sz w:val="20"/>
                <w:szCs w:val="20"/>
                <w:color w:val="auto"/>
              </w:rPr>
            </w:pPr>
            <w:r>
              <w:rPr>
                <w:rFonts w:ascii="Arial" w:cs="Arial" w:eastAsia="Arial" w:hAnsi="Arial"/>
                <w:sz w:val="18"/>
                <w:szCs w:val="18"/>
                <w:color w:val="auto"/>
              </w:rPr>
              <w:t>Variable rate debt</w:t>
            </w:r>
          </w:p>
        </w:tc>
        <w:tc>
          <w:tcPr>
            <w:tcW w:w="2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&lt;1%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&lt;1%</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8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u w:val="single" w:color="auto"/>
          <w:color w:val="auto"/>
        </w:rPr>
        <w:t>Notes:</w:t>
      </w:r>
    </w:p>
    <w:p>
      <w:pPr>
        <w:spacing w:after="0" w:line="49"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Amounts do not include 917,255 and 286,032 Operating Partnership Units outstanding at June 30, 2014 and 2013,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right="220" w:hanging="652"/>
        <w:spacing w:after="0" w:line="308"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Total debt includes capital leases, mortgages payable, notes payable, senior notes and debentures, net of premiums and discounts, from our consolidated balance sheet. It does not include $13.5 million and $17.1 million at June 30, 2014 and 2013 respectively, which is the Trust's 30% share of the total mortgages payable of $44.9 million and $57.0 million at June 30, 2014 and 2013, respectively, of the partnership with a discretionary fund created and advised by ING Clarion Partners.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Fixed rate debt includes our $275.0 million term loan as the rate is effectively fixed by two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Rental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194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24"/>
                <w:szCs w:val="24"/>
                <w:color w:val="auto"/>
              </w:rPr>
            </w:pPr>
          </w:p>
        </w:tc>
      </w:tr>
      <w:tr>
        <w:trPr>
          <w:trHeight w:val="264"/>
        </w:trPr>
        <w:tc>
          <w:tcPr>
            <w:tcW w:w="66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r>
      <w:tr>
        <w:trPr>
          <w:trHeight w:val="250"/>
        </w:trPr>
        <w:tc>
          <w:tcPr>
            <w:tcW w:w="6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Retail and commercial (1)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116,840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112,669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6"/>
              <w:spacing w:after="0"/>
              <w:rPr>
                <w:sz w:val="20"/>
                <w:szCs w:val="20"/>
                <w:color w:val="auto"/>
              </w:rPr>
            </w:pPr>
            <w:r>
              <w:rPr>
                <w:rFonts w:ascii="Arial" w:cs="Arial" w:eastAsia="Arial" w:hAnsi="Arial"/>
                <w:sz w:val="18"/>
                <w:szCs w:val="18"/>
                <w:color w:val="auto"/>
                <w:w w:val="86"/>
              </w:rPr>
              <w:t>232,905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222,700</w:t>
            </w: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8,532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16,354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14,329</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28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32,158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28,658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69,617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59,486</w:t>
            </w:r>
          </w:p>
        </w:tc>
      </w:tr>
      <w:tr>
        <w:trPr>
          <w:trHeight w:val="27"/>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4,124</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2,808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2,732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5,532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5,189</w:t>
            </w:r>
          </w:p>
        </w:tc>
      </w:tr>
      <w:tr>
        <w:trPr>
          <w:trHeight w:val="27"/>
        </w:trPr>
        <w:tc>
          <w:tcPr>
            <w:tcW w:w="6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162,383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153,212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86"/>
              </w:rPr>
              <w:t>328,576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305,828</w:t>
            </w:r>
          </w:p>
        </w:tc>
      </w:tr>
      <w:tr>
        <w:trPr>
          <w:trHeight w:val="20"/>
        </w:trPr>
        <w:tc>
          <w:tcPr>
            <w:tcW w:w="6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right="40" w:hanging="652"/>
        <w:spacing w:after="0" w:line="25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Minimum rents include $1.1 million and $1.8 million for the three months ended June 30, 2014 and 2013, and $2.2 million and $2.6 million for the six months ended June 30, 2014 and 2013, respectively, to recognize minimum rents on a straight-line basis. In addition, minimum rents include $0.7 million and $0.8 million for the three months ended June 30, 2014 and 2013, and $1.2 million and $1.5 million for the six months ended June 30, 2014 and 2013, respectively, to recognize income from the amortization of in-place leases.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3" w:name="page14"/>
    <w:bookmarkEnd w:id="13"/>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Outstanding Debt and Capital Lease Obligations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2014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5"/>
          </w:tcPr>
          <w:p>
            <w:pPr>
              <w:ind w:left="1340"/>
              <w:spacing w:after="0"/>
              <w:rPr>
                <w:sz w:val="20"/>
                <w:szCs w:val="20"/>
                <w:color w:val="auto"/>
              </w:rPr>
            </w:pPr>
            <w:r>
              <w:rPr>
                <w:rFonts w:ascii="Arial" w:cs="Arial" w:eastAsia="Arial" w:hAnsi="Arial"/>
                <w:sz w:val="14"/>
                <w:szCs w:val="14"/>
                <w:b w:val="1"/>
                <w:bCs w:val="1"/>
                <w:color w:val="auto"/>
              </w:rPr>
              <w:t>As of June 30, 2014</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Stated maturity date</w:t>
            </w:r>
          </w:p>
        </w:tc>
        <w:tc>
          <w:tcPr>
            <w:tcW w:w="100" w:type="dxa"/>
            <w:vAlign w:val="bottom"/>
            <w:vMerge w:val="restart"/>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Stated interest rate</w:t>
            </w:r>
          </w:p>
        </w:tc>
        <w:tc>
          <w:tcPr>
            <w:tcW w:w="100" w:type="dxa"/>
            <w:vAlign w:val="bottom"/>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126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3"/>
              </w:rPr>
              <w:t>Balance</w:t>
            </w:r>
          </w:p>
        </w:tc>
        <w:tc>
          <w:tcPr>
            <w:tcW w:w="340" w:type="dxa"/>
            <w:vAlign w:val="bottom"/>
            <w:vMerge w:val="restart"/>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59"/>
              <w:spacing w:after="0" w:line="153"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effective rate (5)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(in thousands)</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w w:val="90"/>
              </w:rPr>
              <w:t>Mortgages Payable (1)</w:t>
            </w:r>
          </w:p>
        </w:tc>
        <w:tc>
          <w:tcPr>
            <w:tcW w:w="2160" w:type="dxa"/>
            <w:vAlign w:val="bottom"/>
            <w:tcBorders>
              <w:bottom w:val="single" w:sz="8" w:color="CCEEFF"/>
            </w:tcBorders>
            <w:gridSpan w:val="3"/>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i w:val="1"/>
                <w:iCs w:val="1"/>
                <w:color w:val="auto"/>
              </w:rPr>
              <w:t>Secured fixed rate</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THE AVENUE at White Marsh</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1/1/2015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53,418</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Barracks Road</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36,538</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Hauppauge</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13,774</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Lawrence Park</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25,898</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Wildwood</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22,764</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Wynnewood</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26,393</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Brick Plaza</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26,842</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East Bay Bridge</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3/1/2016</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61,474</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Plaza El Segundo</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8/5/2017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175,000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The Grove at Shrewsbury (East)</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10/1/2017</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44,980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The Grove at Shrewsbury (West)</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3/1/2018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11,346</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Rollingwood Apartments</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5/1/2019</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22,326</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29th Place</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1/31/2021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5,031</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Montrose Crossing</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1/10/2022</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4.20%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76,612</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Brook 35</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7/1/2029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11,500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Chelsea</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1/15/2031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7,172</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621,068</w:t>
            </w: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Net unamortized premium</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12,977</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Total mortgages payable</w:t>
            </w: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634,045</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5.36%</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6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Notes payable</w:t>
            </w: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i w:val="1"/>
                <w:iCs w:val="1"/>
                <w:color w:val="auto"/>
              </w:rPr>
              <w:t>Unsecured fixed rate</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Term loan (2)</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11/21/2018</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gridSpan w:val="3"/>
            <w:shd w:val="clear" w:color="auto" w:fill="CCEEFF"/>
          </w:tcPr>
          <w:p>
            <w:pPr>
              <w:jc w:val="center"/>
              <w:ind w:right="219"/>
              <w:spacing w:after="0"/>
              <w:rPr>
                <w:sz w:val="20"/>
                <w:szCs w:val="20"/>
                <w:color w:val="auto"/>
              </w:rPr>
            </w:pPr>
            <w:r>
              <w:rPr>
                <w:rFonts w:ascii="Arial" w:cs="Arial" w:eastAsia="Arial" w:hAnsi="Arial"/>
                <w:sz w:val="16"/>
                <w:szCs w:val="16"/>
                <w:color w:val="auto"/>
                <w:w w:val="96"/>
              </w:rPr>
              <w:t>LIBOR + 1.30%</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Various</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Various through 2028</w:t>
            </w: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11.31%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6,365</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i w:val="1"/>
                <w:iCs w:val="1"/>
                <w:color w:val="auto"/>
              </w:rPr>
              <w:t>Unsecured variable rate</w:t>
            </w: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Escondido (Municipal bonds) (3)</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10/1/2016</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0.09%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9,400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Revolving credit facility (4)</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4/21/2017</w:t>
            </w:r>
          </w:p>
        </w:tc>
        <w:tc>
          <w:tcPr>
            <w:tcW w:w="1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3"/>
            <w:shd w:val="clear" w:color="auto" w:fill="CCEEFF"/>
          </w:tcPr>
          <w:p>
            <w:pPr>
              <w:jc w:val="center"/>
              <w:ind w:right="219"/>
              <w:spacing w:after="0"/>
              <w:rPr>
                <w:sz w:val="20"/>
                <w:szCs w:val="20"/>
                <w:color w:val="auto"/>
              </w:rPr>
            </w:pPr>
            <w:r>
              <w:rPr>
                <w:rFonts w:ascii="Arial" w:cs="Arial" w:eastAsia="Arial" w:hAnsi="Arial"/>
                <w:sz w:val="16"/>
                <w:szCs w:val="16"/>
                <w:color w:val="auto"/>
                <w:w w:val="96"/>
              </w:rPr>
              <w:t>LIBOR + 0.90%</w:t>
            </w:r>
          </w:p>
        </w:tc>
        <w:tc>
          <w:tcPr>
            <w:tcW w:w="16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gridSpan w:val="5"/>
          </w:tcPr>
          <w:p>
            <w:pPr>
              <w:ind w:left="700"/>
              <w:spacing w:after="0"/>
              <w:rPr>
                <w:sz w:val="20"/>
                <w:szCs w:val="20"/>
                <w:color w:val="auto"/>
              </w:rPr>
            </w:pPr>
            <w:r>
              <w:rPr>
                <w:rFonts w:ascii="Arial" w:cs="Arial" w:eastAsia="Arial" w:hAnsi="Arial"/>
                <w:sz w:val="16"/>
                <w:szCs w:val="16"/>
                <w:color w:val="auto"/>
              </w:rPr>
              <w:t>Total notes payable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290,765</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3.30%</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w w:val="91"/>
              </w:rPr>
              <w:t>(6)</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60" w:type="dxa"/>
            <w:vAlign w:val="bottom"/>
            <w:gridSpan w:val="6"/>
          </w:tcPr>
          <w:p>
            <w:pPr>
              <w:ind w:left="20"/>
              <w:spacing w:after="0"/>
              <w:rPr>
                <w:sz w:val="20"/>
                <w:szCs w:val="20"/>
                <w:color w:val="auto"/>
              </w:rPr>
            </w:pPr>
            <w:r>
              <w:rPr>
                <w:rFonts w:ascii="Arial" w:cs="Arial" w:eastAsia="Arial" w:hAnsi="Arial"/>
                <w:sz w:val="16"/>
                <w:szCs w:val="16"/>
                <w:color w:val="auto"/>
              </w:rPr>
              <w:t>Senior notes and debentures</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8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i w:val="1"/>
                <w:iCs w:val="1"/>
                <w:color w:val="auto"/>
              </w:rPr>
              <w:t>Unsecured fixed rate</w:t>
            </w: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5.65%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6/1/2016</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125,000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6.20%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1/15/2017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200,000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5.90%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4/1/2020</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150,000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3.00%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8/1/2022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2.75%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6/1/2023</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2.75%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3.95%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1/15/2024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300,000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7.48% debentures</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8/15/2026</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29,200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6.82% medium term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8/1/2027</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gridSpan w:val="5"/>
          </w:tcPr>
          <w:p>
            <w:pPr>
              <w:ind w:left="700"/>
              <w:spacing w:after="0"/>
              <w:rPr>
                <w:sz w:val="20"/>
                <w:szCs w:val="20"/>
                <w:color w:val="auto"/>
              </w:rPr>
            </w:pPr>
            <w:r>
              <w:rPr>
                <w:rFonts w:ascii="Arial" w:cs="Arial" w:eastAsia="Arial" w:hAnsi="Arial"/>
                <w:sz w:val="16"/>
                <w:szCs w:val="16"/>
                <w:color w:val="auto"/>
              </w:rPr>
              <w:t>Subtotal</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1,369,200</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Net unamortized discount</w:t>
            </w:r>
          </w:p>
        </w:tc>
        <w:tc>
          <w:tcPr>
            <w:tcW w:w="1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(7,918)</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gridSpan w:val="5"/>
          </w:tcPr>
          <w:p>
            <w:pPr>
              <w:ind w:left="700"/>
              <w:spacing w:after="0"/>
              <w:rPr>
                <w:sz w:val="20"/>
                <w:szCs w:val="20"/>
                <w:color w:val="auto"/>
              </w:rPr>
            </w:pPr>
            <w:r>
              <w:rPr>
                <w:rFonts w:ascii="Arial" w:cs="Arial" w:eastAsia="Arial" w:hAnsi="Arial"/>
                <w:sz w:val="16"/>
                <w:szCs w:val="16"/>
                <w:color w:val="auto"/>
              </w:rPr>
              <w:t>Total senior notes and debentures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1,361,282</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4.55%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60" w:type="dxa"/>
            <w:vAlign w:val="bottom"/>
            <w:gridSpan w:val="6"/>
          </w:tcPr>
          <w:p>
            <w:pPr>
              <w:ind w:left="20"/>
              <w:spacing w:after="0"/>
              <w:rPr>
                <w:sz w:val="20"/>
                <w:szCs w:val="20"/>
                <w:color w:val="auto"/>
              </w:rPr>
            </w:pPr>
            <w:r>
              <w:rPr>
                <w:rFonts w:ascii="Arial" w:cs="Arial" w:eastAsia="Arial" w:hAnsi="Arial"/>
                <w:sz w:val="16"/>
                <w:szCs w:val="16"/>
                <w:color w:val="auto"/>
              </w:rPr>
              <w:t>Capital lease obligations</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Various</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Various through 2106</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Various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71,659</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8.04%</w:t>
            </w: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660" w:type="dxa"/>
            <w:vAlign w:val="bottom"/>
            <w:tcBorders>
              <w:bottom w:val="single" w:sz="8" w:color="CCEEFF"/>
            </w:tcBorders>
            <w:gridSpan w:val="6"/>
          </w:tcPr>
          <w:p>
            <w:pPr>
              <w:ind w:left="20"/>
              <w:spacing w:after="0"/>
              <w:rPr>
                <w:sz w:val="20"/>
                <w:szCs w:val="20"/>
                <w:color w:val="auto"/>
              </w:rPr>
            </w:pPr>
            <w:r>
              <w:rPr>
                <w:rFonts w:ascii="Arial" w:cs="Arial" w:eastAsia="Arial" w:hAnsi="Arial"/>
                <w:sz w:val="16"/>
                <w:szCs w:val="16"/>
                <w:color w:val="auto"/>
              </w:rPr>
              <w:t>Total debt and capital lease obligations</w:t>
            </w:r>
          </w:p>
        </w:tc>
        <w:tc>
          <w:tcPr>
            <w:tcW w:w="1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gridSpan w:val="2"/>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2,357,751</w:t>
            </w:r>
          </w:p>
        </w:tc>
        <w:tc>
          <w:tcPr>
            <w:tcW w:w="3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60" w:type="dxa"/>
            <w:vAlign w:val="bottom"/>
            <w:gridSpan w:val="6"/>
          </w:tcPr>
          <w:p>
            <w:pPr>
              <w:ind w:left="20"/>
              <w:spacing w:after="0"/>
              <w:rPr>
                <w:sz w:val="20"/>
                <w:szCs w:val="20"/>
                <w:color w:val="auto"/>
              </w:rPr>
            </w:pPr>
            <w:r>
              <w:rPr>
                <w:rFonts w:ascii="Arial" w:cs="Arial" w:eastAsia="Arial" w:hAnsi="Arial"/>
                <w:sz w:val="16"/>
                <w:szCs w:val="16"/>
                <w:color w:val="auto"/>
              </w:rPr>
              <w:t>Total fixed rate debt and capital lease obligations</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2,348,351</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4.73%</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6"/>
                <w:szCs w:val="16"/>
                <w:color w:val="auto"/>
              </w:rPr>
              <w:t>Total variable rate debt</w:t>
            </w:r>
          </w:p>
        </w:tc>
        <w:tc>
          <w:tcPr>
            <w:tcW w:w="1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9,400</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&lt;1%</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1.29%</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91"/>
              </w:rPr>
              <w:t>(6)</w:t>
            </w:r>
          </w:p>
        </w:tc>
        <w:tc>
          <w:tcPr>
            <w:tcW w:w="0" w:type="dxa"/>
            <w:vAlign w:val="bottom"/>
          </w:tcPr>
          <w:p>
            <w:pPr>
              <w:spacing w:after="0"/>
              <w:rPr>
                <w:sz w:val="1"/>
                <w:szCs w:val="1"/>
                <w:color w:val="auto"/>
              </w:rPr>
            </w:pPr>
          </w:p>
        </w:tc>
      </w:tr>
      <w:tr>
        <w:trPr>
          <w:trHeight w:val="244"/>
        </w:trPr>
        <w:tc>
          <w:tcPr>
            <w:tcW w:w="3660" w:type="dxa"/>
            <w:vAlign w:val="bottom"/>
            <w:gridSpan w:val="6"/>
          </w:tcPr>
          <w:p>
            <w:pPr>
              <w:ind w:left="20"/>
              <w:spacing w:after="0"/>
              <w:rPr>
                <w:sz w:val="20"/>
                <w:szCs w:val="20"/>
                <w:color w:val="auto"/>
              </w:rPr>
            </w:pPr>
            <w:r>
              <w:rPr>
                <w:rFonts w:ascii="Arial" w:cs="Arial" w:eastAsia="Arial" w:hAnsi="Arial"/>
                <w:sz w:val="16"/>
                <w:szCs w:val="16"/>
                <w:color w:val="auto"/>
              </w:rPr>
              <w:t>Total debt and capital lease obligations</w:t>
            </w: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2"/>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2,357,751</w:t>
            </w:r>
          </w:p>
        </w:tc>
        <w:tc>
          <w:tcPr>
            <w:tcW w:w="34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color w:val="auto"/>
              </w:rPr>
              <w:t>4.72%</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w w:val="91"/>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60" w:top="747" w:right="239" w:bottom="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019"/>
          </w:cols>
          <w:pgMar w:left="1440" w:top="368" w:right="1440" w:bottom="1440" w:gutter="0" w:footer="0" w:header="0"/>
        </w:sectPr>
      </w:pPr>
    </w:p>
    <w:bookmarkStart w:id="15" w:name="page16"/>
    <w:bookmarkEnd w:id="15"/>
    <w:p>
      <w:pPr>
        <w:jc w:val="center"/>
        <w:ind w:left="7960"/>
        <w:spacing w:after="0"/>
        <w:rPr>
          <w:sz w:val="20"/>
          <w:szCs w:val="20"/>
          <w:color w:val="auto"/>
        </w:rPr>
      </w:pPr>
      <w:r>
        <w:rPr>
          <w:rFonts w:ascii="Arial" w:cs="Arial" w:eastAsia="Arial" w:hAnsi="Arial"/>
          <w:sz w:val="13"/>
          <w:szCs w:val="13"/>
          <w:b w:val="1"/>
          <w:bCs w:val="1"/>
          <w:color w:val="auto"/>
        </w:rPr>
        <w:t>Three Months Ended</w:t>
      </w:r>
    </w:p>
    <w:p>
      <w:pPr>
        <w:spacing w:after="0" w:line="121" w:lineRule="exact"/>
        <w:rPr>
          <w:sz w:val="20"/>
          <w:szCs w:val="20"/>
          <w:color w:val="auto"/>
        </w:rPr>
      </w:pPr>
    </w:p>
    <w:p>
      <w:pPr>
        <w:jc w:val="center"/>
        <w:ind w:left="79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23495</wp:posOffset>
            </wp:positionV>
            <wp:extent cx="11836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89" w:lineRule="exact"/>
        <w:rPr>
          <w:sz w:val="20"/>
          <w:szCs w:val="20"/>
          <w:color w:val="auto"/>
        </w:rPr>
      </w:pPr>
    </w:p>
    <w:p>
      <w:pPr>
        <w:ind w:left="8000"/>
        <w:spacing w:after="0"/>
        <w:tabs>
          <w:tab w:leader="none" w:pos="892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br w:type="column"/>
      </w:r>
    </w:p>
    <w:p>
      <w:pPr>
        <w:jc w:val="center"/>
        <w:ind w:right="280"/>
        <w:spacing w:after="0"/>
        <w:rPr>
          <w:sz w:val="20"/>
          <w:szCs w:val="20"/>
          <w:color w:val="auto"/>
        </w:rPr>
      </w:pPr>
      <w:r>
        <w:rPr>
          <w:rFonts w:ascii="Arial" w:cs="Arial" w:eastAsia="Arial" w:hAnsi="Arial"/>
          <w:sz w:val="13"/>
          <w:szCs w:val="13"/>
          <w:b w:val="1"/>
          <w:bCs w:val="1"/>
          <w:color w:val="auto"/>
        </w:rPr>
        <w:t>Six Months Ended</w:t>
      </w:r>
    </w:p>
    <w:p>
      <w:pPr>
        <w:spacing w:after="0" w:line="121"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23495</wp:posOffset>
            </wp:positionV>
            <wp:extent cx="11322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89" w:lineRule="exact"/>
        <w:rPr>
          <w:sz w:val="20"/>
          <w:szCs w:val="20"/>
          <w:color w:val="auto"/>
        </w:rPr>
      </w:pPr>
    </w:p>
    <w:p>
      <w:pPr>
        <w:spacing w:after="0"/>
        <w:tabs>
          <w:tab w:leader="none" w:pos="860" w:val="left"/>
        </w:tabs>
        <w:rPr>
          <w:sz w:val="20"/>
          <w:szCs w:val="20"/>
          <w:color w:val="auto"/>
        </w:rPr>
      </w:pPr>
      <w:r>
        <w:rPr>
          <w:rFonts w:ascii="Arial" w:cs="Arial" w:eastAsia="Arial" w:hAnsi="Arial"/>
          <w:sz w:val="13"/>
          <w:szCs w:val="13"/>
          <w:b w:val="1"/>
          <w:bCs w:val="1"/>
          <w:color w:val="auto"/>
        </w:rPr>
        <w:t>2014</w:t>
      </w:r>
      <w:r>
        <w:rPr>
          <w:sz w:val="20"/>
          <w:szCs w:val="20"/>
          <w:color w:val="auto"/>
        </w:rPr>
        <w:tab/>
      </w:r>
      <w:r>
        <w:rPr>
          <w:rFonts w:ascii="Arial" w:cs="Arial" w:eastAsia="Arial" w:hAnsi="Arial"/>
          <w:sz w:val="13"/>
          <w:szCs w:val="13"/>
          <w:b w:val="1"/>
          <w:bCs w:val="1"/>
          <w:color w:val="auto"/>
        </w:rPr>
        <w:t>2013</w:t>
      </w:r>
    </w:p>
    <w:p>
      <w:pPr>
        <w:spacing w:after="0" w:line="36" w:lineRule="exact"/>
        <w:rPr>
          <w:sz w:val="20"/>
          <w:szCs w:val="20"/>
          <w:color w:val="auto"/>
        </w:rPr>
      </w:pPr>
    </w:p>
    <w:p>
      <w:pPr>
        <w:sectPr>
          <w:pgSz w:w="11900" w:h="16838" w:orient="portrait"/>
          <w:cols w:equalWidth="0" w:num="2">
            <w:col w:w="9260" w:space="700"/>
            <w:col w:w="1460"/>
          </w:cols>
          <w:pgMar w:left="240" w:top="806" w:right="239" w:bottom="1440" w:gutter="0" w:footer="0" w:header="0"/>
        </w:sectPr>
      </w:pPr>
    </w:p>
    <w:tbl>
      <w:tblPr>
        <w:tblLayout w:type="fixed"/>
        <w:tblInd w:w="0" w:type="dxa"/>
        <w:tblCellMar>
          <w:top w:w="0" w:type="dxa"/>
          <w:left w:w="0" w:type="dxa"/>
          <w:bottom w:w="0" w:type="dxa"/>
          <w:right w:w="0" w:type="dxa"/>
        </w:tblCellMar>
      </w:tblPr>
      <w:tr>
        <w:trPr>
          <w:trHeight w:val="208"/>
        </w:trPr>
        <w:tc>
          <w:tcPr>
            <w:tcW w:w="766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Operational Statistics</w:t>
            </w:r>
          </w:p>
        </w:tc>
        <w:tc>
          <w:tcPr>
            <w:tcW w:w="6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auto"/>
            </w:tcBorders>
            <w:shd w:val="clear" w:color="auto" w:fill="CCEEFF"/>
          </w:tcPr>
          <w:p>
            <w:pPr>
              <w:spacing w:after="0"/>
              <w:rPr>
                <w:sz w:val="4"/>
                <w:szCs w:val="4"/>
                <w:color w:val="auto"/>
              </w:rPr>
            </w:pPr>
          </w:p>
        </w:tc>
        <w:tc>
          <w:tcPr>
            <w:tcW w:w="62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37"/>
        </w:trPr>
        <w:tc>
          <w:tcPr>
            <w:tcW w:w="7660" w:type="dxa"/>
            <w:vAlign w:val="bottom"/>
            <w:gridSpan w:val="3"/>
          </w:tcPr>
          <w:p>
            <w:pPr>
              <w:ind w:left="40"/>
              <w:spacing w:after="0"/>
              <w:rPr>
                <w:sz w:val="20"/>
                <w:szCs w:val="20"/>
                <w:color w:val="auto"/>
              </w:rPr>
            </w:pPr>
            <w:r>
              <w:rPr>
                <w:rFonts w:ascii="Arial" w:cs="Arial" w:eastAsia="Arial" w:hAnsi="Arial"/>
                <w:sz w:val="16"/>
                <w:szCs w:val="16"/>
                <w:color w:val="auto"/>
              </w:rPr>
              <w:t>Excluding early extinguishment of 5.40% senior notes in 2013:</w:t>
            </w: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Ratio of EBITDA to combined fixed charges and preferred share dividends (7) (8)</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x</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3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x</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x</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x</w:t>
            </w:r>
          </w:p>
        </w:tc>
      </w:tr>
      <w:tr>
        <w:trPr>
          <w:trHeight w:val="237"/>
        </w:trPr>
        <w:tc>
          <w:tcPr>
            <w:tcW w:w="40" w:type="dxa"/>
            <w:vAlign w:val="bottom"/>
          </w:tcPr>
          <w:p>
            <w:pPr>
              <w:spacing w:after="0"/>
              <w:rPr>
                <w:sz w:val="20"/>
                <w:szCs w:val="20"/>
                <w:color w:val="auto"/>
              </w:rPr>
            </w:pPr>
          </w:p>
        </w:tc>
        <w:tc>
          <w:tcPr>
            <w:tcW w:w="7620" w:type="dxa"/>
            <w:vAlign w:val="bottom"/>
            <w:gridSpan w:val="2"/>
          </w:tcPr>
          <w:p>
            <w:pPr>
              <w:ind w:left="340"/>
              <w:spacing w:after="0"/>
              <w:rPr>
                <w:sz w:val="20"/>
                <w:szCs w:val="20"/>
                <w:color w:val="auto"/>
              </w:rPr>
            </w:pPr>
            <w:r>
              <w:rPr>
                <w:rFonts w:ascii="Arial" w:cs="Arial" w:eastAsia="Arial" w:hAnsi="Arial"/>
                <w:sz w:val="16"/>
                <w:szCs w:val="16"/>
                <w:color w:val="auto"/>
              </w:rPr>
              <w:t>Ratio of adjusted EBITDA to combined fixed charges and preferred share dividends (7) (8)</w:t>
            </w:r>
          </w:p>
        </w:tc>
        <w:tc>
          <w:tcPr>
            <w:tcW w:w="660" w:type="dxa"/>
            <w:vAlign w:val="bottom"/>
          </w:tcPr>
          <w:p>
            <w:pPr>
              <w:jc w:val="right"/>
              <w:spacing w:after="0"/>
              <w:rPr>
                <w:sz w:val="20"/>
                <w:szCs w:val="20"/>
                <w:color w:val="auto"/>
              </w:rPr>
            </w:pPr>
            <w:r>
              <w:rPr>
                <w:rFonts w:ascii="Arial" w:cs="Arial" w:eastAsia="Arial" w:hAnsi="Arial"/>
                <w:sz w:val="16"/>
                <w:szCs w:val="16"/>
                <w:color w:val="auto"/>
              </w:rPr>
              <w:t>3.78</w:t>
            </w:r>
          </w:p>
        </w:tc>
        <w:tc>
          <w:tcPr>
            <w:tcW w:w="360" w:type="dxa"/>
            <w:vAlign w:val="bottom"/>
          </w:tcPr>
          <w:p>
            <w:pPr>
              <w:ind w:left="80"/>
              <w:spacing w:after="0"/>
              <w:rPr>
                <w:sz w:val="20"/>
                <w:szCs w:val="20"/>
                <w:color w:val="auto"/>
              </w:rPr>
            </w:pPr>
            <w:r>
              <w:rPr>
                <w:rFonts w:ascii="Arial" w:cs="Arial" w:eastAsia="Arial" w:hAnsi="Arial"/>
                <w:sz w:val="16"/>
                <w:szCs w:val="16"/>
                <w:color w:val="auto"/>
              </w:rPr>
              <w:t>x</w:t>
            </w:r>
          </w:p>
        </w:tc>
        <w:tc>
          <w:tcPr>
            <w:tcW w:w="580" w:type="dxa"/>
            <w:vAlign w:val="bottom"/>
          </w:tcPr>
          <w:p>
            <w:pPr>
              <w:jc w:val="right"/>
              <w:spacing w:after="0"/>
              <w:rPr>
                <w:sz w:val="20"/>
                <w:szCs w:val="20"/>
                <w:color w:val="auto"/>
              </w:rPr>
            </w:pPr>
            <w:r>
              <w:rPr>
                <w:rFonts w:ascii="Arial" w:cs="Arial" w:eastAsia="Arial" w:hAnsi="Arial"/>
                <w:sz w:val="16"/>
                <w:szCs w:val="16"/>
                <w:color w:val="auto"/>
              </w:rPr>
              <w:t>3.34</w:t>
            </w:r>
          </w:p>
        </w:tc>
        <w:tc>
          <w:tcPr>
            <w:tcW w:w="380" w:type="dxa"/>
            <w:vAlign w:val="bottom"/>
            <w:gridSpan w:val="2"/>
          </w:tcPr>
          <w:p>
            <w:pPr>
              <w:ind w:left="60"/>
              <w:spacing w:after="0"/>
              <w:rPr>
                <w:sz w:val="20"/>
                <w:szCs w:val="20"/>
                <w:color w:val="auto"/>
              </w:rPr>
            </w:pPr>
            <w:r>
              <w:rPr>
                <w:rFonts w:ascii="Arial" w:cs="Arial" w:eastAsia="Arial" w:hAnsi="Arial"/>
                <w:sz w:val="16"/>
                <w:szCs w:val="16"/>
                <w:color w:val="auto"/>
              </w:rPr>
              <w:t>x</w:t>
            </w:r>
          </w:p>
        </w:tc>
        <w:tc>
          <w:tcPr>
            <w:tcW w:w="640" w:type="dxa"/>
            <w:vAlign w:val="bottom"/>
          </w:tcPr>
          <w:p>
            <w:pPr>
              <w:jc w:val="right"/>
              <w:spacing w:after="0"/>
              <w:rPr>
                <w:sz w:val="20"/>
                <w:szCs w:val="20"/>
                <w:color w:val="auto"/>
              </w:rPr>
            </w:pPr>
            <w:r>
              <w:rPr>
                <w:rFonts w:ascii="Arial" w:cs="Arial" w:eastAsia="Arial" w:hAnsi="Arial"/>
                <w:sz w:val="16"/>
                <w:szCs w:val="16"/>
                <w:color w:val="auto"/>
              </w:rPr>
              <w:t>3.74</w:t>
            </w:r>
          </w:p>
        </w:tc>
        <w:tc>
          <w:tcPr>
            <w:tcW w:w="340" w:type="dxa"/>
            <w:vAlign w:val="bottom"/>
          </w:tcPr>
          <w:p>
            <w:pPr>
              <w:ind w:left="60"/>
              <w:spacing w:after="0"/>
              <w:rPr>
                <w:sz w:val="20"/>
                <w:szCs w:val="20"/>
                <w:color w:val="auto"/>
              </w:rPr>
            </w:pPr>
            <w:r>
              <w:rPr>
                <w:rFonts w:ascii="Arial" w:cs="Arial" w:eastAsia="Arial" w:hAnsi="Arial"/>
                <w:sz w:val="16"/>
                <w:szCs w:val="16"/>
                <w:color w:val="auto"/>
              </w:rPr>
              <w:t>x</w:t>
            </w:r>
          </w:p>
        </w:tc>
        <w:tc>
          <w:tcPr>
            <w:tcW w:w="540" w:type="dxa"/>
            <w:vAlign w:val="bottom"/>
          </w:tcPr>
          <w:p>
            <w:pPr>
              <w:jc w:val="right"/>
              <w:spacing w:after="0"/>
              <w:rPr>
                <w:sz w:val="20"/>
                <w:szCs w:val="20"/>
                <w:color w:val="auto"/>
              </w:rPr>
            </w:pPr>
            <w:r>
              <w:rPr>
                <w:rFonts w:ascii="Arial" w:cs="Arial" w:eastAsia="Arial" w:hAnsi="Arial"/>
                <w:sz w:val="16"/>
                <w:szCs w:val="16"/>
                <w:color w:val="auto"/>
              </w:rPr>
              <w:t>3.37</w:t>
            </w:r>
          </w:p>
        </w:tc>
        <w:tc>
          <w:tcPr>
            <w:tcW w:w="260" w:type="dxa"/>
            <w:vAlign w:val="bottom"/>
          </w:tcPr>
          <w:p>
            <w:pPr>
              <w:ind w:left="80"/>
              <w:spacing w:after="0"/>
              <w:rPr>
                <w:sz w:val="20"/>
                <w:szCs w:val="20"/>
                <w:color w:val="auto"/>
              </w:rPr>
            </w:pPr>
            <w:r>
              <w:rPr>
                <w:rFonts w:ascii="Arial" w:cs="Arial" w:eastAsia="Arial" w:hAnsi="Arial"/>
                <w:sz w:val="16"/>
                <w:szCs w:val="16"/>
                <w:color w:val="auto"/>
              </w:rPr>
              <w:t>x</w:t>
            </w:r>
          </w:p>
        </w:tc>
      </w:tr>
      <w:tr>
        <w:trPr>
          <w:trHeight w:val="33"/>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Including early extinguishment of 5.40% senior notes in 2013:</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7620" w:type="dxa"/>
            <w:vAlign w:val="bottom"/>
            <w:gridSpan w:val="2"/>
          </w:tcPr>
          <w:p>
            <w:pPr>
              <w:ind w:left="340"/>
              <w:spacing w:after="0"/>
              <w:rPr>
                <w:sz w:val="20"/>
                <w:szCs w:val="20"/>
                <w:color w:val="auto"/>
              </w:rPr>
            </w:pPr>
            <w:r>
              <w:rPr>
                <w:rFonts w:ascii="Arial" w:cs="Arial" w:eastAsia="Arial" w:hAnsi="Arial"/>
                <w:sz w:val="16"/>
                <w:szCs w:val="16"/>
                <w:color w:val="auto"/>
              </w:rPr>
              <w:t>Ratio of EBITDA to combined fixed charges and preferred share dividends (7)</w:t>
            </w:r>
          </w:p>
        </w:tc>
        <w:tc>
          <w:tcPr>
            <w:tcW w:w="660" w:type="dxa"/>
            <w:vAlign w:val="bottom"/>
          </w:tcPr>
          <w:p>
            <w:pPr>
              <w:jc w:val="right"/>
              <w:spacing w:after="0"/>
              <w:rPr>
                <w:sz w:val="20"/>
                <w:szCs w:val="20"/>
                <w:color w:val="auto"/>
              </w:rPr>
            </w:pPr>
            <w:r>
              <w:rPr>
                <w:rFonts w:ascii="Arial" w:cs="Arial" w:eastAsia="Arial" w:hAnsi="Arial"/>
                <w:sz w:val="16"/>
                <w:szCs w:val="16"/>
                <w:color w:val="auto"/>
              </w:rPr>
              <w:t>3.78</w:t>
            </w:r>
          </w:p>
        </w:tc>
        <w:tc>
          <w:tcPr>
            <w:tcW w:w="360" w:type="dxa"/>
            <w:vAlign w:val="bottom"/>
          </w:tcPr>
          <w:p>
            <w:pPr>
              <w:ind w:left="80"/>
              <w:spacing w:after="0"/>
              <w:rPr>
                <w:sz w:val="20"/>
                <w:szCs w:val="20"/>
                <w:color w:val="auto"/>
              </w:rPr>
            </w:pPr>
            <w:r>
              <w:rPr>
                <w:rFonts w:ascii="Arial" w:cs="Arial" w:eastAsia="Arial" w:hAnsi="Arial"/>
                <w:sz w:val="16"/>
                <w:szCs w:val="16"/>
                <w:color w:val="auto"/>
              </w:rPr>
              <w:t>x</w:t>
            </w:r>
          </w:p>
        </w:tc>
        <w:tc>
          <w:tcPr>
            <w:tcW w:w="580" w:type="dxa"/>
            <w:vAlign w:val="bottom"/>
          </w:tcPr>
          <w:p>
            <w:pPr>
              <w:jc w:val="right"/>
              <w:spacing w:after="0"/>
              <w:rPr>
                <w:sz w:val="20"/>
                <w:szCs w:val="20"/>
                <w:color w:val="auto"/>
              </w:rPr>
            </w:pPr>
            <w:r>
              <w:rPr>
                <w:rFonts w:ascii="Arial" w:cs="Arial" w:eastAsia="Arial" w:hAnsi="Arial"/>
                <w:sz w:val="16"/>
                <w:szCs w:val="16"/>
                <w:color w:val="auto"/>
              </w:rPr>
              <w:t>3.15</w:t>
            </w:r>
          </w:p>
        </w:tc>
        <w:tc>
          <w:tcPr>
            <w:tcW w:w="380" w:type="dxa"/>
            <w:vAlign w:val="bottom"/>
            <w:gridSpan w:val="2"/>
          </w:tcPr>
          <w:p>
            <w:pPr>
              <w:ind w:left="60"/>
              <w:spacing w:after="0"/>
              <w:rPr>
                <w:sz w:val="20"/>
                <w:szCs w:val="20"/>
                <w:color w:val="auto"/>
              </w:rPr>
            </w:pPr>
            <w:r>
              <w:rPr>
                <w:rFonts w:ascii="Arial" w:cs="Arial" w:eastAsia="Arial" w:hAnsi="Arial"/>
                <w:sz w:val="16"/>
                <w:szCs w:val="16"/>
                <w:color w:val="auto"/>
              </w:rPr>
              <w:t>x</w:t>
            </w:r>
          </w:p>
        </w:tc>
        <w:tc>
          <w:tcPr>
            <w:tcW w:w="640" w:type="dxa"/>
            <w:vAlign w:val="bottom"/>
          </w:tcPr>
          <w:p>
            <w:pPr>
              <w:jc w:val="right"/>
              <w:spacing w:after="0"/>
              <w:rPr>
                <w:sz w:val="20"/>
                <w:szCs w:val="20"/>
                <w:color w:val="auto"/>
              </w:rPr>
            </w:pPr>
            <w:r>
              <w:rPr>
                <w:rFonts w:ascii="Arial" w:cs="Arial" w:eastAsia="Arial" w:hAnsi="Arial"/>
                <w:sz w:val="16"/>
                <w:szCs w:val="16"/>
                <w:color w:val="auto"/>
              </w:rPr>
              <w:t>3.74</w:t>
            </w:r>
          </w:p>
        </w:tc>
        <w:tc>
          <w:tcPr>
            <w:tcW w:w="340" w:type="dxa"/>
            <w:vAlign w:val="bottom"/>
          </w:tcPr>
          <w:p>
            <w:pPr>
              <w:ind w:left="60"/>
              <w:spacing w:after="0"/>
              <w:rPr>
                <w:sz w:val="20"/>
                <w:szCs w:val="20"/>
                <w:color w:val="auto"/>
              </w:rPr>
            </w:pPr>
            <w:r>
              <w:rPr>
                <w:rFonts w:ascii="Arial" w:cs="Arial" w:eastAsia="Arial" w:hAnsi="Arial"/>
                <w:sz w:val="16"/>
                <w:szCs w:val="16"/>
                <w:color w:val="auto"/>
              </w:rPr>
              <w:t>x</w:t>
            </w:r>
          </w:p>
        </w:tc>
        <w:tc>
          <w:tcPr>
            <w:tcW w:w="540" w:type="dxa"/>
            <w:vAlign w:val="bottom"/>
          </w:tcPr>
          <w:p>
            <w:pPr>
              <w:jc w:val="right"/>
              <w:spacing w:after="0"/>
              <w:rPr>
                <w:sz w:val="20"/>
                <w:szCs w:val="20"/>
                <w:color w:val="auto"/>
              </w:rPr>
            </w:pPr>
            <w:r>
              <w:rPr>
                <w:rFonts w:ascii="Arial" w:cs="Arial" w:eastAsia="Arial" w:hAnsi="Arial"/>
                <w:sz w:val="16"/>
                <w:szCs w:val="16"/>
                <w:color w:val="auto"/>
              </w:rPr>
              <w:t>3.27</w:t>
            </w:r>
          </w:p>
        </w:tc>
        <w:tc>
          <w:tcPr>
            <w:tcW w:w="260" w:type="dxa"/>
            <w:vAlign w:val="bottom"/>
          </w:tcPr>
          <w:p>
            <w:pPr>
              <w:ind w:left="80"/>
              <w:spacing w:after="0"/>
              <w:rPr>
                <w:sz w:val="20"/>
                <w:szCs w:val="20"/>
                <w:color w:val="auto"/>
              </w:rPr>
            </w:pPr>
            <w:r>
              <w:rPr>
                <w:rFonts w:ascii="Arial" w:cs="Arial" w:eastAsia="Arial" w:hAnsi="Arial"/>
                <w:sz w:val="16"/>
                <w:szCs w:val="16"/>
                <w:color w:val="auto"/>
              </w:rPr>
              <w:t>x</w:t>
            </w:r>
          </w:p>
        </w:tc>
      </w:tr>
      <w:tr>
        <w:trPr>
          <w:trHeight w:val="33"/>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37"/>
        </w:trPr>
        <w:tc>
          <w:tcPr>
            <w:tcW w:w="40" w:type="dxa"/>
            <w:vAlign w:val="bottom"/>
            <w:shd w:val="clear" w:color="auto" w:fill="CCEEFF"/>
          </w:tcPr>
          <w:p>
            <w:pPr>
              <w:spacing w:after="0"/>
              <w:rPr>
                <w:sz w:val="20"/>
                <w:szCs w:val="20"/>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Ratio of adjusted EBITDA to combined fixed charges and preferred share dividends (7)</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x</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x</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340" w:type="dxa"/>
            <w:vAlign w:val="bottom"/>
            <w:shd w:val="clear" w:color="auto" w:fill="CCEEFF"/>
          </w:tcPr>
          <w:p>
            <w:pPr>
              <w:ind w:left="60"/>
              <w:spacing w:after="0"/>
              <w:rPr>
                <w:sz w:val="20"/>
                <w:szCs w:val="20"/>
                <w:color w:val="auto"/>
              </w:rPr>
            </w:pPr>
            <w:r>
              <w:rPr>
                <w:rFonts w:ascii="Arial" w:cs="Arial" w:eastAsia="Arial" w:hAnsi="Arial"/>
                <w:sz w:val="16"/>
                <w:szCs w:val="16"/>
                <w:color w:val="auto"/>
              </w:rPr>
              <w:t>x</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x</w:t>
            </w:r>
          </w:p>
        </w:tc>
      </w:tr>
      <w:tr>
        <w:trPr>
          <w:trHeight w:val="33"/>
        </w:trPr>
        <w:tc>
          <w:tcPr>
            <w:tcW w:w="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6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Mortgages payable do not include our 30% share ($13.5 million) of the $44.9 million debt of the partnership with a discretionary fund created and advised by ING Clarion Partners.</w:t>
      </w:r>
    </w:p>
    <w:p>
      <w:pPr>
        <w:spacing w:after="0" w:line="66" w:lineRule="exact"/>
        <w:rPr>
          <w:rFonts w:ascii="Arial" w:cs="Arial" w:eastAsia="Arial" w:hAnsi="Arial"/>
          <w:sz w:val="13"/>
          <w:szCs w:val="13"/>
          <w:color w:val="auto"/>
        </w:rPr>
      </w:pPr>
    </w:p>
    <w:p>
      <w:pPr>
        <w:ind w:left="660" w:right="16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entered into two interest rate swap agreements to fix the variable rate portion of our $275.0 million term loan at 1.72% through November 1, 2018. The swap agreements effectively fix the rate on the term loan at 3.02% and thus, the loan is included in fixed rate debt.</w:t>
      </w:r>
    </w:p>
    <w:p>
      <w:pPr>
        <w:spacing w:after="0" w:line="11" w:lineRule="exact"/>
        <w:rPr>
          <w:rFonts w:ascii="Arial" w:cs="Arial" w:eastAsia="Arial" w:hAnsi="Arial"/>
          <w:sz w:val="14"/>
          <w:szCs w:val="14"/>
          <w:color w:val="auto"/>
        </w:rPr>
      </w:pPr>
    </w:p>
    <w:p>
      <w:pPr>
        <w:ind w:left="660" w:right="36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spacing w:after="0" w:line="11" w:lineRule="exact"/>
        <w:rPr>
          <w:rFonts w:ascii="Arial" w:cs="Arial" w:eastAsia="Arial" w:hAnsi="Arial"/>
          <w:sz w:val="14"/>
          <w:szCs w:val="14"/>
          <w:color w:val="auto"/>
        </w:rPr>
      </w:pPr>
    </w:p>
    <w:p>
      <w:pPr>
        <w:ind w:left="66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maximum amount drawn under our revolving credit facility during the six months ended June 30, 2014 was $19.0 million, and the weighted average interest rate on borrowings under our revolving credit facility, before amortization of debt fees, was 1.05%.</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weighted average effective interest rate includes the amortization of any deferred financing fees, discounts and premiums, if applicable, except as described in Note 6.</w:t>
      </w:r>
    </w:p>
    <w:p>
      <w:pPr>
        <w:spacing w:after="0" w:line="55" w:lineRule="exact"/>
        <w:rPr>
          <w:rFonts w:ascii="Arial" w:cs="Arial" w:eastAsia="Arial" w:hAnsi="Arial"/>
          <w:sz w:val="14"/>
          <w:szCs w:val="14"/>
          <w:color w:val="auto"/>
        </w:rPr>
      </w:pPr>
    </w:p>
    <w:p>
      <w:pPr>
        <w:ind w:left="660" w:right="80" w:hanging="652"/>
        <w:spacing w:after="0" w:line="257"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$0.5 million in quarterly financing fees and quarterly debt fee amortization on our revolving credit facility which had no balance on June 30, 2014. In addition, the weighted average effective interest rate is calculated using the fixed rate on our term loan of 3.02% as the result of the interest rate swap agreements discussed in Note 2. The term loan is included in fixed rate debt.</w:t>
      </w:r>
    </w:p>
    <w:p>
      <w:pPr>
        <w:spacing w:after="0" w:line="23" w:lineRule="exact"/>
        <w:rPr>
          <w:rFonts w:ascii="Arial" w:cs="Arial" w:eastAsia="Arial" w:hAnsi="Arial"/>
          <w:sz w:val="14"/>
          <w:szCs w:val="14"/>
          <w:color w:val="auto"/>
        </w:rPr>
      </w:pPr>
    </w:p>
    <w:p>
      <w:pPr>
        <w:ind w:left="660" w:right="80" w:hanging="652"/>
        <w:spacing w:after="0" w:line="303" w:lineRule="auto"/>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Fixed charges consist of interest on borrowed funds (including capitalized interest), amortization of debt discount/premium and debt costs and the portion of rent expense representing an interest factor. EBITDA includes a $5.0 million gain on sale for the three and six months ended June 30, 2013. Adjusted EBITDA is reconciled to net income in the Glossary of Terms.</w:t>
      </w:r>
    </w:p>
    <w:p>
      <w:pPr>
        <w:ind w:left="660" w:right="22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Fixed charges exclude the $3.4 million of early extinguishment of debt charge for the three and six months ended June 30, 2013, related to the make-whole premium paid as part of the early redemption of our 5.40% senior notes and the write-off of related unamortized debt fees.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6" w:right="239" w:bottom="1440" w:gutter="0" w:footer="0" w:header="0"/>
          <w:type w:val="continuous"/>
        </w:sectPr>
      </w:pPr>
    </w:p>
    <w:bookmarkStart w:id="16" w:name="page17"/>
    <w:bookmarkEnd w:id="16"/>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2014</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Cumulative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6"/>
              </w:rPr>
              <w:t>Scheduled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Percent of Debt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Percent of Debt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Average Rate</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w:t>
            </w:r>
          </w:p>
        </w:tc>
        <w:tc>
          <w:tcPr>
            <w:tcW w:w="16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Amortization</w:t>
            </w:r>
          </w:p>
        </w:tc>
        <w:tc>
          <w:tcPr>
            <w:tcW w:w="200" w:type="dxa"/>
            <w:vAlign w:val="bottom"/>
          </w:tcPr>
          <w:p>
            <w:pPr>
              <w:spacing w:after="0"/>
              <w:rPr>
                <w:sz w:val="18"/>
                <w:szCs w:val="18"/>
                <w:color w:val="auto"/>
              </w:rPr>
            </w:pPr>
          </w:p>
        </w:tc>
        <w:tc>
          <w:tcPr>
            <w:tcW w:w="1160" w:type="dxa"/>
            <w:vAlign w:val="bottom"/>
          </w:tcPr>
          <w:p>
            <w:pPr>
              <w:jc w:val="right"/>
              <w:ind w:right="232"/>
              <w:spacing w:after="0"/>
              <w:rPr>
                <w:sz w:val="20"/>
                <w:szCs w:val="20"/>
                <w:color w:val="auto"/>
              </w:rPr>
            </w:pPr>
            <w:r>
              <w:rPr>
                <w:rFonts w:ascii="Arial" w:cs="Arial" w:eastAsia="Arial" w:hAnsi="Arial"/>
                <w:sz w:val="16"/>
                <w:szCs w:val="16"/>
                <w:b w:val="1"/>
                <w:bCs w:val="1"/>
                <w:color w:val="auto"/>
              </w:rPr>
              <w:t>Maturities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18"/>
                <w:szCs w:val="18"/>
                <w:color w:val="auto"/>
              </w:rPr>
            </w:pPr>
          </w:p>
        </w:tc>
        <w:tc>
          <w:tcPr>
            <w:tcW w:w="1320" w:type="dxa"/>
            <w:vAlign w:val="bottom"/>
          </w:tcPr>
          <w:p>
            <w:pPr>
              <w:jc w:val="right"/>
              <w:ind w:right="231"/>
              <w:spacing w:after="0"/>
              <w:rPr>
                <w:sz w:val="20"/>
                <w:szCs w:val="20"/>
                <w:color w:val="auto"/>
              </w:rPr>
            </w:pPr>
            <w:r>
              <w:rPr>
                <w:rFonts w:ascii="Arial" w:cs="Arial" w:eastAsia="Arial" w:hAnsi="Arial"/>
                <w:sz w:val="16"/>
                <w:szCs w:val="16"/>
                <w:b w:val="1"/>
                <w:bCs w:val="1"/>
                <w:color w:val="auto"/>
              </w:rPr>
              <w:t>Maturing</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Maturing</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2014</w:t>
            </w:r>
          </w:p>
        </w:tc>
        <w:tc>
          <w:tcPr>
            <w:tcW w:w="1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5,522</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5,522</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2015</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9,197</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198,391</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207,588</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9.0%</w:t>
            </w:r>
          </w:p>
        </w:tc>
        <w:tc>
          <w:tcPr>
            <w:tcW w:w="1200" w:type="dxa"/>
            <w:vAlign w:val="bottom"/>
          </w:tcPr>
          <w:p>
            <w:pPr>
              <w:jc w:val="right"/>
              <w:spacing w:after="0"/>
              <w:rPr>
                <w:sz w:val="20"/>
                <w:szCs w:val="20"/>
                <w:color w:val="auto"/>
              </w:rPr>
            </w:pPr>
            <w:r>
              <w:rPr>
                <w:rFonts w:ascii="Arial" w:cs="Arial" w:eastAsia="Arial" w:hAnsi="Arial"/>
                <w:sz w:val="18"/>
                <w:szCs w:val="18"/>
                <w:color w:val="auto"/>
              </w:rPr>
              <w:t>7.3%</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2016</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4,493</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194,013</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198,506</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40" w:type="dxa"/>
            <w:vAlign w:val="bottom"/>
          </w:tcPr>
          <w:p>
            <w:pPr>
              <w:ind w:left="40"/>
              <w:spacing w:after="0"/>
              <w:rPr>
                <w:sz w:val="20"/>
                <w:szCs w:val="20"/>
                <w:color w:val="auto"/>
              </w:rPr>
            </w:pPr>
            <w:r>
              <w:rPr>
                <w:rFonts w:ascii="Arial" w:cs="Arial" w:eastAsia="Arial" w:hAnsi="Arial"/>
                <w:sz w:val="18"/>
                <w:szCs w:val="18"/>
                <w:color w:val="auto"/>
                <w:w w:val="94"/>
              </w:rPr>
              <w:t>2017</w:t>
            </w: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4,196</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416,732</w:t>
            </w:r>
          </w:p>
        </w:tc>
        <w:tc>
          <w:tcPr>
            <w:tcW w:w="340" w:type="dxa"/>
            <w:vAlign w:val="bottom"/>
          </w:tcPr>
          <w:p>
            <w:pPr>
              <w:jc w:val="right"/>
              <w:ind w:right="59"/>
              <w:spacing w:after="0"/>
              <w:rPr>
                <w:sz w:val="20"/>
                <w:szCs w:val="20"/>
                <w:color w:val="auto"/>
              </w:rPr>
            </w:pPr>
            <w:r>
              <w:rPr>
                <w:rFonts w:ascii="Arial" w:cs="Arial" w:eastAsia="Arial" w:hAnsi="Arial"/>
                <w:sz w:val="14"/>
                <w:szCs w:val="14"/>
                <w:color w:val="auto"/>
              </w:rPr>
              <w:t>(1)</w:t>
            </w: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420,928</w:t>
            </w: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17.9%</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35.3%</w:t>
            </w:r>
          </w:p>
        </w:tc>
        <w:tc>
          <w:tcPr>
            <w:tcW w:w="1200" w:type="dxa"/>
            <w:vAlign w:val="bottom"/>
          </w:tcPr>
          <w:p>
            <w:pPr>
              <w:jc w:val="right"/>
              <w:spacing w:after="0"/>
              <w:rPr>
                <w:sz w:val="20"/>
                <w:szCs w:val="20"/>
                <w:color w:val="auto"/>
              </w:rPr>
            </w:pPr>
            <w:r>
              <w:rPr>
                <w:rFonts w:ascii="Arial" w:cs="Arial" w:eastAsia="Arial" w:hAnsi="Arial"/>
                <w:sz w:val="18"/>
                <w:szCs w:val="18"/>
                <w:color w:val="auto"/>
              </w:rPr>
              <w:t>5.4%</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2018</w:t>
            </w:r>
          </w:p>
        </w:tc>
        <w:tc>
          <w:tcPr>
            <w:tcW w:w="1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3,366</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285,502</w:t>
            </w:r>
          </w:p>
        </w:tc>
        <w:tc>
          <w:tcPr>
            <w:tcW w:w="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288,868</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47.6%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2019</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3,172</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20,160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23,332</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48.6%</w:t>
            </w: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2020</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3,176</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150,000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153,176</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2021</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3,099</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3,625</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6,724</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55.4%</w:t>
            </w:r>
          </w:p>
        </w:tc>
        <w:tc>
          <w:tcPr>
            <w:tcW w:w="1200" w:type="dxa"/>
            <w:vAlign w:val="bottom"/>
          </w:tcPr>
          <w:p>
            <w:pPr>
              <w:jc w:val="right"/>
              <w:spacing w:after="0"/>
              <w:rPr>
                <w:sz w:val="20"/>
                <w:szCs w:val="20"/>
                <w:color w:val="auto"/>
              </w:rPr>
            </w:pPr>
            <w:r>
              <w:rPr>
                <w:rFonts w:ascii="Arial" w:cs="Arial" w:eastAsia="Arial" w:hAnsi="Arial"/>
                <w:sz w:val="18"/>
                <w:szCs w:val="18"/>
                <w:color w:val="auto"/>
              </w:rPr>
              <w:t>6.1%</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2022</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1,226</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313,618</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314,844</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68.8%</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2023</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1,283</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330,010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331,293</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14.1%</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82.9%</w:t>
            </w: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21,210</w:t>
            </w:r>
          </w:p>
        </w:tc>
        <w:tc>
          <w:tcPr>
            <w:tcW w:w="3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380,701</w:t>
            </w:r>
          </w:p>
        </w:tc>
        <w:tc>
          <w:tcPr>
            <w:tcW w:w="3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401,911</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8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59,940</w:t>
            </w:r>
          </w:p>
        </w:tc>
        <w:tc>
          <w:tcPr>
            <w:tcW w:w="3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2,292,752</w:t>
            </w:r>
          </w:p>
        </w:tc>
        <w:tc>
          <w:tcPr>
            <w:tcW w:w="3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2,352,692</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183" w:lineRule="exact"/>
              <w:rPr>
                <w:sz w:val="20"/>
                <w:szCs w:val="20"/>
                <w:color w:val="auto"/>
              </w:rPr>
            </w:pPr>
            <w:r>
              <w:rPr>
                <w:rFonts w:ascii="Arial" w:cs="Arial" w:eastAsia="Arial" w:hAnsi="Arial"/>
                <w:sz w:val="16"/>
                <w:szCs w:val="16"/>
                <w:color w:val="auto"/>
                <w:w w:val="90"/>
              </w:rPr>
              <w:t>Notes:</w:t>
            </w:r>
          </w:p>
        </w:tc>
        <w:tc>
          <w:tcPr>
            <w:tcW w:w="14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0" w:type="dxa"/>
            <w:vAlign w:val="bottom"/>
            <w:tcBorders>
              <w:bottom w:val="single" w:sz="8" w:color="auto"/>
            </w:tcBorders>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 w:right="300" w:hanging="652"/>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$600.0 million unsecured revolving credit facility matures on April 21, 2017 subject to a one-year extension at our option. As of June 30, 2014, there was no balance outstanding on our revolving credit facility.</w:t>
      </w:r>
    </w:p>
    <w:p>
      <w:pPr>
        <w:spacing w:after="0" w:line="10" w:lineRule="exact"/>
        <w:rPr>
          <w:rFonts w:ascii="Arial" w:cs="Arial" w:eastAsia="Arial" w:hAnsi="Arial"/>
          <w:sz w:val="16"/>
          <w:szCs w:val="16"/>
          <w:color w:val="auto"/>
        </w:rPr>
      </w:pPr>
    </w:p>
    <w:p>
      <w:pPr>
        <w:ind w:left="660" w:right="80" w:hanging="652"/>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total debt maturities differs from the total reported on the consolidated balance sheet due to the unamortized net discount or premium on certain mortgage loans, senior notes and debentures as of June 30, 2014.</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weighted average rate excludes $0.5 million in quarterly financing fees and quarterly debt fee amortization on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2" w:right="239" w:bottom="1440" w:gutter="0" w:footer="0" w:header="0"/>
        </w:sectPr>
      </w:pPr>
    </w:p>
    <w:bookmarkStart w:id="17" w:name="page18"/>
    <w:bookmarkEnd w:id="17"/>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Redevelopment Opportunities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2014</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The following redevelopment opportunities have received or will shortly receive all necessary approvals to proceed and are actively being worked on by the Trust.</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Projected</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Projected</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Cost to</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9"/>
        </w:trPr>
        <w:tc>
          <w:tcPr>
            <w:tcW w:w="180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Property</w:t>
            </w:r>
          </w:p>
        </w:tc>
        <w:tc>
          <w:tcPr>
            <w:tcW w:w="12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Location</w:t>
            </w:r>
          </w:p>
        </w:tc>
        <w:tc>
          <w:tcPr>
            <w:tcW w:w="492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Opportunity</w:t>
            </w:r>
          </w:p>
        </w:tc>
        <w:tc>
          <w:tcPr>
            <w:tcW w:w="8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Stabilization</w:t>
            </w:r>
          </w:p>
        </w:tc>
        <w:tc>
          <w:tcPr>
            <w:tcW w:w="0" w:type="dxa"/>
            <w:vAlign w:val="bottom"/>
          </w:tcPr>
          <w:p>
            <w:pPr>
              <w:spacing w:after="0"/>
              <w:rPr>
                <w:sz w:val="1"/>
                <w:szCs w:val="1"/>
                <w:color w:val="auto"/>
              </w:rPr>
            </w:pPr>
          </w:p>
        </w:tc>
      </w:tr>
      <w:tr>
        <w:trPr>
          <w:trHeight w:val="192"/>
        </w:trPr>
        <w:tc>
          <w:tcPr>
            <w:tcW w:w="180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49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ROI (2)</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Cost (1)</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58"/>
        </w:trPr>
        <w:tc>
          <w:tcPr>
            <w:tcW w:w="18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78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8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Santana Row - Lot 11</w:t>
            </w:r>
          </w:p>
        </w:tc>
        <w:tc>
          <w:tcPr>
            <w:tcW w:w="128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rPr>
              <w:t>San Jose, CA</w:t>
            </w:r>
          </w:p>
        </w:tc>
        <w:tc>
          <w:tcPr>
            <w:tcW w:w="49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w w:val="96"/>
              </w:rPr>
              <w:t>Addition of 6-story building with 225,500 square feet of office space, 1,500 square</w:t>
            </w:r>
          </w:p>
        </w:tc>
        <w:tc>
          <w:tcPr>
            <w:tcW w:w="82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w w:val="96"/>
              </w:rPr>
              <w:t>7.5%-8.5%</w:t>
            </w:r>
          </w:p>
        </w:tc>
        <w:tc>
          <w:tcPr>
            <w:tcW w:w="8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w w:val="98"/>
              </w:rPr>
              <w:t>$110-$120</w:t>
            </w:r>
          </w:p>
        </w:tc>
        <w:tc>
          <w:tcPr>
            <w:tcW w:w="7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$7</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194"/>
        </w:trPr>
        <w:tc>
          <w:tcPr>
            <w:tcW w:w="18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feet of retail space, and 670 parking spaces</w:t>
            </w:r>
          </w:p>
        </w:tc>
        <w:tc>
          <w:tcPr>
            <w:tcW w:w="8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00" w:type="dxa"/>
            <w:vAlign w:val="bottom"/>
          </w:tcPr>
          <w:p>
            <w:pPr>
              <w:ind w:left="40"/>
              <w:spacing w:after="0"/>
              <w:rPr>
                <w:sz w:val="20"/>
                <w:szCs w:val="20"/>
                <w:color w:val="auto"/>
              </w:rPr>
            </w:pPr>
            <w:r>
              <w:rPr>
                <w:rFonts w:ascii="Arial" w:cs="Arial" w:eastAsia="Arial" w:hAnsi="Arial"/>
                <w:sz w:val="14"/>
                <w:szCs w:val="14"/>
                <w:color w:val="auto"/>
              </w:rPr>
              <w:t>The Point</w:t>
            </w:r>
          </w:p>
        </w:tc>
        <w:tc>
          <w:tcPr>
            <w:tcW w:w="1280" w:type="dxa"/>
            <w:vAlign w:val="bottom"/>
          </w:tcPr>
          <w:p>
            <w:pPr>
              <w:ind w:left="180"/>
              <w:spacing w:after="0"/>
              <w:rPr>
                <w:sz w:val="20"/>
                <w:szCs w:val="20"/>
                <w:color w:val="auto"/>
              </w:rPr>
            </w:pPr>
            <w:r>
              <w:rPr>
                <w:rFonts w:ascii="Arial" w:cs="Arial" w:eastAsia="Arial" w:hAnsi="Arial"/>
                <w:sz w:val="14"/>
                <w:szCs w:val="14"/>
                <w:color w:val="auto"/>
              </w:rPr>
              <w:t>El Segundo, CA</w:t>
            </w:r>
          </w:p>
        </w:tc>
        <w:tc>
          <w:tcPr>
            <w:tcW w:w="4920" w:type="dxa"/>
            <w:vAlign w:val="bottom"/>
          </w:tcPr>
          <w:p>
            <w:pPr>
              <w:ind w:left="40"/>
              <w:spacing w:after="0"/>
              <w:rPr>
                <w:sz w:val="20"/>
                <w:szCs w:val="20"/>
                <w:color w:val="auto"/>
              </w:rPr>
            </w:pPr>
            <w:r>
              <w:rPr>
                <w:rFonts w:ascii="Arial" w:cs="Arial" w:eastAsia="Arial" w:hAnsi="Arial"/>
                <w:sz w:val="14"/>
                <w:szCs w:val="14"/>
                <w:color w:val="auto"/>
              </w:rPr>
              <w:t>Addition of 90,000 square feet of retail, and 25,000 square feet of office space</w:t>
            </w:r>
          </w:p>
        </w:tc>
        <w:tc>
          <w:tcPr>
            <w:tcW w:w="820" w:type="dxa"/>
            <w:vAlign w:val="bottom"/>
          </w:tcPr>
          <w:p>
            <w:pPr>
              <w:jc w:val="right"/>
              <w:spacing w:after="0"/>
              <w:rPr>
                <w:sz w:val="20"/>
                <w:szCs w:val="20"/>
                <w:color w:val="auto"/>
              </w:rPr>
            </w:pPr>
            <w:r>
              <w:rPr>
                <w:rFonts w:ascii="Arial" w:cs="Arial" w:eastAsia="Arial" w:hAnsi="Arial"/>
                <w:sz w:val="14"/>
                <w:szCs w:val="14"/>
                <w:color w:val="auto"/>
              </w:rPr>
              <w:t>8%</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9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8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Santana Row - Lot 8B</w:t>
            </w:r>
          </w:p>
        </w:tc>
        <w:tc>
          <w:tcPr>
            <w:tcW w:w="128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rPr>
              <w:t>San Jose, CA</w:t>
            </w:r>
          </w:p>
        </w:tc>
        <w:tc>
          <w:tcPr>
            <w:tcW w:w="49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w w:val="95"/>
              </w:rPr>
              <w:t>Addition of a 5-story rental apartment building, which includes 212 residential units</w:t>
            </w: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8%</w:t>
            </w:r>
          </w:p>
        </w:tc>
        <w:tc>
          <w:tcPr>
            <w:tcW w:w="8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$75</w:t>
            </w:r>
          </w:p>
        </w:tc>
        <w:tc>
          <w:tcPr>
            <w:tcW w:w="7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$75</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6"/>
              </w:rPr>
              <w:t>2014</w:t>
            </w:r>
          </w:p>
        </w:tc>
        <w:tc>
          <w:tcPr>
            <w:tcW w:w="0" w:type="dxa"/>
            <w:vAlign w:val="bottom"/>
          </w:tcPr>
          <w:p>
            <w:pPr>
              <w:spacing w:after="0"/>
              <w:rPr>
                <w:sz w:val="1"/>
                <w:szCs w:val="1"/>
                <w:color w:val="auto"/>
              </w:rPr>
            </w:pPr>
          </w:p>
        </w:tc>
      </w:tr>
      <w:tr>
        <w:trPr>
          <w:trHeight w:val="194"/>
        </w:trPr>
        <w:tc>
          <w:tcPr>
            <w:tcW w:w="18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and associated parking</w:t>
            </w:r>
          </w:p>
        </w:tc>
        <w:tc>
          <w:tcPr>
            <w:tcW w:w="8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00" w:type="dxa"/>
            <w:vAlign w:val="bottom"/>
          </w:tcPr>
          <w:p>
            <w:pPr>
              <w:ind w:left="40"/>
              <w:spacing w:after="0"/>
              <w:rPr>
                <w:sz w:val="20"/>
                <w:szCs w:val="20"/>
                <w:color w:val="auto"/>
              </w:rPr>
            </w:pPr>
            <w:r>
              <w:rPr>
                <w:rFonts w:ascii="Arial" w:cs="Arial" w:eastAsia="Arial" w:hAnsi="Arial"/>
                <w:sz w:val="14"/>
                <w:szCs w:val="14"/>
                <w:color w:val="auto"/>
              </w:rPr>
              <w:t>Westgate Center</w:t>
            </w:r>
          </w:p>
        </w:tc>
        <w:tc>
          <w:tcPr>
            <w:tcW w:w="1280" w:type="dxa"/>
            <w:vAlign w:val="bottom"/>
          </w:tcPr>
          <w:p>
            <w:pPr>
              <w:ind w:left="180"/>
              <w:spacing w:after="0"/>
              <w:rPr>
                <w:sz w:val="20"/>
                <w:szCs w:val="20"/>
                <w:color w:val="auto"/>
              </w:rPr>
            </w:pPr>
            <w:r>
              <w:rPr>
                <w:rFonts w:ascii="Arial" w:cs="Arial" w:eastAsia="Arial" w:hAnsi="Arial"/>
                <w:sz w:val="14"/>
                <w:szCs w:val="14"/>
                <w:color w:val="auto"/>
              </w:rPr>
              <w:t>San Jose, CA</w:t>
            </w:r>
          </w:p>
        </w:tc>
        <w:tc>
          <w:tcPr>
            <w:tcW w:w="4920" w:type="dxa"/>
            <w:vAlign w:val="bottom"/>
          </w:tcPr>
          <w:p>
            <w:pPr>
              <w:ind w:left="40"/>
              <w:spacing w:after="0"/>
              <w:rPr>
                <w:sz w:val="20"/>
                <w:szCs w:val="20"/>
                <w:color w:val="auto"/>
              </w:rPr>
            </w:pPr>
            <w:r>
              <w:rPr>
                <w:rFonts w:ascii="Arial" w:cs="Arial" w:eastAsia="Arial" w:hAnsi="Arial"/>
                <w:sz w:val="14"/>
                <w:szCs w:val="14"/>
                <w:color w:val="auto"/>
              </w:rPr>
              <w:t>Façade and interior mall renovation, addition of food court and pad site</w:t>
            </w:r>
          </w:p>
        </w:tc>
        <w:tc>
          <w:tcPr>
            <w:tcW w:w="820" w:type="dxa"/>
            <w:vAlign w:val="bottom"/>
          </w:tcPr>
          <w:p>
            <w:pPr>
              <w:jc w:val="right"/>
              <w:spacing w:after="0"/>
              <w:rPr>
                <w:sz w:val="20"/>
                <w:szCs w:val="20"/>
                <w:color w:val="auto"/>
              </w:rPr>
            </w:pPr>
            <w:r>
              <w:rPr>
                <w:rFonts w:ascii="Arial" w:cs="Arial" w:eastAsia="Arial" w:hAnsi="Arial"/>
                <w:sz w:val="14"/>
                <w:szCs w:val="14"/>
                <w:color w:val="auto"/>
              </w:rPr>
              <w:t>9%</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2014/2015</w:t>
            </w: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9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Tower Shops</w:t>
            </w:r>
          </w:p>
        </w:tc>
        <w:tc>
          <w:tcPr>
            <w:tcW w:w="1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Davie, FL</w:t>
            </w: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Addition of 50,000 square foot pad building</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80"/>
        </w:trPr>
        <w:tc>
          <w:tcPr>
            <w:tcW w:w="180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49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800" w:type="dxa"/>
            <w:vAlign w:val="bottom"/>
          </w:tcPr>
          <w:p>
            <w:pPr>
              <w:ind w:left="40"/>
              <w:spacing w:after="0" w:line="157" w:lineRule="exact"/>
              <w:rPr>
                <w:sz w:val="20"/>
                <w:szCs w:val="20"/>
                <w:color w:val="auto"/>
              </w:rPr>
            </w:pPr>
            <w:r>
              <w:rPr>
                <w:rFonts w:ascii="Arial" w:cs="Arial" w:eastAsia="Arial" w:hAnsi="Arial"/>
                <w:sz w:val="14"/>
                <w:szCs w:val="14"/>
                <w:color w:val="auto"/>
              </w:rPr>
              <w:t>Shops at Willow Lawn</w:t>
            </w:r>
          </w:p>
        </w:tc>
        <w:tc>
          <w:tcPr>
            <w:tcW w:w="1280" w:type="dxa"/>
            <w:vAlign w:val="bottom"/>
          </w:tcPr>
          <w:p>
            <w:pPr>
              <w:ind w:left="180"/>
              <w:spacing w:after="0" w:line="157" w:lineRule="exact"/>
              <w:rPr>
                <w:sz w:val="20"/>
                <w:szCs w:val="20"/>
                <w:color w:val="auto"/>
              </w:rPr>
            </w:pPr>
            <w:r>
              <w:rPr>
                <w:rFonts w:ascii="Arial" w:cs="Arial" w:eastAsia="Arial" w:hAnsi="Arial"/>
                <w:sz w:val="14"/>
                <w:szCs w:val="14"/>
                <w:color w:val="auto"/>
              </w:rPr>
              <w:t>Richmond, VA</w:t>
            </w:r>
          </w:p>
        </w:tc>
        <w:tc>
          <w:tcPr>
            <w:tcW w:w="4920" w:type="dxa"/>
            <w:vAlign w:val="bottom"/>
          </w:tcPr>
          <w:p>
            <w:pPr>
              <w:ind w:left="40"/>
              <w:spacing w:after="0" w:line="157" w:lineRule="exact"/>
              <w:rPr>
                <w:sz w:val="20"/>
                <w:szCs w:val="20"/>
                <w:color w:val="auto"/>
              </w:rPr>
            </w:pPr>
            <w:r>
              <w:rPr>
                <w:rFonts w:ascii="Arial" w:cs="Arial" w:eastAsia="Arial" w:hAnsi="Arial"/>
                <w:sz w:val="14"/>
                <w:szCs w:val="14"/>
                <w:color w:val="auto"/>
              </w:rPr>
              <w:t>Demo interior mall, relocate mall tenants, construct new exterior GLA, and gas</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10%</w:t>
            </w: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$14</w:t>
            </w:r>
          </w:p>
        </w:tc>
        <w:tc>
          <w:tcPr>
            <w:tcW w:w="7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$10</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3"/>
              </w:rPr>
              <w:t>2014/2015</w:t>
            </w: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920" w:type="dxa"/>
            <w:vAlign w:val="bottom"/>
          </w:tcPr>
          <w:p>
            <w:pPr>
              <w:ind w:left="40"/>
              <w:spacing w:after="0"/>
              <w:rPr>
                <w:sz w:val="20"/>
                <w:szCs w:val="20"/>
                <w:color w:val="auto"/>
              </w:rPr>
            </w:pPr>
            <w:r>
              <w:rPr>
                <w:rFonts w:ascii="Arial" w:cs="Arial" w:eastAsia="Arial" w:hAnsi="Arial"/>
                <w:sz w:val="14"/>
                <w:szCs w:val="14"/>
                <w:color w:val="auto"/>
              </w:rPr>
              <w:t>station</w:t>
            </w: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Mercer Mall</w:t>
            </w:r>
          </w:p>
        </w:tc>
        <w:tc>
          <w:tcPr>
            <w:tcW w:w="12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Lawrenceville, NJ</w:t>
            </w: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Addition of 27,000 square feet of space including new in-line space, addition of</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194"/>
        </w:trPr>
        <w:tc>
          <w:tcPr>
            <w:tcW w:w="18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bank pad and reconfiguration of existing pad site and anchor box</w:t>
            </w:r>
          </w:p>
        </w:tc>
        <w:tc>
          <w:tcPr>
            <w:tcW w:w="8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800" w:type="dxa"/>
            <w:vAlign w:val="bottom"/>
          </w:tcPr>
          <w:p>
            <w:pPr>
              <w:ind w:left="40"/>
              <w:spacing w:after="0" w:line="157" w:lineRule="exact"/>
              <w:rPr>
                <w:sz w:val="20"/>
                <w:szCs w:val="20"/>
                <w:color w:val="auto"/>
              </w:rPr>
            </w:pPr>
            <w:r>
              <w:rPr>
                <w:rFonts w:ascii="Arial" w:cs="Arial" w:eastAsia="Arial" w:hAnsi="Arial"/>
                <w:sz w:val="14"/>
                <w:szCs w:val="14"/>
                <w:color w:val="auto"/>
              </w:rPr>
              <w:t>Hollywood Blvd - Petersen</w:t>
            </w:r>
          </w:p>
        </w:tc>
        <w:tc>
          <w:tcPr>
            <w:tcW w:w="1280" w:type="dxa"/>
            <w:vAlign w:val="bottom"/>
          </w:tcPr>
          <w:p>
            <w:pPr>
              <w:spacing w:after="0"/>
              <w:rPr>
                <w:sz w:val="13"/>
                <w:szCs w:val="13"/>
                <w:color w:val="auto"/>
              </w:rPr>
            </w:pPr>
          </w:p>
        </w:tc>
        <w:tc>
          <w:tcPr>
            <w:tcW w:w="4920" w:type="dxa"/>
            <w:vAlign w:val="bottom"/>
          </w:tcPr>
          <w:p>
            <w:pPr>
              <w:ind w:left="40"/>
              <w:spacing w:after="0" w:line="157" w:lineRule="exact"/>
              <w:rPr>
                <w:sz w:val="20"/>
                <w:szCs w:val="20"/>
                <w:color w:val="auto"/>
              </w:rPr>
            </w:pPr>
            <w:r>
              <w:rPr>
                <w:rFonts w:ascii="Arial" w:cs="Arial" w:eastAsia="Arial" w:hAnsi="Arial"/>
                <w:sz w:val="14"/>
                <w:szCs w:val="14"/>
                <w:color w:val="auto"/>
              </w:rPr>
              <w:t>Redevelop/retenant building including conversion of 2nd floor parking to retail</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00" w:type="dxa"/>
            <w:vAlign w:val="bottom"/>
          </w:tcPr>
          <w:p>
            <w:pPr>
              <w:ind w:left="40"/>
              <w:spacing w:after="0"/>
              <w:rPr>
                <w:sz w:val="20"/>
                <w:szCs w:val="20"/>
                <w:color w:val="auto"/>
              </w:rPr>
            </w:pPr>
            <w:r>
              <w:rPr>
                <w:rFonts w:ascii="Arial" w:cs="Arial" w:eastAsia="Arial" w:hAnsi="Arial"/>
                <w:sz w:val="14"/>
                <w:szCs w:val="14"/>
                <w:color w:val="auto"/>
              </w:rPr>
              <w:t>Building</w:t>
            </w:r>
          </w:p>
        </w:tc>
        <w:tc>
          <w:tcPr>
            <w:tcW w:w="1280" w:type="dxa"/>
            <w:vAlign w:val="bottom"/>
          </w:tcPr>
          <w:p>
            <w:pPr>
              <w:ind w:left="180"/>
              <w:spacing w:after="0"/>
              <w:rPr>
                <w:sz w:val="20"/>
                <w:szCs w:val="20"/>
                <w:color w:val="auto"/>
              </w:rPr>
            </w:pPr>
            <w:r>
              <w:rPr>
                <w:rFonts w:ascii="Arial" w:cs="Arial" w:eastAsia="Arial" w:hAnsi="Arial"/>
                <w:sz w:val="14"/>
                <w:szCs w:val="14"/>
                <w:color w:val="auto"/>
              </w:rPr>
              <w:t>Hollywood, CA</w:t>
            </w:r>
          </w:p>
        </w:tc>
        <w:tc>
          <w:tcPr>
            <w:tcW w:w="4920" w:type="dxa"/>
            <w:vAlign w:val="bottom"/>
          </w:tcPr>
          <w:p>
            <w:pPr>
              <w:ind w:left="40"/>
              <w:spacing w:after="0"/>
              <w:rPr>
                <w:sz w:val="20"/>
                <w:szCs w:val="20"/>
                <w:color w:val="auto"/>
              </w:rPr>
            </w:pPr>
            <w:r>
              <w:rPr>
                <w:rFonts w:ascii="Arial" w:cs="Arial" w:eastAsia="Arial" w:hAnsi="Arial"/>
                <w:sz w:val="14"/>
                <w:szCs w:val="14"/>
                <w:color w:val="auto"/>
              </w:rPr>
              <w:t>space</w:t>
            </w:r>
          </w:p>
        </w:tc>
        <w:tc>
          <w:tcPr>
            <w:tcW w:w="820" w:type="dxa"/>
            <w:vAlign w:val="bottom"/>
          </w:tcPr>
          <w:p>
            <w:pPr>
              <w:jc w:val="right"/>
              <w:spacing w:after="0"/>
              <w:rPr>
                <w:sz w:val="20"/>
                <w:szCs w:val="20"/>
                <w:color w:val="auto"/>
              </w:rPr>
            </w:pPr>
            <w:r>
              <w:rPr>
                <w:rFonts w:ascii="Arial" w:cs="Arial" w:eastAsia="Arial" w:hAnsi="Arial"/>
                <w:sz w:val="14"/>
                <w:szCs w:val="14"/>
                <w:color w:val="auto"/>
              </w:rPr>
              <w:t>17%</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163"/>
        </w:trPr>
        <w:tc>
          <w:tcPr>
            <w:tcW w:w="1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Quince Orchard</w:t>
            </w:r>
          </w:p>
        </w:tc>
        <w:tc>
          <w:tcPr>
            <w:tcW w:w="12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Gaithersburg, MD</w:t>
            </w: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Property repositioning through demo of non-functional small shop space, creation</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149"/>
        </w:trPr>
        <w:tc>
          <w:tcPr>
            <w:tcW w:w="18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49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8"/>
              </w:rPr>
              <w:t>of new anchor box, rightsizing of national office products tenant, and creation of</w:t>
            </w:r>
          </w:p>
        </w:tc>
        <w:tc>
          <w:tcPr>
            <w:tcW w:w="8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8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visible small shop space</w:t>
            </w:r>
          </w:p>
        </w:tc>
        <w:tc>
          <w:tcPr>
            <w:tcW w:w="8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800" w:type="dxa"/>
            <w:vAlign w:val="bottom"/>
          </w:tcPr>
          <w:p>
            <w:pPr>
              <w:ind w:left="40"/>
              <w:spacing w:after="0" w:line="157" w:lineRule="exact"/>
              <w:rPr>
                <w:sz w:val="20"/>
                <w:szCs w:val="20"/>
                <w:color w:val="auto"/>
              </w:rPr>
            </w:pPr>
            <w:r>
              <w:rPr>
                <w:rFonts w:ascii="Arial" w:cs="Arial" w:eastAsia="Arial" w:hAnsi="Arial"/>
                <w:sz w:val="14"/>
                <w:szCs w:val="14"/>
                <w:color w:val="auto"/>
              </w:rPr>
              <w:t>East Bay Bridge</w:t>
            </w:r>
          </w:p>
        </w:tc>
        <w:tc>
          <w:tcPr>
            <w:tcW w:w="1280" w:type="dxa"/>
            <w:vAlign w:val="bottom"/>
          </w:tcPr>
          <w:p>
            <w:pPr>
              <w:ind w:left="180"/>
              <w:spacing w:after="0" w:line="157" w:lineRule="exact"/>
              <w:rPr>
                <w:sz w:val="20"/>
                <w:szCs w:val="20"/>
                <w:color w:val="auto"/>
              </w:rPr>
            </w:pPr>
            <w:r>
              <w:rPr>
                <w:rFonts w:ascii="Arial" w:cs="Arial" w:eastAsia="Arial" w:hAnsi="Arial"/>
                <w:sz w:val="14"/>
                <w:szCs w:val="14"/>
                <w:color w:val="auto"/>
              </w:rPr>
              <w:t>Emeryville, CA</w:t>
            </w:r>
          </w:p>
        </w:tc>
        <w:tc>
          <w:tcPr>
            <w:tcW w:w="4920" w:type="dxa"/>
            <w:vAlign w:val="bottom"/>
          </w:tcPr>
          <w:p>
            <w:pPr>
              <w:ind w:left="40"/>
              <w:spacing w:after="0" w:line="157" w:lineRule="exact"/>
              <w:rPr>
                <w:sz w:val="20"/>
                <w:szCs w:val="20"/>
                <w:color w:val="auto"/>
              </w:rPr>
            </w:pPr>
            <w:r>
              <w:rPr>
                <w:rFonts w:ascii="Arial" w:cs="Arial" w:eastAsia="Arial" w:hAnsi="Arial"/>
                <w:sz w:val="14"/>
                <w:szCs w:val="14"/>
                <w:color w:val="auto"/>
                <w:w w:val="95"/>
              </w:rPr>
              <w:t>Reconfigure two existing spaces consisting of 48,000 square feet to accommodate</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10%</w:t>
            </w: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$4</w:t>
            </w:r>
          </w:p>
        </w:tc>
        <w:tc>
          <w:tcPr>
            <w:tcW w:w="7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$0</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920" w:type="dxa"/>
            <w:vAlign w:val="bottom"/>
          </w:tcPr>
          <w:p>
            <w:pPr>
              <w:ind w:left="40"/>
              <w:spacing w:after="0"/>
              <w:rPr>
                <w:sz w:val="20"/>
                <w:szCs w:val="20"/>
                <w:color w:val="auto"/>
              </w:rPr>
            </w:pPr>
            <w:r>
              <w:rPr>
                <w:rFonts w:ascii="Arial" w:cs="Arial" w:eastAsia="Arial" w:hAnsi="Arial"/>
                <w:sz w:val="14"/>
                <w:szCs w:val="14"/>
                <w:color w:val="auto"/>
              </w:rPr>
              <w:t>two new tenants, add two new restaurant tenants, and courtyard renovations</w:t>
            </w: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Ellisburg</w:t>
            </w:r>
          </w:p>
        </w:tc>
        <w:tc>
          <w:tcPr>
            <w:tcW w:w="1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Cherry Hill, NJ</w:t>
            </w: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repositioning through retenanting, including new grocer and façade</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2014</w:t>
            </w:r>
          </w:p>
        </w:tc>
        <w:tc>
          <w:tcPr>
            <w:tcW w:w="0" w:type="dxa"/>
            <w:vAlign w:val="bottom"/>
          </w:tcPr>
          <w:p>
            <w:pPr>
              <w:spacing w:after="0"/>
              <w:rPr>
                <w:sz w:val="1"/>
                <w:szCs w:val="1"/>
                <w:color w:val="auto"/>
              </w:rPr>
            </w:pPr>
          </w:p>
        </w:tc>
      </w:tr>
      <w:tr>
        <w:trPr>
          <w:trHeight w:val="194"/>
        </w:trPr>
        <w:tc>
          <w:tcPr>
            <w:tcW w:w="18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renovation</w:t>
            </w:r>
          </w:p>
        </w:tc>
        <w:tc>
          <w:tcPr>
            <w:tcW w:w="8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800" w:type="dxa"/>
            <w:vAlign w:val="bottom"/>
          </w:tcPr>
          <w:p>
            <w:pPr>
              <w:ind w:left="40"/>
              <w:spacing w:after="0" w:line="157" w:lineRule="exact"/>
              <w:rPr>
                <w:sz w:val="20"/>
                <w:szCs w:val="20"/>
                <w:color w:val="auto"/>
              </w:rPr>
            </w:pPr>
            <w:r>
              <w:rPr>
                <w:rFonts w:ascii="Arial" w:cs="Arial" w:eastAsia="Arial" w:hAnsi="Arial"/>
                <w:sz w:val="14"/>
                <w:szCs w:val="14"/>
                <w:color w:val="auto"/>
              </w:rPr>
              <w:t>Barracks Road</w:t>
            </w:r>
          </w:p>
        </w:tc>
        <w:tc>
          <w:tcPr>
            <w:tcW w:w="1280" w:type="dxa"/>
            <w:vAlign w:val="bottom"/>
          </w:tcPr>
          <w:p>
            <w:pPr>
              <w:ind w:left="180"/>
              <w:spacing w:after="0" w:line="157" w:lineRule="exact"/>
              <w:rPr>
                <w:sz w:val="20"/>
                <w:szCs w:val="20"/>
                <w:color w:val="auto"/>
              </w:rPr>
            </w:pPr>
            <w:r>
              <w:rPr>
                <w:rFonts w:ascii="Arial" w:cs="Arial" w:eastAsia="Arial" w:hAnsi="Arial"/>
                <w:sz w:val="14"/>
                <w:szCs w:val="14"/>
                <w:color w:val="auto"/>
              </w:rPr>
              <w:t>Charlottesville,</w:t>
            </w:r>
          </w:p>
        </w:tc>
        <w:tc>
          <w:tcPr>
            <w:tcW w:w="4920" w:type="dxa"/>
            <w:vAlign w:val="bottom"/>
          </w:tcPr>
          <w:p>
            <w:pPr>
              <w:ind w:left="40"/>
              <w:spacing w:after="0" w:line="157" w:lineRule="exact"/>
              <w:rPr>
                <w:sz w:val="20"/>
                <w:szCs w:val="20"/>
                <w:color w:val="auto"/>
              </w:rPr>
            </w:pPr>
            <w:r>
              <w:rPr>
                <w:rFonts w:ascii="Arial" w:cs="Arial" w:eastAsia="Arial" w:hAnsi="Arial"/>
                <w:sz w:val="14"/>
                <w:szCs w:val="14"/>
                <w:color w:val="auto"/>
              </w:rPr>
              <w:t>11,800 square foot multi-tenant pad building</w:t>
            </w: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13%</w:t>
            </w: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$4</w:t>
            </w:r>
          </w:p>
        </w:tc>
        <w:tc>
          <w:tcPr>
            <w:tcW w:w="7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$4</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2014</w:t>
            </w:r>
          </w:p>
        </w:tc>
        <w:tc>
          <w:tcPr>
            <w:tcW w:w="0" w:type="dxa"/>
            <w:vAlign w:val="bottom"/>
          </w:tcPr>
          <w:p>
            <w:pPr>
              <w:spacing w:after="0"/>
              <w:rPr>
                <w:sz w:val="1"/>
                <w:szCs w:val="1"/>
                <w:color w:val="auto"/>
              </w:rPr>
            </w:pPr>
          </w:p>
        </w:tc>
      </w:tr>
      <w:tr>
        <w:trPr>
          <w:trHeight w:val="188"/>
        </w:trPr>
        <w:tc>
          <w:tcPr>
            <w:tcW w:w="1800" w:type="dxa"/>
            <w:vAlign w:val="bottom"/>
          </w:tcPr>
          <w:p>
            <w:pPr>
              <w:spacing w:after="0"/>
              <w:rPr>
                <w:sz w:val="16"/>
                <w:szCs w:val="16"/>
                <w:color w:val="auto"/>
              </w:rPr>
            </w:pPr>
          </w:p>
        </w:tc>
        <w:tc>
          <w:tcPr>
            <w:tcW w:w="1280" w:type="dxa"/>
            <w:vAlign w:val="bottom"/>
          </w:tcPr>
          <w:p>
            <w:pPr>
              <w:ind w:left="180"/>
              <w:spacing w:after="0"/>
              <w:rPr>
                <w:sz w:val="20"/>
                <w:szCs w:val="20"/>
                <w:color w:val="auto"/>
              </w:rPr>
            </w:pPr>
            <w:r>
              <w:rPr>
                <w:rFonts w:ascii="Arial" w:cs="Arial" w:eastAsia="Arial" w:hAnsi="Arial"/>
                <w:sz w:val="14"/>
                <w:szCs w:val="14"/>
                <w:color w:val="auto"/>
              </w:rPr>
              <w:t>VA</w:t>
            </w:r>
          </w:p>
        </w:tc>
        <w:tc>
          <w:tcPr>
            <w:tcW w:w="4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Flourtown</w:t>
            </w:r>
          </w:p>
        </w:tc>
        <w:tc>
          <w:tcPr>
            <w:tcW w:w="1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Flourtown, PA</w:t>
            </w: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75,000 square foot grocer and new 38,000 square foot movie theater</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80"/>
        </w:trPr>
        <w:tc>
          <w:tcPr>
            <w:tcW w:w="180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49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800" w:type="dxa"/>
            <w:vAlign w:val="bottom"/>
          </w:tcPr>
          <w:p>
            <w:pPr>
              <w:ind w:left="40"/>
              <w:spacing w:after="0"/>
              <w:rPr>
                <w:sz w:val="20"/>
                <w:szCs w:val="20"/>
                <w:color w:val="auto"/>
              </w:rPr>
            </w:pPr>
            <w:r>
              <w:rPr>
                <w:rFonts w:ascii="Arial" w:cs="Arial" w:eastAsia="Arial" w:hAnsi="Arial"/>
                <w:sz w:val="14"/>
                <w:szCs w:val="14"/>
                <w:color w:val="auto"/>
              </w:rPr>
              <w:t>Pentagon Row</w:t>
            </w:r>
          </w:p>
        </w:tc>
        <w:tc>
          <w:tcPr>
            <w:tcW w:w="1280" w:type="dxa"/>
            <w:vAlign w:val="bottom"/>
          </w:tcPr>
          <w:p>
            <w:pPr>
              <w:ind w:left="180"/>
              <w:spacing w:after="0"/>
              <w:rPr>
                <w:sz w:val="20"/>
                <w:szCs w:val="20"/>
                <w:color w:val="auto"/>
              </w:rPr>
            </w:pPr>
            <w:r>
              <w:rPr>
                <w:rFonts w:ascii="Arial" w:cs="Arial" w:eastAsia="Arial" w:hAnsi="Arial"/>
                <w:sz w:val="14"/>
                <w:szCs w:val="14"/>
                <w:color w:val="auto"/>
              </w:rPr>
              <w:t>Arlington, VA</w:t>
            </w:r>
          </w:p>
        </w:tc>
        <w:tc>
          <w:tcPr>
            <w:tcW w:w="4920" w:type="dxa"/>
            <w:vAlign w:val="bottom"/>
          </w:tcPr>
          <w:p>
            <w:pPr>
              <w:ind w:left="40"/>
              <w:spacing w:after="0"/>
              <w:rPr>
                <w:sz w:val="20"/>
                <w:szCs w:val="20"/>
                <w:color w:val="auto"/>
              </w:rPr>
            </w:pPr>
            <w:r>
              <w:rPr>
                <w:rFonts w:ascii="Arial" w:cs="Arial" w:eastAsia="Arial" w:hAnsi="Arial"/>
                <w:sz w:val="14"/>
                <w:szCs w:val="14"/>
                <w:color w:val="auto"/>
              </w:rPr>
              <w:t>Ice rink expansion and 1,500 square feet of new retail space</w:t>
            </w:r>
          </w:p>
        </w:tc>
        <w:tc>
          <w:tcPr>
            <w:tcW w:w="820" w:type="dxa"/>
            <w:vAlign w:val="bottom"/>
          </w:tcPr>
          <w:p>
            <w:pPr>
              <w:jc w:val="right"/>
              <w:spacing w:after="0"/>
              <w:rPr>
                <w:sz w:val="20"/>
                <w:szCs w:val="20"/>
                <w:color w:val="auto"/>
              </w:rPr>
            </w:pPr>
            <w:r>
              <w:rPr>
                <w:rFonts w:ascii="Arial" w:cs="Arial" w:eastAsia="Arial" w:hAnsi="Arial"/>
                <w:sz w:val="14"/>
                <w:szCs w:val="14"/>
                <w:color w:val="auto"/>
              </w:rPr>
              <w:t>9%</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2014</w:t>
            </w: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9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8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Third Street Promenade</w:t>
            </w:r>
          </w:p>
        </w:tc>
        <w:tc>
          <w:tcPr>
            <w:tcW w:w="128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w w:val="95"/>
              </w:rPr>
              <w:t>Santa Monica, CA</w:t>
            </w:r>
          </w:p>
        </w:tc>
        <w:tc>
          <w:tcPr>
            <w:tcW w:w="49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w w:val="95"/>
              </w:rPr>
              <w:t>Building modified to convert second floor space to office to accommodate new first</w:t>
            </w: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25%</w:t>
            </w:r>
          </w:p>
        </w:tc>
        <w:tc>
          <w:tcPr>
            <w:tcW w:w="8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w:t>
            </w:r>
          </w:p>
        </w:tc>
        <w:tc>
          <w:tcPr>
            <w:tcW w:w="7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194"/>
        </w:trPr>
        <w:tc>
          <w:tcPr>
            <w:tcW w:w="18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floor retail and second floor office tenants</w:t>
            </w:r>
          </w:p>
        </w:tc>
        <w:tc>
          <w:tcPr>
            <w:tcW w:w="8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00" w:type="dxa"/>
            <w:vAlign w:val="bottom"/>
          </w:tcPr>
          <w:p>
            <w:pPr>
              <w:ind w:left="40"/>
              <w:spacing w:after="0"/>
              <w:rPr>
                <w:sz w:val="20"/>
                <w:szCs w:val="20"/>
                <w:color w:val="auto"/>
              </w:rPr>
            </w:pPr>
            <w:r>
              <w:rPr>
                <w:rFonts w:ascii="Arial" w:cs="Arial" w:eastAsia="Arial" w:hAnsi="Arial"/>
                <w:sz w:val="14"/>
                <w:szCs w:val="14"/>
                <w:color w:val="auto"/>
              </w:rPr>
              <w:t>Brick</w:t>
            </w:r>
          </w:p>
        </w:tc>
        <w:tc>
          <w:tcPr>
            <w:tcW w:w="1280" w:type="dxa"/>
            <w:vAlign w:val="bottom"/>
          </w:tcPr>
          <w:p>
            <w:pPr>
              <w:ind w:left="180"/>
              <w:spacing w:after="0"/>
              <w:rPr>
                <w:sz w:val="20"/>
                <w:szCs w:val="20"/>
                <w:color w:val="auto"/>
              </w:rPr>
            </w:pPr>
            <w:r>
              <w:rPr>
                <w:rFonts w:ascii="Arial" w:cs="Arial" w:eastAsia="Arial" w:hAnsi="Arial"/>
                <w:sz w:val="14"/>
                <w:szCs w:val="14"/>
                <w:color w:val="auto"/>
              </w:rPr>
              <w:t>Brick, NJ</w:t>
            </w:r>
          </w:p>
        </w:tc>
        <w:tc>
          <w:tcPr>
            <w:tcW w:w="4920" w:type="dxa"/>
            <w:vAlign w:val="bottom"/>
          </w:tcPr>
          <w:p>
            <w:pPr>
              <w:ind w:left="40"/>
              <w:spacing w:after="0"/>
              <w:rPr>
                <w:sz w:val="20"/>
                <w:szCs w:val="20"/>
                <w:color w:val="auto"/>
              </w:rPr>
            </w:pPr>
            <w:r>
              <w:rPr>
                <w:rFonts w:ascii="Arial" w:cs="Arial" w:eastAsia="Arial" w:hAnsi="Arial"/>
                <w:sz w:val="14"/>
                <w:szCs w:val="14"/>
                <w:color w:val="auto"/>
              </w:rPr>
              <w:t>New restaurant pad building</w:t>
            </w:r>
          </w:p>
        </w:tc>
        <w:tc>
          <w:tcPr>
            <w:tcW w:w="820" w:type="dxa"/>
            <w:vAlign w:val="bottom"/>
          </w:tcPr>
          <w:p>
            <w:pPr>
              <w:jc w:val="right"/>
              <w:spacing w:after="0"/>
              <w:rPr>
                <w:sz w:val="20"/>
                <w:szCs w:val="20"/>
                <w:color w:val="auto"/>
              </w:rPr>
            </w:pPr>
            <w:r>
              <w:rPr>
                <w:rFonts w:ascii="Arial" w:cs="Arial" w:eastAsia="Arial" w:hAnsi="Arial"/>
                <w:sz w:val="14"/>
                <w:szCs w:val="14"/>
                <w:color w:val="auto"/>
              </w:rPr>
              <w:t>18%</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2014</w:t>
            </w: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9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8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Huntington Square</w:t>
            </w:r>
          </w:p>
        </w:tc>
        <w:tc>
          <w:tcPr>
            <w:tcW w:w="128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rPr>
              <w:t>East Northport,</w:t>
            </w:r>
          </w:p>
        </w:tc>
        <w:tc>
          <w:tcPr>
            <w:tcW w:w="49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Infrastructure investment to create additional restaurant capacity</w:t>
            </w:r>
          </w:p>
        </w:tc>
        <w:tc>
          <w:tcPr>
            <w:tcW w:w="8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10%</w:t>
            </w:r>
          </w:p>
        </w:tc>
        <w:tc>
          <w:tcPr>
            <w:tcW w:w="8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w:t>
            </w:r>
          </w:p>
        </w:tc>
        <w:tc>
          <w:tcPr>
            <w:tcW w:w="7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6"/>
              </w:rPr>
              <w:t>2014</w:t>
            </w:r>
          </w:p>
        </w:tc>
        <w:tc>
          <w:tcPr>
            <w:tcW w:w="0" w:type="dxa"/>
            <w:vAlign w:val="bottom"/>
          </w:tcPr>
          <w:p>
            <w:pPr>
              <w:spacing w:after="0"/>
              <w:rPr>
                <w:sz w:val="1"/>
                <w:szCs w:val="1"/>
                <w:color w:val="auto"/>
              </w:rPr>
            </w:pPr>
          </w:p>
        </w:tc>
      </w:tr>
      <w:tr>
        <w:trPr>
          <w:trHeight w:val="194"/>
        </w:trPr>
        <w:tc>
          <w:tcPr>
            <w:tcW w:w="1800" w:type="dxa"/>
            <w:vAlign w:val="bottom"/>
            <w:shd w:val="clear" w:color="auto" w:fill="CCEEFF"/>
          </w:tcPr>
          <w:p>
            <w:pPr>
              <w:spacing w:after="0"/>
              <w:rPr>
                <w:sz w:val="16"/>
                <w:szCs w:val="16"/>
                <w:color w:val="auto"/>
              </w:rPr>
            </w:pPr>
          </w:p>
        </w:tc>
        <w:tc>
          <w:tcPr>
            <w:tcW w:w="1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NY</w:t>
            </w:r>
          </w:p>
        </w:tc>
        <w:tc>
          <w:tcPr>
            <w:tcW w:w="492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0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Active Redevelopment projects (4)</w:t>
            </w:r>
          </w:p>
        </w:tc>
        <w:tc>
          <w:tcPr>
            <w:tcW w:w="49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w w:val="98"/>
              </w:rPr>
              <w:t>$360-$370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$172</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920" w:type="dxa"/>
            <w:vAlign w:val="bottom"/>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3" w:lineRule="exact"/>
        <w:rPr>
          <w:sz w:val="20"/>
          <w:szCs w:val="20"/>
          <w:color w:val="auto"/>
        </w:rPr>
      </w:pPr>
    </w:p>
    <w:p>
      <w:pPr>
        <w:ind w:left="660" w:hanging="652"/>
        <w:spacing w:after="0" w:line="260"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60"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does NOT include peripheral impacts, such as the impact on future lease rollovers at the property or the impact on the long-term value of the property.</w:t>
      </w: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Stabilization is the year in which 95% occupancy of the redeveloped space is achieved.</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977" w:right="239" w:bottom="1440" w:gutter="0" w:footer="0" w:header="0"/>
        </w:sectPr>
      </w:pPr>
    </w:p>
    <w:bookmarkStart w:id="18" w:name="page19"/>
    <w:bookmarkEnd w:id="18"/>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Pike &amp; Rose and Assembly Row</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2014</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Property (1)</w:t>
            </w: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Location</w:t>
            </w:r>
          </w:p>
        </w:tc>
        <w:tc>
          <w:tcPr>
            <w:tcW w:w="23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Opportunity</w:t>
            </w:r>
          </w:p>
        </w:tc>
        <w:tc>
          <w:tcPr>
            <w:tcW w:w="800" w:type="dxa"/>
            <w:vAlign w:val="bottom"/>
          </w:tcPr>
          <w:p>
            <w:pPr>
              <w:ind w:left="100"/>
              <w:spacing w:after="0"/>
              <w:rPr>
                <w:sz w:val="20"/>
                <w:szCs w:val="20"/>
                <w:color w:val="auto"/>
              </w:rPr>
            </w:pPr>
            <w:r>
              <w:rPr>
                <w:rFonts w:ascii="Arial" w:cs="Arial" w:eastAsia="Arial" w:hAnsi="Arial"/>
                <w:sz w:val="14"/>
                <w:szCs w:val="14"/>
                <w:b w:val="1"/>
                <w:bCs w:val="1"/>
                <w:color w:val="auto"/>
              </w:rPr>
              <w:t>Projected</w:t>
            </w:r>
          </w:p>
        </w:tc>
        <w:tc>
          <w:tcPr>
            <w:tcW w:w="9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Costs to</w:t>
            </w:r>
          </w:p>
        </w:tc>
        <w:tc>
          <w:tcPr>
            <w:tcW w:w="820" w:type="dxa"/>
            <w:vAlign w:val="bottom"/>
          </w:tcPr>
          <w:p>
            <w:pPr>
              <w:ind w:left="60"/>
              <w:spacing w:after="0"/>
              <w:rPr>
                <w:sz w:val="20"/>
                <w:szCs w:val="20"/>
                <w:color w:val="auto"/>
              </w:rPr>
            </w:pPr>
            <w:r>
              <w:rPr>
                <w:rFonts w:ascii="Arial" w:cs="Arial" w:eastAsia="Arial" w:hAnsi="Arial"/>
                <w:sz w:val="14"/>
                <w:szCs w:val="14"/>
                <w:b w:val="1"/>
                <w:bCs w:val="1"/>
                <w:color w:val="auto"/>
                <w:w w:val="97"/>
              </w:rPr>
              <w:t>Anticipated</w:t>
            </w:r>
          </w:p>
        </w:tc>
        <w:tc>
          <w:tcPr>
            <w:tcW w:w="1940" w:type="dxa"/>
            <w:vAlign w:val="bottom"/>
          </w:tcPr>
          <w:p>
            <w:pPr>
              <w:spacing w:after="0"/>
              <w:rPr>
                <w:sz w:val="14"/>
                <w:szCs w:val="14"/>
                <w:color w:val="auto"/>
              </w:rPr>
            </w:pPr>
          </w:p>
        </w:tc>
        <w:tc>
          <w:tcPr>
            <w:tcW w:w="1380" w:type="dxa"/>
            <w:vAlign w:val="bottom"/>
          </w:tcPr>
          <w:p>
            <w:pPr>
              <w:ind w:left="40"/>
              <w:spacing w:after="0"/>
              <w:rPr>
                <w:sz w:val="20"/>
                <w:szCs w:val="20"/>
                <w:color w:val="auto"/>
              </w:rPr>
            </w:pPr>
            <w:r>
              <w:rPr>
                <w:rFonts w:ascii="Arial" w:cs="Arial" w:eastAsia="Arial" w:hAnsi="Arial"/>
                <w:sz w:val="14"/>
                <w:szCs w:val="14"/>
                <w:b w:val="1"/>
                <w:bCs w:val="1"/>
                <w:color w:val="auto"/>
              </w:rPr>
              <w:t>Anchor and other</w:t>
            </w:r>
          </w:p>
        </w:tc>
        <w:tc>
          <w:tcPr>
            <w:tcW w:w="0" w:type="dxa"/>
            <w:vAlign w:val="bottom"/>
          </w:tcPr>
          <w:p>
            <w:pPr>
              <w:spacing w:after="0"/>
              <w:rPr>
                <w:sz w:val="1"/>
                <w:szCs w:val="1"/>
                <w:color w:val="auto"/>
              </w:rPr>
            </w:pPr>
          </w:p>
        </w:tc>
      </w:tr>
      <w:tr>
        <w:trPr>
          <w:trHeight w:val="192"/>
        </w:trPr>
        <w:tc>
          <w:tcPr>
            <w:tcW w:w="156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38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ROI (2)   Total Cost (3)</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Stabilization Expected Opening Timeframe</w:t>
            </w:r>
          </w:p>
        </w:tc>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significant tenants</w:t>
            </w:r>
          </w:p>
        </w:tc>
        <w:tc>
          <w:tcPr>
            <w:tcW w:w="0" w:type="dxa"/>
            <w:vAlign w:val="bottom"/>
          </w:tcPr>
          <w:p>
            <w:pPr>
              <w:spacing w:after="0"/>
              <w:rPr>
                <w:sz w:val="1"/>
                <w:szCs w:val="1"/>
                <w:color w:val="auto"/>
              </w:rPr>
            </w:pPr>
          </w:p>
        </w:tc>
      </w:tr>
      <w:tr>
        <w:trPr>
          <w:trHeight w:val="190"/>
        </w:trPr>
        <w:tc>
          <w:tcPr>
            <w:tcW w:w="1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ind w:left="100"/>
              <w:spacing w:after="0"/>
              <w:rPr>
                <w:sz w:val="20"/>
                <w:szCs w:val="20"/>
                <w:color w:val="auto"/>
              </w:rPr>
            </w:pPr>
            <w:r>
              <w:rPr>
                <w:rFonts w:ascii="Arial" w:cs="Arial" w:eastAsia="Arial" w:hAnsi="Arial"/>
                <w:sz w:val="14"/>
                <w:szCs w:val="14"/>
                <w:color w:val="auto"/>
              </w:rPr>
              <w:t>(in millions)</w:t>
            </w:r>
          </w:p>
        </w:tc>
        <w:tc>
          <w:tcPr>
            <w:tcW w:w="78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15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15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Pike &amp; Rose - Phase I</w:t>
            </w:r>
          </w:p>
        </w:tc>
        <w:tc>
          <w:tcPr>
            <w:tcW w:w="860" w:type="dxa"/>
            <w:vAlign w:val="bottom"/>
            <w:shd w:val="clear" w:color="auto" w:fill="CCEEFF"/>
          </w:tcPr>
          <w:p>
            <w:pPr>
              <w:ind w:left="80"/>
              <w:spacing w:after="0" w:line="157" w:lineRule="exact"/>
              <w:rPr>
                <w:sz w:val="20"/>
                <w:szCs w:val="20"/>
                <w:color w:val="auto"/>
              </w:rPr>
            </w:pPr>
            <w:r>
              <w:rPr>
                <w:rFonts w:ascii="Arial" w:cs="Arial" w:eastAsia="Arial" w:hAnsi="Arial"/>
                <w:sz w:val="14"/>
                <w:szCs w:val="14"/>
                <w:color w:val="auto"/>
              </w:rPr>
              <w:t>Rockville,</w:t>
            </w:r>
          </w:p>
        </w:tc>
        <w:tc>
          <w:tcPr>
            <w:tcW w:w="238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Ground up mixed use development.</w:t>
            </w:r>
          </w:p>
        </w:tc>
        <w:tc>
          <w:tcPr>
            <w:tcW w:w="8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8"/>
              </w:rPr>
              <w:t>8% - 9%</w:t>
            </w:r>
          </w:p>
        </w:tc>
        <w:tc>
          <w:tcPr>
            <w:tcW w:w="9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$245 - $255</w:t>
            </w:r>
          </w:p>
        </w:tc>
        <w:tc>
          <w:tcPr>
            <w:tcW w:w="7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$173</w:t>
            </w:r>
          </w:p>
        </w:tc>
        <w:tc>
          <w:tcPr>
            <w:tcW w:w="82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2015/2016</w:t>
            </w:r>
          </w:p>
        </w:tc>
        <w:tc>
          <w:tcPr>
            <w:tcW w:w="1940" w:type="dxa"/>
            <w:vAlign w:val="bottom"/>
            <w:shd w:val="clear" w:color="auto" w:fill="CCEEFF"/>
          </w:tcPr>
          <w:p>
            <w:pPr>
              <w:ind w:left="60"/>
              <w:spacing w:after="0" w:line="157" w:lineRule="exact"/>
              <w:rPr>
                <w:sz w:val="20"/>
                <w:szCs w:val="20"/>
                <w:color w:val="auto"/>
              </w:rPr>
            </w:pPr>
            <w:r>
              <w:rPr>
                <w:rFonts w:ascii="Arial" w:cs="Arial" w:eastAsia="Arial" w:hAnsi="Arial"/>
                <w:sz w:val="14"/>
                <w:szCs w:val="14"/>
                <w:color w:val="auto"/>
              </w:rPr>
              <w:t>•174 unit residential building</w:t>
            </w:r>
          </w:p>
        </w:tc>
        <w:tc>
          <w:tcPr>
            <w:tcW w:w="138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iPic Theater, Sport &amp;</w:t>
            </w:r>
          </w:p>
        </w:tc>
        <w:tc>
          <w:tcPr>
            <w:tcW w:w="0" w:type="dxa"/>
            <w:vAlign w:val="bottom"/>
          </w:tcPr>
          <w:p>
            <w:pPr>
              <w:spacing w:after="0"/>
              <w:rPr>
                <w:sz w:val="1"/>
                <w:szCs w:val="1"/>
                <w:color w:val="auto"/>
              </w:rPr>
            </w:pPr>
          </w:p>
        </w:tc>
      </w:tr>
      <w:tr>
        <w:trPr>
          <w:trHeight w:val="149"/>
        </w:trPr>
        <w:tc>
          <w:tcPr>
            <w:tcW w:w="1560" w:type="dxa"/>
            <w:vAlign w:val="bottom"/>
            <w:shd w:val="clear" w:color="auto" w:fill="CCEEFF"/>
          </w:tcPr>
          <w:p>
            <w:pPr>
              <w:spacing w:after="0"/>
              <w:rPr>
                <w:sz w:val="12"/>
                <w:szCs w:val="12"/>
                <w:color w:val="auto"/>
              </w:rPr>
            </w:pPr>
          </w:p>
        </w:tc>
        <w:tc>
          <w:tcPr>
            <w:tcW w:w="8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MD</w:t>
            </w:r>
          </w:p>
        </w:tc>
        <w:tc>
          <w:tcPr>
            <w:tcW w:w="2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Phase I consists of 493 residential</w:t>
            </w: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9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now open •Grand Opening of</w:t>
            </w:r>
          </w:p>
        </w:tc>
        <w:tc>
          <w:tcPr>
            <w:tcW w:w="13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Health, Del Frisco's</w:t>
            </w:r>
          </w:p>
        </w:tc>
        <w:tc>
          <w:tcPr>
            <w:tcW w:w="0" w:type="dxa"/>
            <w:vAlign w:val="bottom"/>
          </w:tcPr>
          <w:p>
            <w:pPr>
              <w:spacing w:after="0"/>
              <w:rPr>
                <w:sz w:val="1"/>
                <w:szCs w:val="1"/>
                <w:color w:val="auto"/>
              </w:rPr>
            </w:pPr>
          </w:p>
        </w:tc>
      </w:tr>
      <w:tr>
        <w:trPr>
          <w:trHeight w:val="149"/>
        </w:trPr>
        <w:tc>
          <w:tcPr>
            <w:tcW w:w="15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units, 151,000 square feet of retail,</w:t>
            </w: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9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Retail in Fall 2014 •Office and</w:t>
            </w:r>
          </w:p>
        </w:tc>
        <w:tc>
          <w:tcPr>
            <w:tcW w:w="13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Grille, M Street</w:t>
            </w:r>
          </w:p>
        </w:tc>
        <w:tc>
          <w:tcPr>
            <w:tcW w:w="0" w:type="dxa"/>
            <w:vAlign w:val="bottom"/>
          </w:tcPr>
          <w:p>
            <w:pPr>
              <w:spacing w:after="0"/>
              <w:rPr>
                <w:sz w:val="1"/>
                <w:szCs w:val="1"/>
                <w:color w:val="auto"/>
              </w:rPr>
            </w:pPr>
          </w:p>
        </w:tc>
      </w:tr>
      <w:tr>
        <w:trPr>
          <w:trHeight w:val="149"/>
        </w:trPr>
        <w:tc>
          <w:tcPr>
            <w:tcW w:w="15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2"/>
              </w:rPr>
              <w:t>and 79,000 square feet of office space.</w:t>
            </w: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9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319 unit residential building to</w:t>
            </w:r>
          </w:p>
        </w:tc>
        <w:tc>
          <w:tcPr>
            <w:tcW w:w="13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Kitchen</w:t>
            </w:r>
          </w:p>
        </w:tc>
        <w:tc>
          <w:tcPr>
            <w:tcW w:w="0" w:type="dxa"/>
            <w:vAlign w:val="bottom"/>
          </w:tcPr>
          <w:p>
            <w:pPr>
              <w:spacing w:after="0"/>
              <w:rPr>
                <w:sz w:val="1"/>
                <w:szCs w:val="1"/>
                <w:color w:val="auto"/>
              </w:rPr>
            </w:pPr>
          </w:p>
        </w:tc>
      </w:tr>
      <w:tr>
        <w:trPr>
          <w:trHeight w:val="194"/>
        </w:trPr>
        <w:tc>
          <w:tcPr>
            <w:tcW w:w="15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940" w:type="dxa"/>
            <w:vAlign w:val="bottom"/>
            <w:shd w:val="clear" w:color="auto" w:fill="CCEEFF"/>
          </w:tcPr>
          <w:p>
            <w:pPr>
              <w:ind w:left="60"/>
              <w:spacing w:after="0"/>
              <w:rPr>
                <w:sz w:val="20"/>
                <w:szCs w:val="20"/>
                <w:color w:val="auto"/>
              </w:rPr>
            </w:pPr>
            <w:r>
              <w:rPr>
                <w:rFonts w:ascii="Arial" w:cs="Arial" w:eastAsia="Arial" w:hAnsi="Arial"/>
                <w:sz w:val="14"/>
                <w:szCs w:val="14"/>
                <w:color w:val="auto"/>
              </w:rPr>
              <w:t>deliver in 2015</w:t>
            </w: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60" w:type="dxa"/>
            <w:vAlign w:val="bottom"/>
          </w:tcPr>
          <w:p>
            <w:pPr>
              <w:ind w:left="40"/>
              <w:spacing w:after="0" w:line="157" w:lineRule="exact"/>
              <w:rPr>
                <w:sz w:val="20"/>
                <w:szCs w:val="20"/>
                <w:color w:val="auto"/>
              </w:rPr>
            </w:pPr>
            <w:r>
              <w:rPr>
                <w:rFonts w:ascii="Arial" w:cs="Arial" w:eastAsia="Arial" w:hAnsi="Arial"/>
                <w:sz w:val="14"/>
                <w:szCs w:val="14"/>
                <w:color w:val="auto"/>
                <w:w w:val="98"/>
              </w:rPr>
              <w:t>Assembly Row - Phase I</w:t>
            </w:r>
          </w:p>
        </w:tc>
        <w:tc>
          <w:tcPr>
            <w:tcW w:w="860" w:type="dxa"/>
            <w:vAlign w:val="bottom"/>
          </w:tcPr>
          <w:p>
            <w:pPr>
              <w:ind w:left="80"/>
              <w:spacing w:after="0" w:line="157" w:lineRule="exact"/>
              <w:rPr>
                <w:sz w:val="20"/>
                <w:szCs w:val="20"/>
                <w:color w:val="auto"/>
              </w:rPr>
            </w:pPr>
            <w:r>
              <w:rPr>
                <w:rFonts w:ascii="Arial" w:cs="Arial" w:eastAsia="Arial" w:hAnsi="Arial"/>
                <w:sz w:val="14"/>
                <w:szCs w:val="14"/>
                <w:color w:val="auto"/>
              </w:rPr>
              <w:t>Somerville,</w:t>
            </w:r>
          </w:p>
        </w:tc>
        <w:tc>
          <w:tcPr>
            <w:tcW w:w="2380" w:type="dxa"/>
            <w:vAlign w:val="bottom"/>
          </w:tcPr>
          <w:p>
            <w:pPr>
              <w:ind w:left="120"/>
              <w:spacing w:after="0" w:line="157" w:lineRule="exact"/>
              <w:rPr>
                <w:sz w:val="20"/>
                <w:szCs w:val="20"/>
                <w:color w:val="auto"/>
              </w:rPr>
            </w:pPr>
            <w:r>
              <w:rPr>
                <w:rFonts w:ascii="Arial" w:cs="Arial" w:eastAsia="Arial" w:hAnsi="Arial"/>
                <w:sz w:val="14"/>
                <w:szCs w:val="14"/>
                <w:color w:val="auto"/>
              </w:rPr>
              <w:t>Ground up mixed use development.</w:t>
            </w:r>
          </w:p>
        </w:tc>
        <w:tc>
          <w:tcPr>
            <w:tcW w:w="800" w:type="dxa"/>
            <w:vAlign w:val="bottom"/>
          </w:tcPr>
          <w:p>
            <w:pPr>
              <w:jc w:val="center"/>
              <w:spacing w:after="0" w:line="157" w:lineRule="exact"/>
              <w:rPr>
                <w:sz w:val="20"/>
                <w:szCs w:val="20"/>
                <w:color w:val="auto"/>
              </w:rPr>
            </w:pPr>
            <w:r>
              <w:rPr>
                <w:rFonts w:ascii="Arial" w:cs="Arial" w:eastAsia="Arial" w:hAnsi="Arial"/>
                <w:sz w:val="14"/>
                <w:szCs w:val="14"/>
                <w:color w:val="auto"/>
                <w:w w:val="98"/>
              </w:rPr>
              <w:t>5% - 6%</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3"/>
              </w:rPr>
              <w:t>$190 - $200</w:t>
            </w:r>
          </w:p>
        </w:tc>
        <w:tc>
          <w:tcPr>
            <w:tcW w:w="7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$172</w:t>
            </w:r>
          </w:p>
        </w:tc>
        <w:tc>
          <w:tcPr>
            <w:tcW w:w="820" w:type="dxa"/>
            <w:vAlign w:val="bottom"/>
          </w:tcPr>
          <w:p>
            <w:pPr>
              <w:jc w:val="right"/>
              <w:ind w:right="168"/>
              <w:spacing w:after="0" w:line="157" w:lineRule="exact"/>
              <w:rPr>
                <w:sz w:val="20"/>
                <w:szCs w:val="20"/>
                <w:color w:val="auto"/>
              </w:rPr>
            </w:pPr>
            <w:r>
              <w:rPr>
                <w:rFonts w:ascii="Arial" w:cs="Arial" w:eastAsia="Arial" w:hAnsi="Arial"/>
                <w:sz w:val="14"/>
                <w:szCs w:val="14"/>
                <w:color w:val="auto"/>
              </w:rPr>
              <w:t>2015</w:t>
            </w:r>
          </w:p>
        </w:tc>
        <w:tc>
          <w:tcPr>
            <w:tcW w:w="1940" w:type="dxa"/>
            <w:vAlign w:val="bottom"/>
          </w:tcPr>
          <w:p>
            <w:pPr>
              <w:ind w:left="60"/>
              <w:spacing w:after="0" w:line="157" w:lineRule="exact"/>
              <w:rPr>
                <w:sz w:val="20"/>
                <w:szCs w:val="20"/>
                <w:color w:val="auto"/>
              </w:rPr>
            </w:pPr>
            <w:r>
              <w:rPr>
                <w:rFonts w:ascii="Arial" w:cs="Arial" w:eastAsia="Arial" w:hAnsi="Arial"/>
                <w:sz w:val="14"/>
                <w:szCs w:val="14"/>
                <w:color w:val="auto"/>
              </w:rPr>
              <w:t>•Opened •T Station open</w:t>
            </w:r>
          </w:p>
        </w:tc>
        <w:tc>
          <w:tcPr>
            <w:tcW w:w="1380" w:type="dxa"/>
            <w:vAlign w:val="bottom"/>
          </w:tcPr>
          <w:p>
            <w:pPr>
              <w:ind w:left="40"/>
              <w:spacing w:after="0" w:line="157" w:lineRule="exact"/>
              <w:rPr>
                <w:sz w:val="20"/>
                <w:szCs w:val="20"/>
                <w:color w:val="auto"/>
              </w:rPr>
            </w:pPr>
            <w:r>
              <w:rPr>
                <w:rFonts w:ascii="Arial" w:cs="Arial" w:eastAsia="Arial" w:hAnsi="Arial"/>
                <w:sz w:val="14"/>
                <w:szCs w:val="14"/>
                <w:color w:val="auto"/>
              </w:rPr>
              <w:t>AMC Theatre,</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860" w:type="dxa"/>
            <w:vAlign w:val="bottom"/>
          </w:tcPr>
          <w:p>
            <w:pPr>
              <w:ind w:left="80"/>
              <w:spacing w:after="0" w:line="149" w:lineRule="exact"/>
              <w:rPr>
                <w:sz w:val="20"/>
                <w:szCs w:val="20"/>
                <w:color w:val="auto"/>
              </w:rPr>
            </w:pPr>
            <w:r>
              <w:rPr>
                <w:rFonts w:ascii="Arial" w:cs="Arial" w:eastAsia="Arial" w:hAnsi="Arial"/>
                <w:sz w:val="14"/>
                <w:szCs w:val="14"/>
                <w:color w:val="auto"/>
              </w:rPr>
              <w:t>MA</w:t>
            </w:r>
          </w:p>
        </w:tc>
        <w:tc>
          <w:tcPr>
            <w:tcW w:w="2380" w:type="dxa"/>
            <w:vAlign w:val="bottom"/>
          </w:tcPr>
          <w:p>
            <w:pPr>
              <w:ind w:left="120"/>
              <w:spacing w:after="0" w:line="149" w:lineRule="exact"/>
              <w:rPr>
                <w:sz w:val="20"/>
                <w:szCs w:val="20"/>
                <w:color w:val="auto"/>
              </w:rPr>
            </w:pPr>
            <w:r>
              <w:rPr>
                <w:rFonts w:ascii="Arial" w:cs="Arial" w:eastAsia="Arial" w:hAnsi="Arial"/>
                <w:sz w:val="14"/>
                <w:szCs w:val="14"/>
                <w:color w:val="auto"/>
              </w:rPr>
              <w:t>Initial phase consists of 450</w:t>
            </w: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40" w:type="dxa"/>
            <w:vAlign w:val="bottom"/>
          </w:tcPr>
          <w:p>
            <w:pPr>
              <w:ind w:left="60"/>
              <w:spacing w:after="0" w:line="149" w:lineRule="exact"/>
              <w:rPr>
                <w:sz w:val="20"/>
                <w:szCs w:val="20"/>
                <w:color w:val="auto"/>
              </w:rPr>
            </w:pPr>
            <w:r>
              <w:rPr>
                <w:rFonts w:ascii="Arial" w:cs="Arial" w:eastAsia="Arial" w:hAnsi="Arial"/>
                <w:sz w:val="14"/>
                <w:szCs w:val="14"/>
                <w:color w:val="auto"/>
              </w:rPr>
              <w:t>Summer 2014</w:t>
            </w:r>
          </w:p>
        </w:tc>
        <w:tc>
          <w:tcPr>
            <w:tcW w:w="1380" w:type="dxa"/>
            <w:vAlign w:val="bottom"/>
          </w:tcPr>
          <w:p>
            <w:pPr>
              <w:ind w:left="40"/>
              <w:spacing w:after="0" w:line="149" w:lineRule="exact"/>
              <w:rPr>
                <w:sz w:val="20"/>
                <w:szCs w:val="20"/>
                <w:color w:val="auto"/>
              </w:rPr>
            </w:pPr>
            <w:r>
              <w:rPr>
                <w:rFonts w:ascii="Arial" w:cs="Arial" w:eastAsia="Arial" w:hAnsi="Arial"/>
                <w:sz w:val="14"/>
                <w:szCs w:val="14"/>
                <w:color w:val="auto"/>
              </w:rPr>
              <w:t>LEGOLAND</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380" w:type="dxa"/>
            <w:vAlign w:val="bottom"/>
          </w:tcPr>
          <w:p>
            <w:pPr>
              <w:ind w:left="120"/>
              <w:spacing w:after="0" w:line="149" w:lineRule="exact"/>
              <w:rPr>
                <w:sz w:val="20"/>
                <w:szCs w:val="20"/>
                <w:color w:val="auto"/>
              </w:rPr>
            </w:pPr>
            <w:r>
              <w:rPr>
                <w:rFonts w:ascii="Arial" w:cs="Arial" w:eastAsia="Arial" w:hAnsi="Arial"/>
                <w:sz w:val="14"/>
                <w:szCs w:val="14"/>
                <w:color w:val="auto"/>
              </w:rPr>
              <w:t>residential units (by AvalonBay), in</w:t>
            </w: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40" w:type="dxa"/>
            <w:vAlign w:val="bottom"/>
          </w:tcPr>
          <w:p>
            <w:pPr>
              <w:ind w:left="60"/>
              <w:spacing w:after="0" w:line="149" w:lineRule="exact"/>
              <w:rPr>
                <w:sz w:val="20"/>
                <w:szCs w:val="20"/>
                <w:color w:val="auto"/>
              </w:rPr>
            </w:pPr>
            <w:r>
              <w:rPr>
                <w:rFonts w:ascii="Arial" w:cs="Arial" w:eastAsia="Arial" w:hAnsi="Arial"/>
                <w:sz w:val="14"/>
                <w:szCs w:val="14"/>
                <w:color w:val="auto"/>
              </w:rPr>
              <w:t>•Office to deliver in 2015</w:t>
            </w:r>
          </w:p>
        </w:tc>
        <w:tc>
          <w:tcPr>
            <w:tcW w:w="1380" w:type="dxa"/>
            <w:vAlign w:val="bottom"/>
          </w:tcPr>
          <w:p>
            <w:pPr>
              <w:ind w:left="40"/>
              <w:spacing w:after="0" w:line="149" w:lineRule="exact"/>
              <w:rPr>
                <w:sz w:val="20"/>
                <w:szCs w:val="20"/>
                <w:color w:val="auto"/>
              </w:rPr>
            </w:pPr>
            <w:r>
              <w:rPr>
                <w:rFonts w:ascii="Arial" w:cs="Arial" w:eastAsia="Arial" w:hAnsi="Arial"/>
                <w:sz w:val="14"/>
                <w:szCs w:val="14"/>
                <w:color w:val="auto"/>
              </w:rPr>
              <w:t>Discovery Center,</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380" w:type="dxa"/>
            <w:vAlign w:val="bottom"/>
          </w:tcPr>
          <w:p>
            <w:pPr>
              <w:ind w:left="120"/>
              <w:spacing w:after="0" w:line="149" w:lineRule="exact"/>
              <w:rPr>
                <w:sz w:val="20"/>
                <w:szCs w:val="20"/>
                <w:color w:val="auto"/>
              </w:rPr>
            </w:pPr>
            <w:r>
              <w:rPr>
                <w:rFonts w:ascii="Arial" w:cs="Arial" w:eastAsia="Arial" w:hAnsi="Arial"/>
                <w:sz w:val="14"/>
                <w:szCs w:val="14"/>
                <w:color w:val="auto"/>
              </w:rPr>
              <w:t>addition to 98,000 square feet of</w:t>
            </w: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80" w:type="dxa"/>
            <w:vAlign w:val="bottom"/>
          </w:tcPr>
          <w:p>
            <w:pPr>
              <w:ind w:left="40"/>
              <w:spacing w:after="0" w:line="149" w:lineRule="exact"/>
              <w:rPr>
                <w:sz w:val="20"/>
                <w:szCs w:val="20"/>
                <w:color w:val="auto"/>
              </w:rPr>
            </w:pPr>
            <w:r>
              <w:rPr>
                <w:rFonts w:ascii="Arial" w:cs="Arial" w:eastAsia="Arial" w:hAnsi="Arial"/>
                <w:sz w:val="14"/>
                <w:szCs w:val="14"/>
                <w:color w:val="auto"/>
                <w:w w:val="96"/>
              </w:rPr>
              <w:t>Saks Fifth Avenue Off</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380" w:type="dxa"/>
            <w:vAlign w:val="bottom"/>
          </w:tcPr>
          <w:p>
            <w:pPr>
              <w:ind w:left="120"/>
              <w:spacing w:after="0" w:line="149" w:lineRule="exact"/>
              <w:rPr>
                <w:sz w:val="20"/>
                <w:szCs w:val="20"/>
                <w:color w:val="auto"/>
              </w:rPr>
            </w:pPr>
            <w:r>
              <w:rPr>
                <w:rFonts w:ascii="Arial" w:cs="Arial" w:eastAsia="Arial" w:hAnsi="Arial"/>
                <w:sz w:val="14"/>
                <w:szCs w:val="14"/>
                <w:color w:val="auto"/>
              </w:rPr>
              <w:t>office space and approximately</w:t>
            </w: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80" w:type="dxa"/>
            <w:vAlign w:val="bottom"/>
          </w:tcPr>
          <w:p>
            <w:pPr>
              <w:ind w:left="40"/>
              <w:spacing w:after="0" w:line="149" w:lineRule="exact"/>
              <w:rPr>
                <w:sz w:val="20"/>
                <w:szCs w:val="20"/>
                <w:color w:val="auto"/>
              </w:rPr>
            </w:pPr>
            <w:r>
              <w:rPr>
                <w:rFonts w:ascii="Arial" w:cs="Arial" w:eastAsia="Arial" w:hAnsi="Arial"/>
                <w:sz w:val="14"/>
                <w:szCs w:val="14"/>
                <w:color w:val="auto"/>
              </w:rPr>
              <w:t>5th, Nike, Brooks</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380" w:type="dxa"/>
            <w:vAlign w:val="bottom"/>
          </w:tcPr>
          <w:p>
            <w:pPr>
              <w:ind w:left="120"/>
              <w:spacing w:after="0" w:line="149" w:lineRule="exact"/>
              <w:rPr>
                <w:sz w:val="20"/>
                <w:szCs w:val="20"/>
                <w:color w:val="auto"/>
              </w:rPr>
            </w:pPr>
            <w:r>
              <w:rPr>
                <w:rFonts w:ascii="Arial" w:cs="Arial" w:eastAsia="Arial" w:hAnsi="Arial"/>
                <w:sz w:val="14"/>
                <w:szCs w:val="14"/>
                <w:color w:val="auto"/>
              </w:rPr>
              <w:t>326,000 square feet of retail space</w:t>
            </w: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80" w:type="dxa"/>
            <w:vAlign w:val="bottom"/>
          </w:tcPr>
          <w:p>
            <w:pPr>
              <w:ind w:left="40"/>
              <w:spacing w:after="0" w:line="149" w:lineRule="exact"/>
              <w:rPr>
                <w:sz w:val="20"/>
                <w:szCs w:val="20"/>
                <w:color w:val="auto"/>
              </w:rPr>
            </w:pPr>
            <w:r>
              <w:rPr>
                <w:rFonts w:ascii="Arial" w:cs="Arial" w:eastAsia="Arial" w:hAnsi="Arial"/>
                <w:sz w:val="14"/>
                <w:szCs w:val="14"/>
                <w:color w:val="auto"/>
                <w:w w:val="95"/>
              </w:rPr>
              <w:t>Brothers, Legal C Bar,</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380" w:type="dxa"/>
            <w:vAlign w:val="bottom"/>
          </w:tcPr>
          <w:p>
            <w:pPr>
              <w:ind w:left="120"/>
              <w:spacing w:after="0" w:line="149" w:lineRule="exact"/>
              <w:rPr>
                <w:sz w:val="20"/>
                <w:szCs w:val="20"/>
                <w:color w:val="auto"/>
              </w:rPr>
            </w:pPr>
            <w:r>
              <w:rPr>
                <w:rFonts w:ascii="Arial" w:cs="Arial" w:eastAsia="Arial" w:hAnsi="Arial"/>
                <w:sz w:val="14"/>
                <w:szCs w:val="14"/>
                <w:color w:val="auto"/>
              </w:rPr>
              <w:t>(including a restaurant pad site). A</w:t>
            </w: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80" w:type="dxa"/>
            <w:vAlign w:val="bottom"/>
          </w:tcPr>
          <w:p>
            <w:pPr>
              <w:ind w:left="40"/>
              <w:spacing w:after="0" w:line="149" w:lineRule="exact"/>
              <w:rPr>
                <w:sz w:val="20"/>
                <w:szCs w:val="20"/>
                <w:color w:val="auto"/>
              </w:rPr>
            </w:pPr>
            <w:r>
              <w:rPr>
                <w:rFonts w:ascii="Arial" w:cs="Arial" w:eastAsia="Arial" w:hAnsi="Arial"/>
                <w:sz w:val="14"/>
                <w:szCs w:val="14"/>
                <w:color w:val="auto"/>
              </w:rPr>
              <w:t>Earl's, Papagayo</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380" w:type="dxa"/>
            <w:vAlign w:val="bottom"/>
          </w:tcPr>
          <w:p>
            <w:pPr>
              <w:ind w:left="120"/>
              <w:spacing w:after="0" w:line="149" w:lineRule="exact"/>
              <w:rPr>
                <w:sz w:val="20"/>
                <w:szCs w:val="20"/>
                <w:color w:val="auto"/>
              </w:rPr>
            </w:pPr>
            <w:r>
              <w:rPr>
                <w:rFonts w:ascii="Arial" w:cs="Arial" w:eastAsia="Arial" w:hAnsi="Arial"/>
                <w:sz w:val="14"/>
                <w:szCs w:val="14"/>
                <w:color w:val="auto"/>
                <w:w w:val="99"/>
              </w:rPr>
              <w:t>new Orange Line T-Stop will also be</w:t>
            </w: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380" w:type="dxa"/>
            <w:vAlign w:val="bottom"/>
          </w:tcPr>
          <w:p>
            <w:pPr>
              <w:ind w:left="120"/>
              <w:spacing w:after="0" w:line="149" w:lineRule="exact"/>
              <w:rPr>
                <w:sz w:val="20"/>
                <w:szCs w:val="20"/>
                <w:color w:val="auto"/>
              </w:rPr>
            </w:pPr>
            <w:r>
              <w:rPr>
                <w:rFonts w:ascii="Arial" w:cs="Arial" w:eastAsia="Arial" w:hAnsi="Arial"/>
                <w:sz w:val="14"/>
                <w:szCs w:val="14"/>
                <w:color w:val="auto"/>
              </w:rPr>
              <w:t>constructed by Massachusetts Bay</w:t>
            </w: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380" w:type="dxa"/>
            <w:vAlign w:val="bottom"/>
          </w:tcPr>
          <w:p>
            <w:pPr>
              <w:ind w:left="120"/>
              <w:spacing w:after="0"/>
              <w:rPr>
                <w:sz w:val="20"/>
                <w:szCs w:val="20"/>
                <w:color w:val="auto"/>
              </w:rPr>
            </w:pPr>
            <w:r>
              <w:rPr>
                <w:rFonts w:ascii="Arial" w:cs="Arial" w:eastAsia="Arial" w:hAnsi="Arial"/>
                <w:sz w:val="14"/>
                <w:szCs w:val="14"/>
                <w:color w:val="auto"/>
              </w:rPr>
              <w:t>Transit Authority, as part of Phase I.</w:t>
            </w: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15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380" w:type="dxa"/>
            <w:vAlign w:val="bottom"/>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38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Total Pike &amp; Rose and Assembly</w:t>
            </w:r>
          </w:p>
        </w:tc>
        <w:tc>
          <w:tcPr>
            <w:tcW w:w="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7%</w:t>
            </w: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$435-$455</w:t>
            </w:r>
          </w:p>
        </w:tc>
        <w:tc>
          <w:tcPr>
            <w:tcW w:w="78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$345</w:t>
            </w:r>
          </w:p>
        </w:tc>
        <w:tc>
          <w:tcPr>
            <w:tcW w:w="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380" w:type="dxa"/>
            <w:vAlign w:val="bottom"/>
          </w:tcPr>
          <w:p>
            <w:pPr>
              <w:ind w:left="120"/>
              <w:spacing w:after="0"/>
              <w:rPr>
                <w:sz w:val="20"/>
                <w:szCs w:val="20"/>
                <w:color w:val="auto"/>
              </w:rPr>
            </w:pPr>
            <w:r>
              <w:rPr>
                <w:rFonts w:ascii="Arial" w:cs="Arial" w:eastAsia="Arial" w:hAnsi="Arial"/>
                <w:sz w:val="14"/>
                <w:szCs w:val="14"/>
                <w:b w:val="1"/>
                <w:bCs w:val="1"/>
                <w:color w:val="auto"/>
              </w:rPr>
              <w:t>Row</w:t>
            </w:r>
          </w:p>
        </w:tc>
        <w:tc>
          <w:tcPr>
            <w:tcW w:w="8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325" w:lineRule="exact"/>
        <w:rPr>
          <w:sz w:val="20"/>
          <w:szCs w:val="20"/>
          <w:color w:val="auto"/>
        </w:rPr>
      </w:pPr>
    </w:p>
    <w:p>
      <w:pPr>
        <w:ind w:left="500" w:right="200" w:hanging="465"/>
        <w:spacing w:after="0" w:line="238" w:lineRule="auto"/>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Anticipated opening dates, total cost, projected return on investment (ROI), anticipated stabilization, and significant tenants for centers under development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spacing w:after="0" w:line="20" w:lineRule="exact"/>
        <w:rPr>
          <w:rFonts w:ascii="Arial" w:cs="Arial" w:eastAsia="Arial" w:hAnsi="Arial"/>
          <w:sz w:val="14"/>
          <w:szCs w:val="14"/>
          <w:color w:val="auto"/>
        </w:rPr>
      </w:pPr>
    </w:p>
    <w:p>
      <w:pPr>
        <w:ind w:left="500" w:right="320" w:hanging="465"/>
        <w:spacing w:after="0" w:line="253" w:lineRule="auto"/>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Projected ROI for development projects reflects the deal specific cash, unleveraged Property Operating Income (POI) generated by the development and is calculated as POI divided by cost.</w:t>
      </w:r>
    </w:p>
    <w:p>
      <w:pPr>
        <w:spacing w:after="0" w:line="79" w:lineRule="exact"/>
        <w:rPr>
          <w:rFonts w:ascii="Arial" w:cs="Arial" w:eastAsia="Arial" w:hAnsi="Arial"/>
          <w:sz w:val="14"/>
          <w:szCs w:val="14"/>
          <w:color w:val="auto"/>
        </w:rPr>
      </w:pPr>
    </w:p>
    <w:p>
      <w:pPr>
        <w:ind w:left="500" w:hanging="465"/>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Projected costs include an allocation of infrastructure costs for the entire project.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60" w:right="239" w:bottom="1440" w:gutter="0" w:footer="0" w:header="0"/>
        </w:sectPr>
      </w:pPr>
    </w:p>
    <w:bookmarkStart w:id="19" w:name="page20"/>
    <w:bookmarkEnd w:id="19"/>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Future Redevelopment Opportunities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2014</w:t>
      </w:r>
    </w:p>
    <w:p>
      <w:pPr>
        <w:spacing w:after="0" w:line="374" w:lineRule="exact"/>
        <w:rPr>
          <w:sz w:val="20"/>
          <w:szCs w:val="20"/>
          <w:color w:val="auto"/>
        </w:rPr>
      </w:pPr>
    </w:p>
    <w:p>
      <w:pPr>
        <w:ind w:left="40" w:right="40"/>
        <w:spacing w:after="0" w:line="273" w:lineRule="auto"/>
        <w:rPr>
          <w:sz w:val="20"/>
          <w:szCs w:val="20"/>
          <w:color w:val="auto"/>
        </w:rPr>
      </w:pPr>
      <w:r>
        <w:rPr>
          <w:rFonts w:ascii="Arial" w:cs="Arial" w:eastAsia="Arial" w:hAnsi="Arial"/>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320" w:lineRule="exact"/>
        <w:rPr>
          <w:sz w:val="20"/>
          <w:szCs w:val="20"/>
          <w:color w:val="auto"/>
        </w:rPr>
      </w:pPr>
    </w:p>
    <w:p>
      <w:pPr>
        <w:ind w:left="40" w:right="960"/>
        <w:spacing w:after="0" w:line="290"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THE AVENUE @ White Marsh</w:t>
            </w:r>
          </w:p>
        </w:tc>
        <w:tc>
          <w:tcPr>
            <w:tcW w:w="1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Baltimore, MD</w:t>
            </w:r>
          </w:p>
        </w:tc>
        <w:tc>
          <w:tcPr>
            <w:tcW w:w="2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Flourtown</w:t>
            </w:r>
          </w:p>
        </w:tc>
        <w:tc>
          <w:tcPr>
            <w:tcW w:w="43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Flourtown, PA</w:t>
            </w:r>
          </w:p>
        </w:tc>
      </w:tr>
      <w:tr>
        <w:trPr>
          <w:trHeight w:val="237"/>
        </w:trPr>
        <w:tc>
          <w:tcPr>
            <w:tcW w:w="2740" w:type="dxa"/>
            <w:vAlign w:val="bottom"/>
          </w:tcPr>
          <w:p>
            <w:pPr>
              <w:ind w:left="380"/>
              <w:spacing w:after="0"/>
              <w:rPr>
                <w:sz w:val="20"/>
                <w:szCs w:val="20"/>
                <w:color w:val="auto"/>
              </w:rPr>
            </w:pPr>
            <w:r>
              <w:rPr>
                <w:rFonts w:ascii="Arial" w:cs="Arial" w:eastAsia="Arial" w:hAnsi="Arial"/>
                <w:sz w:val="16"/>
                <w:szCs w:val="16"/>
                <w:b w:val="1"/>
                <w:bCs w:val="1"/>
                <w:color w:val="auto"/>
              </w:rPr>
              <w:t>Bethesda Row</w:t>
            </w:r>
          </w:p>
        </w:tc>
        <w:tc>
          <w:tcPr>
            <w:tcW w:w="1940" w:type="dxa"/>
            <w:vAlign w:val="bottom"/>
          </w:tcPr>
          <w:p>
            <w:pPr>
              <w:ind w:left="160"/>
              <w:spacing w:after="0"/>
              <w:rPr>
                <w:sz w:val="20"/>
                <w:szCs w:val="20"/>
                <w:color w:val="auto"/>
              </w:rPr>
            </w:pPr>
            <w:r>
              <w:rPr>
                <w:rFonts w:ascii="Arial" w:cs="Arial" w:eastAsia="Arial" w:hAnsi="Arial"/>
                <w:sz w:val="16"/>
                <w:szCs w:val="16"/>
                <w:color w:val="auto"/>
              </w:rPr>
              <w:t>Bethesda, MD</w:t>
            </w:r>
          </w:p>
        </w:tc>
        <w:tc>
          <w:tcPr>
            <w:tcW w:w="2360" w:type="dxa"/>
            <w:vAlign w:val="bottom"/>
          </w:tcPr>
          <w:p>
            <w:pPr>
              <w:ind w:left="520"/>
              <w:spacing w:after="0"/>
              <w:rPr>
                <w:sz w:val="20"/>
                <w:szCs w:val="20"/>
                <w:color w:val="auto"/>
              </w:rPr>
            </w:pPr>
            <w:r>
              <w:rPr>
                <w:rFonts w:ascii="Arial" w:cs="Arial" w:eastAsia="Arial" w:hAnsi="Arial"/>
                <w:sz w:val="16"/>
                <w:szCs w:val="16"/>
                <w:b w:val="1"/>
                <w:bCs w:val="1"/>
                <w:color w:val="auto"/>
              </w:rPr>
              <w:t>Fresh Meadows</w:t>
            </w:r>
          </w:p>
        </w:tc>
        <w:tc>
          <w:tcPr>
            <w:tcW w:w="4380" w:type="dxa"/>
            <w:vAlign w:val="bottom"/>
          </w:tcPr>
          <w:p>
            <w:pPr>
              <w:ind w:left="780"/>
              <w:spacing w:after="0"/>
              <w:rPr>
                <w:sz w:val="20"/>
                <w:szCs w:val="20"/>
                <w:color w:val="auto"/>
              </w:rPr>
            </w:pPr>
            <w:r>
              <w:rPr>
                <w:rFonts w:ascii="Arial" w:cs="Arial" w:eastAsia="Arial" w:hAnsi="Arial"/>
                <w:sz w:val="16"/>
                <w:szCs w:val="16"/>
                <w:color w:val="auto"/>
              </w:rPr>
              <w:t>Queens, NY</w:t>
            </w:r>
          </w:p>
        </w:tc>
      </w:tr>
      <w:tr>
        <w:trPr>
          <w:trHeight w:val="33"/>
        </w:trPr>
        <w:tc>
          <w:tcPr>
            <w:tcW w:w="2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Dedham Plaza</w:t>
            </w:r>
          </w:p>
        </w:tc>
        <w:tc>
          <w:tcPr>
            <w:tcW w:w="1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Dedham, MA</w:t>
            </w:r>
          </w:p>
        </w:tc>
        <w:tc>
          <w:tcPr>
            <w:tcW w:w="2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Melville Mall</w:t>
            </w:r>
          </w:p>
        </w:tc>
        <w:tc>
          <w:tcPr>
            <w:tcW w:w="43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Huntington, NY</w:t>
            </w:r>
          </w:p>
        </w:tc>
      </w:tr>
      <w:tr>
        <w:trPr>
          <w:trHeight w:val="237"/>
        </w:trPr>
        <w:tc>
          <w:tcPr>
            <w:tcW w:w="2740" w:type="dxa"/>
            <w:vAlign w:val="bottom"/>
          </w:tcPr>
          <w:p>
            <w:pPr>
              <w:ind w:left="380"/>
              <w:spacing w:after="0"/>
              <w:rPr>
                <w:sz w:val="20"/>
                <w:szCs w:val="20"/>
                <w:color w:val="auto"/>
              </w:rPr>
            </w:pPr>
            <w:r>
              <w:rPr>
                <w:rFonts w:ascii="Arial" w:cs="Arial" w:eastAsia="Arial" w:hAnsi="Arial"/>
                <w:sz w:val="16"/>
                <w:szCs w:val="16"/>
                <w:b w:val="1"/>
                <w:bCs w:val="1"/>
                <w:color w:val="auto"/>
              </w:rPr>
              <w:t>Eastgate</w:t>
            </w:r>
          </w:p>
        </w:tc>
        <w:tc>
          <w:tcPr>
            <w:tcW w:w="1940" w:type="dxa"/>
            <w:vAlign w:val="bottom"/>
          </w:tcPr>
          <w:p>
            <w:pPr>
              <w:ind w:left="160"/>
              <w:spacing w:after="0"/>
              <w:rPr>
                <w:sz w:val="20"/>
                <w:szCs w:val="20"/>
                <w:color w:val="auto"/>
              </w:rPr>
            </w:pPr>
            <w:r>
              <w:rPr>
                <w:rFonts w:ascii="Arial" w:cs="Arial" w:eastAsia="Arial" w:hAnsi="Arial"/>
                <w:sz w:val="16"/>
                <w:szCs w:val="16"/>
                <w:color w:val="auto"/>
              </w:rPr>
              <w:t>Chapel Hill, NC</w:t>
            </w:r>
          </w:p>
        </w:tc>
        <w:tc>
          <w:tcPr>
            <w:tcW w:w="2360" w:type="dxa"/>
            <w:vAlign w:val="bottom"/>
          </w:tcPr>
          <w:p>
            <w:pPr>
              <w:ind w:left="520"/>
              <w:spacing w:after="0"/>
              <w:rPr>
                <w:sz w:val="20"/>
                <w:szCs w:val="20"/>
                <w:color w:val="auto"/>
              </w:rPr>
            </w:pPr>
            <w:r>
              <w:rPr>
                <w:rFonts w:ascii="Arial" w:cs="Arial" w:eastAsia="Arial" w:hAnsi="Arial"/>
                <w:sz w:val="16"/>
                <w:szCs w:val="16"/>
                <w:b w:val="1"/>
                <w:bCs w:val="1"/>
                <w:color w:val="auto"/>
              </w:rPr>
              <w:t>Mercer Mall</w:t>
            </w:r>
          </w:p>
        </w:tc>
        <w:tc>
          <w:tcPr>
            <w:tcW w:w="4380" w:type="dxa"/>
            <w:vAlign w:val="bottom"/>
          </w:tcPr>
          <w:p>
            <w:pPr>
              <w:ind w:left="780"/>
              <w:spacing w:after="0"/>
              <w:rPr>
                <w:sz w:val="20"/>
                <w:szCs w:val="20"/>
                <w:color w:val="auto"/>
              </w:rPr>
            </w:pPr>
            <w:r>
              <w:rPr>
                <w:rFonts w:ascii="Arial" w:cs="Arial" w:eastAsia="Arial" w:hAnsi="Arial"/>
                <w:sz w:val="16"/>
                <w:szCs w:val="16"/>
                <w:color w:val="auto"/>
              </w:rPr>
              <w:t>Lawrenceville, NJ</w:t>
            </w:r>
          </w:p>
        </w:tc>
      </w:tr>
      <w:tr>
        <w:trPr>
          <w:trHeight w:val="33"/>
        </w:trPr>
        <w:tc>
          <w:tcPr>
            <w:tcW w:w="2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Escondido</w:t>
            </w:r>
          </w:p>
        </w:tc>
        <w:tc>
          <w:tcPr>
            <w:tcW w:w="1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Escondido, CA</w:t>
            </w:r>
          </w:p>
        </w:tc>
        <w:tc>
          <w:tcPr>
            <w:tcW w:w="2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Pan Am</w:t>
            </w:r>
          </w:p>
        </w:tc>
        <w:tc>
          <w:tcPr>
            <w:tcW w:w="43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Fairfax, VA</w:t>
            </w:r>
          </w:p>
        </w:tc>
      </w:tr>
      <w:tr>
        <w:trPr>
          <w:trHeight w:val="237"/>
        </w:trPr>
        <w:tc>
          <w:tcPr>
            <w:tcW w:w="2740" w:type="dxa"/>
            <w:vAlign w:val="bottom"/>
          </w:tcPr>
          <w:p>
            <w:pPr>
              <w:ind w:left="380"/>
              <w:spacing w:after="0"/>
              <w:rPr>
                <w:sz w:val="20"/>
                <w:szCs w:val="20"/>
                <w:color w:val="auto"/>
              </w:rPr>
            </w:pPr>
            <w:r>
              <w:rPr>
                <w:rFonts w:ascii="Arial" w:cs="Arial" w:eastAsia="Arial" w:hAnsi="Arial"/>
                <w:sz w:val="16"/>
                <w:szCs w:val="16"/>
                <w:b w:val="1"/>
                <w:bCs w:val="1"/>
                <w:color w:val="auto"/>
              </w:rPr>
              <w:t>Federal Plaza</w:t>
            </w:r>
          </w:p>
        </w:tc>
        <w:tc>
          <w:tcPr>
            <w:tcW w:w="1940" w:type="dxa"/>
            <w:vAlign w:val="bottom"/>
          </w:tcPr>
          <w:p>
            <w:pPr>
              <w:ind w:left="160"/>
              <w:spacing w:after="0"/>
              <w:rPr>
                <w:sz w:val="20"/>
                <w:szCs w:val="20"/>
                <w:color w:val="auto"/>
              </w:rPr>
            </w:pPr>
            <w:r>
              <w:rPr>
                <w:rFonts w:ascii="Arial" w:cs="Arial" w:eastAsia="Arial" w:hAnsi="Arial"/>
                <w:sz w:val="16"/>
                <w:szCs w:val="16"/>
                <w:color w:val="auto"/>
              </w:rPr>
              <w:t>Rockville, MD</w:t>
            </w:r>
          </w:p>
        </w:tc>
        <w:tc>
          <w:tcPr>
            <w:tcW w:w="2360" w:type="dxa"/>
            <w:vAlign w:val="bottom"/>
          </w:tcPr>
          <w:p>
            <w:pPr>
              <w:ind w:left="520"/>
              <w:spacing w:after="0"/>
              <w:rPr>
                <w:sz w:val="20"/>
                <w:szCs w:val="20"/>
                <w:color w:val="auto"/>
              </w:rPr>
            </w:pPr>
            <w:r>
              <w:rPr>
                <w:rFonts w:ascii="Arial" w:cs="Arial" w:eastAsia="Arial" w:hAnsi="Arial"/>
                <w:sz w:val="16"/>
                <w:szCs w:val="16"/>
                <w:b w:val="1"/>
                <w:bCs w:val="1"/>
                <w:color w:val="auto"/>
              </w:rPr>
              <w:t>Troy</w:t>
            </w:r>
          </w:p>
        </w:tc>
        <w:tc>
          <w:tcPr>
            <w:tcW w:w="4380" w:type="dxa"/>
            <w:vAlign w:val="bottom"/>
          </w:tcPr>
          <w:p>
            <w:pPr>
              <w:ind w:left="780"/>
              <w:spacing w:after="0"/>
              <w:rPr>
                <w:sz w:val="20"/>
                <w:szCs w:val="20"/>
                <w:color w:val="auto"/>
              </w:rPr>
            </w:pPr>
            <w:r>
              <w:rPr>
                <w:rFonts w:ascii="Arial" w:cs="Arial" w:eastAsia="Arial" w:hAnsi="Arial"/>
                <w:sz w:val="16"/>
                <w:szCs w:val="16"/>
                <w:color w:val="auto"/>
              </w:rPr>
              <w:t>Parsippany, NJ</w:t>
            </w:r>
          </w:p>
        </w:tc>
      </w:tr>
      <w:tr>
        <w:trPr>
          <w:trHeight w:val="33"/>
        </w:trPr>
        <w:tc>
          <w:tcPr>
            <w:tcW w:w="27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37"/>
        </w:trPr>
        <w:tc>
          <w:tcPr>
            <w:tcW w:w="274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Finley Square</w:t>
            </w:r>
          </w:p>
        </w:tc>
        <w:tc>
          <w:tcPr>
            <w:tcW w:w="1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Downers Grove, IL</w:t>
            </w:r>
          </w:p>
        </w:tc>
        <w:tc>
          <w:tcPr>
            <w:tcW w:w="2360" w:type="dxa"/>
            <w:vAlign w:val="bottom"/>
            <w:shd w:val="clear" w:color="auto" w:fill="CCEEFF"/>
          </w:tcPr>
          <w:p>
            <w:pPr>
              <w:ind w:left="520"/>
              <w:spacing w:after="0"/>
              <w:rPr>
                <w:sz w:val="20"/>
                <w:szCs w:val="20"/>
                <w:color w:val="auto"/>
              </w:rPr>
            </w:pPr>
            <w:r>
              <w:rPr>
                <w:rFonts w:ascii="Arial" w:cs="Arial" w:eastAsia="Arial" w:hAnsi="Arial"/>
                <w:sz w:val="16"/>
                <w:szCs w:val="16"/>
                <w:b w:val="1"/>
                <w:bCs w:val="1"/>
                <w:color w:val="auto"/>
              </w:rPr>
              <w:t>Wildwood</w:t>
            </w:r>
          </w:p>
        </w:tc>
        <w:tc>
          <w:tcPr>
            <w:tcW w:w="43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Bethesda, MD</w:t>
            </w:r>
          </w:p>
        </w:tc>
      </w:tr>
      <w:tr>
        <w:trPr>
          <w:trHeight w:val="33"/>
        </w:trPr>
        <w:tc>
          <w:tcPr>
            <w:tcW w:w="274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63" w:lineRule="exact"/>
        <w:rPr>
          <w:sz w:val="20"/>
          <w:szCs w:val="20"/>
          <w:color w:val="auto"/>
        </w:rPr>
      </w:pPr>
    </w:p>
    <w:p>
      <w:pPr>
        <w:ind w:left="40" w:right="520"/>
        <w:spacing w:after="0" w:line="298"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additional retail GLA.</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60" w:type="dxa"/>
            <w:vAlign w:val="bottom"/>
          </w:tcPr>
          <w:p>
            <w:pPr>
              <w:ind w:left="380"/>
              <w:spacing w:after="0"/>
              <w:rPr>
                <w:sz w:val="20"/>
                <w:szCs w:val="20"/>
                <w:color w:val="auto"/>
              </w:rPr>
            </w:pPr>
            <w:r>
              <w:rPr>
                <w:rFonts w:ascii="Arial" w:cs="Arial" w:eastAsia="Arial" w:hAnsi="Arial"/>
                <w:sz w:val="16"/>
                <w:szCs w:val="16"/>
                <w:b w:val="1"/>
                <w:bCs w:val="1"/>
                <w:color w:val="auto"/>
              </w:rPr>
              <w:t>Assembly Row</w:t>
            </w:r>
          </w:p>
        </w:tc>
        <w:tc>
          <w:tcPr>
            <w:tcW w:w="2520" w:type="dxa"/>
            <w:vAlign w:val="bottom"/>
          </w:tcPr>
          <w:p>
            <w:pPr>
              <w:ind w:left="740"/>
              <w:spacing w:after="0"/>
              <w:rPr>
                <w:sz w:val="20"/>
                <w:szCs w:val="20"/>
                <w:color w:val="auto"/>
              </w:rPr>
            </w:pPr>
            <w:r>
              <w:rPr>
                <w:rFonts w:ascii="Arial" w:cs="Arial" w:eastAsia="Arial" w:hAnsi="Arial"/>
                <w:sz w:val="16"/>
                <w:szCs w:val="16"/>
                <w:color w:val="auto"/>
              </w:rPr>
              <w:t>Somerville, MA</w:t>
            </w:r>
          </w:p>
        </w:tc>
        <w:tc>
          <w:tcPr>
            <w:tcW w:w="2660" w:type="dxa"/>
            <w:vAlign w:val="bottom"/>
          </w:tcPr>
          <w:p>
            <w:pPr>
              <w:ind w:left="520"/>
              <w:spacing w:after="0"/>
              <w:rPr>
                <w:sz w:val="20"/>
                <w:szCs w:val="20"/>
                <w:color w:val="auto"/>
              </w:rPr>
            </w:pPr>
            <w:r>
              <w:rPr>
                <w:rFonts w:ascii="Arial" w:cs="Arial" w:eastAsia="Arial" w:hAnsi="Arial"/>
                <w:sz w:val="16"/>
                <w:szCs w:val="16"/>
                <w:b w:val="1"/>
                <w:bCs w:val="1"/>
                <w:color w:val="auto"/>
              </w:rPr>
              <w:t>Fresh Meadows</w:t>
            </w:r>
          </w:p>
        </w:tc>
        <w:tc>
          <w:tcPr>
            <w:tcW w:w="4080" w:type="dxa"/>
            <w:vAlign w:val="bottom"/>
          </w:tcPr>
          <w:p>
            <w:pPr>
              <w:ind w:left="480"/>
              <w:spacing w:after="0"/>
              <w:rPr>
                <w:sz w:val="20"/>
                <w:szCs w:val="20"/>
                <w:color w:val="auto"/>
              </w:rPr>
            </w:pPr>
            <w:r>
              <w:rPr>
                <w:rFonts w:ascii="Arial" w:cs="Arial" w:eastAsia="Arial" w:hAnsi="Arial"/>
                <w:sz w:val="16"/>
                <w:szCs w:val="16"/>
                <w:color w:val="auto"/>
              </w:rPr>
              <w:t>Queens, NY</w:t>
            </w:r>
          </w:p>
        </w:tc>
      </w:tr>
      <w:tr>
        <w:trPr>
          <w:trHeight w:val="33"/>
        </w:trPr>
        <w:tc>
          <w:tcPr>
            <w:tcW w:w="2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Barracks Road</w:t>
            </w:r>
          </w:p>
        </w:tc>
        <w:tc>
          <w:tcPr>
            <w:tcW w:w="25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Charlottesville, VA</w:t>
            </w:r>
          </w:p>
        </w:tc>
        <w:tc>
          <w:tcPr>
            <w:tcW w:w="2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Mercer Mall</w:t>
            </w:r>
          </w:p>
        </w:tc>
        <w:tc>
          <w:tcPr>
            <w:tcW w:w="4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Lawrenceville, NJ</w:t>
            </w:r>
          </w:p>
        </w:tc>
      </w:tr>
      <w:tr>
        <w:trPr>
          <w:trHeight w:val="237"/>
        </w:trPr>
        <w:tc>
          <w:tcPr>
            <w:tcW w:w="2160" w:type="dxa"/>
            <w:vAlign w:val="bottom"/>
          </w:tcPr>
          <w:p>
            <w:pPr>
              <w:ind w:left="380"/>
              <w:spacing w:after="0"/>
              <w:rPr>
                <w:sz w:val="20"/>
                <w:szCs w:val="20"/>
                <w:color w:val="auto"/>
              </w:rPr>
            </w:pPr>
            <w:r>
              <w:rPr>
                <w:rFonts w:ascii="Arial" w:cs="Arial" w:eastAsia="Arial" w:hAnsi="Arial"/>
                <w:sz w:val="16"/>
                <w:szCs w:val="16"/>
                <w:b w:val="1"/>
                <w:bCs w:val="1"/>
                <w:color w:val="auto"/>
              </w:rPr>
              <w:t>Bethedsa Row</w:t>
            </w:r>
          </w:p>
        </w:tc>
        <w:tc>
          <w:tcPr>
            <w:tcW w:w="2520" w:type="dxa"/>
            <w:vAlign w:val="bottom"/>
          </w:tcPr>
          <w:p>
            <w:pPr>
              <w:ind w:left="740"/>
              <w:spacing w:after="0"/>
              <w:rPr>
                <w:sz w:val="20"/>
                <w:szCs w:val="20"/>
                <w:color w:val="auto"/>
              </w:rPr>
            </w:pPr>
            <w:r>
              <w:rPr>
                <w:rFonts w:ascii="Arial" w:cs="Arial" w:eastAsia="Arial" w:hAnsi="Arial"/>
                <w:sz w:val="16"/>
                <w:szCs w:val="16"/>
                <w:color w:val="auto"/>
              </w:rPr>
              <w:t>Bethesda, MD</w:t>
            </w:r>
          </w:p>
        </w:tc>
        <w:tc>
          <w:tcPr>
            <w:tcW w:w="2660" w:type="dxa"/>
            <w:vAlign w:val="bottom"/>
          </w:tcPr>
          <w:p>
            <w:pPr>
              <w:ind w:left="520"/>
              <w:spacing w:after="0"/>
              <w:rPr>
                <w:sz w:val="20"/>
                <w:szCs w:val="20"/>
                <w:color w:val="auto"/>
              </w:rPr>
            </w:pPr>
            <w:r>
              <w:rPr>
                <w:rFonts w:ascii="Arial" w:cs="Arial" w:eastAsia="Arial" w:hAnsi="Arial"/>
                <w:sz w:val="16"/>
                <w:szCs w:val="16"/>
                <w:b w:val="1"/>
                <w:bCs w:val="1"/>
                <w:color w:val="auto"/>
              </w:rPr>
              <w:t>Montrose Crossing</w:t>
            </w:r>
          </w:p>
        </w:tc>
        <w:tc>
          <w:tcPr>
            <w:tcW w:w="4080" w:type="dxa"/>
            <w:vAlign w:val="bottom"/>
          </w:tcPr>
          <w:p>
            <w:pPr>
              <w:ind w:left="480"/>
              <w:spacing w:after="0"/>
              <w:rPr>
                <w:sz w:val="20"/>
                <w:szCs w:val="20"/>
                <w:color w:val="auto"/>
              </w:rPr>
            </w:pPr>
            <w:r>
              <w:rPr>
                <w:rFonts w:ascii="Arial" w:cs="Arial" w:eastAsia="Arial" w:hAnsi="Arial"/>
                <w:sz w:val="16"/>
                <w:szCs w:val="16"/>
                <w:color w:val="auto"/>
              </w:rPr>
              <w:t>Rockville, MD</w:t>
            </w:r>
          </w:p>
        </w:tc>
      </w:tr>
      <w:tr>
        <w:trPr>
          <w:trHeight w:val="33"/>
        </w:trPr>
        <w:tc>
          <w:tcPr>
            <w:tcW w:w="2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2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Crossroads</w:t>
            </w:r>
          </w:p>
        </w:tc>
        <w:tc>
          <w:tcPr>
            <w:tcW w:w="25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Highland Park, IL</w:t>
            </w:r>
          </w:p>
        </w:tc>
        <w:tc>
          <w:tcPr>
            <w:tcW w:w="2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Third Street Promenade</w:t>
            </w:r>
          </w:p>
        </w:tc>
        <w:tc>
          <w:tcPr>
            <w:tcW w:w="4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Santa Monica, CA</w:t>
            </w:r>
          </w:p>
        </w:tc>
      </w:tr>
      <w:tr>
        <w:trPr>
          <w:trHeight w:val="237"/>
        </w:trPr>
        <w:tc>
          <w:tcPr>
            <w:tcW w:w="2160" w:type="dxa"/>
            <w:vAlign w:val="bottom"/>
          </w:tcPr>
          <w:p>
            <w:pPr>
              <w:ind w:left="380"/>
              <w:spacing w:after="0"/>
              <w:rPr>
                <w:sz w:val="20"/>
                <w:szCs w:val="20"/>
                <w:color w:val="auto"/>
              </w:rPr>
            </w:pPr>
            <w:r>
              <w:rPr>
                <w:rFonts w:ascii="Arial" w:cs="Arial" w:eastAsia="Arial" w:hAnsi="Arial"/>
                <w:sz w:val="16"/>
                <w:szCs w:val="16"/>
                <w:b w:val="1"/>
                <w:bCs w:val="1"/>
                <w:color w:val="auto"/>
              </w:rPr>
              <w:t>Darien</w:t>
            </w:r>
          </w:p>
        </w:tc>
        <w:tc>
          <w:tcPr>
            <w:tcW w:w="2520" w:type="dxa"/>
            <w:vAlign w:val="bottom"/>
          </w:tcPr>
          <w:p>
            <w:pPr>
              <w:ind w:left="740"/>
              <w:spacing w:after="0"/>
              <w:rPr>
                <w:sz w:val="20"/>
                <w:szCs w:val="20"/>
                <w:color w:val="auto"/>
              </w:rPr>
            </w:pPr>
            <w:r>
              <w:rPr>
                <w:rFonts w:ascii="Arial" w:cs="Arial" w:eastAsia="Arial" w:hAnsi="Arial"/>
                <w:sz w:val="16"/>
                <w:szCs w:val="16"/>
                <w:color w:val="auto"/>
              </w:rPr>
              <w:t>Darien, CT</w:t>
            </w:r>
          </w:p>
        </w:tc>
        <w:tc>
          <w:tcPr>
            <w:tcW w:w="2660" w:type="dxa"/>
            <w:vAlign w:val="bottom"/>
          </w:tcPr>
          <w:p>
            <w:pPr>
              <w:ind w:left="520"/>
              <w:spacing w:after="0"/>
              <w:rPr>
                <w:sz w:val="20"/>
                <w:szCs w:val="20"/>
                <w:color w:val="auto"/>
              </w:rPr>
            </w:pPr>
            <w:r>
              <w:rPr>
                <w:rFonts w:ascii="Arial" w:cs="Arial" w:eastAsia="Arial" w:hAnsi="Arial"/>
                <w:sz w:val="16"/>
                <w:szCs w:val="16"/>
                <w:b w:val="1"/>
                <w:bCs w:val="1"/>
                <w:color w:val="auto"/>
              </w:rPr>
              <w:t>Wildwood</w:t>
            </w:r>
          </w:p>
        </w:tc>
        <w:tc>
          <w:tcPr>
            <w:tcW w:w="4080" w:type="dxa"/>
            <w:vAlign w:val="bottom"/>
          </w:tcPr>
          <w:p>
            <w:pPr>
              <w:ind w:left="480"/>
              <w:spacing w:after="0"/>
              <w:rPr>
                <w:sz w:val="20"/>
                <w:szCs w:val="20"/>
                <w:color w:val="auto"/>
              </w:rPr>
            </w:pPr>
            <w:r>
              <w:rPr>
                <w:rFonts w:ascii="Arial" w:cs="Arial" w:eastAsia="Arial" w:hAnsi="Arial"/>
                <w:sz w:val="16"/>
                <w:szCs w:val="16"/>
                <w:color w:val="auto"/>
              </w:rPr>
              <w:t>Bethesda, MD</w:t>
            </w:r>
          </w:p>
        </w:tc>
      </w:tr>
      <w:tr>
        <w:trPr>
          <w:trHeight w:val="33"/>
        </w:trPr>
        <w:tc>
          <w:tcPr>
            <w:tcW w:w="2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70"/>
        </w:trPr>
        <w:tc>
          <w:tcPr>
            <w:tcW w:w="2160" w:type="dxa"/>
            <w:vAlign w:val="bottom"/>
            <w:shd w:val="clear" w:color="auto" w:fill="CCEEFF"/>
          </w:tcPr>
          <w:p>
            <w:pPr>
              <w:spacing w:after="0"/>
              <w:rPr>
                <w:sz w:val="23"/>
                <w:szCs w:val="23"/>
                <w:color w:val="auto"/>
              </w:rPr>
            </w:pPr>
          </w:p>
        </w:tc>
        <w:tc>
          <w:tcPr>
            <w:tcW w:w="2520" w:type="dxa"/>
            <w:vAlign w:val="bottom"/>
            <w:shd w:val="clear" w:color="auto" w:fill="CCEEFF"/>
          </w:tcPr>
          <w:p>
            <w:pPr>
              <w:spacing w:after="0"/>
              <w:rPr>
                <w:sz w:val="23"/>
                <w:szCs w:val="23"/>
                <w:color w:val="auto"/>
              </w:rPr>
            </w:pPr>
          </w:p>
        </w:tc>
        <w:tc>
          <w:tcPr>
            <w:tcW w:w="2660" w:type="dxa"/>
            <w:vAlign w:val="bottom"/>
            <w:shd w:val="clear" w:color="auto" w:fill="CCEEFF"/>
          </w:tcPr>
          <w:p>
            <w:pPr>
              <w:spacing w:after="0"/>
              <w:rPr>
                <w:sz w:val="23"/>
                <w:szCs w:val="23"/>
                <w:color w:val="auto"/>
              </w:rPr>
            </w:pPr>
          </w:p>
        </w:tc>
        <w:tc>
          <w:tcPr>
            <w:tcW w:w="408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Residential Opportunities - Opportunity to add residential units to existing retail and mixed-use properties.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Barracks Road</w:t>
            </w:r>
          </w:p>
        </w:tc>
        <w:tc>
          <w:tcPr>
            <w:tcW w:w="18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Charlottesville, VA</w:t>
            </w:r>
          </w:p>
        </w:tc>
        <w:tc>
          <w:tcPr>
            <w:tcW w:w="3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Leesburg Plaza</w:t>
            </w:r>
          </w:p>
        </w:tc>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Leesburg, VA</w:t>
            </w:r>
          </w:p>
        </w:tc>
      </w:tr>
      <w:tr>
        <w:trPr>
          <w:trHeight w:val="237"/>
        </w:trPr>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auto"/>
              </w:rPr>
              <w:t>Congressional Plaza</w:t>
            </w:r>
          </w:p>
        </w:tc>
        <w:tc>
          <w:tcPr>
            <w:tcW w:w="1860" w:type="dxa"/>
            <w:vAlign w:val="bottom"/>
          </w:tcPr>
          <w:p>
            <w:pPr>
              <w:ind w:left="80"/>
              <w:spacing w:after="0"/>
              <w:rPr>
                <w:sz w:val="20"/>
                <w:szCs w:val="20"/>
                <w:color w:val="auto"/>
              </w:rPr>
            </w:pPr>
            <w:r>
              <w:rPr>
                <w:rFonts w:ascii="Arial" w:cs="Arial" w:eastAsia="Arial" w:hAnsi="Arial"/>
                <w:sz w:val="16"/>
                <w:szCs w:val="16"/>
                <w:color w:val="auto"/>
              </w:rPr>
              <w:t>Rockville, MD</w:t>
            </w:r>
          </w:p>
        </w:tc>
        <w:tc>
          <w:tcPr>
            <w:tcW w:w="3040" w:type="dxa"/>
            <w:vAlign w:val="bottom"/>
          </w:tcPr>
          <w:p>
            <w:pPr>
              <w:ind w:left="520"/>
              <w:spacing w:after="0"/>
              <w:rPr>
                <w:sz w:val="20"/>
                <w:szCs w:val="20"/>
                <w:color w:val="auto"/>
              </w:rPr>
            </w:pPr>
            <w:r>
              <w:rPr>
                <w:rFonts w:ascii="Arial" w:cs="Arial" w:eastAsia="Arial" w:hAnsi="Arial"/>
                <w:sz w:val="16"/>
                <w:szCs w:val="16"/>
                <w:b w:val="1"/>
                <w:bCs w:val="1"/>
                <w:color w:val="auto"/>
              </w:rPr>
              <w:t>Village at Shirlington</w:t>
            </w:r>
          </w:p>
        </w:tc>
        <w:tc>
          <w:tcPr>
            <w:tcW w:w="3700" w:type="dxa"/>
            <w:vAlign w:val="bottom"/>
          </w:tcPr>
          <w:p>
            <w:pPr>
              <w:ind w:left="100"/>
              <w:spacing w:after="0"/>
              <w:rPr>
                <w:sz w:val="20"/>
                <w:szCs w:val="20"/>
                <w:color w:val="auto"/>
              </w:rPr>
            </w:pPr>
            <w:r>
              <w:rPr>
                <w:rFonts w:ascii="Arial" w:cs="Arial" w:eastAsia="Arial" w:hAnsi="Arial"/>
                <w:sz w:val="16"/>
                <w:szCs w:val="16"/>
                <w:color w:val="auto"/>
              </w:rPr>
              <w:t>Arlington, VA</w:t>
            </w:r>
          </w:p>
        </w:tc>
      </w:tr>
      <w:tr>
        <w:trPr>
          <w:trHeight w:val="33"/>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Del Mar Village</w:t>
            </w:r>
          </w:p>
        </w:tc>
        <w:tc>
          <w:tcPr>
            <w:tcW w:w="18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Boca Raton, FL</w:t>
            </w:r>
          </w:p>
        </w:tc>
        <w:tc>
          <w:tcPr>
            <w:tcW w:w="3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Towson land parcel</w:t>
            </w:r>
          </w:p>
        </w:tc>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Towson, MD</w:t>
            </w:r>
          </w:p>
        </w:tc>
      </w:tr>
      <w:tr>
        <w:trPr>
          <w:trHeight w:val="270"/>
        </w:trPr>
        <w:tc>
          <w:tcPr>
            <w:tcW w:w="40" w:type="dxa"/>
            <w:vAlign w:val="bottom"/>
          </w:tcPr>
          <w:p>
            <w:pPr>
              <w:spacing w:after="0"/>
              <w:rPr>
                <w:sz w:val="23"/>
                <w:szCs w:val="23"/>
                <w:color w:val="auto"/>
              </w:rPr>
            </w:pPr>
          </w:p>
        </w:tc>
        <w:tc>
          <w:tcPr>
            <w:tcW w:w="380" w:type="dxa"/>
            <w:vAlign w:val="bottom"/>
            <w:gridSpan w:val="2"/>
          </w:tcPr>
          <w:p>
            <w:pPr>
              <w:spacing w:after="0"/>
              <w:rPr>
                <w:sz w:val="23"/>
                <w:szCs w:val="23"/>
                <w:color w:val="auto"/>
              </w:rPr>
            </w:pPr>
          </w:p>
        </w:tc>
        <w:tc>
          <w:tcPr>
            <w:tcW w:w="24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3700" w:type="dxa"/>
            <w:vAlign w:val="bottom"/>
          </w:tcPr>
          <w:p>
            <w:pPr>
              <w:spacing w:after="0"/>
              <w:rPr>
                <w:sz w:val="23"/>
                <w:szCs w:val="23"/>
                <w:color w:val="auto"/>
              </w:rPr>
            </w:pPr>
          </w:p>
        </w:tc>
      </w:tr>
      <w:tr>
        <w:trPr>
          <w:trHeight w:val="237"/>
        </w:trPr>
        <w:tc>
          <w:tcPr>
            <w:tcW w:w="28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b w:val="1"/>
                <w:bCs w:val="1"/>
                <w:color w:val="auto"/>
                <w:w w:val="94"/>
              </w:rPr>
              <w:t>Longer Term Mixed-Use Opportunities</w:t>
            </w:r>
          </w:p>
        </w:tc>
        <w:tc>
          <w:tcPr>
            <w:tcW w:w="1860" w:type="dxa"/>
            <w:vAlign w:val="bottom"/>
            <w:tcBorders>
              <w:bottom w:val="single" w:sz="8" w:color="CCEEFF"/>
            </w:tcBorders>
            <w:shd w:val="clear" w:color="auto" w:fill="CCEEFF"/>
          </w:tcPr>
          <w:p>
            <w:pPr>
              <w:spacing w:after="0"/>
              <w:rPr>
                <w:sz w:val="20"/>
                <w:szCs w:val="20"/>
                <w:color w:val="auto"/>
              </w:rPr>
            </w:pPr>
          </w:p>
        </w:tc>
        <w:tc>
          <w:tcPr>
            <w:tcW w:w="3040" w:type="dxa"/>
            <w:vAlign w:val="bottom"/>
            <w:tcBorders>
              <w:bottom w:val="single" w:sz="8" w:color="CCEEFF"/>
            </w:tcBorders>
            <w:shd w:val="clear" w:color="auto" w:fill="CCEEFF"/>
          </w:tcPr>
          <w:p>
            <w:pPr>
              <w:spacing w:after="0"/>
              <w:rPr>
                <w:sz w:val="20"/>
                <w:szCs w:val="20"/>
                <w:color w:val="auto"/>
              </w:rPr>
            </w:pPr>
          </w:p>
        </w:tc>
        <w:tc>
          <w:tcPr>
            <w:tcW w:w="3700" w:type="dxa"/>
            <w:vAlign w:val="bottom"/>
            <w:tcBorders>
              <w:bottom w:val="single" w:sz="8" w:color="CCEEFF"/>
            </w:tcBorders>
            <w:shd w:val="clear" w:color="auto" w:fill="CCEEFF"/>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auto"/>
              </w:rPr>
              <w:t>Assembly Row (1)</w:t>
            </w:r>
          </w:p>
        </w:tc>
        <w:tc>
          <w:tcPr>
            <w:tcW w:w="1860" w:type="dxa"/>
            <w:vAlign w:val="bottom"/>
          </w:tcPr>
          <w:p>
            <w:pPr>
              <w:ind w:left="80"/>
              <w:spacing w:after="0"/>
              <w:rPr>
                <w:sz w:val="20"/>
                <w:szCs w:val="20"/>
                <w:color w:val="auto"/>
              </w:rPr>
            </w:pPr>
            <w:r>
              <w:rPr>
                <w:rFonts w:ascii="Arial" w:cs="Arial" w:eastAsia="Arial" w:hAnsi="Arial"/>
                <w:sz w:val="16"/>
                <w:szCs w:val="16"/>
                <w:color w:val="auto"/>
              </w:rPr>
              <w:t>Somerville, MA</w:t>
            </w:r>
          </w:p>
        </w:tc>
        <w:tc>
          <w:tcPr>
            <w:tcW w:w="3040" w:type="dxa"/>
            <w:vAlign w:val="bottom"/>
          </w:tcPr>
          <w:p>
            <w:pPr>
              <w:ind w:left="520"/>
              <w:spacing w:after="0"/>
              <w:rPr>
                <w:sz w:val="20"/>
                <w:szCs w:val="20"/>
                <w:color w:val="auto"/>
              </w:rPr>
            </w:pPr>
            <w:r>
              <w:rPr>
                <w:rFonts w:ascii="Arial" w:cs="Arial" w:eastAsia="Arial" w:hAnsi="Arial"/>
                <w:sz w:val="16"/>
                <w:szCs w:val="16"/>
                <w:b w:val="1"/>
                <w:bCs w:val="1"/>
                <w:color w:val="auto"/>
              </w:rPr>
              <w:t>Pike &amp; Rose (2)</w:t>
            </w:r>
          </w:p>
        </w:tc>
        <w:tc>
          <w:tcPr>
            <w:tcW w:w="3700" w:type="dxa"/>
            <w:vAlign w:val="bottom"/>
          </w:tcPr>
          <w:p>
            <w:pPr>
              <w:ind w:left="100"/>
              <w:spacing w:after="0"/>
              <w:rPr>
                <w:sz w:val="20"/>
                <w:szCs w:val="20"/>
                <w:color w:val="auto"/>
              </w:rPr>
            </w:pPr>
            <w:r>
              <w:rPr>
                <w:rFonts w:ascii="Arial" w:cs="Arial" w:eastAsia="Arial" w:hAnsi="Arial"/>
                <w:sz w:val="16"/>
                <w:szCs w:val="16"/>
                <w:color w:val="auto"/>
              </w:rPr>
              <w:t>Rockville, MD</w:t>
            </w:r>
          </w:p>
        </w:tc>
      </w:tr>
      <w:tr>
        <w:trPr>
          <w:trHeight w:val="33"/>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Bala Cynwyd</w:t>
            </w:r>
          </w:p>
        </w:tc>
        <w:tc>
          <w:tcPr>
            <w:tcW w:w="18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Bala Cynwyd, PA</w:t>
            </w:r>
          </w:p>
        </w:tc>
        <w:tc>
          <w:tcPr>
            <w:tcW w:w="3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Santana Row (3)</w:t>
            </w:r>
          </w:p>
        </w:tc>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San Jose, CA</w:t>
            </w:r>
          </w:p>
        </w:tc>
      </w:tr>
      <w:tr>
        <w:trPr>
          <w:trHeight w:val="216"/>
        </w:trPr>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40" w:type="dxa"/>
            <w:vAlign w:val="bottom"/>
          </w:tcPr>
          <w:p>
            <w:pPr>
              <w:ind w:left="520"/>
              <w:spacing w:after="0"/>
              <w:rPr>
                <w:sz w:val="20"/>
                <w:szCs w:val="20"/>
                <w:color w:val="auto"/>
              </w:rPr>
            </w:pPr>
            <w:r>
              <w:rPr>
                <w:rFonts w:ascii="Arial" w:cs="Arial" w:eastAsia="Arial" w:hAnsi="Arial"/>
                <w:sz w:val="16"/>
                <w:szCs w:val="16"/>
                <w:b w:val="1"/>
                <w:bCs w:val="1"/>
                <w:color w:val="auto"/>
                <w:w w:val="94"/>
              </w:rPr>
              <w:t>Santana Row - Winchester Theater</w:t>
            </w:r>
          </w:p>
        </w:tc>
        <w:tc>
          <w:tcPr>
            <w:tcW w:w="370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auto"/>
              </w:rPr>
              <w:t>Pike 7</w:t>
            </w:r>
          </w:p>
        </w:tc>
        <w:tc>
          <w:tcPr>
            <w:tcW w:w="1860" w:type="dxa"/>
            <w:vAlign w:val="bottom"/>
          </w:tcPr>
          <w:p>
            <w:pPr>
              <w:ind w:left="80"/>
              <w:spacing w:after="0"/>
              <w:rPr>
                <w:sz w:val="20"/>
                <w:szCs w:val="20"/>
                <w:color w:val="auto"/>
              </w:rPr>
            </w:pPr>
            <w:r>
              <w:rPr>
                <w:rFonts w:ascii="Arial" w:cs="Arial" w:eastAsia="Arial" w:hAnsi="Arial"/>
                <w:sz w:val="16"/>
                <w:szCs w:val="16"/>
                <w:color w:val="auto"/>
              </w:rPr>
              <w:t>Vienna, VA</w:t>
            </w:r>
          </w:p>
        </w:tc>
        <w:tc>
          <w:tcPr>
            <w:tcW w:w="3040" w:type="dxa"/>
            <w:vAlign w:val="bottom"/>
          </w:tcPr>
          <w:p>
            <w:pPr>
              <w:ind w:left="520"/>
              <w:spacing w:after="0"/>
              <w:rPr>
                <w:sz w:val="20"/>
                <w:szCs w:val="20"/>
                <w:color w:val="auto"/>
              </w:rPr>
            </w:pPr>
            <w:r>
              <w:rPr>
                <w:rFonts w:ascii="Arial" w:cs="Arial" w:eastAsia="Arial" w:hAnsi="Arial"/>
                <w:sz w:val="16"/>
                <w:szCs w:val="16"/>
                <w:b w:val="1"/>
                <w:bCs w:val="1"/>
                <w:color w:val="auto"/>
              </w:rPr>
              <w:t>site</w:t>
            </w:r>
          </w:p>
        </w:tc>
        <w:tc>
          <w:tcPr>
            <w:tcW w:w="3700" w:type="dxa"/>
            <w:vAlign w:val="bottom"/>
          </w:tcPr>
          <w:p>
            <w:pPr>
              <w:ind w:left="100"/>
              <w:spacing w:after="0"/>
              <w:rPr>
                <w:sz w:val="20"/>
                <w:szCs w:val="20"/>
                <w:color w:val="auto"/>
              </w:rPr>
            </w:pPr>
            <w:r>
              <w:rPr>
                <w:rFonts w:ascii="Arial" w:cs="Arial" w:eastAsia="Arial" w:hAnsi="Arial"/>
                <w:sz w:val="16"/>
                <w:szCs w:val="16"/>
                <w:color w:val="auto"/>
              </w:rPr>
              <w:t>San Jose, CA</w:t>
            </w:r>
          </w:p>
        </w:tc>
      </w:tr>
      <w:tr>
        <w:trPr>
          <w:trHeight w:val="33"/>
        </w:trPr>
        <w:tc>
          <w:tcPr>
            <w:tcW w:w="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24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80" w:type="dxa"/>
            <w:vAlign w:val="bottom"/>
            <w:gridSpan w:val="2"/>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3040" w:type="dxa"/>
            <w:vAlign w:val="bottom"/>
            <w:shd w:val="clear" w:color="auto" w:fill="CCEEFF"/>
          </w:tcPr>
          <w:p>
            <w:pPr>
              <w:spacing w:after="0"/>
              <w:rPr>
                <w:sz w:val="23"/>
                <w:szCs w:val="23"/>
                <w:color w:val="auto"/>
              </w:rPr>
            </w:pPr>
          </w:p>
        </w:tc>
        <w:tc>
          <w:tcPr>
            <w:tcW w:w="3700" w:type="dxa"/>
            <w:vAlign w:val="bottom"/>
            <w:shd w:val="clear" w:color="auto" w:fill="CCEEFF"/>
          </w:tcPr>
          <w:p>
            <w:pPr>
              <w:spacing w:after="0"/>
              <w:rPr>
                <w:sz w:val="23"/>
                <w:szCs w:val="23"/>
                <w:color w:val="auto"/>
              </w:rPr>
            </w:pPr>
          </w:p>
        </w:tc>
      </w:tr>
      <w:tr>
        <w:trPr>
          <w:trHeight w:val="230"/>
        </w:trPr>
        <w:tc>
          <w:tcPr>
            <w:tcW w:w="2820" w:type="dxa"/>
            <w:vAlign w:val="bottom"/>
            <w:gridSpan w:val="4"/>
          </w:tcPr>
          <w:p>
            <w:pPr>
              <w:ind w:left="40"/>
              <w:spacing w:after="0"/>
              <w:rPr>
                <w:sz w:val="20"/>
                <w:szCs w:val="20"/>
                <w:color w:val="auto"/>
              </w:rPr>
            </w:pPr>
            <w:r>
              <w:rPr>
                <w:rFonts w:ascii="Arial" w:cs="Arial" w:eastAsia="Arial" w:hAnsi="Arial"/>
                <w:sz w:val="14"/>
                <w:szCs w:val="14"/>
                <w:color w:val="auto"/>
              </w:rPr>
              <w:t>Notes:</w:t>
            </w:r>
          </w:p>
        </w:tc>
        <w:tc>
          <w:tcPr>
            <w:tcW w:w="18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157"/>
        </w:trPr>
        <w:tc>
          <w:tcPr>
            <w:tcW w:w="30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(1)</w:t>
            </w:r>
          </w:p>
        </w:tc>
        <w:tc>
          <w:tcPr>
            <w:tcW w:w="2520" w:type="dxa"/>
            <w:vAlign w:val="bottom"/>
            <w:gridSpan w:val="2"/>
            <w:shd w:val="clear" w:color="auto" w:fill="CCEEFF"/>
          </w:tcPr>
          <w:p>
            <w:pPr>
              <w:ind w:left="80"/>
              <w:spacing w:after="0" w:line="157" w:lineRule="exact"/>
              <w:rPr>
                <w:sz w:val="20"/>
                <w:szCs w:val="20"/>
                <w:color w:val="auto"/>
              </w:rPr>
            </w:pPr>
            <w:r>
              <w:rPr>
                <w:rFonts w:ascii="Arial" w:cs="Arial" w:eastAsia="Arial" w:hAnsi="Arial"/>
                <w:sz w:val="14"/>
                <w:szCs w:val="14"/>
                <w:color w:val="auto"/>
              </w:rPr>
              <w:t>Assembly Row</w:t>
            </w:r>
          </w:p>
        </w:tc>
        <w:tc>
          <w:tcPr>
            <w:tcW w:w="8600" w:type="dxa"/>
            <w:vAlign w:val="bottom"/>
            <w:gridSpan w:val="3"/>
            <w:shd w:val="clear" w:color="auto" w:fill="CCEEFF"/>
          </w:tcPr>
          <w:p>
            <w:pPr>
              <w:ind w:left="80"/>
              <w:spacing w:after="0" w:line="157" w:lineRule="exact"/>
              <w:rPr>
                <w:sz w:val="20"/>
                <w:szCs w:val="20"/>
                <w:color w:val="auto"/>
              </w:rPr>
            </w:pPr>
            <w:r>
              <w:rPr>
                <w:rFonts w:ascii="Arial" w:cs="Arial" w:eastAsia="Arial" w:hAnsi="Arial"/>
                <w:sz w:val="14"/>
                <w:szCs w:val="14"/>
                <w:color w:val="auto"/>
                <w:w w:val="94"/>
              </w:rPr>
              <w:t>Remaining entitlements after Phase I include approximately 3.0 million square feet of commercial-use buildings, 1,393 residential units, and a 170</w:t>
            </w:r>
          </w:p>
        </w:tc>
      </w:tr>
      <w:tr>
        <w:trPr>
          <w:trHeight w:val="194"/>
        </w:trPr>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1860" w:type="dxa"/>
            <w:vAlign w:val="bottom"/>
            <w:shd w:val="clear" w:color="auto" w:fill="CCEEFF"/>
          </w:tcPr>
          <w:p>
            <w:pPr>
              <w:ind w:left="80"/>
              <w:spacing w:after="0"/>
              <w:rPr>
                <w:sz w:val="20"/>
                <w:szCs w:val="20"/>
                <w:color w:val="auto"/>
              </w:rPr>
            </w:pPr>
            <w:r>
              <w:rPr>
                <w:rFonts w:ascii="Arial" w:cs="Arial" w:eastAsia="Arial" w:hAnsi="Arial"/>
                <w:sz w:val="14"/>
                <w:szCs w:val="14"/>
                <w:color w:val="auto"/>
              </w:rPr>
              <w:t>room hotel.</w:t>
            </w:r>
          </w:p>
        </w:tc>
        <w:tc>
          <w:tcPr>
            <w:tcW w:w="304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r>
      <w:tr>
        <w:trPr>
          <w:trHeight w:val="197"/>
        </w:trPr>
        <w:tc>
          <w:tcPr>
            <w:tcW w:w="300" w:type="dxa"/>
            <w:vAlign w:val="bottom"/>
            <w:gridSpan w:val="2"/>
          </w:tcPr>
          <w:p>
            <w:pPr>
              <w:ind w:left="40"/>
              <w:spacing w:after="0"/>
              <w:rPr>
                <w:sz w:val="20"/>
                <w:szCs w:val="20"/>
                <w:color w:val="auto"/>
              </w:rPr>
            </w:pPr>
            <w:r>
              <w:rPr>
                <w:rFonts w:ascii="Arial" w:cs="Arial" w:eastAsia="Arial" w:hAnsi="Arial"/>
                <w:sz w:val="14"/>
                <w:szCs w:val="14"/>
                <w:color w:val="auto"/>
              </w:rPr>
              <w:t>(2)</w:t>
            </w:r>
          </w:p>
        </w:tc>
        <w:tc>
          <w:tcPr>
            <w:tcW w:w="2520" w:type="dxa"/>
            <w:vAlign w:val="bottom"/>
            <w:gridSpan w:val="2"/>
          </w:tcPr>
          <w:p>
            <w:pPr>
              <w:ind w:left="80"/>
              <w:spacing w:after="0"/>
              <w:rPr>
                <w:sz w:val="20"/>
                <w:szCs w:val="20"/>
                <w:color w:val="auto"/>
              </w:rPr>
            </w:pPr>
            <w:r>
              <w:rPr>
                <w:rFonts w:ascii="Arial" w:cs="Arial" w:eastAsia="Arial" w:hAnsi="Arial"/>
                <w:sz w:val="14"/>
                <w:szCs w:val="14"/>
                <w:color w:val="auto"/>
              </w:rPr>
              <w:t>Pike &amp; Rose</w:t>
            </w:r>
          </w:p>
        </w:tc>
        <w:tc>
          <w:tcPr>
            <w:tcW w:w="8600" w:type="dxa"/>
            <w:vAlign w:val="bottom"/>
            <w:gridSpan w:val="3"/>
          </w:tcPr>
          <w:p>
            <w:pPr>
              <w:ind w:left="80"/>
              <w:spacing w:after="0"/>
              <w:rPr>
                <w:sz w:val="20"/>
                <w:szCs w:val="20"/>
                <w:color w:val="auto"/>
              </w:rPr>
            </w:pPr>
            <w:r>
              <w:rPr>
                <w:rFonts w:ascii="Arial" w:cs="Arial" w:eastAsia="Arial" w:hAnsi="Arial"/>
                <w:sz w:val="14"/>
                <w:szCs w:val="14"/>
                <w:color w:val="auto"/>
              </w:rPr>
              <w:t>Remaining entitlements after Phase I include 1.5 million square feet of commercial-use buildings, and 1,090 residential units.</w:t>
            </w:r>
          </w:p>
        </w:tc>
      </w:tr>
      <w:tr>
        <w:trPr>
          <w:trHeight w:val="163"/>
        </w:trPr>
        <w:tc>
          <w:tcPr>
            <w:tcW w:w="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(3)</w:t>
            </w:r>
          </w:p>
        </w:tc>
        <w:tc>
          <w:tcPr>
            <w:tcW w:w="25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Santana Row</w:t>
            </w:r>
          </w:p>
        </w:tc>
        <w:tc>
          <w:tcPr>
            <w:tcW w:w="86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w w:val="95"/>
              </w:rPr>
              <w:t>Current remaining entitlements for this property include 348 residential units and 69,000 square feet of commercial space for retail and office; we</w:t>
            </w:r>
          </w:p>
        </w:tc>
      </w:tr>
      <w:tr>
        <w:trPr>
          <w:trHeight w:val="194"/>
        </w:trPr>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49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are currently seeking additional entitlements.</w:t>
            </w:r>
          </w:p>
        </w:tc>
        <w:tc>
          <w:tcPr>
            <w:tcW w:w="3700" w:type="dxa"/>
            <w:vAlign w:val="bottom"/>
            <w:shd w:val="clear" w:color="auto" w:fill="CCEEFF"/>
          </w:tcPr>
          <w:p>
            <w:pPr>
              <w:spacing w:after="0"/>
              <w:rPr>
                <w:sz w:val="16"/>
                <w:szCs w:val="16"/>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7" w:right="239" w:bottom="1440" w:gutter="0" w:footer="0" w:header="0"/>
        </w:sectPr>
      </w:pPr>
    </w:p>
    <w:bookmarkStart w:id="20" w:name="page21"/>
    <w:bookmarkEnd w:id="2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2014 Significant Acquisition &amp; Disposition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2014</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2014 Significant Acquisition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Date</w:t>
            </w:r>
          </w:p>
        </w:tc>
        <w:tc>
          <w:tcPr>
            <w:tcW w:w="27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Property</w:t>
            </w:r>
          </w:p>
        </w:tc>
        <w:tc>
          <w:tcPr>
            <w:tcW w:w="16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City/State</w:t>
            </w:r>
          </w:p>
        </w:tc>
        <w:tc>
          <w:tcPr>
            <w:tcW w:w="1280" w:type="dxa"/>
            <w:vAlign w:val="bottom"/>
            <w:tcBorders>
              <w:bottom w:val="single" w:sz="8" w:color="auto"/>
            </w:tcBorders>
          </w:tcPr>
          <w:p>
            <w:pPr>
              <w:jc w:val="center"/>
              <w:ind w:right="5"/>
              <w:spacing w:after="0"/>
              <w:rPr>
                <w:sz w:val="20"/>
                <w:szCs w:val="20"/>
                <w:color w:val="auto"/>
              </w:rPr>
            </w:pPr>
            <w:r>
              <w:rPr>
                <w:rFonts w:ascii="Arial" w:cs="Arial" w:eastAsia="Arial" w:hAnsi="Arial"/>
                <w:sz w:val="14"/>
                <w:szCs w:val="14"/>
                <w:b w:val="1"/>
                <w:bCs w:val="1"/>
                <w:color w:val="auto"/>
              </w:rPr>
              <w:t>GLA</w:t>
            </w: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405"/>
              <w:spacing w:after="0"/>
              <w:rPr>
                <w:sz w:val="20"/>
                <w:szCs w:val="20"/>
                <w:color w:val="auto"/>
              </w:rPr>
            </w:pPr>
            <w:r>
              <w:rPr>
                <w:rFonts w:ascii="Arial" w:cs="Arial" w:eastAsia="Arial" w:hAnsi="Arial"/>
                <w:sz w:val="14"/>
                <w:szCs w:val="14"/>
                <w:b w:val="1"/>
                <w:bCs w:val="1"/>
                <w:color w:val="auto"/>
                <w:w w:val="89"/>
              </w:rPr>
              <w:t>Purchase price</w:t>
            </w:r>
          </w:p>
        </w:tc>
        <w:tc>
          <w:tcPr>
            <w:tcW w:w="260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Principal Tenants</w:t>
            </w:r>
          </w:p>
        </w:tc>
      </w:tr>
      <w:tr>
        <w:trPr>
          <w:trHeight w:val="190"/>
        </w:trPr>
        <w:tc>
          <w:tcPr>
            <w:tcW w:w="14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80" w:type="dxa"/>
            <w:vAlign w:val="bottom"/>
          </w:tcPr>
          <w:p>
            <w:pPr>
              <w:jc w:val="center"/>
              <w:ind w:right="5"/>
              <w:spacing w:after="0"/>
              <w:rPr>
                <w:sz w:val="20"/>
                <w:szCs w:val="20"/>
                <w:color w:val="auto"/>
              </w:rPr>
            </w:pPr>
            <w:r>
              <w:rPr>
                <w:rFonts w:ascii="Arial" w:cs="Arial" w:eastAsia="Arial" w:hAnsi="Arial"/>
                <w:sz w:val="14"/>
                <w:szCs w:val="14"/>
                <w:b w:val="1"/>
                <w:bCs w:val="1"/>
                <w:color w:val="auto"/>
                <w:w w:val="91"/>
              </w:rPr>
              <w:t>(in square feet)</w:t>
            </w:r>
          </w:p>
        </w:tc>
        <w:tc>
          <w:tcPr>
            <w:tcW w:w="320" w:type="dxa"/>
            <w:vAlign w:val="bottom"/>
          </w:tcPr>
          <w:p>
            <w:pPr>
              <w:spacing w:after="0"/>
              <w:rPr>
                <w:sz w:val="16"/>
                <w:szCs w:val="16"/>
                <w:color w:val="auto"/>
              </w:rPr>
            </w:pPr>
          </w:p>
        </w:tc>
        <w:tc>
          <w:tcPr>
            <w:tcW w:w="1460" w:type="dxa"/>
            <w:vAlign w:val="bottom"/>
          </w:tcPr>
          <w:p>
            <w:pPr>
              <w:jc w:val="center"/>
              <w:ind w:right="405"/>
              <w:spacing w:after="0"/>
              <w:rPr>
                <w:sz w:val="20"/>
                <w:szCs w:val="20"/>
                <w:color w:val="auto"/>
              </w:rPr>
            </w:pPr>
            <w:r>
              <w:rPr>
                <w:rFonts w:ascii="Arial" w:cs="Arial" w:eastAsia="Arial" w:hAnsi="Arial"/>
                <w:sz w:val="14"/>
                <w:szCs w:val="14"/>
                <w:b w:val="1"/>
                <w:bCs w:val="1"/>
                <w:color w:val="auto"/>
                <w:w w:val="94"/>
              </w:rPr>
              <w:t>(in millions)</w:t>
            </w:r>
          </w:p>
        </w:tc>
        <w:tc>
          <w:tcPr>
            <w:tcW w:w="2600" w:type="dxa"/>
            <w:vAlign w:val="bottom"/>
          </w:tcPr>
          <w:p>
            <w:pPr>
              <w:spacing w:after="0"/>
              <w:rPr>
                <w:sz w:val="16"/>
                <w:szCs w:val="16"/>
                <w:color w:val="auto"/>
              </w:rPr>
            </w:pPr>
          </w:p>
        </w:tc>
      </w:tr>
      <w:tr>
        <w:trPr>
          <w:trHeight w:val="80"/>
        </w:trPr>
        <w:tc>
          <w:tcPr>
            <w:tcW w:w="14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600" w:type="dxa"/>
            <w:vAlign w:val="bottom"/>
          </w:tcPr>
          <w:p>
            <w:pPr>
              <w:spacing w:after="0"/>
              <w:rPr>
                <w:sz w:val="6"/>
                <w:szCs w:val="6"/>
                <w:color w:val="auto"/>
              </w:rPr>
            </w:pPr>
          </w:p>
        </w:tc>
      </w:tr>
      <w:tr>
        <w:trPr>
          <w:trHeight w:val="220"/>
        </w:trPr>
        <w:tc>
          <w:tcPr>
            <w:tcW w:w="1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January 1, 2014</w:t>
            </w:r>
          </w:p>
        </w:tc>
        <w:tc>
          <w:tcPr>
            <w:tcW w:w="2700" w:type="dxa"/>
            <w:vAlign w:val="bottom"/>
            <w:shd w:val="clear" w:color="auto" w:fill="CCEEFF"/>
          </w:tcPr>
          <w:p>
            <w:pPr>
              <w:ind w:left="420"/>
              <w:spacing w:after="0"/>
              <w:rPr>
                <w:sz w:val="20"/>
                <w:szCs w:val="20"/>
                <w:color w:val="auto"/>
              </w:rPr>
            </w:pPr>
            <w:r>
              <w:rPr>
                <w:rFonts w:ascii="Arial" w:cs="Arial" w:eastAsia="Arial" w:hAnsi="Arial"/>
                <w:sz w:val="16"/>
                <w:szCs w:val="16"/>
                <w:color w:val="auto"/>
                <w:w w:val="96"/>
              </w:rPr>
              <w:t>The Grove at Shrewsbury/ Brook</w:t>
            </w:r>
          </w:p>
        </w:tc>
        <w:tc>
          <w:tcPr>
            <w:tcW w:w="160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7"/>
              </w:rPr>
              <w:t>Shrewsbury, NJ/ Sea</w:t>
            </w:r>
          </w:p>
        </w:tc>
        <w:tc>
          <w:tcPr>
            <w:tcW w:w="1280" w:type="dxa"/>
            <w:vAlign w:val="bottom"/>
            <w:shd w:val="clear" w:color="auto" w:fill="CCEEFF"/>
          </w:tcPr>
          <w:p>
            <w:pPr>
              <w:jc w:val="center"/>
              <w:ind w:right="5"/>
              <w:spacing w:after="0"/>
              <w:rPr>
                <w:sz w:val="20"/>
                <w:szCs w:val="20"/>
                <w:color w:val="auto"/>
              </w:rPr>
            </w:pPr>
            <w:r>
              <w:rPr>
                <w:rFonts w:ascii="Arial" w:cs="Arial" w:eastAsia="Arial" w:hAnsi="Arial"/>
                <w:sz w:val="16"/>
                <w:szCs w:val="16"/>
                <w:color w:val="auto"/>
                <w:w w:val="89"/>
              </w:rPr>
              <w:t>286,000</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161.0  (1)</w:t>
            </w:r>
          </w:p>
        </w:tc>
        <w:tc>
          <w:tcPr>
            <w:tcW w:w="2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Anthropologie / Banana Republic /</w:t>
            </w:r>
          </w:p>
        </w:tc>
      </w:tr>
      <w:tr>
        <w:trPr>
          <w:trHeight w:val="203"/>
        </w:trPr>
        <w:tc>
          <w:tcPr>
            <w:tcW w:w="1460" w:type="dxa"/>
            <w:vAlign w:val="bottom"/>
            <w:shd w:val="clear" w:color="auto" w:fill="CCEEFF"/>
          </w:tcPr>
          <w:p>
            <w:pPr>
              <w:spacing w:after="0"/>
              <w:rPr>
                <w:sz w:val="17"/>
                <w:szCs w:val="17"/>
                <w:color w:val="auto"/>
              </w:rPr>
            </w:pPr>
          </w:p>
        </w:tc>
        <w:tc>
          <w:tcPr>
            <w:tcW w:w="27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35</w:t>
            </w:r>
          </w:p>
        </w:tc>
        <w:tc>
          <w:tcPr>
            <w:tcW w:w="1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Girt, NJ</w:t>
            </w: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Brooks Brothers / Coach / Pottery</w:t>
            </w:r>
          </w:p>
        </w:tc>
      </w:tr>
      <w:tr>
        <w:trPr>
          <w:trHeight w:val="206"/>
        </w:trPr>
        <w:tc>
          <w:tcPr>
            <w:tcW w:w="146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6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Barn / Williams-Sonoma</w:t>
            </w:r>
          </w:p>
        </w:tc>
      </w:tr>
      <w:tr>
        <w:trPr>
          <w:trHeight w:val="33"/>
        </w:trPr>
        <w:tc>
          <w:tcPr>
            <w:tcW w:w="146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ind w:left="40" w:right="640" w:hanging="5"/>
        <w:spacing w:after="0" w:line="293" w:lineRule="auto"/>
        <w:tabs>
          <w:tab w:leader="none" w:pos="27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effective economic interest approximates 84% and was funded by the assumption of our share of $68 million of mortgage debt, 632,000 downREIT operating partnership units, and $13 million of cash.</w:t>
      </w: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2014 Disposition - 30% Owned Joint Venture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Date</w:t>
            </w:r>
          </w:p>
        </w:tc>
        <w:tc>
          <w:tcPr>
            <w:tcW w:w="21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Property</w:t>
            </w:r>
          </w:p>
        </w:tc>
        <w:tc>
          <w:tcPr>
            <w:tcW w:w="206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City/State</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GLA</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89"/>
              </w:rPr>
              <w:t>Sales price</w:t>
            </w:r>
          </w:p>
        </w:tc>
      </w:tr>
      <w:tr>
        <w:trPr>
          <w:trHeight w:val="190"/>
        </w:trPr>
        <w:tc>
          <w:tcPr>
            <w:tcW w:w="14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(in square feet)</w:t>
            </w:r>
          </w:p>
        </w:tc>
        <w:tc>
          <w:tcPr>
            <w:tcW w:w="360" w:type="dxa"/>
            <w:vAlign w:val="bottom"/>
          </w:tcPr>
          <w:p>
            <w:pPr>
              <w:spacing w:after="0"/>
              <w:rPr>
                <w:sz w:val="16"/>
                <w:szCs w:val="16"/>
                <w:color w:val="auto"/>
              </w:rPr>
            </w:pPr>
          </w:p>
        </w:tc>
        <w:tc>
          <w:tcPr>
            <w:tcW w:w="1080" w:type="dxa"/>
            <w:vAlign w:val="bottom"/>
          </w:tcPr>
          <w:p>
            <w:pPr>
              <w:jc w:val="center"/>
              <w:ind w:right="105"/>
              <w:spacing w:after="0"/>
              <w:rPr>
                <w:sz w:val="20"/>
                <w:szCs w:val="20"/>
                <w:color w:val="auto"/>
              </w:rPr>
            </w:pPr>
            <w:r>
              <w:rPr>
                <w:rFonts w:ascii="Arial" w:cs="Arial" w:eastAsia="Arial" w:hAnsi="Arial"/>
                <w:sz w:val="14"/>
                <w:szCs w:val="14"/>
                <w:b w:val="1"/>
                <w:bCs w:val="1"/>
                <w:color w:val="auto"/>
                <w:w w:val="94"/>
              </w:rPr>
              <w:t>(in millions)</w:t>
            </w:r>
          </w:p>
        </w:tc>
      </w:tr>
      <w:tr>
        <w:trPr>
          <w:trHeight w:val="80"/>
        </w:trPr>
        <w:tc>
          <w:tcPr>
            <w:tcW w:w="14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224"/>
        </w:trPr>
        <w:tc>
          <w:tcPr>
            <w:tcW w:w="1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July 24, 2014</w:t>
            </w:r>
          </w:p>
        </w:tc>
        <w:tc>
          <w:tcPr>
            <w:tcW w:w="2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Pleasant Shops</w:t>
            </w:r>
          </w:p>
        </w:tc>
        <w:tc>
          <w:tcPr>
            <w:tcW w:w="2060" w:type="dxa"/>
            <w:vAlign w:val="bottom"/>
            <w:shd w:val="clear" w:color="auto" w:fill="CCEEFF"/>
          </w:tcPr>
          <w:p>
            <w:pPr>
              <w:ind w:left="720"/>
              <w:spacing w:after="0"/>
              <w:rPr>
                <w:sz w:val="20"/>
                <w:szCs w:val="20"/>
                <w:color w:val="auto"/>
              </w:rPr>
            </w:pPr>
            <w:r>
              <w:rPr>
                <w:rFonts w:ascii="Arial" w:cs="Arial" w:eastAsia="Arial" w:hAnsi="Arial"/>
                <w:sz w:val="16"/>
                <w:szCs w:val="16"/>
                <w:color w:val="auto"/>
              </w:rPr>
              <w:t>Weymouth, MA</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131,000</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34.3</w:t>
            </w:r>
          </w:p>
        </w:tc>
      </w:tr>
      <w:tr>
        <w:trPr>
          <w:trHeight w:val="47"/>
        </w:trPr>
        <w:tc>
          <w:tcPr>
            <w:tcW w:w="1400" w:type="dxa"/>
            <w:vAlign w:val="bottom"/>
            <w:shd w:val="clear" w:color="auto" w:fill="CCEEFF"/>
          </w:tcPr>
          <w:p>
            <w:pPr>
              <w:spacing w:after="0"/>
              <w:rPr>
                <w:sz w:val="4"/>
                <w:szCs w:val="4"/>
                <w:color w:val="auto"/>
              </w:rPr>
            </w:pPr>
          </w:p>
        </w:tc>
        <w:tc>
          <w:tcPr>
            <w:tcW w:w="2160" w:type="dxa"/>
            <w:vAlign w:val="bottom"/>
            <w:shd w:val="clear" w:color="auto" w:fill="CCEEFF"/>
          </w:tcPr>
          <w:p>
            <w:pPr>
              <w:spacing w:after="0"/>
              <w:rPr>
                <w:sz w:val="4"/>
                <w:szCs w:val="4"/>
                <w:color w:val="auto"/>
              </w:rPr>
            </w:pPr>
          </w:p>
        </w:tc>
        <w:tc>
          <w:tcPr>
            <w:tcW w:w="2060" w:type="dxa"/>
            <w:vAlign w:val="bottom"/>
            <w:shd w:val="clear" w:color="auto" w:fill="CCEEFF"/>
          </w:tcPr>
          <w:p>
            <w:pPr>
              <w:spacing w:after="0"/>
              <w:rPr>
                <w:sz w:val="4"/>
                <w:szCs w:val="4"/>
                <w:color w:val="auto"/>
              </w:rPr>
            </w:pPr>
          </w:p>
        </w:tc>
        <w:tc>
          <w:tcPr>
            <w:tcW w:w="142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2" w:right="239" w:bottom="1440" w:gutter="0" w:footer="0" w:header="0"/>
        </w:sectPr>
      </w:pPr>
    </w:p>
    <w:bookmarkStart w:id="21" w:name="page22"/>
    <w:bookmarkEnd w:id="21"/>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2014</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Lease</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2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Anchor</w:t>
            </w:r>
          </w:p>
        </w:tc>
        <w:tc>
          <w:tcPr>
            <w:tcW w:w="82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Grocery</w:t>
            </w:r>
          </w:p>
        </w:tc>
        <w:tc>
          <w:tcPr>
            <w:tcW w:w="3200" w:type="dxa"/>
            <w:vAlign w:val="bottom"/>
          </w:tcPr>
          <w:p>
            <w:pPr>
              <w:spacing w:after="0"/>
              <w:rPr>
                <w:sz w:val="11"/>
                <w:szCs w:val="11"/>
                <w:color w:val="auto"/>
              </w:rPr>
            </w:pPr>
          </w:p>
        </w:tc>
      </w:tr>
      <w:tr>
        <w:trPr>
          <w:trHeight w:val="174"/>
        </w:trPr>
        <w:tc>
          <w:tcPr>
            <w:tcW w:w="156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Property Name</w:t>
            </w: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MSA Description</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Year Acquired</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Leased</w:t>
            </w: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Anchor</w:t>
            </w:r>
          </w:p>
        </w:tc>
        <w:tc>
          <w:tcPr>
            <w:tcW w:w="32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gridSpan w:val="3"/>
            <w:shd w:val="clear" w:color="auto" w:fill="CCEEFF"/>
          </w:tcPr>
          <w:p>
            <w:pPr>
              <w:ind w:left="60"/>
              <w:spacing w:after="0"/>
              <w:rPr>
                <w:sz w:val="20"/>
                <w:szCs w:val="20"/>
                <w:color w:val="auto"/>
              </w:rPr>
            </w:pPr>
            <w:r>
              <w:rPr>
                <w:rFonts w:ascii="Arial" w:cs="Arial" w:eastAsia="Arial" w:hAnsi="Arial"/>
                <w:sz w:val="13"/>
                <w:szCs w:val="13"/>
                <w:b w:val="1"/>
                <w:bCs w:val="1"/>
                <w:color w:val="auto"/>
                <w:w w:val="88"/>
              </w:rPr>
              <w:t>Washington Metropolitan Area</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shd w:val="clear" w:color="auto" w:fill="CCEEFF"/>
          </w:tcPr>
          <w:p>
            <w:pPr>
              <w:spacing w:after="0"/>
              <w:rPr>
                <w:sz w:val="21"/>
                <w:szCs w:val="21"/>
                <w:color w:val="auto"/>
              </w:rPr>
            </w:pPr>
          </w:p>
        </w:tc>
      </w:tr>
      <w:tr>
        <w:trPr>
          <w:trHeight w:val="148"/>
        </w:trPr>
        <w:tc>
          <w:tcPr>
            <w:tcW w:w="15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Bethesda Row</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ind w:left="80"/>
              <w:spacing w:after="0" w:line="148" w:lineRule="exact"/>
              <w:rPr>
                <w:sz w:val="20"/>
                <w:szCs w:val="20"/>
                <w:color w:val="auto"/>
              </w:rPr>
            </w:pPr>
            <w:r>
              <w:rPr>
                <w:rFonts w:ascii="Arial" w:cs="Arial" w:eastAsia="Arial" w:hAnsi="Arial"/>
                <w:sz w:val="13"/>
                <w:szCs w:val="13"/>
                <w:color w:val="auto"/>
                <w:w w:val="99"/>
              </w:rPr>
              <w:t>Washington, DC-MD-VA</w:t>
            </w:r>
          </w:p>
        </w:tc>
        <w:tc>
          <w:tcPr>
            <w:tcW w:w="1640" w:type="dxa"/>
            <w:vAlign w:val="bottom"/>
            <w:gridSpan w:val="2"/>
          </w:tcPr>
          <w:p>
            <w:pPr>
              <w:jc w:val="right"/>
              <w:ind w:right="57"/>
              <w:spacing w:after="0" w:line="148" w:lineRule="exact"/>
              <w:rPr>
                <w:sz w:val="20"/>
                <w:szCs w:val="20"/>
                <w:color w:val="auto"/>
              </w:rPr>
            </w:pPr>
            <w:r>
              <w:rPr>
                <w:rFonts w:ascii="Arial" w:cs="Arial" w:eastAsia="Arial" w:hAnsi="Arial"/>
                <w:sz w:val="13"/>
                <w:szCs w:val="13"/>
                <w:color w:val="auto"/>
              </w:rPr>
              <w:t>1993- $ 222,103</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533,000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40,000</w:t>
            </w:r>
          </w:p>
        </w:tc>
        <w:tc>
          <w:tcPr>
            <w:tcW w:w="820" w:type="dxa"/>
            <w:vAlign w:val="bottom"/>
          </w:tcPr>
          <w:p>
            <w:pPr>
              <w:ind w:left="100"/>
              <w:spacing w:after="0" w:line="148" w:lineRule="exact"/>
              <w:rPr>
                <w:sz w:val="20"/>
                <w:szCs w:val="20"/>
                <w:color w:val="auto"/>
              </w:rPr>
            </w:pPr>
            <w:r>
              <w:rPr>
                <w:rFonts w:ascii="Arial" w:cs="Arial" w:eastAsia="Arial" w:hAnsi="Arial"/>
                <w:sz w:val="13"/>
                <w:szCs w:val="13"/>
                <w:color w:val="auto"/>
              </w:rPr>
              <w:t>Giant Food</w:t>
            </w: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w w:val="96"/>
              </w:rPr>
              <w:t>Apple Computer / Barnes &amp; Noble / Equinox / Landmark</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w w:val="97"/>
              </w:rPr>
              <w:t>2006/2008/2010</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Theater</w:t>
            </w:r>
          </w:p>
        </w:tc>
      </w:tr>
      <w:tr>
        <w:trPr>
          <w:trHeight w:val="156"/>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Congressional Plaza</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1965</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78,271</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25,000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1"/>
              </w:rPr>
              <w:t>Fresh Market</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Buy Buy Baby / Container Store / Last Call Studio by</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Neiman Marcus</w:t>
            </w: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Courthouse Center</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4,721</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35,000</w:t>
            </w:r>
          </w:p>
        </w:tc>
        <w:tc>
          <w:tcPr>
            <w:tcW w:w="500" w:type="dxa"/>
            <w:vAlign w:val="bottom"/>
          </w:tcPr>
          <w:p>
            <w:pPr>
              <w:jc w:val="right"/>
              <w:spacing w:after="0"/>
              <w:rPr>
                <w:sz w:val="20"/>
                <w:szCs w:val="20"/>
                <w:color w:val="auto"/>
              </w:rPr>
            </w:pPr>
            <w:r>
              <w:rPr>
                <w:rFonts w:ascii="Arial" w:cs="Arial" w:eastAsia="Arial" w:hAnsi="Arial"/>
                <w:sz w:val="13"/>
                <w:szCs w:val="13"/>
                <w:color w:val="auto"/>
              </w:rPr>
              <w:t>67%</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3"/>
              </w:rPr>
              <w:t>Falls Plaza/Falls Plaza-East</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1967/1972</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12,866</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51,000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 / Staples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Federal Plaza</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1989</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65,760</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248,000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ind w:left="60"/>
              <w:spacing w:after="0"/>
              <w:rPr>
                <w:sz w:val="20"/>
                <w:szCs w:val="20"/>
                <w:color w:val="auto"/>
              </w:rPr>
            </w:pPr>
            <w:r>
              <w:rPr>
                <w:rFonts w:ascii="Arial" w:cs="Arial" w:eastAsia="Arial" w:hAnsi="Arial"/>
                <w:sz w:val="13"/>
                <w:szCs w:val="13"/>
                <w:color w:val="auto"/>
              </w:rPr>
              <w:t>14,000</w:t>
            </w:r>
          </w:p>
        </w:tc>
        <w:tc>
          <w:tcPr>
            <w:tcW w:w="820" w:type="dxa"/>
            <w:vAlign w:val="bottom"/>
          </w:tcPr>
          <w:p>
            <w:pPr>
              <w:ind w:left="100"/>
              <w:spacing w:after="0"/>
              <w:rPr>
                <w:sz w:val="20"/>
                <w:szCs w:val="20"/>
                <w:color w:val="auto"/>
              </w:rPr>
            </w:pPr>
            <w:r>
              <w:rPr>
                <w:rFonts w:ascii="Arial" w:cs="Arial" w:eastAsia="Arial" w:hAnsi="Arial"/>
                <w:sz w:val="13"/>
                <w:szCs w:val="13"/>
                <w:color w:val="auto"/>
                <w:w w:val="97"/>
              </w:rPr>
              <w:t>Trader Joe's</w:t>
            </w:r>
          </w:p>
        </w:tc>
        <w:tc>
          <w:tcPr>
            <w:tcW w:w="3200" w:type="dxa"/>
            <w:vAlign w:val="bottom"/>
          </w:tcPr>
          <w:p>
            <w:pPr>
              <w:ind w:left="60"/>
              <w:spacing w:after="0"/>
              <w:rPr>
                <w:sz w:val="20"/>
                <w:szCs w:val="20"/>
                <w:color w:val="auto"/>
              </w:rPr>
            </w:pPr>
            <w:r>
              <w:rPr>
                <w:rFonts w:ascii="Arial" w:cs="Arial" w:eastAsia="Arial" w:hAnsi="Arial"/>
                <w:sz w:val="13"/>
                <w:szCs w:val="13"/>
                <w:color w:val="auto"/>
              </w:rPr>
              <w:t>TJ Maxx / Micro Center / Ross Dress For Less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Friendship Center</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36,198</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DSW / Maggiano's / Nordstrom Rack</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Gaithersburg Square</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1993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25,717</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207,000</w:t>
            </w:r>
          </w:p>
        </w:tc>
        <w:tc>
          <w:tcPr>
            <w:tcW w:w="500" w:type="dxa"/>
            <w:vAlign w:val="bottom"/>
          </w:tcPr>
          <w:p>
            <w:pPr>
              <w:jc w:val="right"/>
              <w:spacing w:after="0"/>
              <w:rPr>
                <w:sz w:val="20"/>
                <w:szCs w:val="20"/>
                <w:color w:val="auto"/>
              </w:rPr>
            </w:pPr>
            <w:r>
              <w:rPr>
                <w:rFonts w:ascii="Arial" w:cs="Arial" w:eastAsia="Arial" w:hAnsi="Arial"/>
                <w:sz w:val="13"/>
                <w:szCs w:val="13"/>
                <w:color w:val="auto"/>
              </w:rPr>
              <w:t>91%</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Bed, Bath &amp; Beyond / Ross Dress For Less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Idylwood Plaza</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16,697</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30,000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1"/>
              </w:rPr>
              <w:t>Whole Foods</w:t>
            </w:r>
          </w:p>
        </w:tc>
        <w:tc>
          <w:tcPr>
            <w:tcW w:w="320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Laurel</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1986</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51,333</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388,000</w:t>
            </w:r>
          </w:p>
        </w:tc>
        <w:tc>
          <w:tcPr>
            <w:tcW w:w="500" w:type="dxa"/>
            <w:vAlign w:val="bottom"/>
          </w:tcPr>
          <w:p>
            <w:pPr>
              <w:jc w:val="right"/>
              <w:spacing w:after="0"/>
              <w:rPr>
                <w:sz w:val="20"/>
                <w:szCs w:val="20"/>
                <w:color w:val="auto"/>
              </w:rPr>
            </w:pPr>
            <w:r>
              <w:rPr>
                <w:rFonts w:ascii="Arial" w:cs="Arial" w:eastAsia="Arial" w:hAnsi="Arial"/>
                <w:sz w:val="13"/>
                <w:szCs w:val="13"/>
                <w:color w:val="auto"/>
              </w:rPr>
              <w:t>79%</w:t>
            </w:r>
          </w:p>
        </w:tc>
        <w:tc>
          <w:tcPr>
            <w:tcW w:w="580" w:type="dxa"/>
            <w:vAlign w:val="bottom"/>
          </w:tcPr>
          <w:p>
            <w:pPr>
              <w:ind w:left="60"/>
              <w:spacing w:after="0"/>
              <w:rPr>
                <w:sz w:val="20"/>
                <w:szCs w:val="20"/>
                <w:color w:val="auto"/>
              </w:rPr>
            </w:pPr>
            <w:r>
              <w:rPr>
                <w:rFonts w:ascii="Arial" w:cs="Arial" w:eastAsia="Arial" w:hAnsi="Arial"/>
                <w:sz w:val="13"/>
                <w:szCs w:val="13"/>
                <w:color w:val="auto"/>
              </w:rPr>
              <w:t>61,000</w:t>
            </w:r>
          </w:p>
        </w:tc>
        <w:tc>
          <w:tcPr>
            <w:tcW w:w="820" w:type="dxa"/>
            <w:vAlign w:val="bottom"/>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tcPr>
          <w:p>
            <w:pPr>
              <w:ind w:left="60"/>
              <w:spacing w:after="0"/>
              <w:rPr>
                <w:sz w:val="20"/>
                <w:szCs w:val="20"/>
                <w:color w:val="auto"/>
              </w:rPr>
            </w:pPr>
            <w:r>
              <w:rPr>
                <w:rFonts w:ascii="Arial" w:cs="Arial" w:eastAsia="Arial" w:hAnsi="Arial"/>
                <w:sz w:val="13"/>
                <w:szCs w:val="13"/>
                <w:color w:val="auto"/>
              </w:rPr>
              <w:t>L.A. Fitness / Marshalls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Leesburg Plaza</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35,364</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55,000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Petsmart / Pier 1 Imports / Office Depot</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Loehmann's Plaza</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1983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33,732</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260,000</w:t>
            </w:r>
          </w:p>
        </w:tc>
        <w:tc>
          <w:tcPr>
            <w:tcW w:w="500" w:type="dxa"/>
            <w:vAlign w:val="bottom"/>
          </w:tcPr>
          <w:p>
            <w:pPr>
              <w:jc w:val="right"/>
              <w:spacing w:after="0"/>
              <w:rPr>
                <w:sz w:val="20"/>
                <w:szCs w:val="20"/>
                <w:color w:val="auto"/>
              </w:rPr>
            </w:pPr>
            <w:r>
              <w:rPr>
                <w:rFonts w:ascii="Arial" w:cs="Arial" w:eastAsia="Arial" w:hAnsi="Arial"/>
                <w:sz w:val="13"/>
                <w:szCs w:val="13"/>
                <w:color w:val="auto"/>
              </w:rPr>
              <w:t>92%</w:t>
            </w:r>
          </w:p>
        </w:tc>
        <w:tc>
          <w:tcPr>
            <w:tcW w:w="580" w:type="dxa"/>
            <w:vAlign w:val="bottom"/>
          </w:tcPr>
          <w:p>
            <w:pPr>
              <w:ind w:left="60"/>
              <w:spacing w:after="0"/>
              <w:rPr>
                <w:sz w:val="20"/>
                <w:szCs w:val="20"/>
                <w:color w:val="auto"/>
              </w:rPr>
            </w:pPr>
            <w:r>
              <w:rPr>
                <w:rFonts w:ascii="Arial" w:cs="Arial" w:eastAsia="Arial" w:hAnsi="Arial"/>
                <w:sz w:val="13"/>
                <w:szCs w:val="13"/>
                <w:color w:val="auto"/>
              </w:rPr>
              <w:t>58,000</w:t>
            </w:r>
          </w:p>
        </w:tc>
        <w:tc>
          <w:tcPr>
            <w:tcW w:w="820" w:type="dxa"/>
            <w:vAlign w:val="bottom"/>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tcPr>
          <w:p>
            <w:pPr>
              <w:ind w:left="60"/>
              <w:spacing w:after="0"/>
              <w:rPr>
                <w:sz w:val="20"/>
                <w:szCs w:val="20"/>
                <w:color w:val="auto"/>
              </w:rPr>
            </w:pPr>
            <w:r>
              <w:rPr>
                <w:rFonts w:ascii="Arial" w:cs="Arial" w:eastAsia="Arial" w:hAnsi="Arial"/>
                <w:sz w:val="13"/>
                <w:szCs w:val="13"/>
                <w:color w:val="auto"/>
              </w:rPr>
              <w:t>L.A. Fitness / Stein Mart</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Pike &amp; Rose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1982/2007</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251,194</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Montrose Crossing</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2011/2013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152,806</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76,612</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364,000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580" w:type="dxa"/>
            <w:vAlign w:val="bottom"/>
          </w:tcPr>
          <w:p>
            <w:pPr>
              <w:ind w:left="60"/>
              <w:spacing w:after="0"/>
              <w:rPr>
                <w:sz w:val="20"/>
                <w:szCs w:val="20"/>
                <w:color w:val="auto"/>
              </w:rPr>
            </w:pPr>
            <w:r>
              <w:rPr>
                <w:rFonts w:ascii="Arial" w:cs="Arial" w:eastAsia="Arial" w:hAnsi="Arial"/>
                <w:sz w:val="13"/>
                <w:szCs w:val="13"/>
                <w:color w:val="auto"/>
              </w:rPr>
              <w:t>73,000</w:t>
            </w:r>
          </w:p>
        </w:tc>
        <w:tc>
          <w:tcPr>
            <w:tcW w:w="820" w:type="dxa"/>
            <w:vAlign w:val="bottom"/>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tcPr>
          <w:p>
            <w:pPr>
              <w:ind w:left="60"/>
              <w:spacing w:after="0"/>
              <w:rPr>
                <w:sz w:val="20"/>
                <w:szCs w:val="20"/>
                <w:color w:val="auto"/>
              </w:rPr>
            </w:pPr>
            <w:r>
              <w:rPr>
                <w:rFonts w:ascii="Arial" w:cs="Arial" w:eastAsia="Arial" w:hAnsi="Arial"/>
                <w:sz w:val="13"/>
                <w:szCs w:val="13"/>
                <w:color w:val="auto"/>
                <w:w w:val="92"/>
              </w:rPr>
              <w:t>Marshalls / Sports Authority / Barnes &amp; Noble / A.C. Moore</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48"/>
        </w:trPr>
        <w:tc>
          <w:tcPr>
            <w:tcW w:w="1560" w:type="dxa"/>
            <w:vAlign w:val="bottom"/>
            <w:gridSpan w:val="3"/>
            <w:shd w:val="clear" w:color="auto" w:fill="CCEEFF"/>
          </w:tcPr>
          <w:p>
            <w:pPr>
              <w:ind w:left="40"/>
              <w:spacing w:after="0" w:line="148" w:lineRule="exact"/>
              <w:rPr>
                <w:sz w:val="20"/>
                <w:szCs w:val="20"/>
                <w:color w:val="auto"/>
              </w:rPr>
            </w:pPr>
            <w:r>
              <w:rPr>
                <w:rFonts w:ascii="Arial" w:cs="Arial" w:eastAsia="Arial" w:hAnsi="Arial"/>
                <w:sz w:val="13"/>
                <w:szCs w:val="13"/>
                <w:color w:val="auto"/>
              </w:rPr>
              <w:t>Mount Vernon/South</w:t>
            </w:r>
          </w:p>
        </w:tc>
        <w:tc>
          <w:tcPr>
            <w:tcW w:w="2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2"/>
                <w:szCs w:val="12"/>
                <w:color w:val="auto"/>
              </w:rPr>
            </w:pPr>
          </w:p>
        </w:tc>
        <w:tc>
          <w:tcPr>
            <w:tcW w:w="150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2003/2006</w:t>
            </w:r>
          </w:p>
        </w:tc>
        <w:tc>
          <w:tcPr>
            <w:tcW w:w="66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79,858</w:t>
            </w: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572,000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93%</w:t>
            </w:r>
          </w:p>
        </w:tc>
        <w:tc>
          <w:tcPr>
            <w:tcW w:w="58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62,000</w:t>
            </w:r>
          </w:p>
        </w:tc>
        <w:tc>
          <w:tcPr>
            <w:tcW w:w="82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Shoppers</w:t>
            </w:r>
          </w:p>
        </w:tc>
        <w:tc>
          <w:tcPr>
            <w:tcW w:w="32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4"/>
              </w:rPr>
              <w:t>Bed, Bath &amp; Beyond / Michaels / Home Depot / TJ Maxx /</w:t>
            </w:r>
          </w:p>
        </w:tc>
      </w:tr>
      <w:tr>
        <w:trPr>
          <w:trHeight w:val="135"/>
        </w:trPr>
        <w:tc>
          <w:tcPr>
            <w:tcW w:w="1560" w:type="dxa"/>
            <w:vAlign w:val="bottom"/>
            <w:gridSpan w:val="3"/>
            <w:shd w:val="clear" w:color="auto" w:fill="CCEEFF"/>
          </w:tcPr>
          <w:p>
            <w:pPr>
              <w:ind w:left="40"/>
              <w:spacing w:after="0" w:line="135" w:lineRule="exact"/>
              <w:rPr>
                <w:sz w:val="20"/>
                <w:szCs w:val="20"/>
                <w:color w:val="auto"/>
              </w:rPr>
            </w:pPr>
            <w:r>
              <w:rPr>
                <w:rFonts w:ascii="Arial" w:cs="Arial" w:eastAsia="Arial" w:hAnsi="Arial"/>
                <w:sz w:val="13"/>
                <w:szCs w:val="13"/>
                <w:color w:val="auto"/>
                <w:w w:val="94"/>
              </w:rPr>
              <w:t>Valley/7770 Richmond Hwy</w:t>
            </w: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Food</w:t>
            </w:r>
          </w:p>
        </w:tc>
        <w:tc>
          <w:tcPr>
            <w:tcW w:w="32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Gold's Gym / Staples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Warehouse</w:t>
            </w:r>
          </w:p>
        </w:tc>
        <w:tc>
          <w:tcPr>
            <w:tcW w:w="3200" w:type="dxa"/>
            <w:vAlign w:val="bottom"/>
            <w:shd w:val="clear" w:color="auto" w:fill="CCEEFF"/>
          </w:tcPr>
          <w:p>
            <w:pPr>
              <w:spacing w:after="0"/>
              <w:rPr>
                <w:sz w:val="15"/>
                <w:szCs w:val="15"/>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Old Keene Mill</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1976</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6,603</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92,000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ind w:left="60"/>
              <w:spacing w:after="0"/>
              <w:rPr>
                <w:sz w:val="20"/>
                <w:szCs w:val="20"/>
                <w:color w:val="auto"/>
              </w:rPr>
            </w:pPr>
            <w:r>
              <w:rPr>
                <w:rFonts w:ascii="Arial" w:cs="Arial" w:eastAsia="Arial" w:hAnsi="Arial"/>
                <w:sz w:val="13"/>
                <w:szCs w:val="13"/>
                <w:color w:val="auto"/>
              </w:rPr>
              <w:t>24,000</w:t>
            </w:r>
          </w:p>
        </w:tc>
        <w:tc>
          <w:tcPr>
            <w:tcW w:w="820" w:type="dxa"/>
            <w:vAlign w:val="bottom"/>
          </w:tcPr>
          <w:p>
            <w:pPr>
              <w:ind w:left="100"/>
              <w:spacing w:after="0"/>
              <w:rPr>
                <w:sz w:val="20"/>
                <w:szCs w:val="20"/>
                <w:color w:val="auto"/>
              </w:rPr>
            </w:pPr>
            <w:r>
              <w:rPr>
                <w:rFonts w:ascii="Arial" w:cs="Arial" w:eastAsia="Arial" w:hAnsi="Arial"/>
                <w:sz w:val="13"/>
                <w:szCs w:val="13"/>
                <w:color w:val="auto"/>
                <w:w w:val="91"/>
              </w:rPr>
              <w:t>Whole Foods</w:t>
            </w:r>
          </w:p>
        </w:tc>
        <w:tc>
          <w:tcPr>
            <w:tcW w:w="3200" w:type="dxa"/>
            <w:vAlign w:val="bottom"/>
          </w:tcPr>
          <w:p>
            <w:pPr>
              <w:ind w:left="60"/>
              <w:spacing w:after="0"/>
              <w:rPr>
                <w:sz w:val="20"/>
                <w:szCs w:val="20"/>
                <w:color w:val="auto"/>
              </w:rPr>
            </w:pPr>
            <w:r>
              <w:rPr>
                <w:rFonts w:ascii="Arial" w:cs="Arial" w:eastAsia="Arial" w:hAnsi="Arial"/>
                <w:sz w:val="13"/>
                <w:szCs w:val="13"/>
                <w:color w:val="auto"/>
              </w:rPr>
              <w:t>Walgreens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Pan Am</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28,696</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65,000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Safeway</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Micro Center / Michaels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Pentagon Row</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1998/2010</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97,361</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299,000</w:t>
            </w: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580" w:type="dxa"/>
            <w:vAlign w:val="bottom"/>
          </w:tcPr>
          <w:p>
            <w:pPr>
              <w:ind w:left="60"/>
              <w:spacing w:after="0"/>
              <w:rPr>
                <w:sz w:val="20"/>
                <w:szCs w:val="20"/>
                <w:color w:val="auto"/>
              </w:rPr>
            </w:pPr>
            <w:r>
              <w:rPr>
                <w:rFonts w:ascii="Arial" w:cs="Arial" w:eastAsia="Arial" w:hAnsi="Arial"/>
                <w:sz w:val="13"/>
                <w:szCs w:val="13"/>
                <w:color w:val="auto"/>
              </w:rPr>
              <w:t>45,000</w:t>
            </w:r>
          </w:p>
        </w:tc>
        <w:tc>
          <w:tcPr>
            <w:tcW w:w="820" w:type="dxa"/>
            <w:vAlign w:val="bottom"/>
          </w:tcPr>
          <w:p>
            <w:pPr>
              <w:ind w:left="100"/>
              <w:spacing w:after="0"/>
              <w:rPr>
                <w:sz w:val="20"/>
                <w:szCs w:val="20"/>
                <w:color w:val="auto"/>
              </w:rPr>
            </w:pPr>
            <w:r>
              <w:rPr>
                <w:rFonts w:ascii="Arial" w:cs="Arial" w:eastAsia="Arial" w:hAnsi="Arial"/>
                <w:sz w:val="13"/>
                <w:szCs w:val="13"/>
                <w:color w:val="auto"/>
                <w:w w:val="92"/>
              </w:rPr>
              <w:t>Harris Teeter</w:t>
            </w:r>
          </w:p>
        </w:tc>
        <w:tc>
          <w:tcPr>
            <w:tcW w:w="3200" w:type="dxa"/>
            <w:vAlign w:val="bottom"/>
          </w:tcPr>
          <w:p>
            <w:pPr>
              <w:ind w:left="60"/>
              <w:spacing w:after="0"/>
              <w:rPr>
                <w:sz w:val="20"/>
                <w:szCs w:val="20"/>
                <w:color w:val="auto"/>
              </w:rPr>
            </w:pPr>
            <w:r>
              <w:rPr>
                <w:rFonts w:ascii="Arial" w:cs="Arial" w:eastAsia="Arial" w:hAnsi="Arial"/>
                <w:sz w:val="13"/>
                <w:szCs w:val="13"/>
                <w:color w:val="auto"/>
              </w:rPr>
              <w:t>L.A. Fitness / Bed, Bath &amp; Beyond / DSW</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Pike 7</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36,188</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DSW / Staples / TJ Maxx</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Quince Orchard</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1993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29,394</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263,000</w:t>
            </w:r>
          </w:p>
        </w:tc>
        <w:tc>
          <w:tcPr>
            <w:tcW w:w="500" w:type="dxa"/>
            <w:vAlign w:val="bottom"/>
          </w:tcPr>
          <w:p>
            <w:pPr>
              <w:jc w:val="right"/>
              <w:spacing w:after="0"/>
              <w:rPr>
                <w:sz w:val="20"/>
                <w:szCs w:val="20"/>
                <w:color w:val="auto"/>
              </w:rPr>
            </w:pPr>
            <w:r>
              <w:rPr>
                <w:rFonts w:ascii="Arial" w:cs="Arial" w:eastAsia="Arial" w:hAnsi="Arial"/>
                <w:sz w:val="13"/>
                <w:szCs w:val="13"/>
                <w:color w:val="auto"/>
              </w:rPr>
              <w:t>86%</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L.A. Fitness / HomeGoods / Staples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Rockville Town Square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2006-2007</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50,244</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4,516</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 / Gold's Gym</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Rollingwood Apartments</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1971</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9,732</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22,326</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N/A</w:t>
            </w: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Sam's Park &amp; Shop</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12,673</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Petco</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Tower</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1998</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21,235</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112,000</w:t>
            </w:r>
          </w:p>
        </w:tc>
        <w:tc>
          <w:tcPr>
            <w:tcW w:w="500" w:type="dxa"/>
            <w:vAlign w:val="bottom"/>
          </w:tcPr>
          <w:p>
            <w:pPr>
              <w:jc w:val="right"/>
              <w:spacing w:after="0"/>
              <w:rPr>
                <w:sz w:val="20"/>
                <w:szCs w:val="20"/>
                <w:color w:val="auto"/>
              </w:rPr>
            </w:pPr>
            <w:r>
              <w:rPr>
                <w:rFonts w:ascii="Arial" w:cs="Arial" w:eastAsia="Arial" w:hAnsi="Arial"/>
                <w:sz w:val="13"/>
                <w:szCs w:val="13"/>
                <w:color w:val="auto"/>
              </w:rPr>
              <w:t>95%</w:t>
            </w:r>
          </w:p>
        </w:tc>
        <w:tc>
          <w:tcPr>
            <w:tcW w:w="580" w:type="dxa"/>
            <w:vAlign w:val="bottom"/>
          </w:tcPr>
          <w:p>
            <w:pPr>
              <w:ind w:left="60"/>
              <w:spacing w:after="0"/>
              <w:rPr>
                <w:sz w:val="20"/>
                <w:szCs w:val="20"/>
                <w:color w:val="auto"/>
              </w:rPr>
            </w:pPr>
            <w:r>
              <w:rPr>
                <w:rFonts w:ascii="Arial" w:cs="Arial" w:eastAsia="Arial" w:hAnsi="Arial"/>
                <w:sz w:val="13"/>
                <w:szCs w:val="13"/>
                <w:color w:val="auto"/>
              </w:rPr>
              <w:t>26,000</w:t>
            </w:r>
          </w:p>
        </w:tc>
        <w:tc>
          <w:tcPr>
            <w:tcW w:w="820" w:type="dxa"/>
            <w:vAlign w:val="bottom"/>
          </w:tcPr>
          <w:p>
            <w:pPr>
              <w:ind w:left="100"/>
              <w:spacing w:after="0"/>
              <w:rPr>
                <w:sz w:val="20"/>
                <w:szCs w:val="20"/>
                <w:color w:val="auto"/>
              </w:rPr>
            </w:pPr>
            <w:r>
              <w:rPr>
                <w:rFonts w:ascii="Arial" w:cs="Arial" w:eastAsia="Arial" w:hAnsi="Arial"/>
                <w:sz w:val="13"/>
                <w:szCs w:val="13"/>
                <w:color w:val="auto"/>
              </w:rPr>
              <w:t>L.A. Mart</w:t>
            </w:r>
          </w:p>
        </w:tc>
        <w:tc>
          <w:tcPr>
            <w:tcW w:w="3200" w:type="dxa"/>
            <w:vAlign w:val="bottom"/>
          </w:tcPr>
          <w:p>
            <w:pPr>
              <w:ind w:left="60"/>
              <w:spacing w:after="0"/>
              <w:rPr>
                <w:sz w:val="20"/>
                <w:szCs w:val="20"/>
                <w:color w:val="auto"/>
              </w:rPr>
            </w:pPr>
            <w:r>
              <w:rPr>
                <w:rFonts w:ascii="Arial" w:cs="Arial" w:eastAsia="Arial" w:hAnsi="Arial"/>
                <w:sz w:val="13"/>
                <w:szCs w:val="13"/>
                <w:color w:val="auto"/>
              </w:rPr>
              <w:t>Talbots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Tyson's Station</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1978</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4,468</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11,000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7"/>
              </w:rPr>
              <w:t>Trader Joe's</w:t>
            </w:r>
          </w:p>
        </w:tc>
        <w:tc>
          <w:tcPr>
            <w:tcW w:w="320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Village at Shirlington</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1995</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59,106</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6,468</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261,000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580" w:type="dxa"/>
            <w:vAlign w:val="bottom"/>
          </w:tcPr>
          <w:p>
            <w:pPr>
              <w:ind w:left="60"/>
              <w:spacing w:after="0"/>
              <w:rPr>
                <w:sz w:val="20"/>
                <w:szCs w:val="20"/>
                <w:color w:val="auto"/>
              </w:rPr>
            </w:pPr>
            <w:r>
              <w:rPr>
                <w:rFonts w:ascii="Arial" w:cs="Arial" w:eastAsia="Arial" w:hAnsi="Arial"/>
                <w:sz w:val="13"/>
                <w:szCs w:val="13"/>
                <w:color w:val="auto"/>
              </w:rPr>
              <w:t>28,000</w:t>
            </w:r>
          </w:p>
        </w:tc>
        <w:tc>
          <w:tcPr>
            <w:tcW w:w="820" w:type="dxa"/>
            <w:vAlign w:val="bottom"/>
          </w:tcPr>
          <w:p>
            <w:pPr>
              <w:ind w:left="100"/>
              <w:spacing w:after="0"/>
              <w:rPr>
                <w:sz w:val="20"/>
                <w:szCs w:val="20"/>
                <w:color w:val="auto"/>
              </w:rPr>
            </w:pPr>
            <w:r>
              <w:rPr>
                <w:rFonts w:ascii="Arial" w:cs="Arial" w:eastAsia="Arial" w:hAnsi="Arial"/>
                <w:sz w:val="13"/>
                <w:szCs w:val="13"/>
                <w:color w:val="auto"/>
                <w:w w:val="92"/>
              </w:rPr>
              <w:t>Harris Teeter</w:t>
            </w:r>
          </w:p>
        </w:tc>
        <w:tc>
          <w:tcPr>
            <w:tcW w:w="3200" w:type="dxa"/>
            <w:vAlign w:val="bottom"/>
          </w:tcPr>
          <w:p>
            <w:pPr>
              <w:ind w:left="60"/>
              <w:spacing w:after="0"/>
              <w:rPr>
                <w:sz w:val="20"/>
                <w:szCs w:val="20"/>
                <w:color w:val="auto"/>
              </w:rPr>
            </w:pPr>
            <w:r>
              <w:rPr>
                <w:rFonts w:ascii="Arial" w:cs="Arial" w:eastAsia="Arial" w:hAnsi="Arial"/>
                <w:sz w:val="13"/>
                <w:szCs w:val="13"/>
                <w:color w:val="auto"/>
              </w:rPr>
              <w:t>AMC Loews / Carlyle Grand Café</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Wildwood</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1969</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18,270</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22,764</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20,000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Balducci's</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80" w:type="dxa"/>
            <w:vAlign w:val="bottom"/>
            <w:gridSpan w:val="2"/>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 Washington Metropolitan Area</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w w:val="89"/>
              </w:rPr>
              <w:t>1,440,590</w:t>
            </w:r>
          </w:p>
        </w:tc>
        <w:tc>
          <w:tcPr>
            <w:tcW w:w="6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5,304,000</w:t>
            </w:r>
          </w:p>
        </w:tc>
        <w:tc>
          <w:tcPr>
            <w:tcW w:w="500" w:type="dxa"/>
            <w:vAlign w:val="bottom"/>
          </w:tcPr>
          <w:p>
            <w:pPr>
              <w:jc w:val="right"/>
              <w:spacing w:after="0"/>
              <w:rPr>
                <w:sz w:val="20"/>
                <w:szCs w:val="20"/>
                <w:color w:val="auto"/>
              </w:rPr>
            </w:pPr>
            <w:r>
              <w:rPr>
                <w:rFonts w:ascii="Arial" w:cs="Arial" w:eastAsia="Arial" w:hAnsi="Arial"/>
                <w:sz w:val="13"/>
                <w:szCs w:val="13"/>
                <w:color w:val="auto"/>
              </w:rPr>
              <w:t>94%</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2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860" w:type="dxa"/>
            <w:vAlign w:val="bottom"/>
            <w:gridSpan w:val="5"/>
            <w:shd w:val="clear" w:color="auto" w:fill="CCEEFF"/>
          </w:tcPr>
          <w:p>
            <w:pPr>
              <w:jc w:val="right"/>
              <w:ind w:right="80"/>
              <w:spacing w:after="0"/>
              <w:rPr>
                <w:sz w:val="20"/>
                <w:szCs w:val="20"/>
                <w:color w:val="auto"/>
              </w:rPr>
            </w:pPr>
            <w:r>
              <w:rPr>
                <w:rFonts w:ascii="Arial" w:cs="Arial" w:eastAsia="Arial" w:hAnsi="Arial"/>
                <w:sz w:val="13"/>
                <w:szCs w:val="13"/>
                <w:b w:val="1"/>
                <w:bCs w:val="1"/>
                <w:color w:val="auto"/>
                <w:w w:val="92"/>
              </w:rPr>
              <w:t>Philadelphia Metropolitan Area</w:t>
            </w:r>
          </w:p>
        </w:tc>
        <w:tc>
          <w:tcPr>
            <w:tcW w:w="15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500" w:type="dxa"/>
            <w:vAlign w:val="bottom"/>
            <w:tcBorders>
              <w:top w:val="single" w:sz="8" w:color="CCEEFF"/>
            </w:tcBorders>
            <w:shd w:val="clear" w:color="auto" w:fill="CCEEFF"/>
          </w:tcPr>
          <w:p>
            <w:pPr>
              <w:spacing w:after="0"/>
              <w:rPr>
                <w:sz w:val="8"/>
                <w:szCs w:val="8"/>
                <w:color w:val="auto"/>
              </w:rPr>
            </w:pPr>
          </w:p>
        </w:tc>
        <w:tc>
          <w:tcPr>
            <w:tcW w:w="9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3200" w:type="dxa"/>
            <w:vAlign w:val="bottom"/>
            <w:tcBorders>
              <w:top w:val="single" w:sz="8" w:color="CCEEFF"/>
            </w:tcBorders>
            <w:shd w:val="clear" w:color="auto" w:fill="CCEEFF"/>
          </w:tcPr>
          <w:p>
            <w:pPr>
              <w:spacing w:after="0"/>
              <w:rPr>
                <w:sz w:val="8"/>
                <w:szCs w:val="8"/>
                <w:color w:val="auto"/>
              </w:rPr>
            </w:pPr>
          </w:p>
        </w:tc>
      </w:tr>
      <w:tr>
        <w:trPr>
          <w:trHeight w:val="148"/>
        </w:trPr>
        <w:tc>
          <w:tcPr>
            <w:tcW w:w="15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Andorra</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ind w:left="80"/>
              <w:spacing w:after="0" w:line="148" w:lineRule="exact"/>
              <w:rPr>
                <w:sz w:val="20"/>
                <w:szCs w:val="20"/>
                <w:color w:val="auto"/>
              </w:rPr>
            </w:pPr>
            <w:r>
              <w:rPr>
                <w:rFonts w:ascii="Arial" w:cs="Arial" w:eastAsia="Arial" w:hAnsi="Arial"/>
                <w:sz w:val="13"/>
                <w:szCs w:val="13"/>
                <w:color w:val="auto"/>
              </w:rPr>
              <w:t>Philadelphia, PA-NJ</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1988</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25,562</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265,000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24,000</w:t>
            </w:r>
          </w:p>
        </w:tc>
        <w:tc>
          <w:tcPr>
            <w:tcW w:w="820" w:type="dxa"/>
            <w:vAlign w:val="bottom"/>
          </w:tcPr>
          <w:p>
            <w:pPr>
              <w:ind w:left="100"/>
              <w:spacing w:after="0" w:line="148" w:lineRule="exact"/>
              <w:rPr>
                <w:sz w:val="20"/>
                <w:szCs w:val="20"/>
                <w:color w:val="auto"/>
              </w:rPr>
            </w:pPr>
            <w:r>
              <w:rPr>
                <w:rFonts w:ascii="Arial" w:cs="Arial" w:eastAsia="Arial" w:hAnsi="Arial"/>
                <w:sz w:val="13"/>
                <w:szCs w:val="13"/>
                <w:color w:val="auto"/>
              </w:rPr>
              <w:t>Acme</w:t>
            </w: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rPr>
              <w:t>Kohl's / Staples / L.A. Fitness</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auto"/>
              </w:rPr>
              <w:t>Markets</w:t>
            </w:r>
          </w:p>
        </w:tc>
        <w:tc>
          <w:tcPr>
            <w:tcW w:w="3200" w:type="dxa"/>
            <w:vAlign w:val="bottom"/>
          </w:tcPr>
          <w:p>
            <w:pPr>
              <w:spacing w:after="0"/>
              <w:rPr>
                <w:sz w:val="14"/>
                <w:szCs w:val="14"/>
                <w:color w:val="auto"/>
              </w:rPr>
            </w:pPr>
          </w:p>
        </w:tc>
      </w:tr>
      <w:tr>
        <w:trPr>
          <w:trHeight w:val="156"/>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Bala Cynwyd</w:t>
            </w: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39,963</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45,000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Acme</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Lord &amp; Taylor / L.A. Fitness / Michaels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Markets</w:t>
            </w:r>
          </w:p>
        </w:tc>
        <w:tc>
          <w:tcPr>
            <w:tcW w:w="3200" w:type="dxa"/>
            <w:vAlign w:val="bottom"/>
            <w:shd w:val="clear" w:color="auto" w:fill="CCEEFF"/>
          </w:tcPr>
          <w:p>
            <w:pPr>
              <w:spacing w:after="0"/>
              <w:rPr>
                <w:sz w:val="15"/>
                <w:szCs w:val="15"/>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Ellisburg Circle</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tcPr>
          <w:p>
            <w:pPr>
              <w:jc w:val="right"/>
              <w:spacing w:after="0"/>
              <w:rPr>
                <w:sz w:val="20"/>
                <w:szCs w:val="20"/>
                <w:color w:val="auto"/>
              </w:rPr>
            </w:pPr>
            <w:r>
              <w:rPr>
                <w:rFonts w:ascii="Arial" w:cs="Arial" w:eastAsia="Arial" w:hAnsi="Arial"/>
                <w:sz w:val="13"/>
                <w:szCs w:val="13"/>
                <w:color w:val="auto"/>
              </w:rPr>
              <w:t>1992</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33,307</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267,000</w:t>
            </w:r>
          </w:p>
        </w:tc>
        <w:tc>
          <w:tcPr>
            <w:tcW w:w="500" w:type="dxa"/>
            <w:vAlign w:val="bottom"/>
          </w:tcPr>
          <w:p>
            <w:pPr>
              <w:jc w:val="right"/>
              <w:spacing w:after="0"/>
              <w:rPr>
                <w:sz w:val="20"/>
                <w:szCs w:val="20"/>
                <w:color w:val="auto"/>
              </w:rPr>
            </w:pPr>
            <w:r>
              <w:rPr>
                <w:rFonts w:ascii="Arial" w:cs="Arial" w:eastAsia="Arial" w:hAnsi="Arial"/>
                <w:sz w:val="13"/>
                <w:szCs w:val="13"/>
                <w:color w:val="auto"/>
              </w:rPr>
              <w:t>90%</w:t>
            </w:r>
          </w:p>
        </w:tc>
        <w:tc>
          <w:tcPr>
            <w:tcW w:w="580" w:type="dxa"/>
            <w:vAlign w:val="bottom"/>
          </w:tcPr>
          <w:p>
            <w:pPr>
              <w:ind w:left="60"/>
              <w:spacing w:after="0"/>
              <w:rPr>
                <w:sz w:val="20"/>
                <w:szCs w:val="20"/>
                <w:color w:val="auto"/>
              </w:rPr>
            </w:pPr>
            <w:r>
              <w:rPr>
                <w:rFonts w:ascii="Arial" w:cs="Arial" w:eastAsia="Arial" w:hAnsi="Arial"/>
                <w:sz w:val="13"/>
                <w:szCs w:val="13"/>
                <w:color w:val="auto"/>
              </w:rPr>
              <w:t>47,000</w:t>
            </w:r>
          </w:p>
        </w:tc>
        <w:tc>
          <w:tcPr>
            <w:tcW w:w="820" w:type="dxa"/>
            <w:vAlign w:val="bottom"/>
          </w:tcPr>
          <w:p>
            <w:pPr>
              <w:ind w:left="100"/>
              <w:spacing w:after="0"/>
              <w:rPr>
                <w:sz w:val="20"/>
                <w:szCs w:val="20"/>
                <w:color w:val="auto"/>
              </w:rPr>
            </w:pPr>
            <w:r>
              <w:rPr>
                <w:rFonts w:ascii="Arial" w:cs="Arial" w:eastAsia="Arial" w:hAnsi="Arial"/>
                <w:sz w:val="13"/>
                <w:szCs w:val="13"/>
                <w:color w:val="auto"/>
                <w:w w:val="91"/>
              </w:rPr>
              <w:t>Whole Foods</w:t>
            </w:r>
          </w:p>
        </w:tc>
        <w:tc>
          <w:tcPr>
            <w:tcW w:w="3200" w:type="dxa"/>
            <w:vAlign w:val="bottom"/>
          </w:tcPr>
          <w:p>
            <w:pPr>
              <w:ind w:left="60"/>
              <w:spacing w:after="0"/>
              <w:rPr>
                <w:sz w:val="20"/>
                <w:szCs w:val="20"/>
                <w:color w:val="auto"/>
              </w:rPr>
            </w:pPr>
            <w:r>
              <w:rPr>
                <w:rFonts w:ascii="Arial" w:cs="Arial" w:eastAsia="Arial" w:hAnsi="Arial"/>
                <w:sz w:val="13"/>
                <w:szCs w:val="13"/>
                <w:color w:val="auto"/>
              </w:rPr>
              <w:t>Buy Buy Baby / Stein Mart</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Flourtown</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13,436</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75,000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48"/>
        </w:trPr>
        <w:tc>
          <w:tcPr>
            <w:tcW w:w="15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Langhorne Square</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ind w:left="80"/>
              <w:spacing w:after="0" w:line="148" w:lineRule="exact"/>
              <w:rPr>
                <w:sz w:val="20"/>
                <w:szCs w:val="20"/>
                <w:color w:val="auto"/>
              </w:rPr>
            </w:pPr>
            <w:r>
              <w:rPr>
                <w:rFonts w:ascii="Arial" w:cs="Arial" w:eastAsia="Arial" w:hAnsi="Arial"/>
                <w:sz w:val="13"/>
                <w:szCs w:val="13"/>
                <w:color w:val="auto"/>
              </w:rPr>
              <w:t>Philadelphia, PA-NJ</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1985</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21,241</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219,000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55,000</w:t>
            </w:r>
          </w:p>
        </w:tc>
        <w:tc>
          <w:tcPr>
            <w:tcW w:w="820" w:type="dxa"/>
            <w:vAlign w:val="bottom"/>
          </w:tcPr>
          <w:p>
            <w:pPr>
              <w:ind w:left="100"/>
              <w:spacing w:after="0" w:line="148" w:lineRule="exact"/>
              <w:rPr>
                <w:sz w:val="20"/>
                <w:szCs w:val="20"/>
                <w:color w:val="auto"/>
              </w:rPr>
            </w:pPr>
            <w:r>
              <w:rPr>
                <w:rFonts w:ascii="Arial" w:cs="Arial" w:eastAsia="Arial" w:hAnsi="Arial"/>
                <w:sz w:val="13"/>
                <w:szCs w:val="13"/>
                <w:color w:val="auto"/>
              </w:rPr>
              <w:t>Redner's</w:t>
            </w: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rPr>
              <w:t>Marshalls</w:t>
            </w: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3"/>
                <w:szCs w:val="13"/>
                <w:color w:val="auto"/>
              </w:rPr>
              <w:t>Warehouse</w:t>
            </w:r>
          </w:p>
        </w:tc>
        <w:tc>
          <w:tcPr>
            <w:tcW w:w="320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auto"/>
              </w:rPr>
              <w:t>Mkts.</w:t>
            </w:r>
          </w:p>
        </w:tc>
        <w:tc>
          <w:tcPr>
            <w:tcW w:w="3200" w:type="dxa"/>
            <w:vAlign w:val="bottom"/>
          </w:tcPr>
          <w:p>
            <w:pPr>
              <w:spacing w:after="0"/>
              <w:rPr>
                <w:sz w:val="14"/>
                <w:szCs w:val="14"/>
                <w:color w:val="auto"/>
              </w:rPr>
            </w:pPr>
          </w:p>
        </w:tc>
      </w:tr>
      <w:tr>
        <w:trPr>
          <w:trHeight w:val="156"/>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Lawrence Park</w:t>
            </w: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31,631</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25,898</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53,000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Acme</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Kaplan Career Institute / TJ Maxx / HomeGoods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Markets</w:t>
            </w:r>
          </w:p>
        </w:tc>
        <w:tc>
          <w:tcPr>
            <w:tcW w:w="3200" w:type="dxa"/>
            <w:vAlign w:val="bottom"/>
            <w:shd w:val="clear" w:color="auto" w:fill="CCEEFF"/>
          </w:tcPr>
          <w:p>
            <w:pPr>
              <w:spacing w:after="0"/>
              <w:rPr>
                <w:sz w:val="15"/>
                <w:szCs w:val="15"/>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Northeast</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tcPr>
          <w:p>
            <w:pPr>
              <w:jc w:val="right"/>
              <w:spacing w:after="0"/>
              <w:rPr>
                <w:sz w:val="20"/>
                <w:szCs w:val="20"/>
                <w:color w:val="auto"/>
              </w:rPr>
            </w:pPr>
            <w:r>
              <w:rPr>
                <w:rFonts w:ascii="Arial" w:cs="Arial" w:eastAsia="Arial" w:hAnsi="Arial"/>
                <w:sz w:val="13"/>
                <w:szCs w:val="13"/>
                <w:color w:val="auto"/>
              </w:rPr>
              <w:t>1983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24,781</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288,000</w:t>
            </w:r>
          </w:p>
        </w:tc>
        <w:tc>
          <w:tcPr>
            <w:tcW w:w="500" w:type="dxa"/>
            <w:vAlign w:val="bottom"/>
          </w:tcPr>
          <w:p>
            <w:pPr>
              <w:jc w:val="right"/>
              <w:spacing w:after="0"/>
              <w:rPr>
                <w:sz w:val="20"/>
                <w:szCs w:val="20"/>
                <w:color w:val="auto"/>
              </w:rPr>
            </w:pPr>
            <w:r>
              <w:rPr>
                <w:rFonts w:ascii="Arial" w:cs="Arial" w:eastAsia="Arial" w:hAnsi="Arial"/>
                <w:sz w:val="13"/>
                <w:szCs w:val="13"/>
                <w:color w:val="auto"/>
              </w:rPr>
              <w:t>89%</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Burlington Coat Factory / Home Gallery / Marshalls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4"/>
              </w:rPr>
              <w:t>Town Center of New Britain</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14,721</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36,000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Rite Aid</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Willow Grove</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tcPr>
          <w:p>
            <w:pPr>
              <w:jc w:val="right"/>
              <w:spacing w:after="0"/>
              <w:rPr>
                <w:sz w:val="20"/>
                <w:szCs w:val="20"/>
                <w:color w:val="auto"/>
              </w:rPr>
            </w:pPr>
            <w:r>
              <w:rPr>
                <w:rFonts w:ascii="Arial" w:cs="Arial" w:eastAsia="Arial" w:hAnsi="Arial"/>
                <w:sz w:val="13"/>
                <w:szCs w:val="13"/>
                <w:color w:val="auto"/>
              </w:rPr>
              <w:t>1984</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29,814</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212,000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HomeGoods / Marshalls / Barnes &amp; Noble</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Wynnewood</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38,732</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26,393</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98,000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Bed, Bath &amp; Beyond / Old Navy / DSW</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80" w:type="dxa"/>
            <w:vAlign w:val="bottom"/>
            <w:gridSpan w:val="2"/>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 Philadelphia Metropolitan Area</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273,188</w:t>
            </w:r>
          </w:p>
        </w:tc>
        <w:tc>
          <w:tcPr>
            <w:tcW w:w="6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2,436,000</w:t>
            </w:r>
          </w:p>
        </w:tc>
        <w:tc>
          <w:tcPr>
            <w:tcW w:w="500" w:type="dxa"/>
            <w:vAlign w:val="bottom"/>
          </w:tcPr>
          <w:p>
            <w:pPr>
              <w:jc w:val="right"/>
              <w:spacing w:after="0"/>
              <w:rPr>
                <w:sz w:val="20"/>
                <w:szCs w:val="20"/>
                <w:color w:val="auto"/>
              </w:rPr>
            </w:pPr>
            <w:r>
              <w:rPr>
                <w:rFonts w:ascii="Arial" w:cs="Arial" w:eastAsia="Arial" w:hAnsi="Arial"/>
                <w:sz w:val="13"/>
                <w:szCs w:val="13"/>
                <w:color w:val="auto"/>
              </w:rPr>
              <w:t>95%</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California</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500" w:type="dxa"/>
            <w:vAlign w:val="bottom"/>
            <w:tcBorders>
              <w:top w:val="single" w:sz="8" w:color="CCEEFF"/>
            </w:tcBorders>
            <w:shd w:val="clear" w:color="auto" w:fill="CCEEFF"/>
          </w:tcPr>
          <w:p>
            <w:pPr>
              <w:spacing w:after="0"/>
              <w:rPr>
                <w:sz w:val="8"/>
                <w:szCs w:val="8"/>
                <w:color w:val="auto"/>
              </w:rPr>
            </w:pPr>
          </w:p>
        </w:tc>
        <w:tc>
          <w:tcPr>
            <w:tcW w:w="9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3200" w:type="dxa"/>
            <w:vAlign w:val="bottom"/>
            <w:tcBorders>
              <w:top w:val="single" w:sz="8" w:color="CCEEFF"/>
            </w:tcBorders>
            <w:shd w:val="clear" w:color="auto" w:fill="CCEEFF"/>
          </w:tcPr>
          <w:p>
            <w:pPr>
              <w:spacing w:after="0"/>
              <w:rPr>
                <w:sz w:val="8"/>
                <w:szCs w:val="8"/>
                <w:color w:val="auto"/>
              </w:rPr>
            </w:pPr>
          </w:p>
        </w:tc>
      </w:tr>
      <w:tr>
        <w:trPr>
          <w:trHeight w:val="148"/>
        </w:trPr>
        <w:tc>
          <w:tcPr>
            <w:tcW w:w="15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Colorado Blvd</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ind w:left="80"/>
              <w:spacing w:after="0" w:line="148" w:lineRule="exact"/>
              <w:rPr>
                <w:sz w:val="20"/>
                <w:szCs w:val="20"/>
                <w:color w:val="auto"/>
              </w:rPr>
            </w:pPr>
            <w:r>
              <w:rPr>
                <w:rFonts w:ascii="Arial" w:cs="Arial" w:eastAsia="Arial" w:hAnsi="Arial"/>
                <w:sz w:val="13"/>
                <w:szCs w:val="13"/>
                <w:color w:val="auto"/>
                <w:w w:val="94"/>
              </w:rPr>
              <w:t>Los Angeles-Long Beach,</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1996/1998</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18,121</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rPr>
              <w:t>Pottery Barn / Banana Republic</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rPr>
              <w:t>CA</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181"/>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Crow Canyon</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San Ramon, CA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2005/2007</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85,611</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58,000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Sprouts</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Rite Aid</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865"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747" w:right="239" w:bottom="865" w:gutter="0" w:footer="0" w:header="0"/>
          <w:type w:val="continuous"/>
        </w:sectPr>
      </w:pPr>
    </w:p>
    <w:bookmarkStart w:id="22" w:name="page23"/>
    <w:bookmarkEnd w:id="22"/>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2014</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40" w:type="dxa"/>
            <w:vAlign w:val="bottom"/>
          </w:tcPr>
          <w:p>
            <w:pPr>
              <w:spacing w:after="0"/>
              <w:rPr>
                <w:sz w:val="11"/>
                <w:szCs w:val="11"/>
                <w:color w:val="auto"/>
              </w:rPr>
            </w:pPr>
          </w:p>
        </w:tc>
        <w:tc>
          <w:tcPr>
            <w:tcW w:w="32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68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Estate at</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20" w:type="dxa"/>
            <w:vAlign w:val="bottom"/>
          </w:tcPr>
          <w:p>
            <w:pPr>
              <w:spacing w:after="0"/>
              <w:rPr>
                <w:sz w:val="11"/>
                <w:szCs w:val="11"/>
                <w:color w:val="auto"/>
              </w:rPr>
            </w:pPr>
          </w:p>
        </w:tc>
        <w:tc>
          <w:tcPr>
            <w:tcW w:w="5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Anchor</w:t>
            </w:r>
          </w:p>
        </w:tc>
        <w:tc>
          <w:tcPr>
            <w:tcW w:w="84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280" w:type="dxa"/>
            <w:vAlign w:val="bottom"/>
          </w:tcPr>
          <w:p>
            <w:pPr>
              <w:spacing w:after="0"/>
              <w:rPr>
                <w:sz w:val="11"/>
                <w:szCs w:val="11"/>
                <w:color w:val="auto"/>
              </w:rPr>
            </w:pPr>
          </w:p>
        </w:tc>
      </w:tr>
      <w:tr>
        <w:trPr>
          <w:trHeight w:val="174"/>
        </w:trPr>
        <w:tc>
          <w:tcPr>
            <w:tcW w:w="152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Property Name</w:t>
            </w:r>
          </w:p>
        </w:tc>
        <w:tc>
          <w:tcPr>
            <w:tcW w:w="4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MSA Description</w:t>
            </w: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Acquired</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8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80" w:type="dxa"/>
            <w:vAlign w:val="bottom"/>
          </w:tcPr>
          <w:p>
            <w:pPr>
              <w:spacing w:after="0"/>
              <w:rPr>
                <w:sz w:val="11"/>
                <w:szCs w:val="11"/>
                <w:color w:val="auto"/>
              </w:rPr>
            </w:pPr>
          </w:p>
        </w:tc>
      </w:tr>
      <w:tr>
        <w:trPr>
          <w:trHeight w:val="170"/>
        </w:trPr>
        <w:tc>
          <w:tcPr>
            <w:tcW w:w="1520" w:type="dxa"/>
            <w:vAlign w:val="bottom"/>
            <w:gridSpan w:val="4"/>
          </w:tcPr>
          <w:p>
            <w:pPr>
              <w:ind w:left="40"/>
              <w:spacing w:after="0"/>
              <w:rPr>
                <w:sz w:val="20"/>
                <w:szCs w:val="20"/>
                <w:color w:val="auto"/>
              </w:rPr>
            </w:pPr>
            <w:r>
              <w:rPr>
                <w:rFonts w:ascii="Arial" w:cs="Arial" w:eastAsia="Arial" w:hAnsi="Arial"/>
                <w:sz w:val="13"/>
                <w:szCs w:val="13"/>
                <w:color w:val="auto"/>
              </w:rPr>
              <w:t>East Bay Bridge</w:t>
            </w:r>
          </w:p>
        </w:tc>
        <w:tc>
          <w:tcPr>
            <w:tcW w:w="460" w:type="dxa"/>
            <w:vAlign w:val="bottom"/>
          </w:tcPr>
          <w:p>
            <w:pPr>
              <w:spacing w:after="0"/>
              <w:rPr>
                <w:sz w:val="14"/>
                <w:szCs w:val="14"/>
                <w:color w:val="auto"/>
              </w:rPr>
            </w:pPr>
          </w:p>
        </w:tc>
        <w:tc>
          <w:tcPr>
            <w:tcW w:w="1600" w:type="dxa"/>
            <w:vAlign w:val="bottom"/>
          </w:tcPr>
          <w:p>
            <w:pPr>
              <w:ind w:left="60"/>
              <w:spacing w:after="0"/>
              <w:rPr>
                <w:sz w:val="20"/>
                <w:szCs w:val="20"/>
                <w:color w:val="auto"/>
              </w:rPr>
            </w:pPr>
            <w:r>
              <w:rPr>
                <w:rFonts w:ascii="Arial" w:cs="Arial" w:eastAsia="Arial" w:hAnsi="Arial"/>
                <w:sz w:val="13"/>
                <w:szCs w:val="13"/>
                <w:color w:val="auto"/>
              </w:rPr>
              <w:t>San Francisco-Oakland-</w:t>
            </w:r>
          </w:p>
        </w:tc>
        <w:tc>
          <w:tcPr>
            <w:tcW w:w="680" w:type="dxa"/>
            <w:vAlign w:val="bottom"/>
          </w:tcPr>
          <w:p>
            <w:pPr>
              <w:jc w:val="right"/>
              <w:spacing w:after="0"/>
              <w:rPr>
                <w:sz w:val="20"/>
                <w:szCs w:val="20"/>
                <w:color w:val="auto"/>
              </w:rPr>
            </w:pPr>
            <w:r>
              <w:rPr>
                <w:rFonts w:ascii="Arial" w:cs="Arial" w:eastAsia="Arial" w:hAnsi="Arial"/>
                <w:sz w:val="13"/>
                <w:szCs w:val="13"/>
                <w:color w:val="auto"/>
              </w:rPr>
              <w:t>2012</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167,535</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61,474</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438,000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ind w:left="60"/>
              <w:spacing w:after="0"/>
              <w:rPr>
                <w:sz w:val="20"/>
                <w:szCs w:val="20"/>
                <w:color w:val="auto"/>
              </w:rPr>
            </w:pPr>
            <w:r>
              <w:rPr>
                <w:rFonts w:ascii="Arial" w:cs="Arial" w:eastAsia="Arial" w:hAnsi="Arial"/>
                <w:sz w:val="13"/>
                <w:szCs w:val="13"/>
                <w:color w:val="auto"/>
              </w:rPr>
              <w:t>59,000</w:t>
            </w:r>
          </w:p>
        </w:tc>
        <w:tc>
          <w:tcPr>
            <w:tcW w:w="840" w:type="dxa"/>
            <w:vAlign w:val="bottom"/>
          </w:tcPr>
          <w:p>
            <w:pPr>
              <w:ind w:left="80"/>
              <w:spacing w:after="0"/>
              <w:rPr>
                <w:sz w:val="20"/>
                <w:szCs w:val="20"/>
                <w:color w:val="auto"/>
              </w:rPr>
            </w:pPr>
            <w:r>
              <w:rPr>
                <w:rFonts w:ascii="Arial" w:cs="Arial" w:eastAsia="Arial" w:hAnsi="Arial"/>
                <w:sz w:val="13"/>
                <w:szCs w:val="13"/>
                <w:color w:val="auto"/>
              </w:rPr>
              <w:t>Pak-N-Save</w:t>
            </w:r>
          </w:p>
        </w:tc>
        <w:tc>
          <w:tcPr>
            <w:tcW w:w="3280" w:type="dxa"/>
            <w:vAlign w:val="bottom"/>
          </w:tcPr>
          <w:p>
            <w:pPr>
              <w:ind w:left="40"/>
              <w:spacing w:after="0"/>
              <w:rPr>
                <w:sz w:val="20"/>
                <w:szCs w:val="20"/>
                <w:color w:val="auto"/>
              </w:rPr>
            </w:pPr>
            <w:r>
              <w:rPr>
                <w:rFonts w:ascii="Arial" w:cs="Arial" w:eastAsia="Arial" w:hAnsi="Arial"/>
                <w:sz w:val="13"/>
                <w:szCs w:val="13"/>
                <w:color w:val="auto"/>
              </w:rPr>
              <w:t>Home Depot / Michaels / Target</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tcPr>
          <w:p>
            <w:pPr>
              <w:ind w:left="60"/>
              <w:spacing w:after="0"/>
              <w:rPr>
                <w:sz w:val="20"/>
                <w:szCs w:val="20"/>
                <w:color w:val="auto"/>
              </w:rPr>
            </w:pPr>
            <w:r>
              <w:rPr>
                <w:rFonts w:ascii="Arial" w:cs="Arial" w:eastAsia="Arial" w:hAnsi="Arial"/>
                <w:sz w:val="13"/>
                <w:szCs w:val="13"/>
                <w:color w:val="auto"/>
              </w:rPr>
              <w:t>Fremont, CA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156"/>
        </w:trPr>
        <w:tc>
          <w:tcPr>
            <w:tcW w:w="15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Escondido</w:t>
            </w:r>
          </w:p>
        </w:tc>
        <w:tc>
          <w:tcPr>
            <w:tcW w:w="460" w:type="dxa"/>
            <w:vAlign w:val="bottom"/>
            <w:shd w:val="clear" w:color="auto" w:fill="CCEEFF"/>
          </w:tcPr>
          <w:p>
            <w:pPr>
              <w:jc w:val="center"/>
              <w:ind w:left="17"/>
              <w:spacing w:after="0"/>
              <w:rPr>
                <w:sz w:val="20"/>
                <w:szCs w:val="20"/>
                <w:color w:val="auto"/>
              </w:rPr>
            </w:pPr>
            <w:r>
              <w:rPr>
                <w:rFonts w:ascii="Arial" w:cs="Arial" w:eastAsia="Arial" w:hAnsi="Arial"/>
                <w:sz w:val="13"/>
                <w:szCs w:val="13"/>
                <w:color w:val="auto"/>
                <w:w w:val="87"/>
              </w:rPr>
              <w:t>(3)</w:t>
            </w:r>
          </w:p>
        </w:tc>
        <w:tc>
          <w:tcPr>
            <w:tcW w:w="1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San Diego,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1996/2010</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46,873</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rPr>
              <w:t>TJ Maxx / Toys R Us / Dick’s Sporting Goods / Ross Dress For</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Less</w:t>
            </w:r>
          </w:p>
        </w:tc>
      </w:tr>
      <w:tr>
        <w:trPr>
          <w:trHeight w:val="173"/>
        </w:trPr>
        <w:tc>
          <w:tcPr>
            <w:tcW w:w="1520" w:type="dxa"/>
            <w:vAlign w:val="bottom"/>
            <w:gridSpan w:val="4"/>
          </w:tcPr>
          <w:p>
            <w:pPr>
              <w:ind w:left="40"/>
              <w:spacing w:after="0"/>
              <w:rPr>
                <w:sz w:val="20"/>
                <w:szCs w:val="20"/>
                <w:color w:val="auto"/>
              </w:rPr>
            </w:pPr>
            <w:r>
              <w:rPr>
                <w:rFonts w:ascii="Arial" w:cs="Arial" w:eastAsia="Arial" w:hAnsi="Arial"/>
                <w:sz w:val="13"/>
                <w:szCs w:val="13"/>
                <w:color w:val="auto"/>
              </w:rPr>
              <w:t>Hermosa Ave</w:t>
            </w:r>
          </w:p>
        </w:tc>
        <w:tc>
          <w:tcPr>
            <w:tcW w:w="460" w:type="dxa"/>
            <w:vAlign w:val="bottom"/>
          </w:tcPr>
          <w:p>
            <w:pPr>
              <w:spacing w:after="0"/>
              <w:rPr>
                <w:sz w:val="15"/>
                <w:szCs w:val="15"/>
                <w:color w:val="auto"/>
              </w:rPr>
            </w:pPr>
          </w:p>
        </w:tc>
        <w:tc>
          <w:tcPr>
            <w:tcW w:w="1600" w:type="dxa"/>
            <w:vAlign w:val="bottom"/>
          </w:tcPr>
          <w:p>
            <w:pPr>
              <w:ind w:left="60"/>
              <w:spacing w:after="0"/>
              <w:rPr>
                <w:sz w:val="20"/>
                <w:szCs w:val="20"/>
                <w:color w:val="auto"/>
              </w:rPr>
            </w:pPr>
            <w:r>
              <w:rPr>
                <w:rFonts w:ascii="Arial" w:cs="Arial" w:eastAsia="Arial" w:hAnsi="Arial"/>
                <w:sz w:val="13"/>
                <w:szCs w:val="13"/>
                <w:color w:val="auto"/>
                <w:w w:val="89"/>
              </w:rPr>
              <w:t>Los Angeles-Long Beach, CA</w:t>
            </w:r>
          </w:p>
        </w:tc>
        <w:tc>
          <w:tcPr>
            <w:tcW w:w="68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5,860</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24,000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80" w:type="dxa"/>
            <w:vAlign w:val="bottom"/>
          </w:tcPr>
          <w:p>
            <w:pPr>
              <w:spacing w:after="0"/>
              <w:rPr>
                <w:sz w:val="15"/>
                <w:szCs w:val="15"/>
                <w:color w:val="auto"/>
              </w:rPr>
            </w:pP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80" w:type="dxa"/>
            <w:vAlign w:val="bottom"/>
          </w:tcPr>
          <w:p>
            <w:pPr>
              <w:spacing w:after="0"/>
              <w:rPr>
                <w:sz w:val="3"/>
                <w:szCs w:val="3"/>
                <w:color w:val="auto"/>
              </w:rPr>
            </w:pPr>
          </w:p>
        </w:tc>
      </w:tr>
      <w:tr>
        <w:trPr>
          <w:trHeight w:val="196"/>
        </w:trPr>
        <w:tc>
          <w:tcPr>
            <w:tcW w:w="1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Hollywood Blvd</w:t>
            </w:r>
          </w:p>
        </w:tc>
        <w:tc>
          <w:tcPr>
            <w:tcW w:w="46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3"/>
                <w:szCs w:val="13"/>
                <w:color w:val="auto"/>
                <w:w w:val="87"/>
              </w:rPr>
              <w:t>(3)</w:t>
            </w:r>
          </w:p>
        </w:tc>
        <w:tc>
          <w:tcPr>
            <w:tcW w:w="1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w w:val="89"/>
              </w:rPr>
              <w:t>Los Angeles-Long Beach, CA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44,083</w:t>
            </w:r>
          </w:p>
        </w:tc>
        <w:tc>
          <w:tcPr>
            <w:tcW w:w="6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155,000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15,000</w:t>
            </w:r>
          </w:p>
        </w:tc>
        <w:tc>
          <w:tcPr>
            <w:tcW w:w="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w w:val="94"/>
              </w:rPr>
              <w:t>Fresh &amp; Easy</w:t>
            </w:r>
          </w:p>
        </w:tc>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DSW / L.A. Fitness</w:t>
            </w:r>
          </w:p>
        </w:tc>
      </w:tr>
      <w:tr>
        <w:trPr>
          <w:trHeight w:val="148"/>
        </w:trPr>
        <w:tc>
          <w:tcPr>
            <w:tcW w:w="15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Kings Court</w:t>
            </w:r>
          </w:p>
        </w:tc>
        <w:tc>
          <w:tcPr>
            <w:tcW w:w="460" w:type="dxa"/>
            <w:vAlign w:val="bottom"/>
          </w:tcPr>
          <w:p>
            <w:pPr>
              <w:jc w:val="center"/>
              <w:ind w:left="17"/>
              <w:spacing w:after="0" w:line="148" w:lineRule="exact"/>
              <w:rPr>
                <w:sz w:val="20"/>
                <w:szCs w:val="20"/>
                <w:color w:val="auto"/>
              </w:rPr>
            </w:pPr>
            <w:r>
              <w:rPr>
                <w:rFonts w:ascii="Arial" w:cs="Arial" w:eastAsia="Arial" w:hAnsi="Arial"/>
                <w:sz w:val="13"/>
                <w:szCs w:val="13"/>
                <w:color w:val="auto"/>
                <w:w w:val="87"/>
              </w:rPr>
              <w:t>(5)</w:t>
            </w:r>
          </w:p>
        </w:tc>
        <w:tc>
          <w:tcPr>
            <w:tcW w:w="1600" w:type="dxa"/>
            <w:vAlign w:val="bottom"/>
          </w:tcPr>
          <w:p>
            <w:pPr>
              <w:ind w:left="60"/>
              <w:spacing w:after="0" w:line="148" w:lineRule="exact"/>
              <w:rPr>
                <w:sz w:val="20"/>
                <w:szCs w:val="20"/>
                <w:color w:val="auto"/>
              </w:rPr>
            </w:pPr>
            <w:r>
              <w:rPr>
                <w:rFonts w:ascii="Arial" w:cs="Arial" w:eastAsia="Arial" w:hAnsi="Arial"/>
                <w:sz w:val="13"/>
                <w:szCs w:val="13"/>
                <w:color w:val="auto"/>
              </w:rPr>
              <w:t>San Jose, CA</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1998</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11,594</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80,000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25,000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Lunardi's</w:t>
            </w: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3"/>
                <w:szCs w:val="13"/>
                <w:color w:val="auto"/>
                <w:w w:val="94"/>
              </w:rPr>
              <w:t>Super Market</w:t>
            </w:r>
          </w:p>
        </w:tc>
        <w:tc>
          <w:tcPr>
            <w:tcW w:w="3280" w:type="dxa"/>
            <w:vAlign w:val="bottom"/>
          </w:tcPr>
          <w:p>
            <w:pPr>
              <w:spacing w:after="0"/>
              <w:rPr>
                <w:sz w:val="14"/>
                <w:szCs w:val="14"/>
                <w:color w:val="auto"/>
              </w:rPr>
            </w:pPr>
          </w:p>
        </w:tc>
      </w:tr>
      <w:tr>
        <w:trPr>
          <w:trHeight w:val="204"/>
        </w:trPr>
        <w:tc>
          <w:tcPr>
            <w:tcW w:w="1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Old Town Center</w:t>
            </w:r>
          </w:p>
        </w:tc>
        <w:tc>
          <w:tcPr>
            <w:tcW w:w="46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San Jose, CA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37,595</w:t>
            </w:r>
          </w:p>
        </w:tc>
        <w:tc>
          <w:tcPr>
            <w:tcW w:w="6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96,000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Anthropologie / Banana Republic / Gap</w:t>
            </w:r>
          </w:p>
        </w:tc>
      </w:tr>
      <w:tr>
        <w:trPr>
          <w:trHeight w:val="148"/>
        </w:trPr>
        <w:tc>
          <w:tcPr>
            <w:tcW w:w="15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Plaza El Segundo</w:t>
            </w:r>
          </w:p>
        </w:tc>
        <w:tc>
          <w:tcPr>
            <w:tcW w:w="460" w:type="dxa"/>
            <w:vAlign w:val="bottom"/>
          </w:tcPr>
          <w:p>
            <w:pPr>
              <w:jc w:val="center"/>
              <w:ind w:left="17"/>
              <w:spacing w:after="0" w:line="148" w:lineRule="exact"/>
              <w:rPr>
                <w:sz w:val="20"/>
                <w:szCs w:val="20"/>
                <w:color w:val="auto"/>
              </w:rPr>
            </w:pPr>
            <w:r>
              <w:rPr>
                <w:rFonts w:ascii="Arial" w:cs="Arial" w:eastAsia="Arial" w:hAnsi="Arial"/>
                <w:sz w:val="13"/>
                <w:szCs w:val="13"/>
                <w:color w:val="auto"/>
                <w:w w:val="94"/>
              </w:rPr>
              <w:t>(3)(7)</w:t>
            </w:r>
          </w:p>
        </w:tc>
        <w:tc>
          <w:tcPr>
            <w:tcW w:w="1600" w:type="dxa"/>
            <w:vAlign w:val="bottom"/>
          </w:tcPr>
          <w:p>
            <w:pPr>
              <w:ind w:left="60"/>
              <w:spacing w:after="0" w:line="148" w:lineRule="exact"/>
              <w:rPr>
                <w:sz w:val="20"/>
                <w:szCs w:val="20"/>
                <w:color w:val="auto"/>
              </w:rPr>
            </w:pPr>
            <w:r>
              <w:rPr>
                <w:rFonts w:ascii="Arial" w:cs="Arial" w:eastAsia="Arial" w:hAnsi="Arial"/>
                <w:sz w:val="13"/>
                <w:szCs w:val="13"/>
                <w:color w:val="auto"/>
                <w:w w:val="89"/>
              </w:rPr>
              <w:t>Los Angeles-Long Beach, CA</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2011</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237,294</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175,000</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381,000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66,000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w w:val="96"/>
              </w:rPr>
              <w:t>Whole Foods</w:t>
            </w: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w w:val="94"/>
              </w:rPr>
              <w:t>Anthropologie / Best Buy / Container Store / Dick's Sporting</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ind w:left="40"/>
              <w:spacing w:after="0"/>
              <w:rPr>
                <w:sz w:val="20"/>
                <w:szCs w:val="20"/>
                <w:color w:val="auto"/>
              </w:rPr>
            </w:pPr>
            <w:r>
              <w:rPr>
                <w:rFonts w:ascii="Arial" w:cs="Arial" w:eastAsia="Arial" w:hAnsi="Arial"/>
                <w:sz w:val="13"/>
                <w:szCs w:val="13"/>
                <w:color w:val="auto"/>
              </w:rPr>
              <w:t>Goods / H&amp;M / HomeGoods</w:t>
            </w:r>
          </w:p>
        </w:tc>
      </w:tr>
      <w:tr>
        <w:trPr>
          <w:trHeight w:val="156"/>
        </w:trPr>
        <w:tc>
          <w:tcPr>
            <w:tcW w:w="15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Santana Row</w:t>
            </w:r>
          </w:p>
        </w:tc>
        <w:tc>
          <w:tcPr>
            <w:tcW w:w="460" w:type="dxa"/>
            <w:vAlign w:val="bottom"/>
            <w:shd w:val="clear" w:color="auto" w:fill="CCEEFF"/>
          </w:tcPr>
          <w:p>
            <w:pPr>
              <w:spacing w:after="0"/>
              <w:rPr>
                <w:sz w:val="13"/>
                <w:szCs w:val="13"/>
                <w:color w:val="auto"/>
              </w:rPr>
            </w:pPr>
          </w:p>
        </w:tc>
        <w:tc>
          <w:tcPr>
            <w:tcW w:w="1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San Jose,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687,882</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0"/>
              </w:rPr>
              <w:t>Crate &amp; Barrel / Container Store / Best Buy / CineArts Theatre</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 Hotel Valencia / H&amp;M</w:t>
            </w:r>
          </w:p>
        </w:tc>
      </w:tr>
      <w:tr>
        <w:trPr>
          <w:trHeight w:val="173"/>
        </w:trPr>
        <w:tc>
          <w:tcPr>
            <w:tcW w:w="1520" w:type="dxa"/>
            <w:vAlign w:val="bottom"/>
            <w:gridSpan w:val="4"/>
          </w:tcPr>
          <w:p>
            <w:pPr>
              <w:ind w:left="40"/>
              <w:spacing w:after="0"/>
              <w:rPr>
                <w:sz w:val="20"/>
                <w:szCs w:val="20"/>
                <w:color w:val="auto"/>
              </w:rPr>
            </w:pPr>
            <w:r>
              <w:rPr>
                <w:rFonts w:ascii="Arial" w:cs="Arial" w:eastAsia="Arial" w:hAnsi="Arial"/>
                <w:sz w:val="13"/>
                <w:szCs w:val="13"/>
                <w:color w:val="auto"/>
              </w:rPr>
              <w:t>Third St Promenade</w:t>
            </w:r>
          </w:p>
        </w:tc>
        <w:tc>
          <w:tcPr>
            <w:tcW w:w="460" w:type="dxa"/>
            <w:vAlign w:val="bottom"/>
          </w:tcPr>
          <w:p>
            <w:pPr>
              <w:spacing w:after="0"/>
              <w:rPr>
                <w:sz w:val="15"/>
                <w:szCs w:val="15"/>
                <w:color w:val="auto"/>
              </w:rPr>
            </w:pPr>
          </w:p>
        </w:tc>
        <w:tc>
          <w:tcPr>
            <w:tcW w:w="1600" w:type="dxa"/>
            <w:vAlign w:val="bottom"/>
          </w:tcPr>
          <w:p>
            <w:pPr>
              <w:ind w:left="60"/>
              <w:spacing w:after="0"/>
              <w:rPr>
                <w:sz w:val="20"/>
                <w:szCs w:val="20"/>
                <w:color w:val="auto"/>
              </w:rPr>
            </w:pPr>
            <w:r>
              <w:rPr>
                <w:rFonts w:ascii="Arial" w:cs="Arial" w:eastAsia="Arial" w:hAnsi="Arial"/>
                <w:sz w:val="13"/>
                <w:szCs w:val="13"/>
                <w:color w:val="auto"/>
                <w:w w:val="89"/>
              </w:rPr>
              <w:t>Los Angeles-Long Beach, CA</w:t>
            </w:r>
          </w:p>
        </w:tc>
        <w:tc>
          <w:tcPr>
            <w:tcW w:w="680" w:type="dxa"/>
            <w:vAlign w:val="bottom"/>
          </w:tcPr>
          <w:p>
            <w:pPr>
              <w:jc w:val="right"/>
              <w:spacing w:after="0"/>
              <w:rPr>
                <w:sz w:val="20"/>
                <w:szCs w:val="20"/>
                <w:color w:val="auto"/>
              </w:rPr>
            </w:pPr>
            <w:r>
              <w:rPr>
                <w:rFonts w:ascii="Arial" w:cs="Arial" w:eastAsia="Arial" w:hAnsi="Arial"/>
                <w:sz w:val="13"/>
                <w:szCs w:val="13"/>
                <w:color w:val="auto"/>
              </w:rPr>
              <w:t>1996-2000</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78,293</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209,000</w:t>
            </w: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80" w:type="dxa"/>
            <w:vAlign w:val="bottom"/>
          </w:tcPr>
          <w:p>
            <w:pPr>
              <w:ind w:left="40"/>
              <w:spacing w:after="0"/>
              <w:rPr>
                <w:sz w:val="20"/>
                <w:szCs w:val="20"/>
                <w:color w:val="auto"/>
              </w:rPr>
            </w:pPr>
            <w:r>
              <w:rPr>
                <w:rFonts w:ascii="Arial" w:cs="Arial" w:eastAsia="Arial" w:hAnsi="Arial"/>
                <w:sz w:val="13"/>
                <w:szCs w:val="13"/>
                <w:color w:val="auto"/>
                <w:w w:val="92"/>
              </w:rPr>
              <w:t>J. Crew / Banana Republic / Old Navy / Abercrombie &amp; Fitch</w:t>
            </w: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80" w:type="dxa"/>
            <w:vAlign w:val="bottom"/>
          </w:tcPr>
          <w:p>
            <w:pPr>
              <w:spacing w:after="0"/>
              <w:rPr>
                <w:sz w:val="3"/>
                <w:szCs w:val="3"/>
                <w:color w:val="auto"/>
              </w:rPr>
            </w:pPr>
          </w:p>
        </w:tc>
      </w:tr>
      <w:tr>
        <w:trPr>
          <w:trHeight w:val="148"/>
        </w:trPr>
        <w:tc>
          <w:tcPr>
            <w:tcW w:w="152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Westgate Center</w:t>
            </w:r>
          </w:p>
        </w:tc>
        <w:tc>
          <w:tcPr>
            <w:tcW w:w="460" w:type="dxa"/>
            <w:vAlign w:val="bottom"/>
            <w:shd w:val="clear" w:color="auto" w:fill="CCEEFF"/>
          </w:tcPr>
          <w:p>
            <w:pPr>
              <w:spacing w:after="0"/>
              <w:rPr>
                <w:sz w:val="12"/>
                <w:szCs w:val="12"/>
                <w:color w:val="auto"/>
              </w:rPr>
            </w:pPr>
          </w:p>
        </w:tc>
        <w:tc>
          <w:tcPr>
            <w:tcW w:w="1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San Jose, CA</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2004</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135,358</w:t>
            </w: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636,000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38,000</w:t>
            </w:r>
          </w:p>
        </w:tc>
        <w:tc>
          <w:tcPr>
            <w:tcW w:w="84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Walmart</w:t>
            </w:r>
          </w:p>
        </w:tc>
        <w:tc>
          <w:tcPr>
            <w:tcW w:w="32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9"/>
              </w:rPr>
              <w:t>Target / Burlington Coat Factory / Ross Dress For Less /</w:t>
            </w:r>
          </w:p>
        </w:tc>
      </w:tr>
      <w:tr>
        <w:trPr>
          <w:trHeight w:val="135"/>
        </w:trPr>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90"/>
              </w:rPr>
              <w:t>Neighborhood</w:t>
            </w:r>
          </w:p>
        </w:tc>
        <w:tc>
          <w:tcPr>
            <w:tcW w:w="328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Michaels / Nordstrom Rack / Nike Factory</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w:t>
            </w:r>
          </w:p>
        </w:tc>
        <w:tc>
          <w:tcPr>
            <w:tcW w:w="3280" w:type="dxa"/>
            <w:vAlign w:val="bottom"/>
            <w:shd w:val="clear" w:color="auto" w:fill="CCEEFF"/>
          </w:tcPr>
          <w:p>
            <w:pPr>
              <w:spacing w:after="0"/>
              <w:rPr>
                <w:sz w:val="15"/>
                <w:szCs w:val="15"/>
                <w:color w:val="auto"/>
              </w:rPr>
            </w:pPr>
          </w:p>
        </w:tc>
      </w:tr>
      <w:tr>
        <w:trPr>
          <w:trHeight w:val="173"/>
        </w:trPr>
        <w:tc>
          <w:tcPr>
            <w:tcW w:w="1520" w:type="dxa"/>
            <w:vAlign w:val="bottom"/>
            <w:gridSpan w:val="4"/>
          </w:tcPr>
          <w:p>
            <w:pPr>
              <w:ind w:left="40"/>
              <w:spacing w:after="0"/>
              <w:rPr>
                <w:sz w:val="20"/>
                <w:szCs w:val="20"/>
                <w:color w:val="auto"/>
              </w:rPr>
            </w:pPr>
            <w:r>
              <w:rPr>
                <w:rFonts w:ascii="Arial" w:cs="Arial" w:eastAsia="Arial" w:hAnsi="Arial"/>
                <w:sz w:val="13"/>
                <w:szCs w:val="13"/>
                <w:color w:val="auto"/>
              </w:rPr>
              <w:t>150 Post Street</w:t>
            </w:r>
          </w:p>
        </w:tc>
        <w:tc>
          <w:tcPr>
            <w:tcW w:w="460" w:type="dxa"/>
            <w:vAlign w:val="bottom"/>
          </w:tcPr>
          <w:p>
            <w:pPr>
              <w:spacing w:after="0"/>
              <w:rPr>
                <w:sz w:val="15"/>
                <w:szCs w:val="15"/>
                <w:color w:val="auto"/>
              </w:rPr>
            </w:pPr>
          </w:p>
        </w:tc>
        <w:tc>
          <w:tcPr>
            <w:tcW w:w="1600" w:type="dxa"/>
            <w:vAlign w:val="bottom"/>
          </w:tcPr>
          <w:p>
            <w:pPr>
              <w:ind w:left="60"/>
              <w:spacing w:after="0"/>
              <w:rPr>
                <w:sz w:val="20"/>
                <w:szCs w:val="20"/>
                <w:color w:val="auto"/>
              </w:rPr>
            </w:pPr>
            <w:r>
              <w:rPr>
                <w:rFonts w:ascii="Arial" w:cs="Arial" w:eastAsia="Arial" w:hAnsi="Arial"/>
                <w:sz w:val="13"/>
                <w:szCs w:val="13"/>
                <w:color w:val="auto"/>
              </w:rPr>
              <w:t>San Francisco, CA</w:t>
            </w:r>
          </w:p>
        </w:tc>
        <w:tc>
          <w:tcPr>
            <w:tcW w:w="680" w:type="dxa"/>
            <w:vAlign w:val="bottom"/>
          </w:tcPr>
          <w:p>
            <w:pPr>
              <w:jc w:val="right"/>
              <w:ind w:right="337"/>
              <w:spacing w:after="0"/>
              <w:rPr>
                <w:sz w:val="20"/>
                <w:szCs w:val="20"/>
                <w:color w:val="auto"/>
              </w:rPr>
            </w:pPr>
            <w:r>
              <w:rPr>
                <w:rFonts w:ascii="Arial" w:cs="Arial" w:eastAsia="Arial" w:hAnsi="Arial"/>
                <w:sz w:val="13"/>
                <w:szCs w:val="13"/>
                <w:color w:val="auto"/>
                <w:w w:val="89"/>
              </w:rPr>
              <w:t>1997</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37,107</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103,000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80" w:type="dxa"/>
            <w:vAlign w:val="bottom"/>
          </w:tcPr>
          <w:p>
            <w:pPr>
              <w:ind w:left="40"/>
              <w:spacing w:after="0"/>
              <w:rPr>
                <w:sz w:val="20"/>
                <w:szCs w:val="20"/>
                <w:color w:val="auto"/>
              </w:rPr>
            </w:pPr>
            <w:r>
              <w:rPr>
                <w:rFonts w:ascii="Arial" w:cs="Arial" w:eastAsia="Arial" w:hAnsi="Arial"/>
                <w:sz w:val="13"/>
                <w:szCs w:val="13"/>
                <w:color w:val="auto"/>
              </w:rPr>
              <w:t>Brooks Brothers / H&amp;M</w:t>
            </w:r>
          </w:p>
        </w:tc>
      </w:tr>
      <w:tr>
        <w:trPr>
          <w:trHeight w:val="97"/>
        </w:trPr>
        <w:tc>
          <w:tcPr>
            <w:tcW w:w="40" w:type="dxa"/>
            <w:vAlign w:val="bottom"/>
            <w:tcBorders>
              <w:bottom w:val="single" w:sz="8" w:color="CCEEFF"/>
            </w:tcBorders>
          </w:tcPr>
          <w:p>
            <w:pPr>
              <w:spacing w:after="0"/>
              <w:rPr>
                <w:sz w:val="8"/>
                <w:szCs w:val="8"/>
                <w:color w:val="auto"/>
              </w:rPr>
            </w:pPr>
          </w:p>
        </w:tc>
        <w:tc>
          <w:tcPr>
            <w:tcW w:w="780" w:type="dxa"/>
            <w:vAlign w:val="bottom"/>
            <w:tcBorders>
              <w:bottom w:val="single" w:sz="8" w:color="CCEEFF"/>
            </w:tcBorders>
          </w:tcPr>
          <w:p>
            <w:pPr>
              <w:spacing w:after="0"/>
              <w:rPr>
                <w:sz w:val="8"/>
                <w:szCs w:val="8"/>
                <w:color w:val="auto"/>
              </w:rPr>
            </w:pPr>
          </w:p>
        </w:tc>
        <w:tc>
          <w:tcPr>
            <w:tcW w:w="540" w:type="dxa"/>
            <w:vAlign w:val="bottom"/>
            <w:tcBorders>
              <w:bottom w:val="single" w:sz="8" w:color="CCEEFF"/>
            </w:tcBorders>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460" w:type="dxa"/>
            <w:vAlign w:val="bottom"/>
            <w:tcBorders>
              <w:bottom w:val="single" w:sz="8" w:color="CCEEFF"/>
            </w:tcBorders>
          </w:tcPr>
          <w:p>
            <w:pPr>
              <w:spacing w:after="0"/>
              <w:rPr>
                <w:sz w:val="8"/>
                <w:szCs w:val="8"/>
                <w:color w:val="auto"/>
              </w:rPr>
            </w:pPr>
          </w:p>
        </w:tc>
        <w:tc>
          <w:tcPr>
            <w:tcW w:w="1600" w:type="dxa"/>
            <w:vAlign w:val="bottom"/>
            <w:tcBorders>
              <w:bottom w:val="single" w:sz="8" w:color="CCEEFF"/>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840" w:type="dxa"/>
            <w:vAlign w:val="bottom"/>
            <w:tcBorders>
              <w:bottom w:val="single" w:sz="8" w:color="CCEEFF"/>
            </w:tcBorders>
          </w:tcPr>
          <w:p>
            <w:pPr>
              <w:spacing w:after="0"/>
              <w:rPr>
                <w:sz w:val="8"/>
                <w:szCs w:val="8"/>
                <w:color w:val="auto"/>
              </w:rPr>
            </w:pPr>
          </w:p>
        </w:tc>
        <w:tc>
          <w:tcPr>
            <w:tcW w:w="3280" w:type="dxa"/>
            <w:vAlign w:val="bottom"/>
            <w:tcBorders>
              <w:bottom w:val="single" w:sz="8" w:color="CCEEFF"/>
            </w:tcBorders>
          </w:tcPr>
          <w:p>
            <w:pPr>
              <w:spacing w:after="0"/>
              <w:rPr>
                <w:sz w:val="8"/>
                <w:szCs w:val="8"/>
                <w:color w:val="auto"/>
              </w:rPr>
            </w:pPr>
          </w:p>
        </w:tc>
      </w:tr>
      <w:tr>
        <w:trPr>
          <w:trHeight w:val="167"/>
        </w:trPr>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Total California</w:t>
            </w:r>
          </w:p>
        </w:tc>
        <w:tc>
          <w:tcPr>
            <w:tcW w:w="6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1,593,206</w:t>
            </w:r>
          </w:p>
        </w:tc>
        <w:tc>
          <w:tcPr>
            <w:tcW w:w="6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9"/>
              </w:rPr>
              <w:t>3,379,000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328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480" w:type="dxa"/>
            <w:vAlign w:val="bottom"/>
            <w:gridSpan w:val="3"/>
          </w:tcPr>
          <w:p>
            <w:pPr>
              <w:ind w:left="60"/>
              <w:spacing w:after="0"/>
              <w:rPr>
                <w:sz w:val="20"/>
                <w:szCs w:val="20"/>
                <w:color w:val="auto"/>
              </w:rPr>
            </w:pPr>
            <w:r>
              <w:rPr>
                <w:rFonts w:ascii="Arial" w:cs="Arial" w:eastAsia="Arial" w:hAnsi="Arial"/>
                <w:sz w:val="13"/>
                <w:szCs w:val="13"/>
                <w:b w:val="1"/>
                <w:bCs w:val="1"/>
                <w:color w:val="auto"/>
              </w:rPr>
              <w:t>NY Metro / New Jersey</w:t>
            </w:r>
          </w:p>
        </w:tc>
        <w:tc>
          <w:tcPr>
            <w:tcW w:w="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8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80" w:type="dxa"/>
            <w:vAlign w:val="bottom"/>
          </w:tcPr>
          <w:p>
            <w:pPr>
              <w:spacing w:after="0"/>
              <w:rPr>
                <w:sz w:val="8"/>
                <w:szCs w:val="8"/>
                <w:color w:val="auto"/>
              </w:rPr>
            </w:pPr>
          </w:p>
        </w:tc>
      </w:tr>
      <w:tr>
        <w:trPr>
          <w:trHeight w:val="196"/>
        </w:trPr>
        <w:tc>
          <w:tcPr>
            <w:tcW w:w="1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Brick Plaza</w:t>
            </w:r>
          </w:p>
        </w:tc>
        <w:tc>
          <w:tcPr>
            <w:tcW w:w="46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Monmouth-Ocean, NJ</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1989</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59,743</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26,842</w:t>
            </w: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416,000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66,000</w:t>
            </w:r>
          </w:p>
        </w:tc>
        <w:tc>
          <w:tcPr>
            <w:tcW w:w="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A&amp;P</w:t>
            </w:r>
          </w:p>
        </w:tc>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AMC Loews / Barnes &amp; Noble / Sports Authority</w:t>
            </w:r>
          </w:p>
        </w:tc>
      </w:tr>
      <w:tr>
        <w:trPr>
          <w:trHeight w:val="148"/>
        </w:trPr>
        <w:tc>
          <w:tcPr>
            <w:tcW w:w="15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Brook 35</w:t>
            </w:r>
          </w:p>
        </w:tc>
        <w:tc>
          <w:tcPr>
            <w:tcW w:w="460" w:type="dxa"/>
            <w:vAlign w:val="bottom"/>
          </w:tcPr>
          <w:p>
            <w:pPr>
              <w:jc w:val="center"/>
              <w:ind w:left="17"/>
              <w:spacing w:after="0" w:line="148" w:lineRule="exact"/>
              <w:rPr>
                <w:sz w:val="20"/>
                <w:szCs w:val="20"/>
                <w:color w:val="auto"/>
              </w:rPr>
            </w:pPr>
            <w:r>
              <w:rPr>
                <w:rFonts w:ascii="Arial" w:cs="Arial" w:eastAsia="Arial" w:hAnsi="Arial"/>
                <w:sz w:val="13"/>
                <w:szCs w:val="13"/>
                <w:color w:val="auto"/>
                <w:w w:val="87"/>
              </w:rPr>
              <w:t>(5)</w:t>
            </w:r>
          </w:p>
        </w:tc>
        <w:tc>
          <w:tcPr>
            <w:tcW w:w="1600" w:type="dxa"/>
            <w:vAlign w:val="bottom"/>
          </w:tcPr>
          <w:p>
            <w:pPr>
              <w:ind w:left="60"/>
              <w:spacing w:after="0" w:line="148" w:lineRule="exact"/>
              <w:rPr>
                <w:sz w:val="20"/>
                <w:szCs w:val="20"/>
                <w:color w:val="auto"/>
              </w:rPr>
            </w:pPr>
            <w:r>
              <w:rPr>
                <w:rFonts w:ascii="Arial" w:cs="Arial" w:eastAsia="Arial" w:hAnsi="Arial"/>
                <w:sz w:val="13"/>
                <w:szCs w:val="13"/>
                <w:color w:val="auto"/>
              </w:rPr>
              <w:t>New York-Northern New</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2014</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45,546</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11,500</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98,000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w w:val="96"/>
              </w:rPr>
              <w:t>Ann Taylor / Banana Republic / Coach / Williams-Sonoma</w:t>
            </w: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0" w:type="dxa"/>
            <w:vAlign w:val="bottom"/>
          </w:tcPr>
          <w:p>
            <w:pPr>
              <w:ind w:left="60"/>
              <w:spacing w:after="0" w:line="135" w:lineRule="exact"/>
              <w:rPr>
                <w:sz w:val="20"/>
                <w:szCs w:val="20"/>
                <w:color w:val="auto"/>
              </w:rPr>
            </w:pPr>
            <w:r>
              <w:rPr>
                <w:rFonts w:ascii="Arial" w:cs="Arial" w:eastAsia="Arial" w:hAnsi="Arial"/>
                <w:sz w:val="13"/>
                <w:szCs w:val="13"/>
                <w:color w:val="auto"/>
                <w:w w:val="95"/>
              </w:rPr>
              <w:t>Jersey-Long Island, NY-NJ-</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8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tcPr>
          <w:p>
            <w:pPr>
              <w:ind w:left="60"/>
              <w:spacing w:after="0"/>
              <w:rPr>
                <w:sz w:val="20"/>
                <w:szCs w:val="20"/>
                <w:color w:val="auto"/>
              </w:rPr>
            </w:pPr>
            <w:r>
              <w:rPr>
                <w:rFonts w:ascii="Arial" w:cs="Arial" w:eastAsia="Arial" w:hAnsi="Arial"/>
                <w:sz w:val="13"/>
                <w:szCs w:val="13"/>
                <w:color w:val="auto"/>
              </w:rPr>
              <w:t>PA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156"/>
        </w:trPr>
        <w:tc>
          <w:tcPr>
            <w:tcW w:w="15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Darien</w:t>
            </w:r>
          </w:p>
        </w:tc>
        <w:tc>
          <w:tcPr>
            <w:tcW w:w="460" w:type="dxa"/>
            <w:vAlign w:val="bottom"/>
            <w:shd w:val="clear" w:color="auto" w:fill="CCEEFF"/>
          </w:tcPr>
          <w:p>
            <w:pPr>
              <w:spacing w:after="0"/>
              <w:rPr>
                <w:sz w:val="13"/>
                <w:szCs w:val="13"/>
                <w:color w:val="auto"/>
              </w:rPr>
            </w:pPr>
          </w:p>
        </w:tc>
        <w:tc>
          <w:tcPr>
            <w:tcW w:w="1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New Haven-Bridgeport-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2013</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48,127</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45,000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Stop &amp; Shop</w:t>
            </w: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Equinox</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Stamford-Waterbury</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r>
      <w:tr>
        <w:trPr>
          <w:trHeight w:val="173"/>
        </w:trPr>
        <w:tc>
          <w:tcPr>
            <w:tcW w:w="1520" w:type="dxa"/>
            <w:vAlign w:val="bottom"/>
            <w:gridSpan w:val="4"/>
          </w:tcPr>
          <w:p>
            <w:pPr>
              <w:ind w:left="40"/>
              <w:spacing w:after="0"/>
              <w:rPr>
                <w:sz w:val="20"/>
                <w:szCs w:val="20"/>
                <w:color w:val="auto"/>
              </w:rPr>
            </w:pPr>
            <w:r>
              <w:rPr>
                <w:rFonts w:ascii="Arial" w:cs="Arial" w:eastAsia="Arial" w:hAnsi="Arial"/>
                <w:sz w:val="13"/>
                <w:szCs w:val="13"/>
                <w:color w:val="auto"/>
              </w:rPr>
              <w:t>Fresh Meadows</w:t>
            </w:r>
          </w:p>
        </w:tc>
        <w:tc>
          <w:tcPr>
            <w:tcW w:w="460" w:type="dxa"/>
            <w:vAlign w:val="bottom"/>
          </w:tcPr>
          <w:p>
            <w:pPr>
              <w:spacing w:after="0"/>
              <w:rPr>
                <w:sz w:val="15"/>
                <w:szCs w:val="15"/>
                <w:color w:val="auto"/>
              </w:rPr>
            </w:pPr>
          </w:p>
        </w:tc>
        <w:tc>
          <w:tcPr>
            <w:tcW w:w="1600" w:type="dxa"/>
            <w:vAlign w:val="bottom"/>
          </w:tcPr>
          <w:p>
            <w:pPr>
              <w:ind w:left="60"/>
              <w:spacing w:after="0"/>
              <w:rPr>
                <w:sz w:val="20"/>
                <w:szCs w:val="20"/>
                <w:color w:val="auto"/>
              </w:rPr>
            </w:pPr>
            <w:r>
              <w:rPr>
                <w:rFonts w:ascii="Arial" w:cs="Arial" w:eastAsia="Arial" w:hAnsi="Arial"/>
                <w:sz w:val="13"/>
                <w:szCs w:val="13"/>
                <w:color w:val="auto"/>
              </w:rPr>
              <w:t>New York, NY</w:t>
            </w:r>
          </w:p>
        </w:tc>
        <w:tc>
          <w:tcPr>
            <w:tcW w:w="68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79,600</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404,000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ind w:left="60"/>
              <w:spacing w:after="0"/>
              <w:rPr>
                <w:sz w:val="20"/>
                <w:szCs w:val="20"/>
                <w:color w:val="auto"/>
              </w:rPr>
            </w:pPr>
            <w:r>
              <w:rPr>
                <w:rFonts w:ascii="Arial" w:cs="Arial" w:eastAsia="Arial" w:hAnsi="Arial"/>
                <w:sz w:val="13"/>
                <w:szCs w:val="13"/>
                <w:color w:val="auto"/>
              </w:rPr>
              <w:t>15,000</w:t>
            </w:r>
          </w:p>
        </w:tc>
        <w:tc>
          <w:tcPr>
            <w:tcW w:w="840" w:type="dxa"/>
            <w:vAlign w:val="bottom"/>
          </w:tcPr>
          <w:p>
            <w:pPr>
              <w:ind w:left="80"/>
              <w:spacing w:after="0"/>
              <w:rPr>
                <w:sz w:val="20"/>
                <w:szCs w:val="20"/>
                <w:color w:val="auto"/>
              </w:rPr>
            </w:pPr>
            <w:r>
              <w:rPr>
                <w:rFonts w:ascii="Arial" w:cs="Arial" w:eastAsia="Arial" w:hAnsi="Arial"/>
                <w:sz w:val="13"/>
                <w:szCs w:val="13"/>
                <w:color w:val="auto"/>
                <w:w w:val="92"/>
              </w:rPr>
              <w:t>Island of Gold</w:t>
            </w:r>
          </w:p>
        </w:tc>
        <w:tc>
          <w:tcPr>
            <w:tcW w:w="3280" w:type="dxa"/>
            <w:vAlign w:val="bottom"/>
          </w:tcPr>
          <w:p>
            <w:pPr>
              <w:ind w:left="40"/>
              <w:spacing w:after="0"/>
              <w:rPr>
                <w:sz w:val="20"/>
                <w:szCs w:val="20"/>
                <w:color w:val="auto"/>
              </w:rPr>
            </w:pPr>
            <w:r>
              <w:rPr>
                <w:rFonts w:ascii="Arial" w:cs="Arial" w:eastAsia="Arial" w:hAnsi="Arial"/>
                <w:sz w:val="13"/>
                <w:szCs w:val="13"/>
                <w:color w:val="auto"/>
              </w:rPr>
              <w:t>AMC Loews / Kohl's / Michaels / Modell's</w:t>
            </w: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80" w:type="dxa"/>
            <w:vAlign w:val="bottom"/>
          </w:tcPr>
          <w:p>
            <w:pPr>
              <w:spacing w:after="0"/>
              <w:rPr>
                <w:sz w:val="3"/>
                <w:szCs w:val="3"/>
                <w:color w:val="auto"/>
              </w:rPr>
            </w:pPr>
          </w:p>
        </w:tc>
      </w:tr>
      <w:tr>
        <w:trPr>
          <w:trHeight w:val="148"/>
        </w:trPr>
        <w:tc>
          <w:tcPr>
            <w:tcW w:w="152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Greenwich Avenue</w:t>
            </w:r>
          </w:p>
        </w:tc>
        <w:tc>
          <w:tcPr>
            <w:tcW w:w="460" w:type="dxa"/>
            <w:vAlign w:val="bottom"/>
            <w:shd w:val="clear" w:color="auto" w:fill="CCEEFF"/>
          </w:tcPr>
          <w:p>
            <w:pPr>
              <w:spacing w:after="0"/>
              <w:rPr>
                <w:sz w:val="12"/>
                <w:szCs w:val="12"/>
                <w:color w:val="auto"/>
              </w:rPr>
            </w:pPr>
          </w:p>
        </w:tc>
        <w:tc>
          <w:tcPr>
            <w:tcW w:w="1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New Haven-Bridgeport-</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1995</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13,969</w:t>
            </w: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36,000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Saks Fifth Avenue</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Stamford-Waterbury</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r>
      <w:tr>
        <w:trPr>
          <w:trHeight w:val="173"/>
        </w:trPr>
        <w:tc>
          <w:tcPr>
            <w:tcW w:w="1520" w:type="dxa"/>
            <w:vAlign w:val="bottom"/>
            <w:gridSpan w:val="4"/>
          </w:tcPr>
          <w:p>
            <w:pPr>
              <w:ind w:left="40"/>
              <w:spacing w:after="0"/>
              <w:rPr>
                <w:sz w:val="20"/>
                <w:szCs w:val="20"/>
                <w:color w:val="auto"/>
              </w:rPr>
            </w:pPr>
            <w:r>
              <w:rPr>
                <w:rFonts w:ascii="Arial" w:cs="Arial" w:eastAsia="Arial" w:hAnsi="Arial"/>
                <w:sz w:val="13"/>
                <w:szCs w:val="13"/>
                <w:color w:val="auto"/>
              </w:rPr>
              <w:t>Hauppauge</w:t>
            </w:r>
          </w:p>
        </w:tc>
        <w:tc>
          <w:tcPr>
            <w:tcW w:w="460" w:type="dxa"/>
            <w:vAlign w:val="bottom"/>
          </w:tcPr>
          <w:p>
            <w:pPr>
              <w:spacing w:after="0"/>
              <w:rPr>
                <w:sz w:val="15"/>
                <w:szCs w:val="15"/>
                <w:color w:val="auto"/>
              </w:rPr>
            </w:pPr>
          </w:p>
        </w:tc>
        <w:tc>
          <w:tcPr>
            <w:tcW w:w="1600" w:type="dxa"/>
            <w:vAlign w:val="bottom"/>
          </w:tcPr>
          <w:p>
            <w:pPr>
              <w:ind w:left="60"/>
              <w:spacing w:after="0"/>
              <w:rPr>
                <w:sz w:val="20"/>
                <w:szCs w:val="20"/>
                <w:color w:val="auto"/>
              </w:rPr>
            </w:pPr>
            <w:r>
              <w:rPr>
                <w:rFonts w:ascii="Arial" w:cs="Arial" w:eastAsia="Arial" w:hAnsi="Arial"/>
                <w:sz w:val="13"/>
                <w:szCs w:val="13"/>
                <w:color w:val="auto"/>
              </w:rPr>
              <w:t>Nassau-Suffolk, NY</w:t>
            </w:r>
          </w:p>
        </w:tc>
        <w:tc>
          <w:tcPr>
            <w:tcW w:w="680" w:type="dxa"/>
            <w:vAlign w:val="bottom"/>
          </w:tcPr>
          <w:p>
            <w:pPr>
              <w:jc w:val="right"/>
              <w:spacing w:after="0"/>
              <w:rPr>
                <w:sz w:val="20"/>
                <w:szCs w:val="20"/>
                <w:color w:val="auto"/>
              </w:rPr>
            </w:pPr>
            <w:r>
              <w:rPr>
                <w:rFonts w:ascii="Arial" w:cs="Arial" w:eastAsia="Arial" w:hAnsi="Arial"/>
                <w:sz w:val="13"/>
                <w:szCs w:val="13"/>
                <w:color w:val="auto"/>
              </w:rPr>
              <w:t>1998</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28,076</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13,774</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134,000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ind w:left="60"/>
              <w:spacing w:after="0"/>
              <w:rPr>
                <w:sz w:val="20"/>
                <w:szCs w:val="20"/>
                <w:color w:val="auto"/>
              </w:rPr>
            </w:pPr>
            <w:r>
              <w:rPr>
                <w:rFonts w:ascii="Arial" w:cs="Arial" w:eastAsia="Arial" w:hAnsi="Arial"/>
                <w:sz w:val="13"/>
                <w:szCs w:val="13"/>
                <w:color w:val="auto"/>
              </w:rPr>
              <w:t>61,000</w:t>
            </w:r>
          </w:p>
        </w:tc>
        <w:tc>
          <w:tcPr>
            <w:tcW w:w="840" w:type="dxa"/>
            <w:vAlign w:val="bottom"/>
          </w:tcPr>
          <w:p>
            <w:pPr>
              <w:ind w:left="80"/>
              <w:spacing w:after="0"/>
              <w:rPr>
                <w:sz w:val="20"/>
                <w:szCs w:val="20"/>
                <w:color w:val="auto"/>
              </w:rPr>
            </w:pPr>
            <w:r>
              <w:rPr>
                <w:rFonts w:ascii="Arial" w:cs="Arial" w:eastAsia="Arial" w:hAnsi="Arial"/>
                <w:sz w:val="13"/>
                <w:szCs w:val="13"/>
                <w:color w:val="auto"/>
              </w:rPr>
              <w:t>Shop Rite</w:t>
            </w:r>
          </w:p>
        </w:tc>
        <w:tc>
          <w:tcPr>
            <w:tcW w:w="3280" w:type="dxa"/>
            <w:vAlign w:val="bottom"/>
          </w:tcPr>
          <w:p>
            <w:pPr>
              <w:ind w:left="40"/>
              <w:spacing w:after="0"/>
              <w:rPr>
                <w:sz w:val="20"/>
                <w:szCs w:val="20"/>
                <w:color w:val="auto"/>
              </w:rPr>
            </w:pPr>
            <w:r>
              <w:rPr>
                <w:rFonts w:ascii="Arial" w:cs="Arial" w:eastAsia="Arial" w:hAnsi="Arial"/>
                <w:sz w:val="13"/>
                <w:szCs w:val="13"/>
                <w:color w:val="auto"/>
              </w:rPr>
              <w:t>AC Moore</w:t>
            </w: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80" w:type="dxa"/>
            <w:vAlign w:val="bottom"/>
          </w:tcPr>
          <w:p>
            <w:pPr>
              <w:spacing w:after="0"/>
              <w:rPr>
                <w:sz w:val="3"/>
                <w:szCs w:val="3"/>
                <w:color w:val="auto"/>
              </w:rPr>
            </w:pPr>
          </w:p>
        </w:tc>
      </w:tr>
      <w:tr>
        <w:trPr>
          <w:trHeight w:val="148"/>
        </w:trPr>
        <w:tc>
          <w:tcPr>
            <w:tcW w:w="152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Huntington</w:t>
            </w:r>
          </w:p>
        </w:tc>
        <w:tc>
          <w:tcPr>
            <w:tcW w:w="460" w:type="dxa"/>
            <w:vAlign w:val="bottom"/>
            <w:shd w:val="clear" w:color="auto" w:fill="CCEEFF"/>
          </w:tcPr>
          <w:p>
            <w:pPr>
              <w:spacing w:after="0"/>
              <w:rPr>
                <w:sz w:val="12"/>
                <w:szCs w:val="12"/>
                <w:color w:val="auto"/>
              </w:rPr>
            </w:pPr>
          </w:p>
        </w:tc>
        <w:tc>
          <w:tcPr>
            <w:tcW w:w="1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Nassau-Suffolk, NY</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1988/2007</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43,758</w:t>
            </w: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279,000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3"/>
              </w:rPr>
              <w:t>Buy Buy Baby / Bed, Bath &amp; Beyond / Michaels / Nordstrom</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Rack</w:t>
            </w:r>
          </w:p>
        </w:tc>
      </w:tr>
      <w:tr>
        <w:trPr>
          <w:trHeight w:val="173"/>
        </w:trPr>
        <w:tc>
          <w:tcPr>
            <w:tcW w:w="1520" w:type="dxa"/>
            <w:vAlign w:val="bottom"/>
            <w:gridSpan w:val="4"/>
          </w:tcPr>
          <w:p>
            <w:pPr>
              <w:ind w:left="40"/>
              <w:spacing w:after="0"/>
              <w:rPr>
                <w:sz w:val="20"/>
                <w:szCs w:val="20"/>
                <w:color w:val="auto"/>
              </w:rPr>
            </w:pPr>
            <w:r>
              <w:rPr>
                <w:rFonts w:ascii="Arial" w:cs="Arial" w:eastAsia="Arial" w:hAnsi="Arial"/>
                <w:sz w:val="13"/>
                <w:szCs w:val="13"/>
                <w:color w:val="auto"/>
              </w:rPr>
              <w:t>Huntington Square</w:t>
            </w:r>
          </w:p>
        </w:tc>
        <w:tc>
          <w:tcPr>
            <w:tcW w:w="460" w:type="dxa"/>
            <w:vAlign w:val="bottom"/>
          </w:tcPr>
          <w:p>
            <w:pPr>
              <w:spacing w:after="0"/>
              <w:rPr>
                <w:sz w:val="15"/>
                <w:szCs w:val="15"/>
                <w:color w:val="auto"/>
              </w:rPr>
            </w:pPr>
          </w:p>
        </w:tc>
        <w:tc>
          <w:tcPr>
            <w:tcW w:w="1600" w:type="dxa"/>
            <w:vAlign w:val="bottom"/>
          </w:tcPr>
          <w:p>
            <w:pPr>
              <w:ind w:left="60"/>
              <w:spacing w:after="0"/>
              <w:rPr>
                <w:sz w:val="20"/>
                <w:szCs w:val="20"/>
                <w:color w:val="auto"/>
              </w:rPr>
            </w:pPr>
            <w:r>
              <w:rPr>
                <w:rFonts w:ascii="Arial" w:cs="Arial" w:eastAsia="Arial" w:hAnsi="Arial"/>
                <w:sz w:val="13"/>
                <w:szCs w:val="13"/>
                <w:color w:val="auto"/>
              </w:rPr>
              <w:t>Nassau-Suffolk, NY</w:t>
            </w:r>
          </w:p>
        </w:tc>
        <w:tc>
          <w:tcPr>
            <w:tcW w:w="680" w:type="dxa"/>
            <w:vAlign w:val="bottom"/>
          </w:tcPr>
          <w:p>
            <w:pPr>
              <w:jc w:val="right"/>
              <w:spacing w:after="0"/>
              <w:rPr>
                <w:sz w:val="20"/>
                <w:szCs w:val="20"/>
                <w:color w:val="auto"/>
              </w:rPr>
            </w:pPr>
            <w:r>
              <w:rPr>
                <w:rFonts w:ascii="Arial" w:cs="Arial" w:eastAsia="Arial" w:hAnsi="Arial"/>
                <w:sz w:val="13"/>
                <w:szCs w:val="13"/>
                <w:color w:val="auto"/>
              </w:rPr>
              <w:t>2010</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11,979</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74,000</w:t>
            </w:r>
          </w:p>
        </w:tc>
        <w:tc>
          <w:tcPr>
            <w:tcW w:w="500" w:type="dxa"/>
            <w:vAlign w:val="bottom"/>
          </w:tcPr>
          <w:p>
            <w:pPr>
              <w:jc w:val="right"/>
              <w:spacing w:after="0"/>
              <w:rPr>
                <w:sz w:val="20"/>
                <w:szCs w:val="20"/>
                <w:color w:val="auto"/>
              </w:rPr>
            </w:pPr>
            <w:r>
              <w:rPr>
                <w:rFonts w:ascii="Arial" w:cs="Arial" w:eastAsia="Arial" w:hAnsi="Arial"/>
                <w:sz w:val="13"/>
                <w:szCs w:val="13"/>
                <w:color w:val="auto"/>
              </w:rPr>
              <w:t>93%</w:t>
            </w: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80" w:type="dxa"/>
            <w:vAlign w:val="bottom"/>
          </w:tcPr>
          <w:p>
            <w:pPr>
              <w:ind w:left="40"/>
              <w:spacing w:after="0"/>
              <w:rPr>
                <w:sz w:val="20"/>
                <w:szCs w:val="20"/>
                <w:color w:val="auto"/>
              </w:rPr>
            </w:pPr>
            <w:r>
              <w:rPr>
                <w:rFonts w:ascii="Arial" w:cs="Arial" w:eastAsia="Arial" w:hAnsi="Arial"/>
                <w:sz w:val="13"/>
                <w:szCs w:val="13"/>
                <w:color w:val="auto"/>
              </w:rPr>
              <w:t>Barnes &amp; Noble</w:t>
            </w:r>
          </w:p>
        </w:tc>
      </w:tr>
      <w:tr>
        <w:trPr>
          <w:trHeight w:val="97"/>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80" w:type="dxa"/>
            <w:vAlign w:val="bottom"/>
          </w:tcPr>
          <w:p>
            <w:pPr>
              <w:spacing w:after="0"/>
              <w:rPr>
                <w:sz w:val="8"/>
                <w:szCs w:val="8"/>
                <w:color w:val="auto"/>
              </w:rPr>
            </w:pPr>
          </w:p>
        </w:tc>
      </w:tr>
      <w:tr>
        <w:trPr>
          <w:trHeight w:val="196"/>
        </w:trPr>
        <w:tc>
          <w:tcPr>
            <w:tcW w:w="1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Melville Mall</w:t>
            </w:r>
          </w:p>
        </w:tc>
        <w:tc>
          <w:tcPr>
            <w:tcW w:w="46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3"/>
                <w:szCs w:val="13"/>
                <w:color w:val="auto"/>
                <w:w w:val="87"/>
              </w:rPr>
              <w:t>(8)</w:t>
            </w:r>
          </w:p>
        </w:tc>
        <w:tc>
          <w:tcPr>
            <w:tcW w:w="1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Nassau-Suffolk, NY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69,569</w:t>
            </w:r>
          </w:p>
        </w:tc>
        <w:tc>
          <w:tcPr>
            <w:tcW w:w="6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246,000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54,000</w:t>
            </w:r>
          </w:p>
        </w:tc>
        <w:tc>
          <w:tcPr>
            <w:tcW w:w="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Waldbaum's</w:t>
            </w:r>
          </w:p>
        </w:tc>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Dick’s Sporting Goods / Marshalls</w:t>
            </w:r>
          </w:p>
        </w:tc>
      </w:tr>
      <w:tr>
        <w:trPr>
          <w:trHeight w:val="173"/>
        </w:trPr>
        <w:tc>
          <w:tcPr>
            <w:tcW w:w="1520" w:type="dxa"/>
            <w:vAlign w:val="bottom"/>
            <w:gridSpan w:val="4"/>
          </w:tcPr>
          <w:p>
            <w:pPr>
              <w:ind w:left="40"/>
              <w:spacing w:after="0"/>
              <w:rPr>
                <w:sz w:val="20"/>
                <w:szCs w:val="20"/>
                <w:color w:val="auto"/>
              </w:rPr>
            </w:pPr>
            <w:r>
              <w:rPr>
                <w:rFonts w:ascii="Arial" w:cs="Arial" w:eastAsia="Arial" w:hAnsi="Arial"/>
                <w:sz w:val="13"/>
                <w:szCs w:val="13"/>
                <w:color w:val="auto"/>
              </w:rPr>
              <w:t>Mercer Mall</w:t>
            </w:r>
          </w:p>
        </w:tc>
        <w:tc>
          <w:tcPr>
            <w:tcW w:w="460" w:type="dxa"/>
            <w:vAlign w:val="bottom"/>
          </w:tcPr>
          <w:p>
            <w:pPr>
              <w:jc w:val="center"/>
              <w:ind w:left="17"/>
              <w:spacing w:after="0"/>
              <w:rPr>
                <w:sz w:val="20"/>
                <w:szCs w:val="20"/>
                <w:color w:val="auto"/>
              </w:rPr>
            </w:pPr>
            <w:r>
              <w:rPr>
                <w:rFonts w:ascii="Arial" w:cs="Arial" w:eastAsia="Arial" w:hAnsi="Arial"/>
                <w:sz w:val="13"/>
                <w:szCs w:val="13"/>
                <w:color w:val="auto"/>
                <w:w w:val="87"/>
              </w:rPr>
              <w:t>(6)</w:t>
            </w:r>
          </w:p>
        </w:tc>
        <w:tc>
          <w:tcPr>
            <w:tcW w:w="1600" w:type="dxa"/>
            <w:vAlign w:val="bottom"/>
          </w:tcPr>
          <w:p>
            <w:pPr>
              <w:ind w:left="60"/>
              <w:spacing w:after="0"/>
              <w:rPr>
                <w:sz w:val="20"/>
                <w:szCs w:val="20"/>
                <w:color w:val="auto"/>
              </w:rPr>
            </w:pPr>
            <w:r>
              <w:rPr>
                <w:rFonts w:ascii="Arial" w:cs="Arial" w:eastAsia="Arial" w:hAnsi="Arial"/>
                <w:sz w:val="13"/>
                <w:szCs w:val="13"/>
                <w:color w:val="auto"/>
              </w:rPr>
              <w:t>Trenton, NJ</w:t>
            </w:r>
          </w:p>
        </w:tc>
        <w:tc>
          <w:tcPr>
            <w:tcW w:w="680" w:type="dxa"/>
            <w:vAlign w:val="bottom"/>
          </w:tcPr>
          <w:p>
            <w:pPr>
              <w:jc w:val="right"/>
              <w:spacing w:after="0"/>
              <w:rPr>
                <w:sz w:val="20"/>
                <w:szCs w:val="20"/>
                <w:color w:val="auto"/>
              </w:rPr>
            </w:pPr>
            <w:r>
              <w:rPr>
                <w:rFonts w:ascii="Arial" w:cs="Arial" w:eastAsia="Arial" w:hAnsi="Arial"/>
                <w:sz w:val="13"/>
                <w:szCs w:val="13"/>
                <w:color w:val="auto"/>
              </w:rPr>
              <w:t>2003</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111,047</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55,768</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502,000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ind w:left="60"/>
              <w:spacing w:after="0"/>
              <w:rPr>
                <w:sz w:val="20"/>
                <w:szCs w:val="20"/>
                <w:color w:val="auto"/>
              </w:rPr>
            </w:pPr>
            <w:r>
              <w:rPr>
                <w:rFonts w:ascii="Arial" w:cs="Arial" w:eastAsia="Arial" w:hAnsi="Arial"/>
                <w:sz w:val="13"/>
                <w:szCs w:val="13"/>
                <w:color w:val="auto"/>
              </w:rPr>
              <w:t>75,000</w:t>
            </w:r>
          </w:p>
        </w:tc>
        <w:tc>
          <w:tcPr>
            <w:tcW w:w="840" w:type="dxa"/>
            <w:vAlign w:val="bottom"/>
          </w:tcPr>
          <w:p>
            <w:pPr>
              <w:ind w:left="80"/>
              <w:spacing w:after="0"/>
              <w:rPr>
                <w:sz w:val="20"/>
                <w:szCs w:val="20"/>
                <w:color w:val="auto"/>
              </w:rPr>
            </w:pPr>
            <w:r>
              <w:rPr>
                <w:rFonts w:ascii="Arial" w:cs="Arial" w:eastAsia="Arial" w:hAnsi="Arial"/>
                <w:sz w:val="13"/>
                <w:szCs w:val="13"/>
                <w:color w:val="auto"/>
              </w:rPr>
              <w:t>Shop Rite</w:t>
            </w:r>
          </w:p>
        </w:tc>
        <w:tc>
          <w:tcPr>
            <w:tcW w:w="3280" w:type="dxa"/>
            <w:vAlign w:val="bottom"/>
          </w:tcPr>
          <w:p>
            <w:pPr>
              <w:ind w:left="40"/>
              <w:spacing w:after="0"/>
              <w:rPr>
                <w:sz w:val="20"/>
                <w:szCs w:val="20"/>
                <w:color w:val="auto"/>
              </w:rPr>
            </w:pPr>
            <w:r>
              <w:rPr>
                <w:rFonts w:ascii="Arial" w:cs="Arial" w:eastAsia="Arial" w:hAnsi="Arial"/>
                <w:sz w:val="13"/>
                <w:szCs w:val="13"/>
                <w:color w:val="auto"/>
                <w:w w:val="92"/>
              </w:rPr>
              <w:t>Bed, Bath &amp; Beyond / DSW / TJ Maxx / Raymour &amp; Flanigan</w:t>
            </w: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80" w:type="dxa"/>
            <w:vAlign w:val="bottom"/>
          </w:tcPr>
          <w:p>
            <w:pPr>
              <w:spacing w:after="0"/>
              <w:rPr>
                <w:sz w:val="3"/>
                <w:szCs w:val="3"/>
                <w:color w:val="auto"/>
              </w:rPr>
            </w:pPr>
          </w:p>
        </w:tc>
      </w:tr>
      <w:tr>
        <w:trPr>
          <w:trHeight w:val="148"/>
        </w:trPr>
        <w:tc>
          <w:tcPr>
            <w:tcW w:w="152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w w:val="98"/>
              </w:rPr>
              <w:t>The Grove at Shrewsbury</w:t>
            </w:r>
          </w:p>
        </w:tc>
        <w:tc>
          <w:tcPr>
            <w:tcW w:w="460" w:type="dxa"/>
            <w:vAlign w:val="bottom"/>
            <w:shd w:val="clear" w:color="auto" w:fill="CCEEFF"/>
          </w:tcPr>
          <w:p>
            <w:pPr>
              <w:jc w:val="center"/>
              <w:ind w:left="17"/>
              <w:spacing w:after="0" w:line="148" w:lineRule="exact"/>
              <w:rPr>
                <w:sz w:val="20"/>
                <w:szCs w:val="20"/>
                <w:color w:val="auto"/>
              </w:rPr>
            </w:pPr>
            <w:r>
              <w:rPr>
                <w:rFonts w:ascii="Arial" w:cs="Arial" w:eastAsia="Arial" w:hAnsi="Arial"/>
                <w:sz w:val="13"/>
                <w:szCs w:val="13"/>
                <w:color w:val="auto"/>
                <w:w w:val="87"/>
              </w:rPr>
              <w:t>(5)</w:t>
            </w:r>
          </w:p>
        </w:tc>
        <w:tc>
          <w:tcPr>
            <w:tcW w:w="1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New York-Northern New</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2014</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119,965</w:t>
            </w:r>
          </w:p>
        </w:tc>
        <w:tc>
          <w:tcPr>
            <w:tcW w:w="6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56,326</w:t>
            </w: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188,000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3"/>
              </w:rPr>
              <w:t>Lululemon / Brooks Brothers / Anthropologie / Pottery Barn /</w:t>
            </w:r>
          </w:p>
        </w:tc>
      </w:tr>
      <w:tr>
        <w:trPr>
          <w:trHeight w:val="135"/>
        </w:trPr>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w w:val="95"/>
              </w:rPr>
              <w:t>Jersey-Long Island, NY-NJ-</w:t>
            </w: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28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J. Crew / Banana Republic / Williams-Sonoma</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PA</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r>
      <w:tr>
        <w:trPr>
          <w:trHeight w:val="173"/>
        </w:trPr>
        <w:tc>
          <w:tcPr>
            <w:tcW w:w="1520" w:type="dxa"/>
            <w:vAlign w:val="bottom"/>
            <w:gridSpan w:val="4"/>
          </w:tcPr>
          <w:p>
            <w:pPr>
              <w:ind w:left="40"/>
              <w:spacing w:after="0"/>
              <w:rPr>
                <w:sz w:val="20"/>
                <w:szCs w:val="20"/>
                <w:color w:val="auto"/>
              </w:rPr>
            </w:pPr>
            <w:r>
              <w:rPr>
                <w:rFonts w:ascii="Arial" w:cs="Arial" w:eastAsia="Arial" w:hAnsi="Arial"/>
                <w:sz w:val="13"/>
                <w:szCs w:val="13"/>
                <w:color w:val="auto"/>
              </w:rPr>
              <w:t>Troy</w:t>
            </w:r>
          </w:p>
        </w:tc>
        <w:tc>
          <w:tcPr>
            <w:tcW w:w="460" w:type="dxa"/>
            <w:vAlign w:val="bottom"/>
          </w:tcPr>
          <w:p>
            <w:pPr>
              <w:spacing w:after="0"/>
              <w:rPr>
                <w:sz w:val="15"/>
                <w:szCs w:val="15"/>
                <w:color w:val="auto"/>
              </w:rPr>
            </w:pPr>
          </w:p>
        </w:tc>
        <w:tc>
          <w:tcPr>
            <w:tcW w:w="1600" w:type="dxa"/>
            <w:vAlign w:val="bottom"/>
          </w:tcPr>
          <w:p>
            <w:pPr>
              <w:ind w:left="60"/>
              <w:spacing w:after="0"/>
              <w:rPr>
                <w:sz w:val="20"/>
                <w:szCs w:val="20"/>
                <w:color w:val="auto"/>
              </w:rPr>
            </w:pPr>
            <w:r>
              <w:rPr>
                <w:rFonts w:ascii="Arial" w:cs="Arial" w:eastAsia="Arial" w:hAnsi="Arial"/>
                <w:sz w:val="13"/>
                <w:szCs w:val="13"/>
                <w:color w:val="auto"/>
              </w:rPr>
              <w:t>Newark, NJ</w:t>
            </w:r>
          </w:p>
        </w:tc>
        <w:tc>
          <w:tcPr>
            <w:tcW w:w="680" w:type="dxa"/>
            <w:vAlign w:val="bottom"/>
          </w:tcPr>
          <w:p>
            <w:pPr>
              <w:jc w:val="right"/>
              <w:spacing w:after="0"/>
              <w:rPr>
                <w:sz w:val="20"/>
                <w:szCs w:val="20"/>
                <w:color w:val="auto"/>
              </w:rPr>
            </w:pPr>
            <w:r>
              <w:rPr>
                <w:rFonts w:ascii="Arial" w:cs="Arial" w:eastAsia="Arial" w:hAnsi="Arial"/>
                <w:sz w:val="13"/>
                <w:szCs w:val="13"/>
                <w:color w:val="auto"/>
              </w:rPr>
              <w:t>1980</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30,283</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207,000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ind w:left="60"/>
              <w:spacing w:after="0"/>
              <w:rPr>
                <w:sz w:val="20"/>
                <w:szCs w:val="20"/>
                <w:color w:val="auto"/>
              </w:rPr>
            </w:pPr>
            <w:r>
              <w:rPr>
                <w:rFonts w:ascii="Arial" w:cs="Arial" w:eastAsia="Arial" w:hAnsi="Arial"/>
                <w:sz w:val="13"/>
                <w:szCs w:val="13"/>
                <w:color w:val="auto"/>
              </w:rPr>
              <w:t>64,000</w:t>
            </w:r>
          </w:p>
        </w:tc>
        <w:tc>
          <w:tcPr>
            <w:tcW w:w="840" w:type="dxa"/>
            <w:vAlign w:val="bottom"/>
          </w:tcPr>
          <w:p>
            <w:pPr>
              <w:ind w:left="80"/>
              <w:spacing w:after="0"/>
              <w:rPr>
                <w:sz w:val="20"/>
                <w:szCs w:val="20"/>
                <w:color w:val="auto"/>
              </w:rPr>
            </w:pPr>
            <w:r>
              <w:rPr>
                <w:rFonts w:ascii="Arial" w:cs="Arial" w:eastAsia="Arial" w:hAnsi="Arial"/>
                <w:sz w:val="13"/>
                <w:szCs w:val="13"/>
                <w:color w:val="auto"/>
              </w:rPr>
              <w:t>Pathmark</w:t>
            </w:r>
          </w:p>
        </w:tc>
        <w:tc>
          <w:tcPr>
            <w:tcW w:w="3280" w:type="dxa"/>
            <w:vAlign w:val="bottom"/>
          </w:tcPr>
          <w:p>
            <w:pPr>
              <w:ind w:left="40"/>
              <w:spacing w:after="0"/>
              <w:rPr>
                <w:sz w:val="20"/>
                <w:szCs w:val="20"/>
                <w:color w:val="auto"/>
              </w:rPr>
            </w:pPr>
            <w:r>
              <w:rPr>
                <w:rFonts w:ascii="Arial" w:cs="Arial" w:eastAsia="Arial" w:hAnsi="Arial"/>
                <w:sz w:val="13"/>
                <w:szCs w:val="13"/>
                <w:color w:val="auto"/>
              </w:rPr>
              <w:t>L.A. Fitness</w:t>
            </w:r>
          </w:p>
        </w:tc>
      </w:tr>
      <w:tr>
        <w:trPr>
          <w:trHeight w:val="43"/>
        </w:trPr>
        <w:tc>
          <w:tcPr>
            <w:tcW w:w="4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160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3280" w:type="dxa"/>
            <w:vAlign w:val="bottom"/>
            <w:tcBorders>
              <w:bottom w:val="single" w:sz="8" w:color="CCEEFF"/>
            </w:tcBorders>
          </w:tcPr>
          <w:p>
            <w:pPr>
              <w:spacing w:after="0"/>
              <w:rPr>
                <w:sz w:val="3"/>
                <w:szCs w:val="3"/>
                <w:color w:val="auto"/>
              </w:rPr>
            </w:pPr>
          </w:p>
        </w:tc>
      </w:tr>
      <w:tr>
        <w:trPr>
          <w:trHeight w:val="167"/>
        </w:trPr>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w w:val="91"/>
              </w:rPr>
              <w:t>Total NY Metro/New Jersey</w:t>
            </w:r>
          </w:p>
        </w:tc>
        <w:tc>
          <w:tcPr>
            <w:tcW w:w="6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661,662</w:t>
            </w:r>
          </w:p>
        </w:tc>
        <w:tc>
          <w:tcPr>
            <w:tcW w:w="6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9"/>
              </w:rPr>
              <w:t>2,679,000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328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480" w:type="dxa"/>
            <w:vAlign w:val="bottom"/>
            <w:gridSpan w:val="3"/>
          </w:tcPr>
          <w:p>
            <w:pPr>
              <w:ind w:left="60"/>
              <w:spacing w:after="0"/>
              <w:rPr>
                <w:sz w:val="20"/>
                <w:szCs w:val="20"/>
                <w:color w:val="auto"/>
              </w:rPr>
            </w:pPr>
            <w:r>
              <w:rPr>
                <w:rFonts w:ascii="Arial" w:cs="Arial" w:eastAsia="Arial" w:hAnsi="Arial"/>
                <w:sz w:val="13"/>
                <w:szCs w:val="13"/>
                <w:b w:val="1"/>
                <w:bCs w:val="1"/>
                <w:color w:val="auto"/>
              </w:rPr>
              <w:t>New England</w:t>
            </w:r>
          </w:p>
        </w:tc>
        <w:tc>
          <w:tcPr>
            <w:tcW w:w="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8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80" w:type="dxa"/>
            <w:vAlign w:val="bottom"/>
          </w:tcPr>
          <w:p>
            <w:pPr>
              <w:spacing w:after="0"/>
              <w:rPr>
                <w:sz w:val="8"/>
                <w:szCs w:val="8"/>
                <w:color w:val="auto"/>
              </w:rPr>
            </w:pPr>
          </w:p>
        </w:tc>
      </w:tr>
      <w:tr>
        <w:trPr>
          <w:trHeight w:val="148"/>
        </w:trPr>
        <w:tc>
          <w:tcPr>
            <w:tcW w:w="152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w w:val="95"/>
              </w:rPr>
              <w:t>Assembly Row / Assembly</w:t>
            </w:r>
          </w:p>
        </w:tc>
        <w:tc>
          <w:tcPr>
            <w:tcW w:w="460" w:type="dxa"/>
            <w:vAlign w:val="bottom"/>
            <w:shd w:val="clear" w:color="auto" w:fill="CCEEFF"/>
          </w:tcPr>
          <w:p>
            <w:pPr>
              <w:jc w:val="center"/>
              <w:ind w:left="17"/>
              <w:spacing w:after="0" w:line="148" w:lineRule="exact"/>
              <w:rPr>
                <w:sz w:val="20"/>
                <w:szCs w:val="20"/>
                <w:color w:val="auto"/>
              </w:rPr>
            </w:pPr>
            <w:r>
              <w:rPr>
                <w:rFonts w:ascii="Arial" w:cs="Arial" w:eastAsia="Arial" w:hAnsi="Arial"/>
                <w:sz w:val="13"/>
                <w:szCs w:val="13"/>
                <w:color w:val="auto"/>
                <w:w w:val="87"/>
              </w:rPr>
              <w:t>(4)</w:t>
            </w:r>
          </w:p>
        </w:tc>
        <w:tc>
          <w:tcPr>
            <w:tcW w:w="1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6"/>
              </w:rPr>
              <w:t>Boston-Cambridge-Quincy,</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2005-2011</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405,199</w:t>
            </w: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550,000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7"/>
              </w:rPr>
              <w:t>AMC Theatre / LEGOLAND Discovery Center / Saks Fifth</w:t>
            </w:r>
          </w:p>
        </w:tc>
      </w:tr>
      <w:tr>
        <w:trPr>
          <w:trHeight w:val="135"/>
        </w:trPr>
        <w:tc>
          <w:tcPr>
            <w:tcW w:w="1520" w:type="dxa"/>
            <w:vAlign w:val="bottom"/>
            <w:gridSpan w:val="4"/>
            <w:shd w:val="clear" w:color="auto" w:fill="CCEEFF"/>
          </w:tcPr>
          <w:p>
            <w:pPr>
              <w:ind w:left="40"/>
              <w:spacing w:after="0" w:line="135" w:lineRule="exact"/>
              <w:rPr>
                <w:sz w:val="20"/>
                <w:szCs w:val="20"/>
                <w:color w:val="auto"/>
              </w:rPr>
            </w:pPr>
            <w:r>
              <w:rPr>
                <w:rFonts w:ascii="Arial" w:cs="Arial" w:eastAsia="Arial" w:hAnsi="Arial"/>
                <w:sz w:val="13"/>
                <w:szCs w:val="13"/>
                <w:color w:val="auto"/>
              </w:rPr>
              <w:t>Square Marketplace</w:t>
            </w:r>
          </w:p>
        </w:tc>
        <w:tc>
          <w:tcPr>
            <w:tcW w:w="460" w:type="dxa"/>
            <w:vAlign w:val="bottom"/>
            <w:shd w:val="clear" w:color="auto" w:fill="CCEEFF"/>
          </w:tcPr>
          <w:p>
            <w:pPr>
              <w:spacing w:after="0"/>
              <w:rPr>
                <w:sz w:val="11"/>
                <w:szCs w:val="11"/>
                <w:color w:val="auto"/>
              </w:rPr>
            </w:pPr>
          </w:p>
        </w:tc>
        <w:tc>
          <w:tcPr>
            <w:tcW w:w="16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MA-NH</w:t>
            </w: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28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1"/>
              </w:rPr>
              <w:t>Avenue Off 5th / AC Moore / Bed, Bath &amp; Beyond / Christmas</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7"/>
              </w:rPr>
              <w:t>Tree Shops / Kmart / Staples / Sports Authority / TJ Maxx</w:t>
            </w:r>
          </w:p>
        </w:tc>
      </w:tr>
      <w:tr>
        <w:trPr>
          <w:trHeight w:val="148"/>
        </w:trPr>
        <w:tc>
          <w:tcPr>
            <w:tcW w:w="15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Chelsea Commons</w:t>
            </w:r>
          </w:p>
        </w:tc>
        <w:tc>
          <w:tcPr>
            <w:tcW w:w="460" w:type="dxa"/>
            <w:vAlign w:val="bottom"/>
          </w:tcPr>
          <w:p>
            <w:pPr>
              <w:spacing w:after="0"/>
              <w:rPr>
                <w:sz w:val="12"/>
                <w:szCs w:val="12"/>
                <w:color w:val="auto"/>
              </w:rPr>
            </w:pPr>
          </w:p>
        </w:tc>
        <w:tc>
          <w:tcPr>
            <w:tcW w:w="1600" w:type="dxa"/>
            <w:vAlign w:val="bottom"/>
          </w:tcPr>
          <w:p>
            <w:pPr>
              <w:ind w:left="60"/>
              <w:spacing w:after="0" w:line="148" w:lineRule="exact"/>
              <w:rPr>
                <w:sz w:val="20"/>
                <w:szCs w:val="20"/>
                <w:color w:val="auto"/>
              </w:rPr>
            </w:pPr>
            <w:r>
              <w:rPr>
                <w:rFonts w:ascii="Arial" w:cs="Arial" w:eastAsia="Arial" w:hAnsi="Arial"/>
                <w:sz w:val="13"/>
                <w:szCs w:val="13"/>
                <w:color w:val="auto"/>
                <w:w w:val="96"/>
              </w:rPr>
              <w:t>Boston-Cambridge-Quincy,</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2006-2008</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42,703</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7,172</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222,000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16,000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Sav-A-Lot</w:t>
            </w: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rPr>
              <w:t>Home Depot / Planet Fitness</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tcPr>
          <w:p>
            <w:pPr>
              <w:ind w:left="60"/>
              <w:spacing w:after="0"/>
              <w:rPr>
                <w:sz w:val="20"/>
                <w:szCs w:val="20"/>
                <w:color w:val="auto"/>
              </w:rPr>
            </w:pPr>
            <w:r>
              <w:rPr>
                <w:rFonts w:ascii="Arial" w:cs="Arial" w:eastAsia="Arial" w:hAnsi="Arial"/>
                <w:sz w:val="13"/>
                <w:szCs w:val="13"/>
                <w:color w:val="auto"/>
              </w:rPr>
              <w:t>MA-NH</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156"/>
        </w:trPr>
        <w:tc>
          <w:tcPr>
            <w:tcW w:w="15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Dedham Plaza</w:t>
            </w:r>
          </w:p>
        </w:tc>
        <w:tc>
          <w:tcPr>
            <w:tcW w:w="460" w:type="dxa"/>
            <w:vAlign w:val="bottom"/>
            <w:shd w:val="clear" w:color="auto" w:fill="CCEEFF"/>
          </w:tcPr>
          <w:p>
            <w:pPr>
              <w:spacing w:after="0"/>
              <w:rPr>
                <w:sz w:val="13"/>
                <w:szCs w:val="13"/>
                <w:color w:val="auto"/>
              </w:rPr>
            </w:pPr>
          </w:p>
        </w:tc>
        <w:tc>
          <w:tcPr>
            <w:tcW w:w="1600" w:type="dxa"/>
            <w:vAlign w:val="bottom"/>
            <w:shd w:val="clear" w:color="auto" w:fill="CCEEFF"/>
          </w:tcPr>
          <w:p>
            <w:pPr>
              <w:ind w:left="60"/>
              <w:spacing w:after="0"/>
              <w:rPr>
                <w:sz w:val="20"/>
                <w:szCs w:val="20"/>
                <w:color w:val="auto"/>
              </w:rPr>
            </w:pPr>
            <w:r>
              <w:rPr>
                <w:rFonts w:ascii="Arial" w:cs="Arial" w:eastAsia="Arial" w:hAnsi="Arial"/>
                <w:sz w:val="13"/>
                <w:szCs w:val="13"/>
                <w:color w:val="auto"/>
                <w:w w:val="96"/>
              </w:rPr>
              <w:t>Boston-Cambridge-Quincy,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34,618</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80,000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Star Market</w:t>
            </w:r>
          </w:p>
        </w:tc>
        <w:tc>
          <w:tcPr>
            <w:tcW w:w="328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MA-NH</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r>
      <w:tr>
        <w:trPr>
          <w:trHeight w:val="148"/>
        </w:trPr>
        <w:tc>
          <w:tcPr>
            <w:tcW w:w="15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Linden Square</w:t>
            </w:r>
          </w:p>
        </w:tc>
        <w:tc>
          <w:tcPr>
            <w:tcW w:w="460" w:type="dxa"/>
            <w:vAlign w:val="bottom"/>
          </w:tcPr>
          <w:p>
            <w:pPr>
              <w:spacing w:after="0"/>
              <w:rPr>
                <w:sz w:val="12"/>
                <w:szCs w:val="12"/>
                <w:color w:val="auto"/>
              </w:rPr>
            </w:pPr>
          </w:p>
        </w:tc>
        <w:tc>
          <w:tcPr>
            <w:tcW w:w="1600" w:type="dxa"/>
            <w:vAlign w:val="bottom"/>
          </w:tcPr>
          <w:p>
            <w:pPr>
              <w:ind w:left="60"/>
              <w:spacing w:after="0" w:line="148" w:lineRule="exact"/>
              <w:rPr>
                <w:sz w:val="20"/>
                <w:szCs w:val="20"/>
                <w:color w:val="auto"/>
              </w:rPr>
            </w:pPr>
            <w:r>
              <w:rPr>
                <w:rFonts w:ascii="Arial" w:cs="Arial" w:eastAsia="Arial" w:hAnsi="Arial"/>
                <w:sz w:val="13"/>
                <w:szCs w:val="13"/>
                <w:color w:val="auto"/>
                <w:w w:val="96"/>
              </w:rPr>
              <w:t>Boston-Cambridge-Quincy,</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2006</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146,586</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223,000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50,000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Roche Bros.</w:t>
            </w: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tcPr>
          <w:p>
            <w:pPr>
              <w:ind w:left="60"/>
              <w:spacing w:after="0"/>
              <w:rPr>
                <w:sz w:val="20"/>
                <w:szCs w:val="20"/>
                <w:color w:val="auto"/>
              </w:rPr>
            </w:pPr>
            <w:r>
              <w:rPr>
                <w:rFonts w:ascii="Arial" w:cs="Arial" w:eastAsia="Arial" w:hAnsi="Arial"/>
                <w:sz w:val="13"/>
                <w:szCs w:val="13"/>
                <w:color w:val="auto"/>
              </w:rPr>
              <w:t>MA-NH</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156"/>
        </w:trPr>
        <w:tc>
          <w:tcPr>
            <w:tcW w:w="152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North Dartmouth</w:t>
            </w:r>
          </w:p>
        </w:tc>
        <w:tc>
          <w:tcPr>
            <w:tcW w:w="460" w:type="dxa"/>
            <w:vAlign w:val="bottom"/>
            <w:shd w:val="clear" w:color="auto" w:fill="CCEEFF"/>
          </w:tcPr>
          <w:p>
            <w:pPr>
              <w:spacing w:after="0"/>
              <w:rPr>
                <w:sz w:val="13"/>
                <w:szCs w:val="13"/>
                <w:color w:val="auto"/>
              </w:rPr>
            </w:pPr>
          </w:p>
        </w:tc>
        <w:tc>
          <w:tcPr>
            <w:tcW w:w="1600" w:type="dxa"/>
            <w:vAlign w:val="bottom"/>
            <w:shd w:val="clear" w:color="auto" w:fill="CCEEFF"/>
          </w:tcPr>
          <w:p>
            <w:pPr>
              <w:ind w:left="60"/>
              <w:spacing w:after="0"/>
              <w:rPr>
                <w:sz w:val="20"/>
                <w:szCs w:val="20"/>
                <w:color w:val="auto"/>
              </w:rPr>
            </w:pPr>
            <w:r>
              <w:rPr>
                <w:rFonts w:ascii="Arial" w:cs="Arial" w:eastAsia="Arial" w:hAnsi="Arial"/>
                <w:sz w:val="13"/>
                <w:szCs w:val="13"/>
                <w:color w:val="auto"/>
                <w:w w:val="96"/>
              </w:rPr>
              <w:t>Boston-Cambridge-Quincy,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9,368</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48,000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Stop &amp; Shop</w:t>
            </w:r>
          </w:p>
        </w:tc>
        <w:tc>
          <w:tcPr>
            <w:tcW w:w="328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MA-NH</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r>
      <w:tr>
        <w:trPr>
          <w:trHeight w:val="148"/>
        </w:trPr>
        <w:tc>
          <w:tcPr>
            <w:tcW w:w="152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Queen Anne Plaza</w:t>
            </w:r>
          </w:p>
        </w:tc>
        <w:tc>
          <w:tcPr>
            <w:tcW w:w="460" w:type="dxa"/>
            <w:vAlign w:val="bottom"/>
          </w:tcPr>
          <w:p>
            <w:pPr>
              <w:spacing w:after="0"/>
              <w:rPr>
                <w:sz w:val="12"/>
                <w:szCs w:val="12"/>
                <w:color w:val="auto"/>
              </w:rPr>
            </w:pPr>
          </w:p>
        </w:tc>
        <w:tc>
          <w:tcPr>
            <w:tcW w:w="1600" w:type="dxa"/>
            <w:vAlign w:val="bottom"/>
          </w:tcPr>
          <w:p>
            <w:pPr>
              <w:ind w:left="60"/>
              <w:spacing w:after="0" w:line="148" w:lineRule="exact"/>
              <w:rPr>
                <w:sz w:val="20"/>
                <w:szCs w:val="20"/>
                <w:color w:val="auto"/>
              </w:rPr>
            </w:pPr>
            <w:r>
              <w:rPr>
                <w:rFonts w:ascii="Arial" w:cs="Arial" w:eastAsia="Arial" w:hAnsi="Arial"/>
                <w:sz w:val="13"/>
                <w:szCs w:val="13"/>
                <w:color w:val="auto"/>
                <w:w w:val="96"/>
              </w:rPr>
              <w:t>Boston-Cambridge-Quincy,</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1994</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18,058</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149,000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50,000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Hannaford</w:t>
            </w: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rPr>
              <w:t>TJ Maxx / HomeGoods</w:t>
            </w:r>
          </w:p>
        </w:tc>
      </w:tr>
      <w:tr>
        <w:trPr>
          <w:trHeight w:val="160"/>
        </w:trPr>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0" w:type="dxa"/>
            <w:vAlign w:val="bottom"/>
          </w:tcPr>
          <w:p>
            <w:pPr>
              <w:ind w:left="60"/>
              <w:spacing w:after="0"/>
              <w:rPr>
                <w:sz w:val="20"/>
                <w:szCs w:val="20"/>
                <w:color w:val="auto"/>
              </w:rPr>
            </w:pPr>
            <w:r>
              <w:rPr>
                <w:rFonts w:ascii="Arial" w:cs="Arial" w:eastAsia="Arial" w:hAnsi="Arial"/>
                <w:sz w:val="13"/>
                <w:szCs w:val="13"/>
                <w:color w:val="auto"/>
              </w:rPr>
              <w:t>MA-NH</w:t>
            </w: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80" w:type="dxa"/>
            <w:vAlign w:val="bottom"/>
          </w:tcPr>
          <w:p>
            <w:pPr>
              <w:spacing w:after="0"/>
              <w:rPr>
                <w:sz w:val="13"/>
                <w:szCs w:val="13"/>
                <w:color w:val="auto"/>
              </w:rPr>
            </w:pP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7" w:right="239" w:bottom="1440" w:gutter="0" w:footer="0" w:header="0"/>
        </w:sectPr>
      </w:pPr>
    </w:p>
    <w:bookmarkStart w:id="23" w:name="page24"/>
    <w:bookmarkEnd w:id="23"/>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2014</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2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1"/>
                <w:szCs w:val="11"/>
                <w:color w:val="auto"/>
              </w:rPr>
            </w:pPr>
          </w:p>
        </w:tc>
        <w:tc>
          <w:tcPr>
            <w:tcW w:w="32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70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720" w:type="dxa"/>
            <w:vAlign w:val="bottom"/>
          </w:tcPr>
          <w:p>
            <w:pPr>
              <w:spacing w:after="0"/>
              <w:rPr>
                <w:sz w:val="11"/>
                <w:szCs w:val="11"/>
                <w:color w:val="auto"/>
              </w:rPr>
            </w:pPr>
          </w:p>
        </w:tc>
        <w:tc>
          <w:tcPr>
            <w:tcW w:w="4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Anchor</w:t>
            </w:r>
          </w:p>
        </w:tc>
        <w:tc>
          <w:tcPr>
            <w:tcW w:w="8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220" w:type="dxa"/>
            <w:vAlign w:val="bottom"/>
          </w:tcPr>
          <w:p>
            <w:pPr>
              <w:spacing w:after="0"/>
              <w:rPr>
                <w:sz w:val="11"/>
                <w:szCs w:val="11"/>
                <w:color w:val="auto"/>
              </w:rPr>
            </w:pPr>
          </w:p>
        </w:tc>
      </w:tr>
      <w:tr>
        <w:trPr>
          <w:trHeight w:val="174"/>
        </w:trPr>
        <w:tc>
          <w:tcPr>
            <w:tcW w:w="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6"/>
          </w:tcPr>
          <w:p>
            <w:pPr>
              <w:spacing w:after="0"/>
              <w:rPr>
                <w:sz w:val="20"/>
                <w:szCs w:val="20"/>
                <w:color w:val="auto"/>
              </w:rPr>
            </w:pPr>
            <w:r>
              <w:rPr>
                <w:rFonts w:ascii="Arial" w:cs="Arial" w:eastAsia="Arial" w:hAnsi="Arial"/>
                <w:sz w:val="13"/>
                <w:szCs w:val="13"/>
                <w:b w:val="1"/>
                <w:bCs w:val="1"/>
                <w:color w:val="auto"/>
              </w:rPr>
              <w:t>Property Name</w:t>
            </w:r>
          </w:p>
        </w:tc>
        <w:tc>
          <w:tcPr>
            <w:tcW w:w="4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MSA Description</w:t>
            </w: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Acquired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GLA (2)</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Leased</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2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2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w w:val="86"/>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2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1460" w:type="dxa"/>
            <w:vAlign w:val="bottom"/>
            <w:gridSpan w:val="6"/>
            <w:shd w:val="clear" w:color="auto" w:fill="CCEEFF"/>
          </w:tcPr>
          <w:p>
            <w:pPr>
              <w:spacing w:after="0" w:line="148" w:lineRule="exact"/>
              <w:rPr>
                <w:sz w:val="20"/>
                <w:szCs w:val="20"/>
                <w:color w:val="auto"/>
              </w:rPr>
            </w:pPr>
            <w:r>
              <w:rPr>
                <w:rFonts w:ascii="Arial" w:cs="Arial" w:eastAsia="Arial" w:hAnsi="Arial"/>
                <w:sz w:val="13"/>
                <w:szCs w:val="13"/>
                <w:color w:val="auto"/>
              </w:rPr>
              <w:t>Saugus Plaza</w:t>
            </w:r>
          </w:p>
        </w:tc>
        <w:tc>
          <w:tcPr>
            <w:tcW w:w="400" w:type="dxa"/>
            <w:vAlign w:val="bottom"/>
            <w:shd w:val="clear" w:color="auto" w:fill="CCEEFF"/>
          </w:tcPr>
          <w:p>
            <w:pPr>
              <w:spacing w:after="0"/>
              <w:rPr>
                <w:sz w:val="12"/>
                <w:szCs w:val="12"/>
                <w:color w:val="auto"/>
              </w:rPr>
            </w:pPr>
          </w:p>
        </w:tc>
        <w:tc>
          <w:tcPr>
            <w:tcW w:w="160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w w:val="94"/>
              </w:rPr>
              <w:t>Boston-Cambridge-Quincy,</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1996</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14,815</w:t>
            </w: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168,000</w:t>
            </w: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55,000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3"/>
              </w:rPr>
              <w:t>Super Stop &amp;</w:t>
            </w:r>
          </w:p>
        </w:tc>
        <w:tc>
          <w:tcPr>
            <w:tcW w:w="32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Kmart</w:t>
            </w:r>
          </w:p>
        </w:tc>
      </w:tr>
      <w:tr>
        <w:trPr>
          <w:trHeight w:val="176"/>
        </w:trPr>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MA-NH</w:t>
            </w:r>
          </w:p>
        </w:tc>
        <w:tc>
          <w:tcPr>
            <w:tcW w:w="70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w:t>
            </w:r>
          </w:p>
        </w:tc>
        <w:tc>
          <w:tcPr>
            <w:tcW w:w="3220" w:type="dxa"/>
            <w:vAlign w:val="bottom"/>
            <w:shd w:val="clear" w:color="auto" w:fill="CCEEFF"/>
          </w:tcPr>
          <w:p>
            <w:pPr>
              <w:spacing w:after="0"/>
              <w:rPr>
                <w:sz w:val="15"/>
                <w:szCs w:val="15"/>
                <w:color w:val="auto"/>
              </w:rPr>
            </w:pPr>
          </w:p>
        </w:tc>
      </w:tr>
      <w:tr>
        <w:trPr>
          <w:trHeight w:val="167"/>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b w:val="1"/>
                <w:bCs w:val="1"/>
                <w:color w:val="auto"/>
              </w:rPr>
              <w:t>Total New England</w:t>
            </w:r>
          </w:p>
        </w:tc>
        <w:tc>
          <w:tcPr>
            <w:tcW w:w="70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671,347</w:t>
            </w:r>
          </w:p>
        </w:tc>
        <w:tc>
          <w:tcPr>
            <w:tcW w:w="66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1,601,000</w:t>
            </w:r>
          </w:p>
        </w:tc>
        <w:tc>
          <w:tcPr>
            <w:tcW w:w="48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2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460" w:type="dxa"/>
            <w:vAlign w:val="bottom"/>
            <w:gridSpan w:val="6"/>
            <w:shd w:val="clear" w:color="auto" w:fill="CCEEFF"/>
          </w:tcPr>
          <w:p>
            <w:pPr>
              <w:ind w:left="60"/>
              <w:spacing w:after="0"/>
              <w:rPr>
                <w:sz w:val="20"/>
                <w:szCs w:val="20"/>
                <w:color w:val="auto"/>
              </w:rPr>
            </w:pPr>
            <w:r>
              <w:rPr>
                <w:rFonts w:ascii="Arial" w:cs="Arial" w:eastAsia="Arial" w:hAnsi="Arial"/>
                <w:sz w:val="13"/>
                <w:szCs w:val="13"/>
                <w:b w:val="1"/>
                <w:bCs w:val="1"/>
                <w:color w:val="auto"/>
              </w:rPr>
              <w:t>Baltimore</w:t>
            </w:r>
          </w:p>
        </w:tc>
        <w:tc>
          <w:tcPr>
            <w:tcW w:w="4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CCEEFF"/>
            </w:tcBorders>
            <w:shd w:val="clear" w:color="auto" w:fill="CCEEFF"/>
          </w:tcPr>
          <w:p>
            <w:pPr>
              <w:spacing w:after="0"/>
              <w:rPr>
                <w:sz w:val="8"/>
                <w:szCs w:val="8"/>
                <w:color w:val="auto"/>
              </w:rPr>
            </w:pPr>
          </w:p>
        </w:tc>
        <w:tc>
          <w:tcPr>
            <w:tcW w:w="16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3220" w:type="dxa"/>
            <w:vAlign w:val="bottom"/>
            <w:tcBorders>
              <w:top w:val="single" w:sz="8" w:color="CCEEFF"/>
            </w:tcBorders>
            <w:shd w:val="clear" w:color="auto" w:fill="CCEEFF"/>
          </w:tcPr>
          <w:p>
            <w:pPr>
              <w:spacing w:after="0"/>
              <w:rPr>
                <w:sz w:val="8"/>
                <w:szCs w:val="8"/>
                <w:color w:val="auto"/>
              </w:rPr>
            </w:pPr>
          </w:p>
        </w:tc>
      </w:tr>
      <w:tr>
        <w:trPr>
          <w:trHeight w:val="173"/>
        </w:trPr>
        <w:tc>
          <w:tcPr>
            <w:tcW w:w="40" w:type="dxa"/>
            <w:vAlign w:val="bottom"/>
          </w:tcPr>
          <w:p>
            <w:pPr>
              <w:spacing w:after="0"/>
              <w:rPr>
                <w:sz w:val="15"/>
                <w:szCs w:val="15"/>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Governor Plaza</w:t>
            </w:r>
          </w:p>
        </w:tc>
        <w:tc>
          <w:tcPr>
            <w:tcW w:w="400" w:type="dxa"/>
            <w:vAlign w:val="bottom"/>
          </w:tcPr>
          <w:p>
            <w:pPr>
              <w:spacing w:after="0"/>
              <w:rPr>
                <w:sz w:val="15"/>
                <w:szCs w:val="15"/>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auto"/>
              </w:rPr>
              <w:t>Baltimore, MD</w:t>
            </w:r>
          </w:p>
        </w:tc>
        <w:tc>
          <w:tcPr>
            <w:tcW w:w="700" w:type="dxa"/>
            <w:vAlign w:val="bottom"/>
          </w:tcPr>
          <w:p>
            <w:pPr>
              <w:jc w:val="right"/>
              <w:spacing w:after="0"/>
              <w:rPr>
                <w:sz w:val="20"/>
                <w:szCs w:val="20"/>
                <w:color w:val="auto"/>
              </w:rPr>
            </w:pPr>
            <w:r>
              <w:rPr>
                <w:rFonts w:ascii="Arial" w:cs="Arial" w:eastAsia="Arial" w:hAnsi="Arial"/>
                <w:sz w:val="13"/>
                <w:szCs w:val="13"/>
                <w:color w:val="auto"/>
              </w:rPr>
              <w:t>1985</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26,393</w:t>
            </w:r>
          </w:p>
        </w:tc>
        <w:tc>
          <w:tcPr>
            <w:tcW w:w="66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242,000</w:t>
            </w:r>
          </w:p>
        </w:tc>
        <w:tc>
          <w:tcPr>
            <w:tcW w:w="480" w:type="dxa"/>
            <w:vAlign w:val="bottom"/>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ind w:left="60"/>
              <w:spacing w:after="0"/>
              <w:rPr>
                <w:sz w:val="20"/>
                <w:szCs w:val="20"/>
                <w:color w:val="auto"/>
              </w:rPr>
            </w:pPr>
            <w:r>
              <w:rPr>
                <w:rFonts w:ascii="Arial" w:cs="Arial" w:eastAsia="Arial" w:hAnsi="Arial"/>
                <w:sz w:val="13"/>
                <w:szCs w:val="13"/>
                <w:color w:val="auto"/>
              </w:rPr>
              <w:t>16,500</w:t>
            </w:r>
          </w:p>
        </w:tc>
        <w:tc>
          <w:tcPr>
            <w:tcW w:w="820" w:type="dxa"/>
            <w:vAlign w:val="bottom"/>
          </w:tcPr>
          <w:p>
            <w:pPr>
              <w:ind w:left="80"/>
              <w:spacing w:after="0"/>
              <w:rPr>
                <w:sz w:val="20"/>
                <w:szCs w:val="20"/>
                <w:color w:val="auto"/>
              </w:rPr>
            </w:pPr>
            <w:r>
              <w:rPr>
                <w:rFonts w:ascii="Arial" w:cs="Arial" w:eastAsia="Arial" w:hAnsi="Arial"/>
                <w:sz w:val="13"/>
                <w:szCs w:val="13"/>
                <w:color w:val="auto"/>
              </w:rPr>
              <w:t>Aldi</w:t>
            </w:r>
          </w:p>
        </w:tc>
        <w:tc>
          <w:tcPr>
            <w:tcW w:w="3220" w:type="dxa"/>
            <w:vAlign w:val="bottom"/>
          </w:tcPr>
          <w:p>
            <w:pPr>
              <w:ind w:left="60"/>
              <w:spacing w:after="0"/>
              <w:rPr>
                <w:sz w:val="20"/>
                <w:szCs w:val="20"/>
                <w:color w:val="auto"/>
              </w:rPr>
            </w:pPr>
            <w:r>
              <w:rPr>
                <w:rFonts w:ascii="Arial" w:cs="Arial" w:eastAsia="Arial" w:hAnsi="Arial"/>
                <w:sz w:val="13"/>
                <w:szCs w:val="13"/>
                <w:color w:val="auto"/>
              </w:rPr>
              <w:t>Dick’s Sporting Goods</w:t>
            </w:r>
          </w:p>
        </w:tc>
      </w:tr>
      <w:tr>
        <w:trPr>
          <w:trHeight w:val="43"/>
        </w:trPr>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148"/>
        </w:trPr>
        <w:tc>
          <w:tcPr>
            <w:tcW w:w="40" w:type="dxa"/>
            <w:vAlign w:val="bottom"/>
            <w:shd w:val="clear" w:color="auto" w:fill="CCEEFF"/>
          </w:tcPr>
          <w:p>
            <w:pPr>
              <w:spacing w:after="0"/>
              <w:rPr>
                <w:sz w:val="12"/>
                <w:szCs w:val="12"/>
                <w:color w:val="auto"/>
              </w:rPr>
            </w:pPr>
          </w:p>
        </w:tc>
        <w:tc>
          <w:tcPr>
            <w:tcW w:w="1460" w:type="dxa"/>
            <w:vAlign w:val="bottom"/>
            <w:gridSpan w:val="6"/>
            <w:shd w:val="clear" w:color="auto" w:fill="CCEEFF"/>
          </w:tcPr>
          <w:p>
            <w:pPr>
              <w:spacing w:after="0" w:line="148" w:lineRule="exact"/>
              <w:rPr>
                <w:sz w:val="20"/>
                <w:szCs w:val="20"/>
                <w:color w:val="auto"/>
              </w:rPr>
            </w:pPr>
            <w:r>
              <w:rPr>
                <w:rFonts w:ascii="Arial" w:cs="Arial" w:eastAsia="Arial" w:hAnsi="Arial"/>
                <w:sz w:val="13"/>
                <w:szCs w:val="13"/>
                <w:color w:val="auto"/>
              </w:rPr>
              <w:t>Perring Plaza</w:t>
            </w:r>
          </w:p>
        </w:tc>
        <w:tc>
          <w:tcPr>
            <w:tcW w:w="400" w:type="dxa"/>
            <w:vAlign w:val="bottom"/>
            <w:shd w:val="clear" w:color="auto" w:fill="CCEEFF"/>
          </w:tcPr>
          <w:p>
            <w:pPr>
              <w:spacing w:after="0"/>
              <w:rPr>
                <w:sz w:val="12"/>
                <w:szCs w:val="12"/>
                <w:color w:val="auto"/>
              </w:rPr>
            </w:pPr>
          </w:p>
        </w:tc>
        <w:tc>
          <w:tcPr>
            <w:tcW w:w="160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Baltimore, MD</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1985</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29,674</w:t>
            </w: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395,000</w:t>
            </w: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58,000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Shoppers</w:t>
            </w:r>
          </w:p>
        </w:tc>
        <w:tc>
          <w:tcPr>
            <w:tcW w:w="32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7"/>
              </w:rPr>
              <w:t>Home Depot / Burlington Coat Factory / Jo-Ann Stores /</w:t>
            </w:r>
          </w:p>
        </w:tc>
      </w:tr>
      <w:tr>
        <w:trPr>
          <w:trHeight w:val="135"/>
        </w:trPr>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Food</w:t>
            </w:r>
          </w:p>
        </w:tc>
        <w:tc>
          <w:tcPr>
            <w:tcW w:w="322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Micro Center</w:t>
            </w:r>
          </w:p>
        </w:tc>
      </w:tr>
      <w:tr>
        <w:trPr>
          <w:trHeight w:val="176"/>
        </w:trPr>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Warehouse</w:t>
            </w:r>
          </w:p>
        </w:tc>
        <w:tc>
          <w:tcPr>
            <w:tcW w:w="322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1460" w:type="dxa"/>
            <w:vAlign w:val="bottom"/>
            <w:gridSpan w:val="6"/>
          </w:tcPr>
          <w:p>
            <w:pPr>
              <w:spacing w:after="0" w:line="148" w:lineRule="exact"/>
              <w:rPr>
                <w:sz w:val="20"/>
                <w:szCs w:val="20"/>
                <w:color w:val="auto"/>
              </w:rPr>
            </w:pPr>
            <w:r>
              <w:rPr>
                <w:rFonts w:ascii="Arial" w:cs="Arial" w:eastAsia="Arial" w:hAnsi="Arial"/>
                <w:sz w:val="13"/>
                <w:szCs w:val="13"/>
                <w:color w:val="auto"/>
              </w:rPr>
              <w:t>THE AVENUE at White</w:t>
            </w:r>
          </w:p>
        </w:tc>
        <w:tc>
          <w:tcPr>
            <w:tcW w:w="400" w:type="dxa"/>
            <w:vAlign w:val="bottom"/>
          </w:tcPr>
          <w:p>
            <w:pPr>
              <w:ind w:left="180"/>
              <w:spacing w:after="0" w:line="148" w:lineRule="exact"/>
              <w:rPr>
                <w:sz w:val="20"/>
                <w:szCs w:val="20"/>
                <w:color w:val="auto"/>
              </w:rPr>
            </w:pPr>
            <w:r>
              <w:rPr>
                <w:rFonts w:ascii="Arial" w:cs="Arial" w:eastAsia="Arial" w:hAnsi="Arial"/>
                <w:sz w:val="13"/>
                <w:szCs w:val="13"/>
                <w:color w:val="auto"/>
              </w:rPr>
              <w:t>(5)</w:t>
            </w:r>
          </w:p>
        </w:tc>
        <w:tc>
          <w:tcPr>
            <w:tcW w:w="1600" w:type="dxa"/>
            <w:vAlign w:val="bottom"/>
          </w:tcPr>
          <w:p>
            <w:pPr>
              <w:ind w:left="100"/>
              <w:spacing w:after="0" w:line="148" w:lineRule="exact"/>
              <w:rPr>
                <w:sz w:val="20"/>
                <w:szCs w:val="20"/>
                <w:color w:val="auto"/>
              </w:rPr>
            </w:pPr>
            <w:r>
              <w:rPr>
                <w:rFonts w:ascii="Arial" w:cs="Arial" w:eastAsia="Arial" w:hAnsi="Arial"/>
                <w:sz w:val="13"/>
                <w:szCs w:val="13"/>
                <w:color w:val="auto"/>
              </w:rPr>
              <w:t>Baltimore, MD</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97,328</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53,418</w:t>
            </w: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298,000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20" w:type="dxa"/>
            <w:vAlign w:val="bottom"/>
          </w:tcPr>
          <w:p>
            <w:pPr>
              <w:ind w:left="60"/>
              <w:spacing w:after="0" w:line="148" w:lineRule="exact"/>
              <w:rPr>
                <w:sz w:val="20"/>
                <w:szCs w:val="20"/>
                <w:color w:val="auto"/>
              </w:rPr>
            </w:pPr>
            <w:r>
              <w:rPr>
                <w:rFonts w:ascii="Arial" w:cs="Arial" w:eastAsia="Arial" w:hAnsi="Arial"/>
                <w:sz w:val="13"/>
                <w:szCs w:val="13"/>
                <w:color w:val="auto"/>
              </w:rPr>
              <w:t>AMC Loews / Old Navy / Barnes &amp; Noble / AC Moore</w:t>
            </w:r>
          </w:p>
        </w:tc>
      </w:tr>
      <w:tr>
        <w:trPr>
          <w:trHeight w:val="168"/>
        </w:trPr>
        <w:tc>
          <w:tcPr>
            <w:tcW w:w="40" w:type="dxa"/>
            <w:vAlign w:val="bottom"/>
          </w:tcPr>
          <w:p>
            <w:pPr>
              <w:spacing w:after="0"/>
              <w:rPr>
                <w:sz w:val="14"/>
                <w:szCs w:val="14"/>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Marsh</w:t>
            </w:r>
          </w:p>
        </w:tc>
        <w:tc>
          <w:tcPr>
            <w:tcW w:w="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1460" w:type="dxa"/>
            <w:vAlign w:val="bottom"/>
            <w:gridSpan w:val="6"/>
            <w:shd w:val="clear" w:color="auto" w:fill="CCEEFF"/>
          </w:tcPr>
          <w:p>
            <w:pPr>
              <w:spacing w:after="0"/>
              <w:rPr>
                <w:sz w:val="20"/>
                <w:szCs w:val="20"/>
                <w:color w:val="auto"/>
              </w:rPr>
            </w:pPr>
            <w:r>
              <w:rPr>
                <w:rFonts w:ascii="Arial" w:cs="Arial" w:eastAsia="Arial" w:hAnsi="Arial"/>
                <w:sz w:val="13"/>
                <w:szCs w:val="13"/>
                <w:color w:val="auto"/>
                <w:w w:val="88"/>
              </w:rPr>
              <w:t>The Shoppes at Nottingham</w:t>
            </w:r>
          </w:p>
        </w:tc>
        <w:tc>
          <w:tcPr>
            <w:tcW w:w="400" w:type="dxa"/>
            <w:vAlign w:val="bottom"/>
            <w:shd w:val="clear" w:color="auto" w:fill="CCEEFF"/>
          </w:tcPr>
          <w:p>
            <w:pPr>
              <w:spacing w:after="0"/>
              <w:rPr>
                <w:sz w:val="13"/>
                <w:szCs w:val="13"/>
                <w:color w:val="auto"/>
              </w:rPr>
            </w:pPr>
          </w:p>
        </w:tc>
        <w:tc>
          <w:tcPr>
            <w:tcW w:w="1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Baltimore, MD</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17,347</w:t>
            </w:r>
          </w:p>
        </w:tc>
        <w:tc>
          <w:tcPr>
            <w:tcW w:w="6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146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Square</w:t>
            </w:r>
          </w:p>
        </w:tc>
        <w:tc>
          <w:tcPr>
            <w:tcW w:w="4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White Marsh Plaza</w:t>
            </w:r>
          </w:p>
        </w:tc>
        <w:tc>
          <w:tcPr>
            <w:tcW w:w="400" w:type="dxa"/>
            <w:vAlign w:val="bottom"/>
          </w:tcPr>
          <w:p>
            <w:pPr>
              <w:spacing w:after="0"/>
              <w:rPr>
                <w:sz w:val="15"/>
                <w:szCs w:val="15"/>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auto"/>
              </w:rPr>
              <w:t>Baltimore, MD</w:t>
            </w:r>
          </w:p>
        </w:tc>
        <w:tc>
          <w:tcPr>
            <w:tcW w:w="700" w:type="dxa"/>
            <w:vAlign w:val="bottom"/>
          </w:tcPr>
          <w:p>
            <w:pPr>
              <w:jc w:val="right"/>
              <w:spacing w:after="0"/>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25,092</w:t>
            </w:r>
          </w:p>
        </w:tc>
        <w:tc>
          <w:tcPr>
            <w:tcW w:w="66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80,000</w:t>
            </w:r>
          </w:p>
        </w:tc>
        <w:tc>
          <w:tcPr>
            <w:tcW w:w="48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ind w:left="60"/>
              <w:spacing w:after="0"/>
              <w:rPr>
                <w:sz w:val="20"/>
                <w:szCs w:val="20"/>
                <w:color w:val="auto"/>
              </w:rPr>
            </w:pPr>
            <w:r>
              <w:rPr>
                <w:rFonts w:ascii="Arial" w:cs="Arial" w:eastAsia="Arial" w:hAnsi="Arial"/>
                <w:sz w:val="13"/>
                <w:szCs w:val="13"/>
                <w:color w:val="auto"/>
              </w:rPr>
              <w:t>54,000</w:t>
            </w:r>
          </w:p>
        </w:tc>
        <w:tc>
          <w:tcPr>
            <w:tcW w:w="82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322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20" w:type="dxa"/>
            <w:vAlign w:val="bottom"/>
          </w:tcPr>
          <w:p>
            <w:pPr>
              <w:spacing w:after="0"/>
              <w:rPr>
                <w:sz w:val="8"/>
                <w:szCs w:val="8"/>
                <w:color w:val="auto"/>
              </w:rPr>
            </w:pPr>
          </w:p>
        </w:tc>
      </w:tr>
      <w:tr>
        <w:trPr>
          <w:trHeight w:val="173"/>
        </w:trPr>
        <w:tc>
          <w:tcPr>
            <w:tcW w:w="40" w:type="dxa"/>
            <w:vAlign w:val="bottom"/>
            <w:shd w:val="clear" w:color="auto" w:fill="CCEEFF"/>
          </w:tcPr>
          <w:p>
            <w:pPr>
              <w:spacing w:after="0"/>
              <w:rPr>
                <w:sz w:val="15"/>
                <w:szCs w:val="15"/>
                <w:color w:val="auto"/>
              </w:rPr>
            </w:pPr>
          </w:p>
        </w:tc>
        <w:tc>
          <w:tcPr>
            <w:tcW w:w="146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White Marsh Other</w:t>
            </w:r>
          </w:p>
        </w:tc>
        <w:tc>
          <w:tcPr>
            <w:tcW w:w="400" w:type="dxa"/>
            <w:vAlign w:val="bottom"/>
            <w:shd w:val="clear" w:color="auto" w:fill="CCEEFF"/>
          </w:tcPr>
          <w:p>
            <w:pPr>
              <w:spacing w:after="0"/>
              <w:rPr>
                <w:sz w:val="15"/>
                <w:szCs w:val="15"/>
                <w:color w:val="auto"/>
              </w:rPr>
            </w:pPr>
          </w:p>
        </w:tc>
        <w:tc>
          <w:tcPr>
            <w:tcW w:w="1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Baltimore, MD</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36,199</w:t>
            </w: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70,000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2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b w:val="1"/>
                <w:bCs w:val="1"/>
                <w:color w:val="auto"/>
              </w:rPr>
              <w:t>Total Baltimore</w:t>
            </w:r>
          </w:p>
        </w:tc>
        <w:tc>
          <w:tcPr>
            <w:tcW w:w="70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232,033</w:t>
            </w:r>
          </w:p>
        </w:tc>
        <w:tc>
          <w:tcPr>
            <w:tcW w:w="66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1,117,000</w:t>
            </w:r>
          </w:p>
        </w:tc>
        <w:tc>
          <w:tcPr>
            <w:tcW w:w="48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2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460" w:type="dxa"/>
            <w:vAlign w:val="bottom"/>
            <w:gridSpan w:val="6"/>
            <w:shd w:val="clear" w:color="auto" w:fill="CCEEFF"/>
          </w:tcPr>
          <w:p>
            <w:pPr>
              <w:ind w:left="60"/>
              <w:spacing w:after="0"/>
              <w:rPr>
                <w:sz w:val="20"/>
                <w:szCs w:val="20"/>
                <w:color w:val="auto"/>
              </w:rPr>
            </w:pPr>
            <w:r>
              <w:rPr>
                <w:rFonts w:ascii="Arial" w:cs="Arial" w:eastAsia="Arial" w:hAnsi="Arial"/>
                <w:sz w:val="13"/>
                <w:szCs w:val="13"/>
                <w:b w:val="1"/>
                <w:bCs w:val="1"/>
                <w:color w:val="auto"/>
              </w:rPr>
              <w:t>Chicago</w:t>
            </w:r>
          </w:p>
        </w:tc>
        <w:tc>
          <w:tcPr>
            <w:tcW w:w="4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CCEEFF"/>
            </w:tcBorders>
            <w:shd w:val="clear" w:color="auto" w:fill="CCEEFF"/>
          </w:tcPr>
          <w:p>
            <w:pPr>
              <w:spacing w:after="0"/>
              <w:rPr>
                <w:sz w:val="8"/>
                <w:szCs w:val="8"/>
                <w:color w:val="auto"/>
              </w:rPr>
            </w:pPr>
          </w:p>
        </w:tc>
        <w:tc>
          <w:tcPr>
            <w:tcW w:w="16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3220" w:type="dxa"/>
            <w:vAlign w:val="bottom"/>
            <w:tcBorders>
              <w:top w:val="single" w:sz="8" w:color="CCEEFF"/>
            </w:tcBorders>
            <w:shd w:val="clear" w:color="auto" w:fill="CCEEFF"/>
          </w:tcPr>
          <w:p>
            <w:pPr>
              <w:spacing w:after="0"/>
              <w:rPr>
                <w:sz w:val="8"/>
                <w:szCs w:val="8"/>
                <w:color w:val="auto"/>
              </w:rPr>
            </w:pPr>
          </w:p>
        </w:tc>
      </w:tr>
      <w:tr>
        <w:trPr>
          <w:trHeight w:val="173"/>
        </w:trPr>
        <w:tc>
          <w:tcPr>
            <w:tcW w:w="40" w:type="dxa"/>
            <w:vAlign w:val="bottom"/>
          </w:tcPr>
          <w:p>
            <w:pPr>
              <w:spacing w:after="0"/>
              <w:rPr>
                <w:sz w:val="15"/>
                <w:szCs w:val="15"/>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Crossroads</w:t>
            </w:r>
          </w:p>
        </w:tc>
        <w:tc>
          <w:tcPr>
            <w:tcW w:w="400" w:type="dxa"/>
            <w:vAlign w:val="bottom"/>
          </w:tcPr>
          <w:p>
            <w:pPr>
              <w:spacing w:after="0"/>
              <w:rPr>
                <w:sz w:val="15"/>
                <w:szCs w:val="15"/>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auto"/>
              </w:rPr>
              <w:t>Chicago, IL</w:t>
            </w:r>
          </w:p>
        </w:tc>
        <w:tc>
          <w:tcPr>
            <w:tcW w:w="700" w:type="dxa"/>
            <w:vAlign w:val="bottom"/>
          </w:tcPr>
          <w:p>
            <w:pPr>
              <w:jc w:val="right"/>
              <w:spacing w:after="0"/>
              <w:rPr>
                <w:sz w:val="20"/>
                <w:szCs w:val="20"/>
                <w:color w:val="auto"/>
              </w:rPr>
            </w:pPr>
            <w:r>
              <w:rPr>
                <w:rFonts w:ascii="Arial" w:cs="Arial" w:eastAsia="Arial" w:hAnsi="Arial"/>
                <w:sz w:val="13"/>
                <w:szCs w:val="13"/>
                <w:color w:val="auto"/>
              </w:rPr>
              <w:t>1993</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31,116</w:t>
            </w:r>
          </w:p>
        </w:tc>
        <w:tc>
          <w:tcPr>
            <w:tcW w:w="66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168,000</w:t>
            </w:r>
          </w:p>
        </w:tc>
        <w:tc>
          <w:tcPr>
            <w:tcW w:w="480" w:type="dxa"/>
            <w:vAlign w:val="bottom"/>
          </w:tcPr>
          <w:p>
            <w:pPr>
              <w:jc w:val="right"/>
              <w:spacing w:after="0"/>
              <w:rPr>
                <w:sz w:val="20"/>
                <w:szCs w:val="20"/>
                <w:color w:val="auto"/>
              </w:rPr>
            </w:pPr>
            <w:r>
              <w:rPr>
                <w:rFonts w:ascii="Arial" w:cs="Arial" w:eastAsia="Arial" w:hAnsi="Arial"/>
                <w:sz w:val="13"/>
                <w:szCs w:val="13"/>
                <w:color w:val="auto"/>
              </w:rPr>
              <w:t>93%</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20" w:type="dxa"/>
            <w:vAlign w:val="bottom"/>
          </w:tcPr>
          <w:p>
            <w:pPr>
              <w:ind w:left="60"/>
              <w:spacing w:after="0"/>
              <w:rPr>
                <w:sz w:val="20"/>
                <w:szCs w:val="20"/>
                <w:color w:val="auto"/>
              </w:rPr>
            </w:pPr>
            <w:r>
              <w:rPr>
                <w:rFonts w:ascii="Arial" w:cs="Arial" w:eastAsia="Arial" w:hAnsi="Arial"/>
                <w:sz w:val="13"/>
                <w:szCs w:val="13"/>
                <w:color w:val="auto"/>
              </w:rPr>
              <w:t>Golfsmith / Guitar Center / L.A. Fitness</w:t>
            </w:r>
          </w:p>
        </w:tc>
      </w:tr>
      <w:tr>
        <w:trPr>
          <w:trHeight w:val="97"/>
        </w:trPr>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20" w:type="dxa"/>
            <w:vAlign w:val="bottom"/>
          </w:tcPr>
          <w:p>
            <w:pPr>
              <w:spacing w:after="0"/>
              <w:rPr>
                <w:sz w:val="8"/>
                <w:szCs w:val="8"/>
                <w:color w:val="auto"/>
              </w:rPr>
            </w:pPr>
          </w:p>
        </w:tc>
      </w:tr>
      <w:tr>
        <w:trPr>
          <w:trHeight w:val="173"/>
        </w:trPr>
        <w:tc>
          <w:tcPr>
            <w:tcW w:w="40" w:type="dxa"/>
            <w:vAlign w:val="bottom"/>
            <w:shd w:val="clear" w:color="auto" w:fill="CCEEFF"/>
          </w:tcPr>
          <w:p>
            <w:pPr>
              <w:spacing w:after="0"/>
              <w:rPr>
                <w:sz w:val="15"/>
                <w:szCs w:val="15"/>
                <w:color w:val="auto"/>
              </w:rPr>
            </w:pPr>
          </w:p>
        </w:tc>
        <w:tc>
          <w:tcPr>
            <w:tcW w:w="146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Finley Square</w:t>
            </w:r>
          </w:p>
        </w:tc>
        <w:tc>
          <w:tcPr>
            <w:tcW w:w="400" w:type="dxa"/>
            <w:vAlign w:val="bottom"/>
            <w:shd w:val="clear" w:color="auto" w:fill="CCEEFF"/>
          </w:tcPr>
          <w:p>
            <w:pPr>
              <w:spacing w:after="0"/>
              <w:rPr>
                <w:sz w:val="15"/>
                <w:szCs w:val="15"/>
                <w:color w:val="auto"/>
              </w:rPr>
            </w:pPr>
          </w:p>
        </w:tc>
        <w:tc>
          <w:tcPr>
            <w:tcW w:w="1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Chicago, IL</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32,563</w:t>
            </w: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313,000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Bed, Bath &amp; Beyond / Buy Buy Baby / Petsmart</w:t>
            </w:r>
          </w:p>
        </w:tc>
      </w:tr>
      <w:tr>
        <w:trPr>
          <w:trHeight w:val="97"/>
        </w:trPr>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20" w:type="dxa"/>
            <w:vAlign w:val="bottom"/>
            <w:shd w:val="clear" w:color="auto" w:fill="CCEEFF"/>
          </w:tcPr>
          <w:p>
            <w:pPr>
              <w:spacing w:after="0"/>
              <w:rPr>
                <w:sz w:val="8"/>
                <w:szCs w:val="8"/>
                <w:color w:val="auto"/>
              </w:rPr>
            </w:pPr>
          </w:p>
        </w:tc>
      </w:tr>
      <w:tr>
        <w:trPr>
          <w:trHeight w:val="148"/>
        </w:trPr>
        <w:tc>
          <w:tcPr>
            <w:tcW w:w="40" w:type="dxa"/>
            <w:vAlign w:val="bottom"/>
          </w:tcPr>
          <w:p>
            <w:pPr>
              <w:spacing w:after="0"/>
              <w:rPr>
                <w:sz w:val="12"/>
                <w:szCs w:val="12"/>
                <w:color w:val="auto"/>
              </w:rPr>
            </w:pPr>
          </w:p>
        </w:tc>
        <w:tc>
          <w:tcPr>
            <w:tcW w:w="1460" w:type="dxa"/>
            <w:vAlign w:val="bottom"/>
            <w:gridSpan w:val="6"/>
          </w:tcPr>
          <w:p>
            <w:pPr>
              <w:spacing w:after="0" w:line="148" w:lineRule="exact"/>
              <w:rPr>
                <w:sz w:val="20"/>
                <w:szCs w:val="20"/>
                <w:color w:val="auto"/>
              </w:rPr>
            </w:pPr>
            <w:r>
              <w:rPr>
                <w:rFonts w:ascii="Arial" w:cs="Arial" w:eastAsia="Arial" w:hAnsi="Arial"/>
                <w:sz w:val="13"/>
                <w:szCs w:val="13"/>
                <w:color w:val="auto"/>
              </w:rPr>
              <w:t>Garden Market</w:t>
            </w:r>
          </w:p>
        </w:tc>
        <w:tc>
          <w:tcPr>
            <w:tcW w:w="400" w:type="dxa"/>
            <w:vAlign w:val="bottom"/>
          </w:tcPr>
          <w:p>
            <w:pPr>
              <w:spacing w:after="0"/>
              <w:rPr>
                <w:sz w:val="12"/>
                <w:szCs w:val="12"/>
                <w:color w:val="auto"/>
              </w:rPr>
            </w:pPr>
          </w:p>
        </w:tc>
        <w:tc>
          <w:tcPr>
            <w:tcW w:w="1600" w:type="dxa"/>
            <w:vAlign w:val="bottom"/>
          </w:tcPr>
          <w:p>
            <w:pPr>
              <w:ind w:left="100"/>
              <w:spacing w:after="0" w:line="148" w:lineRule="exact"/>
              <w:rPr>
                <w:sz w:val="20"/>
                <w:szCs w:val="20"/>
                <w:color w:val="auto"/>
              </w:rPr>
            </w:pPr>
            <w:r>
              <w:rPr>
                <w:rFonts w:ascii="Arial" w:cs="Arial" w:eastAsia="Arial" w:hAnsi="Arial"/>
                <w:sz w:val="13"/>
                <w:szCs w:val="13"/>
                <w:color w:val="auto"/>
              </w:rPr>
              <w:t>Chicago, IL</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1994</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12,406</w:t>
            </w:r>
          </w:p>
        </w:tc>
        <w:tc>
          <w:tcPr>
            <w:tcW w:w="660" w:type="dxa"/>
            <w:vAlign w:val="bottom"/>
          </w:tcPr>
          <w:p>
            <w:pPr>
              <w:spacing w:after="0"/>
              <w:rPr>
                <w:sz w:val="12"/>
                <w:szCs w:val="12"/>
                <w:color w:val="auto"/>
              </w:rPr>
            </w:pP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140,000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63,000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Mariano's</w:t>
            </w:r>
          </w:p>
        </w:tc>
        <w:tc>
          <w:tcPr>
            <w:tcW w:w="3220" w:type="dxa"/>
            <w:vAlign w:val="bottom"/>
          </w:tcPr>
          <w:p>
            <w:pPr>
              <w:ind w:left="60"/>
              <w:spacing w:after="0" w:line="148" w:lineRule="exact"/>
              <w:rPr>
                <w:sz w:val="20"/>
                <w:szCs w:val="20"/>
                <w:color w:val="auto"/>
              </w:rPr>
            </w:pPr>
            <w:r>
              <w:rPr>
                <w:rFonts w:ascii="Arial" w:cs="Arial" w:eastAsia="Arial" w:hAnsi="Arial"/>
                <w:sz w:val="13"/>
                <w:szCs w:val="13"/>
                <w:color w:val="auto"/>
              </w:rPr>
              <w:t>Walgreens</w:t>
            </w:r>
          </w:p>
        </w:tc>
      </w:tr>
      <w:tr>
        <w:trPr>
          <w:trHeight w:val="168"/>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w w:val="93"/>
              </w:rPr>
              <w:t>Fresh Market</w:t>
            </w:r>
          </w:p>
        </w:tc>
        <w:tc>
          <w:tcPr>
            <w:tcW w:w="3220" w:type="dxa"/>
            <w:vAlign w:val="bottom"/>
          </w:tcPr>
          <w:p>
            <w:pPr>
              <w:spacing w:after="0"/>
              <w:rPr>
                <w:sz w:val="14"/>
                <w:szCs w:val="14"/>
                <w:color w:val="auto"/>
              </w:rPr>
            </w:pPr>
          </w:p>
        </w:tc>
      </w:tr>
      <w:tr>
        <w:trPr>
          <w:trHeight w:val="181"/>
        </w:trPr>
        <w:tc>
          <w:tcPr>
            <w:tcW w:w="40" w:type="dxa"/>
            <w:vAlign w:val="bottom"/>
            <w:shd w:val="clear" w:color="auto" w:fill="CCEEFF"/>
          </w:tcPr>
          <w:p>
            <w:pPr>
              <w:spacing w:after="0"/>
              <w:rPr>
                <w:sz w:val="15"/>
                <w:szCs w:val="15"/>
                <w:color w:val="auto"/>
              </w:rPr>
            </w:pPr>
          </w:p>
        </w:tc>
        <w:tc>
          <w:tcPr>
            <w:tcW w:w="146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North Lake Commons</w:t>
            </w:r>
          </w:p>
        </w:tc>
        <w:tc>
          <w:tcPr>
            <w:tcW w:w="400" w:type="dxa"/>
            <w:vAlign w:val="bottom"/>
            <w:shd w:val="clear" w:color="auto" w:fill="CCEEFF"/>
          </w:tcPr>
          <w:p>
            <w:pPr>
              <w:spacing w:after="0"/>
              <w:rPr>
                <w:sz w:val="15"/>
                <w:szCs w:val="15"/>
                <w:color w:val="auto"/>
              </w:rPr>
            </w:pPr>
          </w:p>
        </w:tc>
        <w:tc>
          <w:tcPr>
            <w:tcW w:w="1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Chicago, IL</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16,558</w:t>
            </w: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129,000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77,000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Jewel Osco</w:t>
            </w:r>
          </w:p>
        </w:tc>
        <w:tc>
          <w:tcPr>
            <w:tcW w:w="322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2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b w:val="1"/>
                <w:bCs w:val="1"/>
                <w:color w:val="auto"/>
              </w:rPr>
              <w:t>Total Chicago</w:t>
            </w:r>
          </w:p>
        </w:tc>
        <w:tc>
          <w:tcPr>
            <w:tcW w:w="70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92,643</w:t>
            </w:r>
          </w:p>
        </w:tc>
        <w:tc>
          <w:tcPr>
            <w:tcW w:w="66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750,000</w:t>
            </w:r>
          </w:p>
        </w:tc>
        <w:tc>
          <w:tcPr>
            <w:tcW w:w="480" w:type="dxa"/>
            <w:vAlign w:val="bottom"/>
          </w:tcPr>
          <w:p>
            <w:pPr>
              <w:jc w:val="right"/>
              <w:spacing w:after="0"/>
              <w:rPr>
                <w:sz w:val="20"/>
                <w:szCs w:val="20"/>
                <w:color w:val="auto"/>
              </w:rPr>
            </w:pPr>
            <w:r>
              <w:rPr>
                <w:rFonts w:ascii="Arial" w:cs="Arial" w:eastAsia="Arial" w:hAnsi="Arial"/>
                <w:sz w:val="13"/>
                <w:szCs w:val="13"/>
                <w:color w:val="auto"/>
              </w:rPr>
              <w:t>94%</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2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460" w:type="dxa"/>
            <w:vAlign w:val="bottom"/>
            <w:gridSpan w:val="6"/>
            <w:shd w:val="clear" w:color="auto" w:fill="CCEEFF"/>
          </w:tcPr>
          <w:p>
            <w:pPr>
              <w:ind w:left="60"/>
              <w:spacing w:after="0"/>
              <w:rPr>
                <w:sz w:val="20"/>
                <w:szCs w:val="20"/>
                <w:color w:val="auto"/>
              </w:rPr>
            </w:pPr>
            <w:r>
              <w:rPr>
                <w:rFonts w:ascii="Arial" w:cs="Arial" w:eastAsia="Arial" w:hAnsi="Arial"/>
                <w:sz w:val="13"/>
                <w:szCs w:val="13"/>
                <w:b w:val="1"/>
                <w:bCs w:val="1"/>
                <w:color w:val="auto"/>
              </w:rPr>
              <w:t>South Florida</w:t>
            </w:r>
          </w:p>
        </w:tc>
        <w:tc>
          <w:tcPr>
            <w:tcW w:w="4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CCEEFF"/>
            </w:tcBorders>
            <w:shd w:val="clear" w:color="auto" w:fill="CCEEFF"/>
          </w:tcPr>
          <w:p>
            <w:pPr>
              <w:spacing w:after="0"/>
              <w:rPr>
                <w:sz w:val="8"/>
                <w:szCs w:val="8"/>
                <w:color w:val="auto"/>
              </w:rPr>
            </w:pPr>
          </w:p>
        </w:tc>
        <w:tc>
          <w:tcPr>
            <w:tcW w:w="16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3220" w:type="dxa"/>
            <w:vAlign w:val="bottom"/>
            <w:tcBorders>
              <w:top w:val="single" w:sz="8" w:color="CCEEFF"/>
            </w:tcBorders>
            <w:shd w:val="clear" w:color="auto" w:fill="CCEEFF"/>
          </w:tcPr>
          <w:p>
            <w:pPr>
              <w:spacing w:after="0"/>
              <w:rPr>
                <w:sz w:val="8"/>
                <w:szCs w:val="8"/>
                <w:color w:val="auto"/>
              </w:rPr>
            </w:pPr>
          </w:p>
        </w:tc>
      </w:tr>
      <w:tr>
        <w:trPr>
          <w:trHeight w:val="173"/>
        </w:trPr>
        <w:tc>
          <w:tcPr>
            <w:tcW w:w="40" w:type="dxa"/>
            <w:vAlign w:val="bottom"/>
          </w:tcPr>
          <w:p>
            <w:pPr>
              <w:spacing w:after="0"/>
              <w:rPr>
                <w:sz w:val="15"/>
                <w:szCs w:val="15"/>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Courtyard Shops</w:t>
            </w:r>
          </w:p>
        </w:tc>
        <w:tc>
          <w:tcPr>
            <w:tcW w:w="400" w:type="dxa"/>
            <w:vAlign w:val="bottom"/>
          </w:tcPr>
          <w:p>
            <w:pPr>
              <w:spacing w:after="0"/>
              <w:rPr>
                <w:sz w:val="15"/>
                <w:szCs w:val="15"/>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auto"/>
              </w:rPr>
              <w:t>Miami-Ft Lauderdale</w:t>
            </w:r>
          </w:p>
        </w:tc>
        <w:tc>
          <w:tcPr>
            <w:tcW w:w="700" w:type="dxa"/>
            <w:vAlign w:val="bottom"/>
          </w:tcPr>
          <w:p>
            <w:pPr>
              <w:jc w:val="right"/>
              <w:spacing w:after="0"/>
              <w:rPr>
                <w:sz w:val="20"/>
                <w:szCs w:val="20"/>
                <w:color w:val="auto"/>
              </w:rPr>
            </w:pPr>
            <w:r>
              <w:rPr>
                <w:rFonts w:ascii="Arial" w:cs="Arial" w:eastAsia="Arial" w:hAnsi="Arial"/>
                <w:sz w:val="13"/>
                <w:szCs w:val="13"/>
                <w:color w:val="auto"/>
              </w:rPr>
              <w:t>2008</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40,704</w:t>
            </w:r>
          </w:p>
        </w:tc>
        <w:tc>
          <w:tcPr>
            <w:tcW w:w="66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130,000</w:t>
            </w:r>
          </w:p>
        </w:tc>
        <w:tc>
          <w:tcPr>
            <w:tcW w:w="480" w:type="dxa"/>
            <w:vAlign w:val="bottom"/>
          </w:tcPr>
          <w:p>
            <w:pPr>
              <w:jc w:val="right"/>
              <w:spacing w:after="0"/>
              <w:rPr>
                <w:sz w:val="20"/>
                <w:szCs w:val="20"/>
                <w:color w:val="auto"/>
              </w:rPr>
            </w:pPr>
            <w:r>
              <w:rPr>
                <w:rFonts w:ascii="Arial" w:cs="Arial" w:eastAsia="Arial" w:hAnsi="Arial"/>
                <w:sz w:val="13"/>
                <w:szCs w:val="13"/>
                <w:color w:val="auto"/>
              </w:rPr>
              <w:t>95%</w:t>
            </w:r>
          </w:p>
        </w:tc>
        <w:tc>
          <w:tcPr>
            <w:tcW w:w="600" w:type="dxa"/>
            <w:vAlign w:val="bottom"/>
          </w:tcPr>
          <w:p>
            <w:pPr>
              <w:ind w:left="60"/>
              <w:spacing w:after="0"/>
              <w:rPr>
                <w:sz w:val="20"/>
                <w:szCs w:val="20"/>
                <w:color w:val="auto"/>
              </w:rPr>
            </w:pPr>
            <w:r>
              <w:rPr>
                <w:rFonts w:ascii="Arial" w:cs="Arial" w:eastAsia="Arial" w:hAnsi="Arial"/>
                <w:sz w:val="13"/>
                <w:szCs w:val="13"/>
                <w:color w:val="auto"/>
              </w:rPr>
              <w:t>49,000</w:t>
            </w:r>
          </w:p>
        </w:tc>
        <w:tc>
          <w:tcPr>
            <w:tcW w:w="820" w:type="dxa"/>
            <w:vAlign w:val="bottom"/>
          </w:tcPr>
          <w:p>
            <w:pPr>
              <w:ind w:left="80"/>
              <w:spacing w:after="0"/>
              <w:rPr>
                <w:sz w:val="20"/>
                <w:szCs w:val="20"/>
                <w:color w:val="auto"/>
              </w:rPr>
            </w:pPr>
            <w:r>
              <w:rPr>
                <w:rFonts w:ascii="Arial" w:cs="Arial" w:eastAsia="Arial" w:hAnsi="Arial"/>
                <w:sz w:val="13"/>
                <w:szCs w:val="13"/>
                <w:color w:val="auto"/>
              </w:rPr>
              <w:t>Publix</w:t>
            </w:r>
          </w:p>
        </w:tc>
        <w:tc>
          <w:tcPr>
            <w:tcW w:w="322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20" w:type="dxa"/>
            <w:vAlign w:val="bottom"/>
          </w:tcPr>
          <w:p>
            <w:pPr>
              <w:spacing w:after="0"/>
              <w:rPr>
                <w:sz w:val="8"/>
                <w:szCs w:val="8"/>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3"/>
                <w:szCs w:val="13"/>
                <w:color w:val="auto"/>
              </w:rPr>
              <w:t>Del Mar Village</w:t>
            </w:r>
          </w:p>
        </w:tc>
        <w:tc>
          <w:tcPr>
            <w:tcW w:w="4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Miami-Ft Lauderdale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2008</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55,905</w:t>
            </w:r>
          </w:p>
        </w:tc>
        <w:tc>
          <w:tcPr>
            <w:tcW w:w="6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179,000</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44,000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Winn Dixie</w:t>
            </w:r>
          </w:p>
        </w:tc>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CVS</w:t>
            </w:r>
          </w:p>
        </w:tc>
      </w:tr>
      <w:tr>
        <w:trPr>
          <w:trHeight w:val="148"/>
        </w:trPr>
        <w:tc>
          <w:tcPr>
            <w:tcW w:w="40" w:type="dxa"/>
            <w:vAlign w:val="bottom"/>
          </w:tcPr>
          <w:p>
            <w:pPr>
              <w:spacing w:after="0"/>
              <w:rPr>
                <w:sz w:val="12"/>
                <w:szCs w:val="12"/>
                <w:color w:val="auto"/>
              </w:rPr>
            </w:pPr>
          </w:p>
        </w:tc>
        <w:tc>
          <w:tcPr>
            <w:tcW w:w="1460" w:type="dxa"/>
            <w:vAlign w:val="bottom"/>
            <w:gridSpan w:val="6"/>
          </w:tcPr>
          <w:p>
            <w:pPr>
              <w:spacing w:after="0" w:line="148" w:lineRule="exact"/>
              <w:rPr>
                <w:sz w:val="20"/>
                <w:szCs w:val="20"/>
                <w:color w:val="auto"/>
              </w:rPr>
            </w:pPr>
            <w:r>
              <w:rPr>
                <w:rFonts w:ascii="Arial" w:cs="Arial" w:eastAsia="Arial" w:hAnsi="Arial"/>
                <w:sz w:val="13"/>
                <w:szCs w:val="13"/>
                <w:color w:val="auto"/>
              </w:rPr>
              <w:t>Tower Shops</w:t>
            </w:r>
          </w:p>
        </w:tc>
        <w:tc>
          <w:tcPr>
            <w:tcW w:w="400" w:type="dxa"/>
            <w:vAlign w:val="bottom"/>
          </w:tcPr>
          <w:p>
            <w:pPr>
              <w:spacing w:after="0"/>
              <w:rPr>
                <w:sz w:val="12"/>
                <w:szCs w:val="12"/>
                <w:color w:val="auto"/>
              </w:rPr>
            </w:pPr>
          </w:p>
        </w:tc>
        <w:tc>
          <w:tcPr>
            <w:tcW w:w="1600" w:type="dxa"/>
            <w:vAlign w:val="bottom"/>
          </w:tcPr>
          <w:p>
            <w:pPr>
              <w:ind w:left="100"/>
              <w:spacing w:after="0" w:line="148" w:lineRule="exact"/>
              <w:rPr>
                <w:sz w:val="20"/>
                <w:szCs w:val="20"/>
                <w:color w:val="auto"/>
              </w:rPr>
            </w:pPr>
            <w:r>
              <w:rPr>
                <w:rFonts w:ascii="Arial" w:cs="Arial" w:eastAsia="Arial" w:hAnsi="Arial"/>
                <w:sz w:val="13"/>
                <w:szCs w:val="13"/>
                <w:color w:val="auto"/>
              </w:rPr>
              <w:t>Miami-Ft Lauderdale</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2011</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82,470</w:t>
            </w:r>
          </w:p>
        </w:tc>
        <w:tc>
          <w:tcPr>
            <w:tcW w:w="660" w:type="dxa"/>
            <w:vAlign w:val="bottom"/>
          </w:tcPr>
          <w:p>
            <w:pPr>
              <w:spacing w:after="0"/>
              <w:rPr>
                <w:sz w:val="12"/>
                <w:szCs w:val="12"/>
                <w:color w:val="auto"/>
              </w:rPr>
            </w:pPr>
          </w:p>
        </w:tc>
        <w:tc>
          <w:tcPr>
            <w:tcW w:w="72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374,000</w:t>
            </w:r>
          </w:p>
        </w:tc>
        <w:tc>
          <w:tcPr>
            <w:tcW w:w="4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20" w:type="dxa"/>
            <w:vAlign w:val="bottom"/>
          </w:tcPr>
          <w:p>
            <w:pPr>
              <w:ind w:left="60"/>
              <w:spacing w:after="0" w:line="148" w:lineRule="exact"/>
              <w:rPr>
                <w:sz w:val="20"/>
                <w:szCs w:val="20"/>
                <w:color w:val="auto"/>
              </w:rPr>
            </w:pPr>
            <w:r>
              <w:rPr>
                <w:rFonts w:ascii="Arial" w:cs="Arial" w:eastAsia="Arial" w:hAnsi="Arial"/>
                <w:sz w:val="13"/>
                <w:szCs w:val="13"/>
                <w:color w:val="auto"/>
                <w:w w:val="89"/>
              </w:rPr>
              <w:t>Best Buy / DSW / Old Navy / Ross Dress For Less / TJ Maxx</w:t>
            </w:r>
          </w:p>
        </w:tc>
      </w:tr>
      <w:tr>
        <w:trPr>
          <w:trHeight w:val="170"/>
        </w:trPr>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322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 Ulta</w:t>
            </w:r>
          </w:p>
        </w:tc>
      </w:tr>
      <w:tr>
        <w:trPr>
          <w:trHeight w:val="173"/>
        </w:trPr>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Total South Florida</w:t>
            </w:r>
          </w:p>
        </w:tc>
        <w:tc>
          <w:tcPr>
            <w:tcW w:w="7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179,079</w:t>
            </w: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683,000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460" w:type="dxa"/>
            <w:vAlign w:val="bottom"/>
            <w:gridSpan w:val="6"/>
          </w:tcPr>
          <w:p>
            <w:pPr>
              <w:ind w:left="60"/>
              <w:spacing w:after="0"/>
              <w:rPr>
                <w:sz w:val="20"/>
                <w:szCs w:val="20"/>
                <w:color w:val="auto"/>
              </w:rPr>
            </w:pPr>
            <w:r>
              <w:rPr>
                <w:rFonts w:ascii="Arial" w:cs="Arial" w:eastAsia="Arial" w:hAnsi="Arial"/>
                <w:sz w:val="13"/>
                <w:szCs w:val="13"/>
                <w:b w:val="1"/>
                <w:bCs w:val="1"/>
                <w:color w:val="auto"/>
              </w:rPr>
              <w:t>Other</w:t>
            </w:r>
          </w:p>
        </w:tc>
        <w:tc>
          <w:tcPr>
            <w:tcW w:w="4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2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20" w:type="dxa"/>
            <w:vAlign w:val="bottom"/>
          </w:tcPr>
          <w:p>
            <w:pPr>
              <w:spacing w:after="0"/>
              <w:rPr>
                <w:sz w:val="8"/>
                <w:szCs w:val="8"/>
                <w:color w:val="auto"/>
              </w:rPr>
            </w:pPr>
          </w:p>
        </w:tc>
      </w:tr>
      <w:tr>
        <w:trPr>
          <w:trHeight w:val="148"/>
        </w:trPr>
        <w:tc>
          <w:tcPr>
            <w:tcW w:w="40" w:type="dxa"/>
            <w:vAlign w:val="bottom"/>
            <w:shd w:val="clear" w:color="auto" w:fill="CCEEFF"/>
          </w:tcPr>
          <w:p>
            <w:pPr>
              <w:spacing w:after="0"/>
              <w:rPr>
                <w:sz w:val="12"/>
                <w:szCs w:val="12"/>
                <w:color w:val="auto"/>
              </w:rPr>
            </w:pPr>
          </w:p>
        </w:tc>
        <w:tc>
          <w:tcPr>
            <w:tcW w:w="1460" w:type="dxa"/>
            <w:vAlign w:val="bottom"/>
            <w:gridSpan w:val="6"/>
            <w:shd w:val="clear" w:color="auto" w:fill="CCEEFF"/>
          </w:tcPr>
          <w:p>
            <w:pPr>
              <w:spacing w:after="0" w:line="148" w:lineRule="exact"/>
              <w:rPr>
                <w:sz w:val="20"/>
                <w:szCs w:val="20"/>
                <w:color w:val="auto"/>
              </w:rPr>
            </w:pPr>
            <w:r>
              <w:rPr>
                <w:rFonts w:ascii="Arial" w:cs="Arial" w:eastAsia="Arial" w:hAnsi="Arial"/>
                <w:sz w:val="13"/>
                <w:szCs w:val="13"/>
                <w:color w:val="auto"/>
              </w:rPr>
              <w:t>Barracks Road</w:t>
            </w:r>
          </w:p>
        </w:tc>
        <w:tc>
          <w:tcPr>
            <w:tcW w:w="400" w:type="dxa"/>
            <w:vAlign w:val="bottom"/>
            <w:shd w:val="clear" w:color="auto" w:fill="CCEEFF"/>
          </w:tcPr>
          <w:p>
            <w:pPr>
              <w:spacing w:after="0"/>
              <w:rPr>
                <w:sz w:val="12"/>
                <w:szCs w:val="12"/>
                <w:color w:val="auto"/>
              </w:rPr>
            </w:pPr>
          </w:p>
        </w:tc>
        <w:tc>
          <w:tcPr>
            <w:tcW w:w="160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Charlottesville, VA</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1985</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60,188</w:t>
            </w:r>
          </w:p>
        </w:tc>
        <w:tc>
          <w:tcPr>
            <w:tcW w:w="6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36,538</w:t>
            </w:r>
          </w:p>
        </w:tc>
        <w:tc>
          <w:tcPr>
            <w:tcW w:w="72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497,000</w:t>
            </w: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99,000</w:t>
            </w:r>
          </w:p>
        </w:tc>
        <w:tc>
          <w:tcPr>
            <w:tcW w:w="404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3"/>
                <w:szCs w:val="13"/>
                <w:color w:val="auto"/>
                <w:w w:val="92"/>
              </w:rPr>
              <w:t>Harris Teeter / Anthropologie / Bed, Bath &amp; Beyond / Barnes &amp; Noble / Old</w:t>
            </w:r>
          </w:p>
        </w:tc>
      </w:tr>
      <w:tr>
        <w:trPr>
          <w:trHeight w:val="176"/>
        </w:trPr>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Kroger</w:t>
            </w:r>
          </w:p>
        </w:tc>
        <w:tc>
          <w:tcPr>
            <w:tcW w:w="3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Navy / Michaels / Ulta</w:t>
            </w:r>
          </w:p>
        </w:tc>
      </w:tr>
      <w:tr>
        <w:trPr>
          <w:trHeight w:val="173"/>
        </w:trPr>
        <w:tc>
          <w:tcPr>
            <w:tcW w:w="40" w:type="dxa"/>
            <w:vAlign w:val="bottom"/>
          </w:tcPr>
          <w:p>
            <w:pPr>
              <w:spacing w:after="0"/>
              <w:rPr>
                <w:sz w:val="15"/>
                <w:szCs w:val="15"/>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Bristol Plaza</w:t>
            </w:r>
          </w:p>
        </w:tc>
        <w:tc>
          <w:tcPr>
            <w:tcW w:w="400" w:type="dxa"/>
            <w:vAlign w:val="bottom"/>
          </w:tcPr>
          <w:p>
            <w:pPr>
              <w:spacing w:after="0"/>
              <w:rPr>
                <w:sz w:val="15"/>
                <w:szCs w:val="15"/>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auto"/>
              </w:rPr>
              <w:t>Hartford, CT</w:t>
            </w:r>
          </w:p>
        </w:tc>
        <w:tc>
          <w:tcPr>
            <w:tcW w:w="700" w:type="dxa"/>
            <w:vAlign w:val="bottom"/>
          </w:tcPr>
          <w:p>
            <w:pPr>
              <w:jc w:val="right"/>
              <w:spacing w:after="0"/>
              <w:rPr>
                <w:sz w:val="20"/>
                <w:szCs w:val="20"/>
                <w:color w:val="auto"/>
              </w:rPr>
            </w:pPr>
            <w:r>
              <w:rPr>
                <w:rFonts w:ascii="Arial" w:cs="Arial" w:eastAsia="Arial" w:hAnsi="Arial"/>
                <w:sz w:val="13"/>
                <w:szCs w:val="13"/>
                <w:color w:val="auto"/>
              </w:rPr>
              <w:t>1995</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29,398</w:t>
            </w:r>
          </w:p>
        </w:tc>
        <w:tc>
          <w:tcPr>
            <w:tcW w:w="66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267,000</w:t>
            </w:r>
          </w:p>
        </w:tc>
        <w:tc>
          <w:tcPr>
            <w:tcW w:w="480" w:type="dxa"/>
            <w:vAlign w:val="bottom"/>
          </w:tcPr>
          <w:p>
            <w:pPr>
              <w:jc w:val="right"/>
              <w:spacing w:after="0"/>
              <w:rPr>
                <w:sz w:val="20"/>
                <w:szCs w:val="20"/>
                <w:color w:val="auto"/>
              </w:rPr>
            </w:pPr>
            <w:r>
              <w:rPr>
                <w:rFonts w:ascii="Arial" w:cs="Arial" w:eastAsia="Arial" w:hAnsi="Arial"/>
                <w:sz w:val="13"/>
                <w:szCs w:val="13"/>
                <w:color w:val="auto"/>
              </w:rPr>
              <w:t>93%</w:t>
            </w:r>
          </w:p>
        </w:tc>
        <w:tc>
          <w:tcPr>
            <w:tcW w:w="600" w:type="dxa"/>
            <w:vAlign w:val="bottom"/>
          </w:tcPr>
          <w:p>
            <w:pPr>
              <w:ind w:left="60"/>
              <w:spacing w:after="0"/>
              <w:rPr>
                <w:sz w:val="20"/>
                <w:szCs w:val="20"/>
                <w:color w:val="auto"/>
              </w:rPr>
            </w:pPr>
            <w:r>
              <w:rPr>
                <w:rFonts w:ascii="Arial" w:cs="Arial" w:eastAsia="Arial" w:hAnsi="Arial"/>
                <w:sz w:val="13"/>
                <w:szCs w:val="13"/>
                <w:color w:val="auto"/>
              </w:rPr>
              <w:t>74,000</w:t>
            </w:r>
          </w:p>
        </w:tc>
        <w:tc>
          <w:tcPr>
            <w:tcW w:w="820" w:type="dxa"/>
            <w:vAlign w:val="bottom"/>
          </w:tcPr>
          <w:p>
            <w:pPr>
              <w:ind w:left="80"/>
              <w:spacing w:after="0"/>
              <w:rPr>
                <w:sz w:val="20"/>
                <w:szCs w:val="20"/>
                <w:color w:val="auto"/>
              </w:rPr>
            </w:pPr>
            <w:r>
              <w:rPr>
                <w:rFonts w:ascii="Arial" w:cs="Arial" w:eastAsia="Arial" w:hAnsi="Arial"/>
                <w:sz w:val="13"/>
                <w:szCs w:val="13"/>
                <w:color w:val="auto"/>
                <w:w w:val="98"/>
              </w:rPr>
              <w:t>Stop &amp; Shop</w:t>
            </w:r>
          </w:p>
        </w:tc>
        <w:tc>
          <w:tcPr>
            <w:tcW w:w="3220" w:type="dxa"/>
            <w:vAlign w:val="bottom"/>
          </w:tcPr>
          <w:p>
            <w:pPr>
              <w:ind w:left="60"/>
              <w:spacing w:after="0"/>
              <w:rPr>
                <w:sz w:val="20"/>
                <w:szCs w:val="20"/>
                <w:color w:val="auto"/>
              </w:rPr>
            </w:pPr>
            <w:r>
              <w:rPr>
                <w:rFonts w:ascii="Arial" w:cs="Arial" w:eastAsia="Arial" w:hAnsi="Arial"/>
                <w:sz w:val="13"/>
                <w:szCs w:val="13"/>
                <w:color w:val="auto"/>
              </w:rPr>
              <w:t>TJ Maxx</w:t>
            </w:r>
          </w:p>
        </w:tc>
      </w:tr>
      <w:tr>
        <w:trPr>
          <w:trHeight w:val="43"/>
        </w:trPr>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148"/>
        </w:trPr>
        <w:tc>
          <w:tcPr>
            <w:tcW w:w="40" w:type="dxa"/>
            <w:vAlign w:val="bottom"/>
            <w:shd w:val="clear" w:color="auto" w:fill="CCEEFF"/>
          </w:tcPr>
          <w:p>
            <w:pPr>
              <w:spacing w:after="0"/>
              <w:rPr>
                <w:sz w:val="12"/>
                <w:szCs w:val="12"/>
                <w:color w:val="auto"/>
              </w:rPr>
            </w:pPr>
          </w:p>
        </w:tc>
        <w:tc>
          <w:tcPr>
            <w:tcW w:w="1460" w:type="dxa"/>
            <w:vAlign w:val="bottom"/>
            <w:gridSpan w:val="6"/>
            <w:shd w:val="clear" w:color="auto" w:fill="CCEEFF"/>
          </w:tcPr>
          <w:p>
            <w:pPr>
              <w:spacing w:after="0" w:line="148" w:lineRule="exact"/>
              <w:rPr>
                <w:sz w:val="20"/>
                <w:szCs w:val="20"/>
                <w:color w:val="auto"/>
              </w:rPr>
            </w:pPr>
            <w:r>
              <w:rPr>
                <w:rFonts w:ascii="Arial" w:cs="Arial" w:eastAsia="Arial" w:hAnsi="Arial"/>
                <w:sz w:val="13"/>
                <w:szCs w:val="13"/>
                <w:color w:val="auto"/>
              </w:rPr>
              <w:t>Eastgate</w:t>
            </w:r>
          </w:p>
        </w:tc>
        <w:tc>
          <w:tcPr>
            <w:tcW w:w="400" w:type="dxa"/>
            <w:vAlign w:val="bottom"/>
            <w:shd w:val="clear" w:color="auto" w:fill="CCEEFF"/>
          </w:tcPr>
          <w:p>
            <w:pPr>
              <w:spacing w:after="0"/>
              <w:rPr>
                <w:sz w:val="12"/>
                <w:szCs w:val="12"/>
                <w:color w:val="auto"/>
              </w:rPr>
            </w:pPr>
          </w:p>
        </w:tc>
        <w:tc>
          <w:tcPr>
            <w:tcW w:w="160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Raleigh-Durham-Chapel</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1986</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26,891</w:t>
            </w:r>
          </w:p>
        </w:tc>
        <w:tc>
          <w:tcPr>
            <w:tcW w:w="6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153,000</w:t>
            </w:r>
          </w:p>
        </w:tc>
        <w:tc>
          <w:tcPr>
            <w:tcW w:w="4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13,000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Trader Joe's</w:t>
            </w:r>
          </w:p>
        </w:tc>
        <w:tc>
          <w:tcPr>
            <w:tcW w:w="32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Stein Mart</w:t>
            </w:r>
          </w:p>
        </w:tc>
      </w:tr>
      <w:tr>
        <w:trPr>
          <w:trHeight w:val="176"/>
        </w:trPr>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Hill, NC</w:t>
            </w:r>
          </w:p>
        </w:tc>
        <w:tc>
          <w:tcPr>
            <w:tcW w:w="7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Gratiot Plaza</w:t>
            </w:r>
          </w:p>
        </w:tc>
        <w:tc>
          <w:tcPr>
            <w:tcW w:w="400" w:type="dxa"/>
            <w:vAlign w:val="bottom"/>
          </w:tcPr>
          <w:p>
            <w:pPr>
              <w:spacing w:after="0"/>
              <w:rPr>
                <w:sz w:val="15"/>
                <w:szCs w:val="15"/>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auto"/>
              </w:rPr>
              <w:t>Detroit, MI</w:t>
            </w:r>
          </w:p>
        </w:tc>
        <w:tc>
          <w:tcPr>
            <w:tcW w:w="700" w:type="dxa"/>
            <w:vAlign w:val="bottom"/>
          </w:tcPr>
          <w:p>
            <w:pPr>
              <w:jc w:val="right"/>
              <w:spacing w:after="0"/>
              <w:rPr>
                <w:sz w:val="20"/>
                <w:szCs w:val="20"/>
                <w:color w:val="auto"/>
              </w:rPr>
            </w:pPr>
            <w:r>
              <w:rPr>
                <w:rFonts w:ascii="Arial" w:cs="Arial" w:eastAsia="Arial" w:hAnsi="Arial"/>
                <w:sz w:val="13"/>
                <w:szCs w:val="13"/>
                <w:color w:val="auto"/>
              </w:rPr>
              <w:t>1973</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19,215</w:t>
            </w:r>
          </w:p>
        </w:tc>
        <w:tc>
          <w:tcPr>
            <w:tcW w:w="66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217,000</w:t>
            </w:r>
          </w:p>
        </w:tc>
        <w:tc>
          <w:tcPr>
            <w:tcW w:w="48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ind w:left="60"/>
              <w:spacing w:after="0"/>
              <w:rPr>
                <w:sz w:val="20"/>
                <w:szCs w:val="20"/>
                <w:color w:val="auto"/>
              </w:rPr>
            </w:pPr>
            <w:r>
              <w:rPr>
                <w:rFonts w:ascii="Arial" w:cs="Arial" w:eastAsia="Arial" w:hAnsi="Arial"/>
                <w:sz w:val="13"/>
                <w:szCs w:val="13"/>
                <w:color w:val="auto"/>
              </w:rPr>
              <w:t>69,000</w:t>
            </w:r>
          </w:p>
        </w:tc>
        <w:tc>
          <w:tcPr>
            <w:tcW w:w="820" w:type="dxa"/>
            <w:vAlign w:val="bottom"/>
          </w:tcPr>
          <w:p>
            <w:pPr>
              <w:ind w:left="80"/>
              <w:spacing w:after="0"/>
              <w:rPr>
                <w:sz w:val="20"/>
                <w:szCs w:val="20"/>
                <w:color w:val="auto"/>
              </w:rPr>
            </w:pPr>
            <w:r>
              <w:rPr>
                <w:rFonts w:ascii="Arial" w:cs="Arial" w:eastAsia="Arial" w:hAnsi="Arial"/>
                <w:sz w:val="13"/>
                <w:szCs w:val="13"/>
                <w:color w:val="auto"/>
              </w:rPr>
              <w:t>Kroger</w:t>
            </w:r>
          </w:p>
        </w:tc>
        <w:tc>
          <w:tcPr>
            <w:tcW w:w="3220" w:type="dxa"/>
            <w:vAlign w:val="bottom"/>
          </w:tcPr>
          <w:p>
            <w:pPr>
              <w:ind w:left="60"/>
              <w:spacing w:after="0"/>
              <w:rPr>
                <w:sz w:val="20"/>
                <w:szCs w:val="20"/>
                <w:color w:val="auto"/>
              </w:rPr>
            </w:pPr>
            <w:r>
              <w:rPr>
                <w:rFonts w:ascii="Arial" w:cs="Arial" w:eastAsia="Arial" w:hAnsi="Arial"/>
                <w:sz w:val="13"/>
                <w:szCs w:val="13"/>
                <w:color w:val="auto"/>
              </w:rPr>
              <w:t>Bed, Bath &amp; Beyond / Best Buy / DSW</w:t>
            </w:r>
          </w:p>
        </w:tc>
      </w:tr>
      <w:tr>
        <w:trPr>
          <w:trHeight w:val="43"/>
        </w:trPr>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173"/>
        </w:trPr>
        <w:tc>
          <w:tcPr>
            <w:tcW w:w="40" w:type="dxa"/>
            <w:vAlign w:val="bottom"/>
            <w:shd w:val="clear" w:color="auto" w:fill="CCEEFF"/>
          </w:tcPr>
          <w:p>
            <w:pPr>
              <w:spacing w:after="0"/>
              <w:rPr>
                <w:sz w:val="15"/>
                <w:szCs w:val="15"/>
                <w:color w:val="auto"/>
              </w:rPr>
            </w:pPr>
          </w:p>
        </w:tc>
        <w:tc>
          <w:tcPr>
            <w:tcW w:w="146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Houston St</w:t>
            </w:r>
          </w:p>
        </w:tc>
        <w:tc>
          <w:tcPr>
            <w:tcW w:w="400" w:type="dxa"/>
            <w:vAlign w:val="bottom"/>
            <w:shd w:val="clear" w:color="auto" w:fill="CCEEFF"/>
          </w:tcPr>
          <w:p>
            <w:pPr>
              <w:spacing w:after="0"/>
              <w:rPr>
                <w:sz w:val="15"/>
                <w:szCs w:val="15"/>
                <w:color w:val="auto"/>
              </w:rPr>
            </w:pPr>
          </w:p>
        </w:tc>
        <w:tc>
          <w:tcPr>
            <w:tcW w:w="1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San Antonio, TX</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61,619</w:t>
            </w:r>
          </w:p>
        </w:tc>
        <w:tc>
          <w:tcPr>
            <w:tcW w:w="66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172,000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Hotel Valencia / Walgreens</w:t>
            </w:r>
          </w:p>
        </w:tc>
      </w:tr>
      <w:tr>
        <w:trPr>
          <w:trHeight w:val="97"/>
        </w:trPr>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20" w:type="dxa"/>
            <w:vAlign w:val="bottom"/>
            <w:shd w:val="clear" w:color="auto" w:fill="CCEEFF"/>
          </w:tcPr>
          <w:p>
            <w:pPr>
              <w:spacing w:after="0"/>
              <w:rPr>
                <w:sz w:val="8"/>
                <w:szCs w:val="8"/>
                <w:color w:val="auto"/>
              </w:rPr>
            </w:pPr>
          </w:p>
        </w:tc>
      </w:tr>
      <w:tr>
        <w:trPr>
          <w:trHeight w:val="173"/>
        </w:trPr>
        <w:tc>
          <w:tcPr>
            <w:tcW w:w="40" w:type="dxa"/>
            <w:vAlign w:val="bottom"/>
          </w:tcPr>
          <w:p>
            <w:pPr>
              <w:spacing w:after="0"/>
              <w:rPr>
                <w:sz w:val="15"/>
                <w:szCs w:val="15"/>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Lancaster</w:t>
            </w:r>
          </w:p>
        </w:tc>
        <w:tc>
          <w:tcPr>
            <w:tcW w:w="400" w:type="dxa"/>
            <w:vAlign w:val="bottom"/>
          </w:tcPr>
          <w:p>
            <w:pPr>
              <w:ind w:left="180"/>
              <w:spacing w:after="0"/>
              <w:rPr>
                <w:sz w:val="20"/>
                <w:szCs w:val="20"/>
                <w:color w:val="auto"/>
              </w:rPr>
            </w:pPr>
            <w:r>
              <w:rPr>
                <w:rFonts w:ascii="Arial" w:cs="Arial" w:eastAsia="Arial" w:hAnsi="Arial"/>
                <w:sz w:val="13"/>
                <w:szCs w:val="13"/>
                <w:color w:val="auto"/>
              </w:rPr>
              <w:t>(6)</w:t>
            </w:r>
          </w:p>
        </w:tc>
        <w:tc>
          <w:tcPr>
            <w:tcW w:w="1600" w:type="dxa"/>
            <w:vAlign w:val="bottom"/>
          </w:tcPr>
          <w:p>
            <w:pPr>
              <w:ind w:left="100"/>
              <w:spacing w:after="0"/>
              <w:rPr>
                <w:sz w:val="20"/>
                <w:szCs w:val="20"/>
                <w:color w:val="auto"/>
              </w:rPr>
            </w:pPr>
            <w:r>
              <w:rPr>
                <w:rFonts w:ascii="Arial" w:cs="Arial" w:eastAsia="Arial" w:hAnsi="Arial"/>
                <w:sz w:val="13"/>
                <w:szCs w:val="13"/>
                <w:color w:val="auto"/>
              </w:rPr>
              <w:t>Lancaster, PA</w:t>
            </w:r>
          </w:p>
        </w:tc>
        <w:tc>
          <w:tcPr>
            <w:tcW w:w="700" w:type="dxa"/>
            <w:vAlign w:val="bottom"/>
          </w:tcPr>
          <w:p>
            <w:pPr>
              <w:jc w:val="right"/>
              <w:spacing w:after="0"/>
              <w:rPr>
                <w:sz w:val="20"/>
                <w:szCs w:val="20"/>
                <w:color w:val="auto"/>
              </w:rPr>
            </w:pPr>
            <w:r>
              <w:rPr>
                <w:rFonts w:ascii="Arial" w:cs="Arial" w:eastAsia="Arial" w:hAnsi="Arial"/>
                <w:sz w:val="13"/>
                <w:szCs w:val="13"/>
                <w:color w:val="auto"/>
              </w:rPr>
              <w:t>1980</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13,543</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4,907</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127,000</w:t>
            </w:r>
          </w:p>
        </w:tc>
        <w:tc>
          <w:tcPr>
            <w:tcW w:w="480" w:type="dxa"/>
            <w:vAlign w:val="bottom"/>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ind w:left="60"/>
              <w:spacing w:after="0"/>
              <w:rPr>
                <w:sz w:val="20"/>
                <w:szCs w:val="20"/>
                <w:color w:val="auto"/>
              </w:rPr>
            </w:pPr>
            <w:r>
              <w:rPr>
                <w:rFonts w:ascii="Arial" w:cs="Arial" w:eastAsia="Arial" w:hAnsi="Arial"/>
                <w:sz w:val="13"/>
                <w:szCs w:val="13"/>
                <w:color w:val="auto"/>
              </w:rPr>
              <w:t>75,000</w:t>
            </w:r>
          </w:p>
        </w:tc>
        <w:tc>
          <w:tcPr>
            <w:tcW w:w="82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3220" w:type="dxa"/>
            <w:vAlign w:val="bottom"/>
          </w:tcPr>
          <w:p>
            <w:pPr>
              <w:ind w:left="60"/>
              <w:spacing w:after="0"/>
              <w:rPr>
                <w:sz w:val="20"/>
                <w:szCs w:val="20"/>
                <w:color w:val="auto"/>
              </w:rPr>
            </w:pPr>
            <w:r>
              <w:rPr>
                <w:rFonts w:ascii="Arial" w:cs="Arial" w:eastAsia="Arial" w:hAnsi="Arial"/>
                <w:sz w:val="13"/>
                <w:szCs w:val="13"/>
                <w:color w:val="auto"/>
              </w:rPr>
              <w:t>Michaels</w:t>
            </w:r>
          </w:p>
        </w:tc>
      </w:tr>
      <w:tr>
        <w:trPr>
          <w:trHeight w:val="43"/>
        </w:trPr>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173"/>
        </w:trPr>
        <w:tc>
          <w:tcPr>
            <w:tcW w:w="40" w:type="dxa"/>
            <w:vAlign w:val="bottom"/>
            <w:shd w:val="clear" w:color="auto" w:fill="CCEEFF"/>
          </w:tcPr>
          <w:p>
            <w:pPr>
              <w:spacing w:after="0"/>
              <w:rPr>
                <w:sz w:val="15"/>
                <w:szCs w:val="15"/>
                <w:color w:val="auto"/>
              </w:rPr>
            </w:pPr>
          </w:p>
        </w:tc>
        <w:tc>
          <w:tcPr>
            <w:tcW w:w="146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29th Place</w:t>
            </w:r>
          </w:p>
        </w:tc>
        <w:tc>
          <w:tcPr>
            <w:tcW w:w="400" w:type="dxa"/>
            <w:vAlign w:val="bottom"/>
            <w:shd w:val="clear" w:color="auto" w:fill="CCEEFF"/>
          </w:tcPr>
          <w:p>
            <w:pPr>
              <w:spacing w:after="0"/>
              <w:rPr>
                <w:sz w:val="15"/>
                <w:szCs w:val="15"/>
                <w:color w:val="auto"/>
              </w:rPr>
            </w:pPr>
          </w:p>
        </w:tc>
        <w:tc>
          <w:tcPr>
            <w:tcW w:w="1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Charlottesville, VA</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40,171</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5,031</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169,000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DSW / HomeGoods / Staples / Stein Mart</w:t>
            </w:r>
          </w:p>
        </w:tc>
      </w:tr>
      <w:tr>
        <w:trPr>
          <w:trHeight w:val="97"/>
        </w:trPr>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20" w:type="dxa"/>
            <w:vAlign w:val="bottom"/>
            <w:shd w:val="clear" w:color="auto" w:fill="CCEEFF"/>
          </w:tcPr>
          <w:p>
            <w:pPr>
              <w:spacing w:after="0"/>
              <w:rPr>
                <w:sz w:val="8"/>
                <w:szCs w:val="8"/>
                <w:color w:val="auto"/>
              </w:rPr>
            </w:pPr>
          </w:p>
        </w:tc>
      </w:tr>
      <w:tr>
        <w:trPr>
          <w:trHeight w:val="173"/>
        </w:trPr>
        <w:tc>
          <w:tcPr>
            <w:tcW w:w="40" w:type="dxa"/>
            <w:vAlign w:val="bottom"/>
          </w:tcPr>
          <w:p>
            <w:pPr>
              <w:spacing w:after="0"/>
              <w:rPr>
                <w:sz w:val="15"/>
                <w:szCs w:val="15"/>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Shops at Willow Lawn</w:t>
            </w:r>
          </w:p>
        </w:tc>
        <w:tc>
          <w:tcPr>
            <w:tcW w:w="400" w:type="dxa"/>
            <w:vAlign w:val="bottom"/>
          </w:tcPr>
          <w:p>
            <w:pPr>
              <w:spacing w:after="0"/>
              <w:rPr>
                <w:sz w:val="15"/>
                <w:szCs w:val="15"/>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auto"/>
                <w:w w:val="97"/>
              </w:rPr>
              <w:t>Richmond-Petersburg, VA</w:t>
            </w:r>
          </w:p>
        </w:tc>
        <w:tc>
          <w:tcPr>
            <w:tcW w:w="700" w:type="dxa"/>
            <w:vAlign w:val="bottom"/>
          </w:tcPr>
          <w:p>
            <w:pPr>
              <w:jc w:val="right"/>
              <w:spacing w:after="0"/>
              <w:rPr>
                <w:sz w:val="20"/>
                <w:szCs w:val="20"/>
                <w:color w:val="auto"/>
              </w:rPr>
            </w:pPr>
            <w:r>
              <w:rPr>
                <w:rFonts w:ascii="Arial" w:cs="Arial" w:eastAsia="Arial" w:hAnsi="Arial"/>
                <w:sz w:val="13"/>
                <w:szCs w:val="13"/>
                <w:color w:val="auto"/>
              </w:rPr>
              <w:t>1983</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82,790</w:t>
            </w:r>
          </w:p>
        </w:tc>
        <w:tc>
          <w:tcPr>
            <w:tcW w:w="66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444,000</w:t>
            </w:r>
          </w:p>
        </w:tc>
        <w:tc>
          <w:tcPr>
            <w:tcW w:w="480" w:type="dxa"/>
            <w:vAlign w:val="bottom"/>
          </w:tcPr>
          <w:p>
            <w:pPr>
              <w:jc w:val="right"/>
              <w:spacing w:after="0"/>
              <w:rPr>
                <w:sz w:val="20"/>
                <w:szCs w:val="20"/>
                <w:color w:val="auto"/>
              </w:rPr>
            </w:pPr>
            <w:r>
              <w:rPr>
                <w:rFonts w:ascii="Arial" w:cs="Arial" w:eastAsia="Arial" w:hAnsi="Arial"/>
                <w:sz w:val="13"/>
                <w:szCs w:val="13"/>
                <w:color w:val="auto"/>
              </w:rPr>
              <w:t>90%</w:t>
            </w:r>
          </w:p>
        </w:tc>
        <w:tc>
          <w:tcPr>
            <w:tcW w:w="600" w:type="dxa"/>
            <w:vAlign w:val="bottom"/>
          </w:tcPr>
          <w:p>
            <w:pPr>
              <w:ind w:left="60"/>
              <w:spacing w:after="0"/>
              <w:rPr>
                <w:sz w:val="20"/>
                <w:szCs w:val="20"/>
                <w:color w:val="auto"/>
              </w:rPr>
            </w:pPr>
            <w:r>
              <w:rPr>
                <w:rFonts w:ascii="Arial" w:cs="Arial" w:eastAsia="Arial" w:hAnsi="Arial"/>
                <w:sz w:val="13"/>
                <w:szCs w:val="13"/>
                <w:color w:val="auto"/>
              </w:rPr>
              <w:t>66,000</w:t>
            </w:r>
          </w:p>
        </w:tc>
        <w:tc>
          <w:tcPr>
            <w:tcW w:w="820" w:type="dxa"/>
            <w:vAlign w:val="bottom"/>
          </w:tcPr>
          <w:p>
            <w:pPr>
              <w:ind w:left="80"/>
              <w:spacing w:after="0"/>
              <w:rPr>
                <w:sz w:val="20"/>
                <w:szCs w:val="20"/>
                <w:color w:val="auto"/>
              </w:rPr>
            </w:pPr>
            <w:r>
              <w:rPr>
                <w:rFonts w:ascii="Arial" w:cs="Arial" w:eastAsia="Arial" w:hAnsi="Arial"/>
                <w:sz w:val="13"/>
                <w:szCs w:val="13"/>
                <w:color w:val="auto"/>
              </w:rPr>
              <w:t>Kroger</w:t>
            </w:r>
          </w:p>
        </w:tc>
        <w:tc>
          <w:tcPr>
            <w:tcW w:w="3220" w:type="dxa"/>
            <w:vAlign w:val="bottom"/>
          </w:tcPr>
          <w:p>
            <w:pPr>
              <w:ind w:left="60"/>
              <w:spacing w:after="0"/>
              <w:rPr>
                <w:sz w:val="20"/>
                <w:szCs w:val="20"/>
                <w:color w:val="auto"/>
              </w:rPr>
            </w:pPr>
            <w:r>
              <w:rPr>
                <w:rFonts w:ascii="Arial" w:cs="Arial" w:eastAsia="Arial" w:hAnsi="Arial"/>
                <w:sz w:val="13"/>
                <w:szCs w:val="13"/>
                <w:color w:val="auto"/>
              </w:rPr>
              <w:t>Old Navy / Staples / Ross Dress For Less</w:t>
            </w:r>
          </w:p>
        </w:tc>
      </w:tr>
      <w:tr>
        <w:trPr>
          <w:trHeight w:val="43"/>
        </w:trPr>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60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3220" w:type="dxa"/>
            <w:vAlign w:val="bottom"/>
            <w:tcBorders>
              <w:bottom w:val="single" w:sz="8" w:color="CCEEFF"/>
            </w:tcBorders>
          </w:tcPr>
          <w:p>
            <w:pPr>
              <w:spacing w:after="0"/>
              <w:rPr>
                <w:sz w:val="3"/>
                <w:szCs w:val="3"/>
                <w:color w:val="auto"/>
              </w:rPr>
            </w:pPr>
          </w:p>
        </w:tc>
      </w:tr>
      <w:tr>
        <w:trPr>
          <w:trHeight w:val="167"/>
        </w:trPr>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Total Other</w:t>
            </w:r>
          </w:p>
        </w:tc>
        <w:tc>
          <w:tcPr>
            <w:tcW w:w="7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333,815</w:t>
            </w:r>
          </w:p>
        </w:tc>
        <w:tc>
          <w:tcPr>
            <w:tcW w:w="6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2,046,000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r>
      <w:tr>
        <w:trPr>
          <w:trHeight w:val="176"/>
        </w:trPr>
        <w:tc>
          <w:tcPr>
            <w:tcW w:w="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tcPr>
          <w:p>
            <w:pPr>
              <w:spacing w:after="0"/>
              <w:rPr>
                <w:sz w:val="15"/>
                <w:szCs w:val="15"/>
                <w:color w:val="auto"/>
              </w:rPr>
            </w:pPr>
          </w:p>
        </w:tc>
      </w:tr>
      <w:tr>
        <w:trPr>
          <w:trHeight w:val="167"/>
        </w:trPr>
        <w:tc>
          <w:tcPr>
            <w:tcW w:w="40" w:type="dxa"/>
            <w:vAlign w:val="bottom"/>
            <w:shd w:val="clear" w:color="auto" w:fill="CCEEFF"/>
          </w:tcPr>
          <w:p>
            <w:pPr>
              <w:spacing w:after="0"/>
              <w:rPr>
                <w:sz w:val="14"/>
                <w:szCs w:val="14"/>
                <w:color w:val="auto"/>
              </w:rPr>
            </w:pPr>
          </w:p>
        </w:tc>
        <w:tc>
          <w:tcPr>
            <w:tcW w:w="1460" w:type="dxa"/>
            <w:vAlign w:val="bottom"/>
            <w:gridSpan w:val="6"/>
            <w:shd w:val="clear" w:color="auto" w:fill="CCEEFF"/>
          </w:tcPr>
          <w:p>
            <w:pPr>
              <w:spacing w:after="0"/>
              <w:rPr>
                <w:sz w:val="20"/>
                <w:szCs w:val="20"/>
                <w:color w:val="auto"/>
              </w:rPr>
            </w:pPr>
            <w:r>
              <w:rPr>
                <w:rFonts w:ascii="Arial" w:cs="Arial" w:eastAsia="Arial" w:hAnsi="Arial"/>
                <w:sz w:val="13"/>
                <w:szCs w:val="13"/>
                <w:b w:val="1"/>
                <w:bCs w:val="1"/>
                <w:color w:val="auto"/>
              </w:rPr>
              <w:t>Grand Total</w:t>
            </w:r>
          </w:p>
        </w:tc>
        <w:tc>
          <w:tcPr>
            <w:tcW w:w="4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87"/>
              </w:rPr>
              <w:t>$ 5,477,563</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b w:val="1"/>
                <w:bCs w:val="1"/>
                <w:color w:val="auto"/>
                <w:w w:val="93"/>
              </w:rPr>
              <w:t>$ 692,727</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9"/>
              </w:rPr>
              <w:t>19,995,000</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95%</w:t>
            </w: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r>
      <w:tr>
        <w:trPr>
          <w:trHeight w:val="97"/>
        </w:trPr>
        <w:tc>
          <w:tcPr>
            <w:tcW w:w="40" w:type="dxa"/>
            <w:vAlign w:val="bottom"/>
            <w:tcBorders>
              <w:bottom w:val="single" w:sz="8" w:color="auto"/>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spacing w:after="0"/>
              <w:rPr>
                <w:sz w:val="8"/>
                <w:szCs w:val="8"/>
                <w:color w:val="auto"/>
              </w:rPr>
            </w:pPr>
          </w:p>
        </w:tc>
        <w:tc>
          <w:tcPr>
            <w:tcW w:w="1600" w:type="dxa"/>
            <w:vAlign w:val="bottom"/>
            <w:tcBorders>
              <w:bottom w:val="single" w:sz="8" w:color="auto"/>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spacing w:after="0"/>
              <w:rPr>
                <w:sz w:val="8"/>
                <w:szCs w:val="8"/>
                <w:color w:val="auto"/>
              </w:rPr>
            </w:pPr>
          </w:p>
        </w:tc>
        <w:tc>
          <w:tcPr>
            <w:tcW w:w="3220" w:type="dxa"/>
            <w:vAlign w:val="bottom"/>
            <w:tcBorders>
              <w:bottom w:val="single" w:sz="8" w:color="auto"/>
            </w:tcBorders>
            <w:shd w:val="clear" w:color="auto" w:fill="CCEEFF"/>
          </w:tcPr>
          <w:p>
            <w:pPr>
              <w:spacing w:after="0"/>
              <w:rPr>
                <w:sz w:val="8"/>
                <w:szCs w:val="8"/>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r>
      <w:tr>
        <w:trPr>
          <w:trHeight w:val="386"/>
        </w:trPr>
        <w:tc>
          <w:tcPr>
            <w:tcW w:w="40" w:type="dxa"/>
            <w:vAlign w:val="bottom"/>
          </w:tcPr>
          <w:p>
            <w:pPr>
              <w:spacing w:after="0"/>
              <w:rPr>
                <w:sz w:val="24"/>
                <w:szCs w:val="24"/>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Notes:</w:t>
            </w: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920" w:type="dxa"/>
            <w:vAlign w:val="bottom"/>
            <w:gridSpan w:val="10"/>
          </w:tcPr>
          <w:p>
            <w:pPr>
              <w:spacing w:after="0" w:line="20" w:lineRule="exact"/>
              <w:rPr>
                <w:sz w:val="1"/>
                <w:szCs w:val="1"/>
                <w:color w:val="auto"/>
              </w:rPr>
            </w:pPr>
          </w:p>
        </w:tc>
      </w:tr>
      <w:tr>
        <w:trPr>
          <w:trHeight w:val="194"/>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920" w:type="dxa"/>
            <w:vAlign w:val="bottom"/>
            <w:gridSpan w:val="10"/>
          </w:tcPr>
          <w:p>
            <w:pPr>
              <w:ind w:left="60"/>
              <w:spacing w:after="0"/>
              <w:rPr>
                <w:sz w:val="20"/>
                <w:szCs w:val="20"/>
                <w:color w:val="auto"/>
              </w:rPr>
            </w:pPr>
            <w:r>
              <w:rPr>
                <w:rFonts w:ascii="Arial" w:cs="Arial" w:eastAsia="Arial" w:hAnsi="Arial"/>
                <w:sz w:val="13"/>
                <w:szCs w:val="13"/>
                <w:color w:val="auto"/>
                <w:w w:val="94"/>
              </w:rPr>
              <w:t>The mortgage or capital lease obligations differ from the total reported on the consolidated balance sheet due to the unamortized discount or premium on certain mortgage payables.</w:t>
            </w: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700" w:type="dxa"/>
            <w:vAlign w:val="bottom"/>
            <w:gridSpan w:val="9"/>
          </w:tcPr>
          <w:p>
            <w:pPr>
              <w:ind w:left="60"/>
              <w:spacing w:after="0"/>
              <w:rPr>
                <w:sz w:val="20"/>
                <w:szCs w:val="20"/>
                <w:color w:val="auto"/>
              </w:rPr>
            </w:pPr>
            <w:r>
              <w:rPr>
                <w:rFonts w:ascii="Arial" w:cs="Arial" w:eastAsia="Arial" w:hAnsi="Arial"/>
                <w:sz w:val="13"/>
                <w:szCs w:val="13"/>
                <w:color w:val="auto"/>
                <w:w w:val="95"/>
              </w:rPr>
              <w:t>Excludes newly created redevelopment square footage not yet in service, as well as residential and hotel square footage.</w:t>
            </w:r>
          </w:p>
        </w:tc>
        <w:tc>
          <w:tcPr>
            <w:tcW w:w="3220" w:type="dxa"/>
            <w:vAlign w:val="bottom"/>
          </w:tcPr>
          <w:p>
            <w:pPr>
              <w:spacing w:after="0"/>
              <w:rPr>
                <w:sz w:val="16"/>
                <w:szCs w:val="16"/>
                <w:color w:val="auto"/>
              </w:rPr>
            </w:pP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20" w:type="dxa"/>
            <w:vAlign w:val="bottom"/>
            <w:gridSpan w:val="4"/>
          </w:tcPr>
          <w:p>
            <w:pPr>
              <w:ind w:left="60"/>
              <w:spacing w:after="0"/>
              <w:rPr>
                <w:sz w:val="20"/>
                <w:szCs w:val="20"/>
                <w:color w:val="auto"/>
              </w:rPr>
            </w:pPr>
            <w:r>
              <w:rPr>
                <w:rFonts w:ascii="Arial" w:cs="Arial" w:eastAsia="Arial" w:hAnsi="Arial"/>
                <w:sz w:val="13"/>
                <w:szCs w:val="13"/>
                <w:color w:val="auto"/>
                <w:w w:val="97"/>
              </w:rPr>
              <w:t>The Trust has a controlling financial interest in this property.</w:t>
            </w: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700" w:type="dxa"/>
            <w:vAlign w:val="bottom"/>
            <w:gridSpan w:val="9"/>
          </w:tcPr>
          <w:p>
            <w:pPr>
              <w:ind w:left="60"/>
              <w:spacing w:after="0"/>
              <w:rPr>
                <w:sz w:val="20"/>
                <w:szCs w:val="20"/>
                <w:color w:val="auto"/>
              </w:rPr>
            </w:pPr>
            <w:r>
              <w:rPr>
                <w:rFonts w:ascii="Arial" w:cs="Arial" w:eastAsia="Arial" w:hAnsi="Arial"/>
                <w:sz w:val="13"/>
                <w:szCs w:val="13"/>
                <w:color w:val="auto"/>
                <w:w w:val="96"/>
              </w:rPr>
              <w:t>Portion of property is currently under development. See further discussion in Pike &amp; Rose and Assembly Row schedule.</w:t>
            </w:r>
          </w:p>
        </w:tc>
        <w:tc>
          <w:tcPr>
            <w:tcW w:w="3220" w:type="dxa"/>
            <w:vAlign w:val="bottom"/>
          </w:tcPr>
          <w:p>
            <w:pPr>
              <w:spacing w:after="0"/>
              <w:rPr>
                <w:sz w:val="16"/>
                <w:szCs w:val="16"/>
                <w:color w:val="auto"/>
              </w:rPr>
            </w:pPr>
          </w:p>
        </w:tc>
      </w:tr>
      <w:tr>
        <w:trPr>
          <w:trHeight w:val="164"/>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920" w:type="dxa"/>
            <w:vAlign w:val="bottom"/>
            <w:gridSpan w:val="10"/>
          </w:tcPr>
          <w:p>
            <w:pPr>
              <w:ind w:left="60"/>
              <w:spacing w:after="0"/>
              <w:rPr>
                <w:sz w:val="20"/>
                <w:szCs w:val="20"/>
                <w:color w:val="auto"/>
              </w:rPr>
            </w:pPr>
            <w:r>
              <w:rPr>
                <w:rFonts w:ascii="Arial" w:cs="Arial" w:eastAsia="Arial" w:hAnsi="Arial"/>
                <w:sz w:val="13"/>
                <w:szCs w:val="13"/>
                <w:color w:val="auto"/>
                <w:w w:val="92"/>
              </w:rPr>
              <w:t>All or a portion of the property is owned in a "downreit" partnership, of which a wholly owned subsidiary of the Trust is the sole general partner, with third party partners holding operating</w:t>
            </w:r>
          </w:p>
        </w:tc>
      </w:tr>
      <w:tr>
        <w:trPr>
          <w:trHeight w:val="160"/>
        </w:trPr>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0" w:type="dxa"/>
            <w:vAlign w:val="bottom"/>
            <w:gridSpan w:val="2"/>
          </w:tcPr>
          <w:p>
            <w:pPr>
              <w:ind w:left="60"/>
              <w:spacing w:after="0"/>
              <w:rPr>
                <w:sz w:val="20"/>
                <w:szCs w:val="20"/>
                <w:color w:val="auto"/>
              </w:rPr>
            </w:pPr>
            <w:r>
              <w:rPr>
                <w:rFonts w:ascii="Arial" w:cs="Arial" w:eastAsia="Arial" w:hAnsi="Arial"/>
                <w:sz w:val="13"/>
                <w:szCs w:val="13"/>
                <w:color w:val="auto"/>
              </w:rPr>
              <w:t>partnership units.</w:t>
            </w: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20" w:type="dxa"/>
            <w:vAlign w:val="bottom"/>
          </w:tcPr>
          <w:p>
            <w:pPr>
              <w:spacing w:after="0"/>
              <w:rPr>
                <w:sz w:val="13"/>
                <w:szCs w:val="13"/>
                <w:color w:val="auto"/>
              </w:rPr>
            </w:pP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20" w:type="dxa"/>
            <w:vAlign w:val="bottom"/>
            <w:gridSpan w:val="4"/>
          </w:tcPr>
          <w:p>
            <w:pPr>
              <w:ind w:left="60"/>
              <w:spacing w:after="0"/>
              <w:rPr>
                <w:sz w:val="20"/>
                <w:szCs w:val="20"/>
                <w:color w:val="auto"/>
              </w:rPr>
            </w:pPr>
            <w:r>
              <w:rPr>
                <w:rFonts w:ascii="Arial" w:cs="Arial" w:eastAsia="Arial" w:hAnsi="Arial"/>
                <w:sz w:val="13"/>
                <w:szCs w:val="13"/>
                <w:color w:val="auto"/>
                <w:w w:val="96"/>
              </w:rPr>
              <w:t>All or a portion of property subject to capital lease obligation.</w:t>
            </w: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0" w:type="dxa"/>
            <w:vAlign w:val="bottom"/>
            <w:gridSpan w:val="6"/>
          </w:tcPr>
          <w:p>
            <w:pPr>
              <w:ind w:left="60"/>
              <w:spacing w:after="0"/>
              <w:rPr>
                <w:sz w:val="20"/>
                <w:szCs w:val="20"/>
                <w:color w:val="auto"/>
              </w:rPr>
            </w:pPr>
            <w:r>
              <w:rPr>
                <w:rFonts w:ascii="Arial" w:cs="Arial" w:eastAsia="Arial" w:hAnsi="Arial"/>
                <w:sz w:val="13"/>
                <w:szCs w:val="13"/>
                <w:color w:val="auto"/>
                <w:w w:val="94"/>
              </w:rPr>
              <w:t>Includes a 100% owned, 8.1 acre land parcel being used for The Point redevelopment.</w:t>
            </w: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164"/>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920" w:type="dxa"/>
            <w:vAlign w:val="bottom"/>
            <w:gridSpan w:val="10"/>
          </w:tcPr>
          <w:p>
            <w:pPr>
              <w:ind w:left="60"/>
              <w:spacing w:after="0"/>
              <w:rPr>
                <w:sz w:val="20"/>
                <w:szCs w:val="20"/>
                <w:color w:val="auto"/>
              </w:rPr>
            </w:pPr>
            <w:r>
              <w:rPr>
                <w:rFonts w:ascii="Arial" w:cs="Arial" w:eastAsia="Arial" w:hAnsi="Arial"/>
                <w:sz w:val="13"/>
                <w:szCs w:val="13"/>
                <w:color w:val="auto"/>
                <w:w w:val="88"/>
              </w:rPr>
              <w:t>On October 16, 2006, the Trust acquired control of Melville Mall through a 20 year master lease and secondary financing. Since the Trust controls this property and retains substantially all of the</w:t>
            </w:r>
          </w:p>
        </w:tc>
      </w:tr>
      <w:tr>
        <w:trPr>
          <w:trHeight w:val="160"/>
        </w:trPr>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0" w:type="dxa"/>
            <w:vAlign w:val="bottom"/>
            <w:gridSpan w:val="6"/>
          </w:tcPr>
          <w:p>
            <w:pPr>
              <w:ind w:left="60"/>
              <w:spacing w:after="0"/>
              <w:rPr>
                <w:sz w:val="20"/>
                <w:szCs w:val="20"/>
                <w:color w:val="auto"/>
              </w:rPr>
            </w:pPr>
            <w:r>
              <w:rPr>
                <w:rFonts w:ascii="Arial" w:cs="Arial" w:eastAsia="Arial" w:hAnsi="Arial"/>
                <w:sz w:val="13"/>
                <w:szCs w:val="13"/>
                <w:color w:val="auto"/>
                <w:w w:val="88"/>
              </w:rPr>
              <w:t>economic benefit and risks associated with it, we consolidate this property and its operations.</w:t>
            </w: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20" w:type="dxa"/>
            <w:vAlign w:val="bottom"/>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1440" w:gutter="0" w:footer="0" w:header="0"/>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747" w:right="239" w:bottom="1440" w:gutter="0" w:footer="0" w:header="0"/>
          <w:type w:val="continuous"/>
        </w:sectPr>
      </w:pPr>
    </w:p>
    <w:bookmarkStart w:id="24" w:name="page25"/>
    <w:bookmarkEnd w:id="24"/>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Retail Leasing Summary (1)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2014</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2014</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536,819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34.93</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$ 30.13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2,572,606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9,774,179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18.21</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1st Quarter 2014</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328,355</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31.84</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$ 27.01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1,583,057</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7,815,348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23.80</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2013</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395,906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27.24</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$ 21.73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2,182,320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7,040,879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17.78</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3rd Quarter 2013</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89</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273,505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39.12</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$ 32.66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9"/>
              </w:rPr>
              <w:t>1,767,856</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5,355,091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19.58</w:t>
            </w: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351</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1,534,585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33.03</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$ 27.75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8,105,839</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29,985,497</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19.54</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Arial" w:cs="Arial" w:eastAsia="Arial" w:hAnsi="Arial"/>
                <w:sz w:val="14"/>
                <w:szCs w:val="14"/>
                <w:b w:val="1"/>
                <w:bCs w:val="1"/>
                <w:color w:val="auto"/>
              </w:rPr>
              <w:t>New Lease Summary - Comparable (2)</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2014</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224,858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32.65</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$ 25.06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1,706,360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9,260,234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41.18</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1st Quarter 2014</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37%</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176,649</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25.73</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$ 22.16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629,580</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7,649,978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43.31</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2013</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109,673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31.45</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$ 23.43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878,831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6,458,712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58.89</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3rd Quarter 2013</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36%</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104,298</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44.09</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$ 31.78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9"/>
              </w:rPr>
              <w:t>1,283,589</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9.2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4,636,228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44.45</w:t>
            </w: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122</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615,478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32.39</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$ 25.08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4,498,360</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28,005,152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45.50</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Arial" w:cs="Arial" w:eastAsia="Arial" w:hAnsi="Arial"/>
                <w:sz w:val="14"/>
                <w:szCs w:val="14"/>
                <w:b w:val="1"/>
                <w:bCs w:val="1"/>
                <w:color w:val="auto"/>
                <w:w w:val="95"/>
              </w:rPr>
              <w:t>Renewal Lease Summary - Comparable (2) (8)</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2014</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66%</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311,961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36.56</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$ 33.79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866,246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513,945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1.65</w:t>
            </w:r>
          </w:p>
        </w:tc>
        <w:tc>
          <w:tcPr>
            <w:tcW w:w="360" w:type="dxa"/>
            <w:vAlign w:val="bottom"/>
            <w:shd w:val="clear" w:color="auto" w:fill="CCEEFF"/>
          </w:tcPr>
          <w:p>
            <w:pPr>
              <w:spacing w:after="0"/>
              <w:rPr>
                <w:sz w:val="21"/>
                <w:szCs w:val="21"/>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1st Quarter 2014</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63%</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151,706</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38.95</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$ 32.66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953,477</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165,370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1.09</w:t>
            </w:r>
          </w:p>
        </w:tc>
        <w:tc>
          <w:tcPr>
            <w:tcW w:w="36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2013</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67%</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286,233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25.63</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$ 21.08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1,303,489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582,167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2.03</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3rd Quarter 2013</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64%</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169,207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36.06</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$ 33.19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484,267</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718,863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4.25</w:t>
            </w:r>
          </w:p>
        </w:tc>
        <w:tc>
          <w:tcPr>
            <w:tcW w:w="360" w:type="dxa"/>
            <w:vAlign w:val="bottom"/>
            <w:tcBorders>
              <w:bottom w:val="single" w:sz="8" w:color="auto"/>
            </w:tcBorders>
          </w:tcPr>
          <w:p>
            <w:pPr>
              <w:spacing w:after="0"/>
              <w:rPr>
                <w:sz w:val="22"/>
                <w:szCs w:val="2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919,107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33.46</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$ 29.54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3,607,479</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1,980,345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2.15</w:t>
            </w:r>
          </w:p>
        </w:tc>
        <w:tc>
          <w:tcPr>
            <w:tcW w:w="36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700" w:type="dxa"/>
            <w:vAlign w:val="bottom"/>
            <w:gridSpan w:val="13"/>
          </w:tcPr>
          <w:p>
            <w:pPr>
              <w:spacing w:after="0"/>
              <w:rPr>
                <w:sz w:val="20"/>
                <w:szCs w:val="20"/>
                <w:color w:val="auto"/>
              </w:rPr>
            </w:pPr>
            <w:r>
              <w:rPr>
                <w:rFonts w:ascii="Arial" w:cs="Arial" w:eastAsia="Arial" w:hAnsi="Arial"/>
                <w:sz w:val="14"/>
                <w:szCs w:val="14"/>
                <w:b w:val="1"/>
                <w:bCs w:val="1"/>
                <w:color w:val="auto"/>
              </w:rPr>
              <w:t>Total Lease Summary - Comparable and Non-comparable (2) (9)</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Number</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2"/>
              </w:rPr>
              <w:t>of Leases</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Rent (3) Per Sq.</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140" w:type="dxa"/>
            <w:vAlign w:val="bottom"/>
          </w:tcPr>
          <w:p>
            <w:pPr>
              <w:spacing w:after="0"/>
              <w:rPr>
                <w:sz w:val="12"/>
                <w:szCs w:val="12"/>
                <w:color w:val="auto"/>
              </w:rPr>
            </w:pPr>
          </w:p>
        </w:tc>
        <w:tc>
          <w:tcPr>
            <w:tcW w:w="1680" w:type="dxa"/>
            <w:vAlign w:val="bottom"/>
            <w:gridSpan w:val="4"/>
          </w:tcPr>
          <w:p>
            <w:pPr>
              <w:ind w:left="440"/>
              <w:spacing w:after="0"/>
              <w:rPr>
                <w:sz w:val="20"/>
                <w:szCs w:val="20"/>
                <w:color w:val="auto"/>
              </w:rPr>
            </w:pPr>
            <w:r>
              <w:rPr>
                <w:rFonts w:ascii="Arial" w:cs="Arial" w:eastAsia="Arial" w:hAnsi="Arial"/>
                <w:sz w:val="11"/>
                <w:szCs w:val="11"/>
                <w:b w:val="1"/>
                <w:bCs w:val="1"/>
                <w:color w:val="auto"/>
              </w:rPr>
              <w:t>GLA Signed</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Ft.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2014</w:t>
            </w: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128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622,916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35.83</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11,584,637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18.60</w:t>
            </w:r>
          </w:p>
        </w:tc>
        <w:tc>
          <w:tcPr>
            <w:tcW w:w="360" w:type="dxa"/>
            <w:vAlign w:val="bottom"/>
            <w:shd w:val="clear" w:color="auto" w:fill="CCEEFF"/>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1st Quarter 2014</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gridSpan w:val="2"/>
          </w:tcPr>
          <w:p>
            <w:pPr>
              <w:jc w:val="right"/>
              <w:ind w:right="99"/>
              <w:spacing w:after="0"/>
              <w:rPr>
                <w:sz w:val="20"/>
                <w:szCs w:val="20"/>
                <w:color w:val="auto"/>
              </w:rPr>
            </w:pPr>
            <w:r>
              <w:rPr>
                <w:rFonts w:ascii="Arial" w:cs="Arial" w:eastAsia="Arial" w:hAnsi="Arial"/>
                <w:sz w:val="14"/>
                <w:szCs w:val="14"/>
                <w:color w:val="auto"/>
              </w:rPr>
              <w:t>364,034</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31.62</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8,445,438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23.20</w:t>
            </w:r>
          </w:p>
        </w:tc>
        <w:tc>
          <w:tcPr>
            <w:tcW w:w="36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2013</w:t>
            </w: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484,144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27.84</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7,723,079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15.95</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3rd Quarter 2013</w:t>
            </w: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102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color w:val="auto"/>
              </w:rPr>
              <w:t>398,637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34.20</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8.4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6,813,820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17.09</w:t>
            </w:r>
          </w:p>
        </w:tc>
        <w:tc>
          <w:tcPr>
            <w:tcW w:w="360" w:type="dxa"/>
            <w:vAlign w:val="bottom"/>
            <w:tcBorders>
              <w:bottom w:val="single" w:sz="8" w:color="auto"/>
            </w:tcBorders>
          </w:tcPr>
          <w:p>
            <w:pPr>
              <w:spacing w:after="0"/>
              <w:rPr>
                <w:sz w:val="22"/>
                <w:szCs w:val="2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1,869,731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32.59</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34,566,974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18.49</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Leases on this report represent retail activity only; office and residential leases are not included.</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Comparable leases represent those leases signed on spaces for which there was a former tenant.</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Contractual rent represents contractual minimum rent under the new lease for the first 12 months of the term.</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Prior rent represents minimum rent and percentage rent, if any, paid by the prior tenant in the final 12 months of the term.</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Weighted average is determined on the basis of contractual rent for the first 12 months of the term.</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See Glossary of Terms.</w:t>
      </w:r>
    </w:p>
    <w:p>
      <w:pPr>
        <w:spacing w:after="0" w:line="39" w:lineRule="exact"/>
        <w:rPr>
          <w:rFonts w:ascii="Arial" w:cs="Arial" w:eastAsia="Arial" w:hAnsi="Arial"/>
          <w:sz w:val="13"/>
          <w:szCs w:val="13"/>
          <w:color w:val="auto"/>
        </w:rPr>
      </w:pPr>
    </w:p>
    <w:p>
      <w:pPr>
        <w:ind w:left="1280" w:right="160" w:hanging="1251"/>
        <w:spacing w:after="0" w:line="230" w:lineRule="auto"/>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Approximately $5.6 million ($7.30 per square foot) in 2nd Quarter 2014, $5.1 million ($12.38 per square foot) in 1st Quarter 2014, $1.5 million ($3.09 per square foot) in 4th Quarter 2013 and $2.5 million ($6.23 per square foot) in 3rd Quarter 2013 of the Tenant Improvements &amp; Incentives are for properties under active redevelopment (e.g. Westgate Center, Willow Lawn, Hollywood Boulevard) and are included in the Projected Cost for those projects on the Summary of Redevelopment Opportunities.</w:t>
      </w:r>
    </w:p>
    <w:p>
      <w:pPr>
        <w:spacing w:after="0" w:line="29" w:lineRule="exact"/>
        <w:rPr>
          <w:rFonts w:ascii="Arial" w:cs="Arial" w:eastAsia="Arial" w:hAnsi="Arial"/>
          <w:sz w:val="13"/>
          <w:szCs w:val="13"/>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Renewal leases represent expiring leases rolling over with the same tenant in the same location. All other leases are categorized as new.</w:t>
      </w:r>
    </w:p>
    <w:p>
      <w:pPr>
        <w:spacing w:after="0" w:line="39" w:lineRule="exact"/>
        <w:rPr>
          <w:rFonts w:ascii="Arial" w:cs="Arial" w:eastAsia="Arial" w:hAnsi="Arial"/>
          <w:sz w:val="13"/>
          <w:szCs w:val="13"/>
          <w:color w:val="auto"/>
        </w:rPr>
      </w:pPr>
    </w:p>
    <w:p>
      <w:pPr>
        <w:ind w:left="1280" w:right="220" w:hanging="1251"/>
        <w:spacing w:after="0" w:line="288" w:lineRule="auto"/>
        <w:tabs>
          <w:tab w:leader="none" w:pos="1280"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Number of Leases Signed, GLA Signed, Contractual Rent Per Sq Ft and Weighted Average Lease Term columns include information for leases signed at our Assembly Row and Pike &amp; Rose projects. The Tenant Improvements &amp; Incentives and Tenant Improvements &amp; Incentives Per Sq Ft columns do not include information on leases signed for those projects; these amounts for leases signed for Assembly Row and Pike &amp; Rose are included in the Projected Cost column for those projects shown on the Pike &amp; Rose and Assembly Row schedule.</w:t>
      </w:r>
    </w:p>
    <w:p>
      <w:pPr>
        <w:sectPr>
          <w:pgSz w:w="11900" w:h="16838" w:orient="portrait"/>
          <w:cols w:equalWidth="0" w:num="1">
            <w:col w:w="11380"/>
          </w:cols>
          <w:pgMar w:left="260" w:top="976" w:right="25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380"/>
          </w:cols>
          <w:pgMar w:left="260" w:top="976" w:right="259" w:bottom="1440" w:gutter="0" w:footer="0" w:header="0"/>
          <w:type w:val="continuous"/>
        </w:sectPr>
      </w:pPr>
    </w:p>
    <w:bookmarkStart w:id="25" w:name="page26"/>
    <w:bookmarkEnd w:id="25"/>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283845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38450" cy="18034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2014</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17.18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373,000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28.09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444,000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26.35</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671,000</w:t>
            </w: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14.46</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873,000</w:t>
            </w: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33.31</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1,545,000</w:t>
            </w:r>
          </w:p>
        </w:tc>
        <w:tc>
          <w:tcPr>
            <w:tcW w:w="7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25.11</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16.92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1,151,000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34.88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27.22</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1,393,000</w:t>
            </w: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16.83</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1,176,000</w:t>
            </w: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35.86</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2,569,000</w:t>
            </w: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25.54</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1,443,000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997,000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38.47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24.46</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1,761,000</w:t>
            </w:r>
          </w:p>
        </w:tc>
        <w:tc>
          <w:tcPr>
            <w:tcW w:w="96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17.94</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761,000</w:t>
            </w: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35.48</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2,522,000</w:t>
            </w: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23.24</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685,000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17.18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496,000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35.47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24.88</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643,000</w:t>
            </w: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19.95</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472,000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39.27</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1,115,000</w:t>
            </w: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28.13</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461,000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38.89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1,276,000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24.65</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444,000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21.96</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468,000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37.32</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912,000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29.85</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2,151,000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18.59</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41.00</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2,801,000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23.79</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10,934,000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17.35</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7,878,000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36.23</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18,812,000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25.25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87"/>
              </w:rPr>
              <w:t>Assumes all lease options are exercised</w:t>
            </w:r>
          </w:p>
        </w:tc>
        <w:tc>
          <w:tcPr>
            <w:tcW w:w="2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4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2014</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17.49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294,000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27.08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341,000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25.76</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80,000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31.63</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534,000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33.20</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614,000</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32.99</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17.07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575,000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37.53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636,000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35.57</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190,000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23.41</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630,000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38.29</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820,000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34.84</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505,000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41.88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822,000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31.78</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429,000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19.94</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471,000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38.10</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900,000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29.45</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19.89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33.70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30.42</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185,000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12.31</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633,000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36.46</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819,000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30.96</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24.05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33.51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31.54</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348,000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16.79</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453,000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38.02</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800,000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28.83</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8,999,000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17.01</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2,810,000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36.27</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11,809,000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21.59</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10,934,000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17.35</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7,878,000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36.23</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18,812,000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25.25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1160" w:hanging="1125"/>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Anchor is defined as a tenant leasing 15,000 square feet or more.</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Minimum Rent reflects in-place contractual (cash-basis) rent as of June 30, 2014.</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occupied square footage as of June 30, 2014.</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2" w:right="239" w:bottom="1440" w:gutter="0" w:footer="0" w:header="0"/>
        </w:sectPr>
      </w:pPr>
    </w:p>
    <w:bookmarkStart w:id="26" w:name="page27"/>
    <w:bookmarkEnd w:id="26"/>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Portfolio Leased Statistics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2014</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20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1"/>
              </w:rPr>
              <w:t>Overall Portfolio Statistics (1)</w:t>
            </w:r>
          </w:p>
        </w:tc>
        <w:tc>
          <w:tcPr>
            <w:tcW w:w="2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At June 30, 2014</w:t>
            </w:r>
          </w:p>
        </w:tc>
        <w:tc>
          <w:tcPr>
            <w:tcW w:w="6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3"/>
          </w:tcPr>
          <w:p>
            <w:pPr>
              <w:ind w:left="100"/>
              <w:spacing w:after="0"/>
              <w:rPr>
                <w:sz w:val="20"/>
                <w:szCs w:val="20"/>
                <w:color w:val="auto"/>
              </w:rPr>
            </w:pPr>
            <w:r>
              <w:rPr>
                <w:rFonts w:ascii="Arial" w:cs="Arial" w:eastAsia="Arial" w:hAnsi="Arial"/>
                <w:sz w:val="14"/>
                <w:szCs w:val="14"/>
                <w:b w:val="1"/>
                <w:bCs w:val="1"/>
                <w:color w:val="auto"/>
              </w:rPr>
              <w:t>At June 30, 2013</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466"/>
        </w:trPr>
        <w:tc>
          <w:tcPr>
            <w:tcW w:w="4520" w:type="dxa"/>
            <w:vAlign w:val="bottom"/>
            <w:gridSpan w:val="5"/>
          </w:tcPr>
          <w:p>
            <w:pPr>
              <w:ind w:left="40"/>
              <w:spacing w:after="0"/>
              <w:rPr>
                <w:sz w:val="20"/>
                <w:szCs w:val="20"/>
                <w:color w:val="auto"/>
              </w:rPr>
            </w:pPr>
            <w:r>
              <w:rPr>
                <w:rFonts w:ascii="Arial" w:cs="Arial" w:eastAsia="Arial" w:hAnsi="Arial"/>
                <w:sz w:val="16"/>
                <w:szCs w:val="16"/>
                <w:color w:val="auto"/>
              </w:rPr>
              <w:t>Type</w:t>
            </w:r>
          </w:p>
        </w:tc>
        <w:tc>
          <w:tcPr>
            <w:tcW w:w="1100" w:type="dxa"/>
            <w:vAlign w:val="bottom"/>
            <w:gridSpan w:val="3"/>
          </w:tcPr>
          <w:p>
            <w:pPr>
              <w:jc w:val="right"/>
              <w:ind w:right="80"/>
              <w:spacing w:after="0"/>
              <w:rPr>
                <w:sz w:val="20"/>
                <w:szCs w:val="20"/>
                <w:color w:val="auto"/>
              </w:rPr>
            </w:pPr>
            <w:r>
              <w:rPr>
                <w:rFonts w:ascii="Arial" w:cs="Arial" w:eastAsia="Arial" w:hAnsi="Arial"/>
                <w:sz w:val="16"/>
                <w:szCs w:val="16"/>
                <w:color w:val="auto"/>
              </w:rPr>
              <w:t>Size</w:t>
            </w:r>
          </w:p>
        </w:tc>
        <w:tc>
          <w:tcPr>
            <w:tcW w:w="1440" w:type="dxa"/>
            <w:vAlign w:val="bottom"/>
            <w:gridSpan w:val="3"/>
          </w:tcPr>
          <w:p>
            <w:pPr>
              <w:ind w:left="600"/>
              <w:spacing w:after="0"/>
              <w:rPr>
                <w:sz w:val="20"/>
                <w:szCs w:val="20"/>
                <w:color w:val="auto"/>
              </w:rPr>
            </w:pPr>
            <w:r>
              <w:rPr>
                <w:rFonts w:ascii="Arial" w:cs="Arial" w:eastAsia="Arial" w:hAnsi="Arial"/>
                <w:sz w:val="16"/>
                <w:szCs w:val="16"/>
                <w:color w:val="auto"/>
              </w:rPr>
              <w:t>Leased</w:t>
            </w:r>
          </w:p>
        </w:tc>
        <w:tc>
          <w:tcPr>
            <w:tcW w:w="9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w w:val="87"/>
              </w:rPr>
              <w:t>Leased %</w:t>
            </w:r>
          </w:p>
        </w:tc>
        <w:tc>
          <w:tcPr>
            <w:tcW w:w="1120" w:type="dxa"/>
            <w:vAlign w:val="bottom"/>
            <w:gridSpan w:val="3"/>
          </w:tcPr>
          <w:p>
            <w:pPr>
              <w:ind w:left="740"/>
              <w:spacing w:after="0"/>
              <w:rPr>
                <w:sz w:val="20"/>
                <w:szCs w:val="20"/>
                <w:color w:val="auto"/>
              </w:rPr>
            </w:pPr>
            <w:r>
              <w:rPr>
                <w:rFonts w:ascii="Arial" w:cs="Arial" w:eastAsia="Arial" w:hAnsi="Arial"/>
                <w:sz w:val="16"/>
                <w:szCs w:val="16"/>
                <w:color w:val="auto"/>
              </w:rPr>
              <w:t>Size</w:t>
            </w:r>
          </w:p>
        </w:tc>
        <w:tc>
          <w:tcPr>
            <w:tcW w:w="5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318"/>
        </w:trPr>
        <w:tc>
          <w:tcPr>
            <w:tcW w:w="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Retail Properties (2) (3) (4) (sf)</w:t>
            </w:r>
          </w:p>
        </w:tc>
        <w:tc>
          <w:tcPr>
            <w:tcW w:w="11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19,995,000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19,054,000</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95.3%</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19,581,000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18,652,000</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95.3%</w:t>
            </w:r>
          </w:p>
        </w:tc>
      </w:tr>
      <w:tr>
        <w:trPr>
          <w:trHeight w:val="270"/>
        </w:trPr>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Residential Properties (units)</w:t>
            </w:r>
          </w:p>
        </w:tc>
        <w:tc>
          <w:tcPr>
            <w:tcW w:w="11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1,410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94.3%</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97.2%</w:t>
            </w:r>
          </w:p>
        </w:tc>
      </w:tr>
      <w:tr>
        <w:trPr>
          <w:trHeight w:val="770"/>
        </w:trPr>
        <w:tc>
          <w:tcPr>
            <w:tcW w:w="40" w:type="dxa"/>
            <w:vAlign w:val="bottom"/>
          </w:tcPr>
          <w:p>
            <w:pPr>
              <w:spacing w:after="0"/>
              <w:rPr>
                <w:sz w:val="24"/>
                <w:szCs w:val="24"/>
                <w:color w:val="auto"/>
              </w:rPr>
            </w:pPr>
          </w:p>
        </w:tc>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9"/>
              </w:rPr>
              <w:t>Same Center Statistics (1)</w:t>
            </w:r>
          </w:p>
        </w:tc>
        <w:tc>
          <w:tcPr>
            <w:tcW w:w="270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At June 30, 2014</w:t>
            </w:r>
          </w:p>
        </w:tc>
        <w:tc>
          <w:tcPr>
            <w:tcW w:w="6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3"/>
          </w:tcPr>
          <w:p>
            <w:pPr>
              <w:ind w:left="100"/>
              <w:spacing w:after="0"/>
              <w:rPr>
                <w:sz w:val="20"/>
                <w:szCs w:val="20"/>
                <w:color w:val="auto"/>
              </w:rPr>
            </w:pPr>
            <w:r>
              <w:rPr>
                <w:rFonts w:ascii="Arial" w:cs="Arial" w:eastAsia="Arial" w:hAnsi="Arial"/>
                <w:sz w:val="14"/>
                <w:szCs w:val="14"/>
                <w:b w:val="1"/>
                <w:bCs w:val="1"/>
                <w:color w:val="auto"/>
              </w:rPr>
              <w:t>At June 30, 2013</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466"/>
        </w:trPr>
        <w:tc>
          <w:tcPr>
            <w:tcW w:w="4520" w:type="dxa"/>
            <w:vAlign w:val="bottom"/>
            <w:gridSpan w:val="5"/>
          </w:tcPr>
          <w:p>
            <w:pPr>
              <w:ind w:left="40"/>
              <w:spacing w:after="0"/>
              <w:rPr>
                <w:sz w:val="20"/>
                <w:szCs w:val="20"/>
                <w:color w:val="auto"/>
              </w:rPr>
            </w:pPr>
            <w:r>
              <w:rPr>
                <w:rFonts w:ascii="Arial" w:cs="Arial" w:eastAsia="Arial" w:hAnsi="Arial"/>
                <w:sz w:val="16"/>
                <w:szCs w:val="16"/>
                <w:color w:val="auto"/>
              </w:rPr>
              <w:t>Type</w:t>
            </w:r>
          </w:p>
        </w:tc>
        <w:tc>
          <w:tcPr>
            <w:tcW w:w="1100" w:type="dxa"/>
            <w:vAlign w:val="bottom"/>
            <w:gridSpan w:val="3"/>
          </w:tcPr>
          <w:p>
            <w:pPr>
              <w:jc w:val="right"/>
              <w:ind w:right="80"/>
              <w:spacing w:after="0"/>
              <w:rPr>
                <w:sz w:val="20"/>
                <w:szCs w:val="20"/>
                <w:color w:val="auto"/>
              </w:rPr>
            </w:pPr>
            <w:r>
              <w:rPr>
                <w:rFonts w:ascii="Arial" w:cs="Arial" w:eastAsia="Arial" w:hAnsi="Arial"/>
                <w:sz w:val="16"/>
                <w:szCs w:val="16"/>
                <w:color w:val="auto"/>
              </w:rPr>
              <w:t>Size</w:t>
            </w:r>
          </w:p>
        </w:tc>
        <w:tc>
          <w:tcPr>
            <w:tcW w:w="1440" w:type="dxa"/>
            <w:vAlign w:val="bottom"/>
            <w:gridSpan w:val="3"/>
          </w:tcPr>
          <w:p>
            <w:pPr>
              <w:ind w:left="600"/>
              <w:spacing w:after="0"/>
              <w:rPr>
                <w:sz w:val="20"/>
                <w:szCs w:val="20"/>
                <w:color w:val="auto"/>
              </w:rPr>
            </w:pPr>
            <w:r>
              <w:rPr>
                <w:rFonts w:ascii="Arial" w:cs="Arial" w:eastAsia="Arial" w:hAnsi="Arial"/>
                <w:sz w:val="16"/>
                <w:szCs w:val="16"/>
                <w:color w:val="auto"/>
              </w:rPr>
              <w:t>Leased</w:t>
            </w:r>
          </w:p>
        </w:tc>
        <w:tc>
          <w:tcPr>
            <w:tcW w:w="9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w w:val="87"/>
              </w:rPr>
              <w:t>Leased %</w:t>
            </w:r>
          </w:p>
        </w:tc>
        <w:tc>
          <w:tcPr>
            <w:tcW w:w="1120" w:type="dxa"/>
            <w:vAlign w:val="bottom"/>
            <w:gridSpan w:val="3"/>
          </w:tcPr>
          <w:p>
            <w:pPr>
              <w:ind w:left="740"/>
              <w:spacing w:after="0"/>
              <w:rPr>
                <w:sz w:val="20"/>
                <w:szCs w:val="20"/>
                <w:color w:val="auto"/>
              </w:rPr>
            </w:pPr>
            <w:r>
              <w:rPr>
                <w:rFonts w:ascii="Arial" w:cs="Arial" w:eastAsia="Arial" w:hAnsi="Arial"/>
                <w:sz w:val="16"/>
                <w:szCs w:val="16"/>
                <w:color w:val="auto"/>
              </w:rPr>
              <w:t>Size</w:t>
            </w:r>
          </w:p>
        </w:tc>
        <w:tc>
          <w:tcPr>
            <w:tcW w:w="5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318"/>
        </w:trPr>
        <w:tc>
          <w:tcPr>
            <w:tcW w:w="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Retail Properties (2) (4) (5) (sf)</w:t>
            </w:r>
          </w:p>
        </w:tc>
        <w:tc>
          <w:tcPr>
            <w:tcW w:w="11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16,771,000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16,015,000</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95.5%</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16,764,000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15,998,000</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95.4%</w:t>
            </w:r>
          </w:p>
        </w:tc>
      </w:tr>
      <w:tr>
        <w:trPr>
          <w:trHeight w:val="270"/>
        </w:trPr>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37"/>
        </w:trPr>
        <w:tc>
          <w:tcPr>
            <w:tcW w:w="452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Residential Properties (units)</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1,058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1,020</w:t>
            </w:r>
          </w:p>
        </w:tc>
        <w:tc>
          <w:tcPr>
            <w:tcW w:w="38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96.4%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5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97.2%</w:t>
            </w:r>
          </w:p>
        </w:tc>
      </w:tr>
      <w:tr>
        <w:trPr>
          <w:trHeight w:val="33"/>
        </w:trPr>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67" w:lineRule="exact"/>
        <w:rPr>
          <w:sz w:val="20"/>
          <w:szCs w:val="20"/>
          <w:color w:val="auto"/>
        </w:rPr>
      </w:pPr>
    </w:p>
    <w:p>
      <w:pPr>
        <w:ind w:left="840" w:hanging="805"/>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At June 30, 2014 leased percentage was 98.2% for anchor tenants and 91.5% for small shop tenants.</w:t>
      </w:r>
    </w:p>
    <w:p>
      <w:pPr>
        <w:spacing w:after="0" w:line="72" w:lineRule="exact"/>
        <w:rPr>
          <w:rFonts w:ascii="Arial" w:cs="Arial" w:eastAsia="Arial" w:hAnsi="Arial"/>
          <w:sz w:val="16"/>
          <w:szCs w:val="16"/>
          <w:color w:val="auto"/>
        </w:rPr>
      </w:pPr>
    </w:p>
    <w:p>
      <w:pPr>
        <w:ind w:left="840" w:right="40" w:hanging="805"/>
        <w:spacing w:after="0" w:line="293" w:lineRule="auto"/>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Occupied percentage was 94.3% and 94.5% at June 30, 2014 and 2013, respectively, and same center occupied percentage was 95.0% and 94.6% at June 30, 2014 and 2013, respectively.</w:t>
      </w:r>
    </w:p>
    <w:p>
      <w:pPr>
        <w:spacing w:after="0" w:line="9" w:lineRule="exact"/>
        <w:rPr>
          <w:rFonts w:ascii="Arial" w:cs="Arial" w:eastAsia="Arial" w:hAnsi="Arial"/>
          <w:sz w:val="16"/>
          <w:szCs w:val="16"/>
          <w:color w:val="auto"/>
        </w:rPr>
      </w:pPr>
    </w:p>
    <w:p>
      <w:pPr>
        <w:ind w:left="840" w:hanging="805"/>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Excludes properties purchased, sold or under redevelopment.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2" w:right="239" w:bottom="1440" w:gutter="0" w:footer="0" w:header="0"/>
        </w:sectPr>
      </w:pPr>
    </w:p>
    <w:bookmarkStart w:id="27" w:name="page28"/>
    <w:bookmarkEnd w:id="27"/>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2014</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Annualized Base</w:t>
            </w:r>
          </w:p>
        </w:tc>
        <w:tc>
          <w:tcPr>
            <w:tcW w:w="1560" w:type="dxa"/>
            <w:vAlign w:val="bottom"/>
          </w:tcPr>
          <w:p>
            <w:pPr>
              <w:jc w:val="right"/>
              <w:ind w:right="200"/>
              <w:spacing w:after="0"/>
              <w:rPr>
                <w:sz w:val="20"/>
                <w:szCs w:val="20"/>
                <w:color w:val="auto"/>
              </w:rPr>
            </w:pPr>
            <w:r>
              <w:rPr>
                <w:rFonts w:ascii="Arial" w:cs="Arial" w:eastAsia="Arial" w:hAnsi="Arial"/>
                <w:sz w:val="14"/>
                <w:szCs w:val="14"/>
                <w:b w:val="1"/>
                <w:bCs w:val="1"/>
                <w:color w:val="auto"/>
                <w:w w:val="96"/>
              </w:rPr>
              <w:t>Percentage of Total</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4"/>
              </w:rPr>
              <w:t>Percentage of</w:t>
            </w:r>
          </w:p>
        </w:tc>
        <w:tc>
          <w:tcPr>
            <w:tcW w:w="860" w:type="dxa"/>
            <w:vAlign w:val="bottom"/>
          </w:tcPr>
          <w:p>
            <w:pPr>
              <w:jc w:val="right"/>
              <w:ind w:right="2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Rank</w:t>
            </w:r>
          </w:p>
        </w:tc>
        <w:tc>
          <w:tcPr>
            <w:tcW w:w="47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Tenant Name</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560"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Annualized Base</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Tenant GLA</w:t>
            </w:r>
          </w:p>
        </w:tc>
        <w:tc>
          <w:tcPr>
            <w:tcW w:w="2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6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Stores</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vMerge w:val="continue"/>
          </w:tcPr>
          <w:p>
            <w:pPr>
              <w:spacing w:after="0"/>
              <w:rPr>
                <w:sz w:val="16"/>
                <w:szCs w:val="16"/>
                <w:color w:val="auto"/>
              </w:rPr>
            </w:pPr>
          </w:p>
        </w:tc>
        <w:tc>
          <w:tcPr>
            <w:tcW w:w="4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Rent</w:t>
            </w:r>
          </w:p>
        </w:tc>
        <w:tc>
          <w:tcPr>
            <w:tcW w:w="15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Rent (4)</w:t>
            </w:r>
          </w:p>
        </w:tc>
        <w:tc>
          <w:tcPr>
            <w:tcW w:w="9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Total GLA (4)</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Ahold USA,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15,256,000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3.21%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Bed, Bath &amp; Beyond,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12,754,000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2.68%</w:t>
            </w:r>
          </w:p>
        </w:tc>
        <w:tc>
          <w:tcPr>
            <w:tcW w:w="980" w:type="dxa"/>
            <w:vAlign w:val="bottom"/>
          </w:tcPr>
          <w:p>
            <w:pPr>
              <w:jc w:val="right"/>
              <w:spacing w:after="0"/>
              <w:rPr>
                <w:sz w:val="20"/>
                <w:szCs w:val="20"/>
                <w:color w:val="auto"/>
              </w:rPr>
            </w:pPr>
            <w:r>
              <w:rPr>
                <w:rFonts w:ascii="Arial" w:cs="Arial" w:eastAsia="Arial" w:hAnsi="Arial"/>
                <w:sz w:val="16"/>
                <w:szCs w:val="16"/>
                <w:color w:val="auto"/>
              </w:rPr>
              <w:t>736,000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3.68%</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TJX Companies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10,770,000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Gap,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9,648,000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2.03%</w:t>
            </w:r>
          </w:p>
        </w:tc>
        <w:tc>
          <w:tcPr>
            <w:tcW w:w="980" w:type="dxa"/>
            <w:vAlign w:val="bottom"/>
          </w:tcPr>
          <w:p>
            <w:pPr>
              <w:jc w:val="right"/>
              <w:spacing w:after="0"/>
              <w:rPr>
                <w:sz w:val="20"/>
                <w:szCs w:val="20"/>
                <w:color w:val="auto"/>
              </w:rPr>
            </w:pPr>
            <w:r>
              <w:rPr>
                <w:rFonts w:ascii="Arial" w:cs="Arial" w:eastAsia="Arial" w:hAnsi="Arial"/>
                <w:sz w:val="16"/>
                <w:szCs w:val="16"/>
                <w:color w:val="auto"/>
              </w:rPr>
              <w:t>294,000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1.47%</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L.A. Fitness International LLC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8,241,000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CVS Corporation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6,780,000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1.43%</w:t>
            </w:r>
          </w:p>
        </w:tc>
        <w:tc>
          <w:tcPr>
            <w:tcW w:w="980" w:type="dxa"/>
            <w:vAlign w:val="bottom"/>
          </w:tcPr>
          <w:p>
            <w:pPr>
              <w:jc w:val="right"/>
              <w:spacing w:after="0"/>
              <w:rPr>
                <w:sz w:val="20"/>
                <w:szCs w:val="20"/>
                <w:color w:val="auto"/>
              </w:rPr>
            </w:pPr>
            <w:r>
              <w:rPr>
                <w:rFonts w:ascii="Arial" w:cs="Arial" w:eastAsia="Arial" w:hAnsi="Arial"/>
                <w:sz w:val="16"/>
                <w:szCs w:val="16"/>
                <w:color w:val="auto"/>
              </w:rPr>
              <w:t>189,000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0.95%</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DSW,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5,922,000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Best Buy Stores, L.P.</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5,858,000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1.23%</w:t>
            </w:r>
          </w:p>
        </w:tc>
        <w:tc>
          <w:tcPr>
            <w:tcW w:w="980" w:type="dxa"/>
            <w:vAlign w:val="bottom"/>
          </w:tcPr>
          <w:p>
            <w:pPr>
              <w:jc w:val="right"/>
              <w:spacing w:after="0"/>
              <w:rPr>
                <w:sz w:val="20"/>
                <w:szCs w:val="20"/>
                <w:color w:val="auto"/>
              </w:rPr>
            </w:pPr>
            <w:r>
              <w:rPr>
                <w:rFonts w:ascii="Arial" w:cs="Arial" w:eastAsia="Arial" w:hAnsi="Arial"/>
                <w:sz w:val="16"/>
                <w:szCs w:val="16"/>
                <w:color w:val="auto"/>
              </w:rPr>
              <w:t>212,000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Home Depot,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5,360,000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Barnes &amp; Noble,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5,117,000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1.08%</w:t>
            </w:r>
          </w:p>
        </w:tc>
        <w:tc>
          <w:tcPr>
            <w:tcW w:w="980" w:type="dxa"/>
            <w:vAlign w:val="bottom"/>
          </w:tcPr>
          <w:p>
            <w:pPr>
              <w:jc w:val="right"/>
              <w:spacing w:after="0"/>
              <w:rPr>
                <w:sz w:val="20"/>
                <w:szCs w:val="20"/>
                <w:color w:val="auto"/>
              </w:rPr>
            </w:pPr>
            <w:r>
              <w:rPr>
                <w:rFonts w:ascii="Arial" w:cs="Arial" w:eastAsia="Arial" w:hAnsi="Arial"/>
                <w:sz w:val="16"/>
                <w:szCs w:val="16"/>
                <w:color w:val="auto"/>
              </w:rPr>
              <w:t>214,000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Michaels Stores,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4,636,000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0.98%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Whole Foods Market,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4,425,000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0.93%</w:t>
            </w:r>
          </w:p>
        </w:tc>
        <w:tc>
          <w:tcPr>
            <w:tcW w:w="980" w:type="dxa"/>
            <w:vAlign w:val="bottom"/>
          </w:tcPr>
          <w:p>
            <w:pPr>
              <w:jc w:val="right"/>
              <w:spacing w:after="0"/>
              <w:rPr>
                <w:sz w:val="20"/>
                <w:szCs w:val="20"/>
                <w:color w:val="auto"/>
              </w:rPr>
            </w:pPr>
            <w:r>
              <w:rPr>
                <w:rFonts w:ascii="Arial" w:cs="Arial" w:eastAsia="Arial" w:hAnsi="Arial"/>
                <w:sz w:val="16"/>
                <w:szCs w:val="16"/>
                <w:color w:val="auto"/>
              </w:rPr>
              <w:t>167,000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0.84%</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Dick's Sporting Goods,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0.92%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4"/>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9"/>
                <w:szCs w:val="19"/>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AMC Entertainment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4,294,000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0.90%</w:t>
            </w:r>
          </w:p>
        </w:tc>
        <w:tc>
          <w:tcPr>
            <w:tcW w:w="980" w:type="dxa"/>
            <w:vAlign w:val="bottom"/>
          </w:tcPr>
          <w:p>
            <w:pPr>
              <w:jc w:val="right"/>
              <w:spacing w:after="0"/>
              <w:rPr>
                <w:sz w:val="20"/>
                <w:szCs w:val="20"/>
                <w:color w:val="auto"/>
              </w:rPr>
            </w:pPr>
            <w:r>
              <w:rPr>
                <w:rFonts w:ascii="Arial" w:cs="Arial" w:eastAsia="Arial" w:hAnsi="Arial"/>
                <w:sz w:val="16"/>
                <w:szCs w:val="16"/>
                <w:color w:val="auto"/>
              </w:rPr>
              <w:t>229,000</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Staples,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3,833,000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0.81%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0.89%</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Riverbed Technology,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3,705,000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0.78%</w:t>
            </w:r>
          </w:p>
        </w:tc>
        <w:tc>
          <w:tcPr>
            <w:tcW w:w="980" w:type="dxa"/>
            <w:vAlign w:val="bottom"/>
          </w:tcPr>
          <w:p>
            <w:pPr>
              <w:jc w:val="right"/>
              <w:spacing w:after="0"/>
              <w:rPr>
                <w:sz w:val="20"/>
                <w:szCs w:val="20"/>
                <w:color w:val="auto"/>
              </w:rPr>
            </w:pPr>
            <w:r>
              <w:rPr>
                <w:rFonts w:ascii="Arial" w:cs="Arial" w:eastAsia="Arial" w:hAnsi="Arial"/>
                <w:sz w:val="16"/>
                <w:szCs w:val="16"/>
                <w:color w:val="auto"/>
              </w:rPr>
              <w:t>83,000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0.42%</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Ross Stores,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3,704,000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Kroger Co.</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3,528,000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0.74%</w:t>
            </w:r>
          </w:p>
        </w:tc>
        <w:tc>
          <w:tcPr>
            <w:tcW w:w="980" w:type="dxa"/>
            <w:vAlign w:val="bottom"/>
          </w:tcPr>
          <w:p>
            <w:pPr>
              <w:jc w:val="right"/>
              <w:spacing w:after="0"/>
              <w:rPr>
                <w:sz w:val="20"/>
                <w:szCs w:val="20"/>
                <w:color w:val="auto"/>
              </w:rPr>
            </w:pPr>
            <w:r>
              <w:rPr>
                <w:rFonts w:ascii="Arial" w:cs="Arial" w:eastAsia="Arial" w:hAnsi="Arial"/>
                <w:sz w:val="16"/>
                <w:szCs w:val="16"/>
                <w:color w:val="auto"/>
              </w:rPr>
              <w:t>311,000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1.56%</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PETsMART,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3,246,000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0.75%</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Wells Fargo Bank, N.A.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3,223,000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0.68%</w:t>
            </w:r>
          </w:p>
        </w:tc>
        <w:tc>
          <w:tcPr>
            <w:tcW w:w="980" w:type="dxa"/>
            <w:vAlign w:val="bottom"/>
          </w:tcPr>
          <w:p>
            <w:pPr>
              <w:jc w:val="right"/>
              <w:spacing w:after="0"/>
              <w:rPr>
                <w:sz w:val="20"/>
                <w:szCs w:val="20"/>
                <w:color w:val="auto"/>
              </w:rPr>
            </w:pPr>
            <w:r>
              <w:rPr>
                <w:rFonts w:ascii="Arial" w:cs="Arial" w:eastAsia="Arial" w:hAnsi="Arial"/>
                <w:sz w:val="16"/>
                <w:szCs w:val="16"/>
                <w:color w:val="auto"/>
              </w:rPr>
              <w:t>51,000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0.26%</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Dress Barn,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3,223,000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Bank of America, N.A.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3,181,000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0.67%</w:t>
            </w:r>
          </w:p>
        </w:tc>
        <w:tc>
          <w:tcPr>
            <w:tcW w:w="980" w:type="dxa"/>
            <w:vAlign w:val="bottom"/>
          </w:tcPr>
          <w:p>
            <w:pPr>
              <w:jc w:val="right"/>
              <w:spacing w:after="0"/>
              <w:rPr>
                <w:sz w:val="20"/>
                <w:szCs w:val="20"/>
                <w:color w:val="auto"/>
              </w:rPr>
            </w:pPr>
            <w:r>
              <w:rPr>
                <w:rFonts w:ascii="Arial" w:cs="Arial" w:eastAsia="Arial" w:hAnsi="Arial"/>
                <w:sz w:val="16"/>
                <w:szCs w:val="16"/>
                <w:color w:val="auto"/>
              </w:rPr>
              <w:t>64,000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0.32%</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 Moore,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3,107,000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0.81%</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460" w:type="dxa"/>
            <w:vAlign w:val="bottom"/>
            <w:gridSpan w:val="2"/>
          </w:tcPr>
          <w:p>
            <w:pPr>
              <w:jc w:val="right"/>
              <w:ind w:right="3"/>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Sports Authority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3,080,000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0.65%</w:t>
            </w:r>
          </w:p>
        </w:tc>
        <w:tc>
          <w:tcPr>
            <w:tcW w:w="980" w:type="dxa"/>
            <w:vAlign w:val="bottom"/>
          </w:tcPr>
          <w:p>
            <w:pPr>
              <w:jc w:val="right"/>
              <w:spacing w:after="0"/>
              <w:rPr>
                <w:sz w:val="20"/>
                <w:szCs w:val="20"/>
                <w:color w:val="auto"/>
              </w:rPr>
            </w:pPr>
            <w:r>
              <w:rPr>
                <w:rFonts w:ascii="Arial" w:cs="Arial" w:eastAsia="Arial" w:hAnsi="Arial"/>
                <w:sz w:val="16"/>
                <w:szCs w:val="16"/>
                <w:color w:val="auto"/>
              </w:rPr>
              <w:t>179,000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0.90%</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 w:type="dxa"/>
            <w:vAlign w:val="bottom"/>
            <w:tcBorders>
              <w:bottom w:val="single" w:sz="8" w:color="CCEEFF"/>
            </w:tcBorders>
            <w:gridSpan w:val="2"/>
            <w:shd w:val="clear" w:color="auto" w:fill="CCEEFF"/>
          </w:tcPr>
          <w:p>
            <w:pPr>
              <w:jc w:val="right"/>
              <w:ind w:right="3"/>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Container Store,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3,071,000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74,000</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84"/>
        </w:trPr>
        <w:tc>
          <w:tcPr>
            <w:tcW w:w="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Totals - Top 25 Tenants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140,337,000</w:t>
            </w:r>
          </w:p>
        </w:tc>
        <w:tc>
          <w:tcPr>
            <w:tcW w:w="15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29.54%</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6,717,000</w:t>
            </w:r>
          </w:p>
        </w:tc>
        <w:tc>
          <w:tcPr>
            <w:tcW w:w="2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33.64%</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Total: (1)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475,392,000</w:t>
            </w:r>
          </w:p>
        </w:tc>
        <w:tc>
          <w:tcPr>
            <w:tcW w:w="1560" w:type="dxa"/>
            <w:vAlign w:val="bottom"/>
          </w:tcPr>
          <w:p>
            <w:pPr>
              <w:jc w:val="right"/>
              <w:ind w:right="1220"/>
              <w:spacing w:after="0"/>
              <w:rPr>
                <w:sz w:val="20"/>
                <w:szCs w:val="20"/>
                <w:color w:val="auto"/>
              </w:rPr>
            </w:pPr>
            <w:r>
              <w:rPr>
                <w:rFonts w:ascii="Arial" w:cs="Arial" w:eastAsia="Arial" w:hAnsi="Arial"/>
                <w:sz w:val="16"/>
                <w:szCs w:val="16"/>
                <w:color w:val="auto"/>
              </w:rPr>
              <w:t>(2)</w:t>
            </w:r>
          </w:p>
        </w:tc>
        <w:tc>
          <w:tcPr>
            <w:tcW w:w="980" w:type="dxa"/>
            <w:vAlign w:val="bottom"/>
          </w:tcPr>
          <w:p>
            <w:pPr>
              <w:jc w:val="right"/>
              <w:spacing w:after="0"/>
              <w:rPr>
                <w:sz w:val="20"/>
                <w:szCs w:val="20"/>
                <w:color w:val="auto"/>
              </w:rPr>
            </w:pPr>
            <w:r>
              <w:rPr>
                <w:rFonts w:ascii="Arial" w:cs="Arial" w:eastAsia="Arial" w:hAnsi="Arial"/>
                <w:sz w:val="16"/>
                <w:szCs w:val="16"/>
                <w:color w:val="auto"/>
              </w:rPr>
              <w:t>19,995,000</w:t>
            </w: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10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2,604</w:t>
            </w:r>
          </w:p>
        </w:tc>
        <w:tc>
          <w:tcPr>
            <w:tcW w:w="0" w:type="dxa"/>
            <w:vAlign w:val="bottom"/>
          </w:tcPr>
          <w:p>
            <w:pPr>
              <w:spacing w:after="0"/>
              <w:rPr>
                <w:sz w:val="1"/>
                <w:szCs w:val="1"/>
                <w:color w:val="auto"/>
              </w:rPr>
            </w:pPr>
          </w:p>
        </w:tc>
      </w:tr>
      <w:tr>
        <w:trPr>
          <w:trHeight w:val="506"/>
        </w:trPr>
        <w:tc>
          <w:tcPr>
            <w:tcW w:w="40" w:type="dxa"/>
            <w:vAlign w:val="bottom"/>
          </w:tcPr>
          <w:p>
            <w:pPr>
              <w:spacing w:after="0"/>
              <w:rPr>
                <w:sz w:val="24"/>
                <w:szCs w:val="2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6"/>
              </w:rPr>
              <w:t>Notes:</w:t>
            </w:r>
          </w:p>
        </w:tc>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60" w:type="dxa"/>
            <w:vAlign w:val="bottom"/>
            <w:gridSpan w:val="2"/>
          </w:tcPr>
          <w:p>
            <w:pPr>
              <w:ind w:lef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10840" w:type="dxa"/>
            <w:vAlign w:val="bottom"/>
            <w:gridSpan w:val="8"/>
          </w:tcPr>
          <w:p>
            <w:pPr>
              <w:ind w:left="140"/>
              <w:spacing w:after="0"/>
              <w:rPr>
                <w:sz w:val="20"/>
                <w:szCs w:val="20"/>
                <w:color w:val="auto"/>
              </w:rPr>
            </w:pPr>
            <w:r>
              <w:rPr>
                <w:rFonts w:ascii="Arial" w:cs="Arial" w:eastAsia="Arial" w:hAnsi="Arial"/>
                <w:sz w:val="16"/>
                <w:szCs w:val="16"/>
                <w:color w:val="auto"/>
                <w:w w:val="97"/>
              </w:rPr>
              <w:t>Does not include amounts related to leases these tenants have with our partnership with a discretionary fund created and advised by ING Clarion Partners.</w:t>
            </w:r>
          </w:p>
        </w:tc>
        <w:tc>
          <w:tcPr>
            <w:tcW w:w="0" w:type="dxa"/>
            <w:vAlign w:val="bottom"/>
          </w:tcPr>
          <w:p>
            <w:pPr>
              <w:spacing w:after="0"/>
              <w:rPr>
                <w:sz w:val="1"/>
                <w:szCs w:val="1"/>
                <w:color w:val="auto"/>
              </w:rPr>
            </w:pPr>
          </w:p>
        </w:tc>
      </w:tr>
      <w:tr>
        <w:trPr>
          <w:trHeight w:val="266"/>
        </w:trPr>
        <w:tc>
          <w:tcPr>
            <w:tcW w:w="460" w:type="dxa"/>
            <w:vAlign w:val="bottom"/>
            <w:gridSpan w:val="2"/>
          </w:tcPr>
          <w:p>
            <w:pPr>
              <w:ind w:lef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10840" w:type="dxa"/>
            <w:vAlign w:val="bottom"/>
            <w:gridSpan w:val="8"/>
          </w:tcPr>
          <w:p>
            <w:pPr>
              <w:ind w:left="140"/>
              <w:spacing w:after="0"/>
              <w:rPr>
                <w:sz w:val="20"/>
                <w:szCs w:val="20"/>
                <w:color w:val="auto"/>
              </w:rPr>
            </w:pPr>
            <w:r>
              <w:rPr>
                <w:rFonts w:ascii="Arial" w:cs="Arial" w:eastAsia="Arial" w:hAnsi="Arial"/>
                <w:sz w:val="16"/>
                <w:szCs w:val="16"/>
                <w:color w:val="auto"/>
                <w:w w:val="92"/>
              </w:rPr>
              <w:t>Reflects aggregate, annualized in-place contractual (defined as cash-basis including adjustments for concessions) minimum rent for all occupied spaces as of June</w:t>
            </w: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30, 2014.</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60" w:type="dxa"/>
            <w:vAlign w:val="bottom"/>
            <w:gridSpan w:val="2"/>
          </w:tcPr>
          <w:p>
            <w:pPr>
              <w:ind w:left="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w w:val="98"/>
              </w:rPr>
              <w:t>Excludes redevelopment square footage not yet placed in service.</w:t>
            </w: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0" w:type="dxa"/>
            <w:vAlign w:val="bottom"/>
            <w:gridSpan w:val="2"/>
          </w:tcPr>
          <w:p>
            <w:pPr>
              <w:ind w:lef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3"/>
                <w:szCs w:val="23"/>
                <w:color w:val="auto"/>
              </w:rPr>
            </w:pPr>
          </w:p>
        </w:tc>
        <w:tc>
          <w:tcPr>
            <w:tcW w:w="4740" w:type="dxa"/>
            <w:vAlign w:val="bottom"/>
          </w:tcPr>
          <w:p>
            <w:pPr>
              <w:ind w:left="140"/>
              <w:spacing w:after="0"/>
              <w:rPr>
                <w:sz w:val="20"/>
                <w:szCs w:val="20"/>
                <w:color w:val="auto"/>
              </w:rPr>
            </w:pPr>
            <w:r>
              <w:rPr>
                <w:rFonts w:ascii="Arial" w:cs="Arial" w:eastAsia="Arial" w:hAnsi="Arial"/>
                <w:sz w:val="16"/>
                <w:szCs w:val="16"/>
                <w:color w:val="auto"/>
              </w:rPr>
              <w:t>Individual items may not add up to total due to rounding.</w:t>
            </w: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2" w:right="239" w:bottom="1440" w:gutter="0" w:footer="0" w:header="0"/>
        </w:sectPr>
      </w:pPr>
    </w:p>
    <w:bookmarkStart w:id="28" w:name="page29"/>
    <w:bookmarkEnd w:id="28"/>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Net Income to FFO Guidance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2014</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74"/>
              <w:spacing w:after="0"/>
              <w:rPr>
                <w:sz w:val="20"/>
                <w:szCs w:val="20"/>
                <w:color w:val="auto"/>
              </w:rPr>
            </w:pPr>
            <w:r>
              <w:rPr>
                <w:rFonts w:ascii="Arial" w:cs="Arial" w:eastAsia="Arial" w:hAnsi="Arial"/>
                <w:sz w:val="14"/>
                <w:szCs w:val="14"/>
                <w:b w:val="1"/>
                <w:bCs w:val="1"/>
                <w:color w:val="auto"/>
                <w:w w:val="91"/>
              </w:rPr>
              <w:t>2014 Guidance</w:t>
            </w:r>
          </w:p>
        </w:tc>
        <w:tc>
          <w:tcPr>
            <w:tcW w:w="500" w:type="dxa"/>
            <w:vAlign w:val="bottom"/>
            <w:tcBorders>
              <w:bottom w:val="single" w:sz="8" w:color="auto"/>
            </w:tcBorders>
          </w:tcPr>
          <w:p>
            <w:pPr>
              <w:spacing w:after="0"/>
              <w:rPr>
                <w:sz w:val="16"/>
                <w:szCs w:val="16"/>
                <w:color w:val="auto"/>
              </w:rPr>
            </w:pPr>
          </w:p>
        </w:tc>
      </w:tr>
      <w:tr>
        <w:trPr>
          <w:trHeight w:val="244"/>
        </w:trPr>
        <w:tc>
          <w:tcPr>
            <w:tcW w:w="4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gridSpan w:val="3"/>
          </w:tcPr>
          <w:p>
            <w:pPr>
              <w:jc w:val="center"/>
              <w:ind w:left="74"/>
              <w:spacing w:after="0"/>
              <w:rPr>
                <w:sz w:val="20"/>
                <w:szCs w:val="20"/>
                <w:color w:val="auto"/>
              </w:rPr>
            </w:pPr>
            <w:r>
              <w:rPr>
                <w:rFonts w:ascii="Arial" w:cs="Arial" w:eastAsia="Arial" w:hAnsi="Arial"/>
                <w:sz w:val="14"/>
                <w:szCs w:val="14"/>
                <w:color w:val="auto"/>
                <w:w w:val="97"/>
              </w:rPr>
              <w:t>(Dollars in millions except</w:t>
            </w:r>
          </w:p>
        </w:tc>
        <w:tc>
          <w:tcPr>
            <w:tcW w:w="500" w:type="dxa"/>
            <w:vAlign w:val="bottom"/>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60" w:type="dxa"/>
            <w:vAlign w:val="bottom"/>
            <w:gridSpan w:val="3"/>
          </w:tcPr>
          <w:p>
            <w:pPr>
              <w:jc w:val="center"/>
              <w:ind w:left="114"/>
              <w:spacing w:after="0"/>
              <w:rPr>
                <w:sz w:val="20"/>
                <w:szCs w:val="20"/>
                <w:color w:val="auto"/>
              </w:rPr>
            </w:pPr>
            <w:r>
              <w:rPr>
                <w:rFonts w:ascii="Arial" w:cs="Arial" w:eastAsia="Arial" w:hAnsi="Arial"/>
                <w:sz w:val="14"/>
                <w:szCs w:val="14"/>
                <w:color w:val="auto"/>
                <w:w w:val="91"/>
              </w:rPr>
              <w:t>per share amounts) (1)</w:t>
            </w:r>
          </w:p>
        </w:tc>
        <w:tc>
          <w:tcPr>
            <w:tcW w:w="500" w:type="dxa"/>
            <w:vAlign w:val="bottom"/>
          </w:tcPr>
          <w:p>
            <w:pPr>
              <w:spacing w:after="0"/>
              <w:rPr>
                <w:sz w:val="23"/>
                <w:szCs w:val="23"/>
                <w:color w:val="auto"/>
              </w:rPr>
            </w:pPr>
          </w:p>
        </w:tc>
      </w:tr>
      <w:tr>
        <w:trPr>
          <w:trHeight w:val="215"/>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Funds from Operations available for common shareholders (FFO)</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4740" w:type="dxa"/>
            <w:vAlign w:val="bottom"/>
            <w:tcBorders>
              <w:top w:val="single" w:sz="8" w:color="auto"/>
            </w:tcBorders>
          </w:tcPr>
          <w:p>
            <w:pPr>
              <w:spacing w:after="0"/>
              <w:rPr>
                <w:sz w:val="4"/>
                <w:szCs w:val="4"/>
                <w:color w:val="auto"/>
              </w:rPr>
            </w:pPr>
          </w:p>
        </w:tc>
        <w:tc>
          <w:tcPr>
            <w:tcW w:w="3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 of real estate &amp; joint venture real estate assets</w:t>
            </w:r>
          </w:p>
        </w:tc>
        <w:tc>
          <w:tcPr>
            <w:tcW w:w="3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153</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37"/>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Funds from operations</w:t>
            </w: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334</w:t>
            </w:r>
          </w:p>
        </w:tc>
        <w:tc>
          <w:tcPr>
            <w:tcW w:w="2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337</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Dividends on preferred shares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3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97"/>
        </w:trPr>
        <w:tc>
          <w:tcPr>
            <w:tcW w:w="87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FFO</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335</w:t>
            </w:r>
          </w:p>
        </w:tc>
        <w:tc>
          <w:tcPr>
            <w:tcW w:w="22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338</w:t>
            </w:r>
          </w:p>
        </w:tc>
      </w:tr>
      <w:tr>
        <w:trPr>
          <w:trHeight w:val="271"/>
        </w:trPr>
        <w:tc>
          <w:tcPr>
            <w:tcW w:w="40" w:type="dxa"/>
            <w:vAlign w:val="bottom"/>
            <w:shd w:val="clear" w:color="auto" w:fill="CCEEFF"/>
          </w:tcPr>
          <w:p>
            <w:pPr>
              <w:spacing w:after="0"/>
              <w:rPr>
                <w:sz w:val="23"/>
                <w:szCs w:val="23"/>
                <w:color w:val="auto"/>
              </w:rPr>
            </w:pPr>
          </w:p>
        </w:tc>
        <w:tc>
          <w:tcPr>
            <w:tcW w:w="4740" w:type="dxa"/>
            <w:vAlign w:val="bottom"/>
            <w:shd w:val="clear" w:color="auto" w:fill="CCEEFF"/>
          </w:tcPr>
          <w:p>
            <w:pPr>
              <w:spacing w:after="0"/>
              <w:rPr>
                <w:sz w:val="23"/>
                <w:szCs w:val="23"/>
                <w:color w:val="auto"/>
              </w:rPr>
            </w:pPr>
          </w:p>
        </w:tc>
        <w:tc>
          <w:tcPr>
            <w:tcW w:w="39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Weighted average number of common shares, diluted</w:t>
            </w:r>
          </w:p>
        </w:tc>
        <w:tc>
          <w:tcPr>
            <w:tcW w:w="3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68.3</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68.3</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4740" w:type="dxa"/>
            <w:vAlign w:val="bottom"/>
            <w:shd w:val="clear" w:color="auto" w:fill="CCEEFF"/>
          </w:tcPr>
          <w:p>
            <w:pPr>
              <w:spacing w:after="0"/>
              <w:rPr>
                <w:sz w:val="24"/>
                <w:szCs w:val="24"/>
                <w:color w:val="auto"/>
              </w:rPr>
            </w:pPr>
          </w:p>
        </w:tc>
        <w:tc>
          <w:tcPr>
            <w:tcW w:w="39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r>
      <w:tr>
        <w:trPr>
          <w:trHeight w:val="264"/>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FFO per diluted share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4.90</w:t>
            </w:r>
          </w:p>
        </w:tc>
        <w:tc>
          <w:tcPr>
            <w:tcW w:w="220" w:type="dxa"/>
            <w:vAlign w:val="bottom"/>
          </w:tcPr>
          <w:p>
            <w:pPr>
              <w:spacing w:after="0"/>
              <w:rPr>
                <w:sz w:val="22"/>
                <w:szCs w:val="22"/>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4.94</w:t>
            </w:r>
          </w:p>
        </w:tc>
      </w:tr>
      <w:tr>
        <w:trPr>
          <w:trHeight w:val="20"/>
        </w:trPr>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(1) - Individual items may not add up to total due to rounding.</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2" w:right="239" w:bottom="1440" w:gutter="0" w:footer="0" w:header="0"/>
        </w:sectPr>
      </w:pPr>
    </w:p>
    <w:bookmarkStart w:id="29" w:name="page30"/>
    <w:bookmarkEnd w:id="2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Income Statements and Balance Sheets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34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40" w:type="dxa"/>
            <w:vAlign w:val="bottom"/>
            <w:gridSpan w:val="4"/>
          </w:tcPr>
          <w:p>
            <w:pPr>
              <w:jc w:val="center"/>
              <w:ind w:right="292"/>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center"/>
              <w:ind w:left="674"/>
              <w:spacing w:after="0"/>
              <w:rPr>
                <w:sz w:val="20"/>
                <w:szCs w:val="20"/>
                <w:color w:val="auto"/>
              </w:rPr>
            </w:pPr>
            <w:r>
              <w:rPr>
                <w:rFonts w:ascii="Arial" w:cs="Arial" w:eastAsia="Arial" w:hAnsi="Arial"/>
                <w:sz w:val="14"/>
                <w:szCs w:val="14"/>
                <w:b w:val="1"/>
                <w:bCs w:val="1"/>
                <w:color w:val="auto"/>
                <w:w w:val="92"/>
              </w:rPr>
              <w:t>June 30,</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CONSOLIDATED INCOME STATEMENTS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140"/>
              <w:spacing w:after="0"/>
              <w:rPr>
                <w:sz w:val="20"/>
                <w:szCs w:val="20"/>
                <w:color w:val="auto"/>
              </w:rPr>
            </w:pPr>
            <w:r>
              <w:rPr>
                <w:rFonts w:ascii="Arial" w:cs="Arial" w:eastAsia="Arial" w:hAnsi="Arial"/>
                <w:sz w:val="18"/>
                <w:szCs w:val="18"/>
                <w:color w:val="auto"/>
              </w:rPr>
              <w:t>Rental income</w:t>
            </w:r>
          </w:p>
        </w:tc>
        <w:tc>
          <w:tcPr>
            <w:tcW w:w="86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w w:val="88"/>
              </w:rPr>
              <w:t>4,455</w:t>
            </w:r>
          </w:p>
        </w:tc>
        <w:tc>
          <w:tcPr>
            <w:tcW w:w="120" w:type="dxa"/>
            <w:vAlign w:val="bottom"/>
          </w:tcPr>
          <w:p>
            <w:pPr>
              <w:spacing w:after="0"/>
              <w:rPr>
                <w:sz w:val="21"/>
                <w:szCs w:val="21"/>
                <w:color w:val="auto"/>
              </w:rPr>
            </w:pP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4,524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9,463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9,444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property income</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8"/>
              </w:rPr>
              <w:t>4,469</w:t>
            </w:r>
          </w:p>
        </w:tc>
        <w:tc>
          <w:tcPr>
            <w:tcW w:w="1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84"/>
              </w:rPr>
              <w:t>4,624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9,487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9,573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140"/>
              <w:spacing w:after="0"/>
              <w:rPr>
                <w:sz w:val="20"/>
                <w:szCs w:val="20"/>
                <w:color w:val="auto"/>
              </w:rPr>
            </w:pPr>
            <w:r>
              <w:rPr>
                <w:rFonts w:ascii="Arial" w:cs="Arial" w:eastAsia="Arial" w:hAnsi="Arial"/>
                <w:sz w:val="18"/>
                <w:szCs w:val="18"/>
                <w:color w:val="auto"/>
              </w:rPr>
              <w:t>Rental</w:t>
            </w:r>
          </w:p>
        </w:tc>
        <w:tc>
          <w:tcPr>
            <w:tcW w:w="86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2,284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Real estate taxes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14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w w:val="88"/>
              </w:rPr>
              <w:t>1,590</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1,361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3,077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2,980</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4"/>
              </w:rPr>
              <w:t>2,679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6,577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580" w:type="dxa"/>
            <w:vAlign w:val="bottom"/>
            <w:gridSpan w:val="3"/>
          </w:tcPr>
          <w:p>
            <w:pPr>
              <w:ind w:left="140"/>
              <w:spacing w:after="0"/>
              <w:rPr>
                <w:sz w:val="20"/>
                <w:szCs w:val="20"/>
                <w:color w:val="auto"/>
              </w:rPr>
            </w:pPr>
            <w:r>
              <w:rPr>
                <w:rFonts w:ascii="Arial" w:cs="Arial" w:eastAsia="Arial" w:hAnsi="Arial"/>
                <w:sz w:val="18"/>
                <w:szCs w:val="18"/>
                <w:color w:val="auto"/>
              </w:rPr>
              <w:t>Operating income</w:t>
            </w:r>
          </w:p>
        </w:tc>
        <w:tc>
          <w:tcPr>
            <w:tcW w:w="8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8"/>
              </w:rPr>
              <w:t>1,489</w:t>
            </w:r>
          </w:p>
        </w:tc>
        <w:tc>
          <w:tcPr>
            <w:tcW w:w="1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84"/>
              </w:rPr>
              <w:t>1,945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2,910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57"/>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84"/>
              </w:rPr>
              <w:t>1,104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1,290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4"/>
                <w:szCs w:val="24"/>
                <w:color w:val="auto"/>
              </w:rPr>
            </w:pPr>
          </w:p>
        </w:tc>
        <w:tc>
          <w:tcPr>
            <w:tcW w:w="1120" w:type="dxa"/>
            <w:vAlign w:val="bottom"/>
          </w:tcPr>
          <w:p>
            <w:pPr>
              <w:jc w:val="right"/>
              <w:ind w:right="17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40" w:type="dxa"/>
            <w:vAlign w:val="bottom"/>
            <w:gridSpan w:val="4"/>
          </w:tcPr>
          <w:p>
            <w:pPr>
              <w:jc w:val="center"/>
              <w:ind w:right="272"/>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5"/>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CONSOLIDATED BALANCE SHEETS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Real estate, at cost</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211,605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210,703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Less accumulated depreciation and amortization</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(39,836)</w:t>
            </w:r>
          </w:p>
        </w:tc>
        <w:tc>
          <w:tcPr>
            <w:tcW w:w="0" w:type="dxa"/>
            <w:vAlign w:val="bottom"/>
          </w:tcPr>
          <w:p>
            <w:pPr>
              <w:spacing w:after="0"/>
              <w:rPr>
                <w:sz w:val="1"/>
                <w:szCs w:val="1"/>
                <w:color w:val="auto"/>
              </w:rPr>
            </w:pPr>
          </w:p>
        </w:tc>
      </w:tr>
      <w:tr>
        <w:trPr>
          <w:trHeight w:val="237"/>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Net real estate</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169,193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170,867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Other assets</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5,170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177,409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178,745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LIABILITIES AND PARTNERS' CAPITAL</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Liabilities</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Mortgages payable</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44,885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56,922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180"/>
              <w:spacing w:after="0"/>
              <w:rPr>
                <w:sz w:val="20"/>
                <w:szCs w:val="20"/>
                <w:color w:val="auto"/>
              </w:rPr>
            </w:pPr>
            <w:r>
              <w:rPr>
                <w:rFonts w:ascii="Arial" w:cs="Arial" w:eastAsia="Arial" w:hAnsi="Arial"/>
                <w:sz w:val="18"/>
                <w:szCs w:val="18"/>
                <w:color w:val="auto"/>
              </w:rPr>
              <w:t>Other liabilities</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3,937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48,822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61,022</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Partners' capital</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128,587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117,723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 AND PARTNERS' CAPITAL</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177,409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178,745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60" w:type="dxa"/>
            <w:vAlign w:val="bottom"/>
            <w:vMerge w:val="restart"/>
          </w:tcPr>
          <w:p>
            <w:pPr>
              <w:spacing w:after="0"/>
              <w:rPr>
                <w:sz w:val="20"/>
                <w:szCs w:val="20"/>
                <w:color w:val="auto"/>
              </w:rPr>
            </w:pPr>
            <w:r>
              <w:rPr>
                <w:rFonts w:ascii="Arial" w:cs="Arial" w:eastAsia="Arial" w:hAnsi="Arial"/>
                <w:sz w:val="18"/>
                <w:szCs w:val="18"/>
                <w:color w:val="auto"/>
              </w:rPr>
              <w:t>27</w:t>
            </w: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30" w:name="page31"/>
    <w:bookmarkEnd w:id="3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Outstanding Debt and Debt Maturities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2014</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Maturity</w:t>
            </w:r>
          </w:p>
        </w:tc>
        <w:tc>
          <w:tcPr>
            <w:tcW w:w="2020" w:type="dxa"/>
            <w:vAlign w:val="bottom"/>
          </w:tcPr>
          <w:p>
            <w:pPr>
              <w:jc w:val="right"/>
              <w:ind w:right="16"/>
              <w:spacing w:after="0"/>
              <w:rPr>
                <w:sz w:val="20"/>
                <w:szCs w:val="20"/>
                <w:color w:val="auto"/>
              </w:rPr>
            </w:pPr>
            <w:r>
              <w:rPr>
                <w:rFonts w:ascii="Arial" w:cs="Arial" w:eastAsia="Arial" w:hAnsi="Arial"/>
                <w:sz w:val="14"/>
                <w:szCs w:val="14"/>
                <w:b w:val="1"/>
                <w:bCs w:val="1"/>
                <w:color w:val="auto"/>
              </w:rPr>
              <w:t>Stated Interest Rate as of</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vMerge w:val="restart"/>
          </w:tcPr>
          <w:p>
            <w:pPr>
              <w:jc w:val="center"/>
              <w:ind w:right="176"/>
              <w:spacing w:after="0"/>
              <w:rPr>
                <w:sz w:val="20"/>
                <w:szCs w:val="20"/>
                <w:color w:val="auto"/>
              </w:rPr>
            </w:pPr>
            <w:r>
              <w:rPr>
                <w:rFonts w:ascii="Arial" w:cs="Arial" w:eastAsia="Arial" w:hAnsi="Arial"/>
                <w:sz w:val="14"/>
                <w:szCs w:val="14"/>
                <w:b w:val="1"/>
                <w:bCs w:val="1"/>
                <w:color w:val="auto"/>
                <w:w w:val="93"/>
              </w:rPr>
              <w:t>Balance</w:t>
            </w:r>
          </w:p>
        </w:tc>
        <w:tc>
          <w:tcPr>
            <w:tcW w:w="2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20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June 30, 2014</w:t>
            </w:r>
          </w:p>
        </w:tc>
        <w:tc>
          <w:tcPr>
            <w:tcW w:w="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700" w:type="dxa"/>
            <w:vAlign w:val="bottom"/>
            <w:gridSpan w:val="2"/>
          </w:tcPr>
          <w:p>
            <w:pPr>
              <w:jc w:val="center"/>
              <w:ind w:right="25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3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Mortgage Loans</w:t>
            </w:r>
          </w:p>
        </w:tc>
        <w:tc>
          <w:tcPr>
            <w:tcW w:w="14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auto"/>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i w:val="1"/>
                <w:iCs w:val="1"/>
                <w:color w:val="auto"/>
              </w:rPr>
              <w:t>Secured Fixed Rate</w:t>
            </w:r>
          </w:p>
        </w:tc>
        <w:tc>
          <w:tcPr>
            <w:tcW w:w="14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Atlantic Plaza</w:t>
            </w:r>
          </w:p>
        </w:tc>
        <w:tc>
          <w:tcPr>
            <w:tcW w:w="1420" w:type="dxa"/>
            <w:vAlign w:val="bottom"/>
            <w:tcBorders>
              <w:bottom w:val="single" w:sz="8" w:color="CCEEFF"/>
            </w:tcBorders>
            <w:shd w:val="clear" w:color="auto" w:fill="CCEEFF"/>
          </w:tcPr>
          <w:p>
            <w:pPr>
              <w:jc w:val="center"/>
              <w:ind w:left="174"/>
              <w:spacing w:after="0"/>
              <w:rPr>
                <w:sz w:val="20"/>
                <w:szCs w:val="20"/>
                <w:color w:val="auto"/>
              </w:rPr>
            </w:pPr>
            <w:r>
              <w:rPr>
                <w:rFonts w:ascii="Arial" w:cs="Arial" w:eastAsia="Arial" w:hAnsi="Arial"/>
                <w:sz w:val="18"/>
                <w:szCs w:val="18"/>
                <w:color w:val="auto"/>
                <w:w w:val="89"/>
              </w:rPr>
              <w:t>12/1/2014</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10,500</w:t>
            </w: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340"/>
              <w:spacing w:after="0"/>
              <w:rPr>
                <w:sz w:val="20"/>
                <w:szCs w:val="20"/>
                <w:color w:val="auto"/>
              </w:rPr>
            </w:pPr>
            <w:r>
              <w:rPr>
                <w:rFonts w:ascii="Arial" w:cs="Arial" w:eastAsia="Arial" w:hAnsi="Arial"/>
                <w:sz w:val="18"/>
                <w:szCs w:val="18"/>
                <w:color w:val="auto"/>
              </w:rPr>
              <w:t>Barcroft Plaza</w:t>
            </w:r>
          </w:p>
        </w:tc>
        <w:tc>
          <w:tcPr>
            <w:tcW w:w="1420" w:type="dxa"/>
            <w:vAlign w:val="bottom"/>
          </w:tcPr>
          <w:p>
            <w:pPr>
              <w:jc w:val="center"/>
              <w:ind w:left="174"/>
              <w:spacing w:after="0"/>
              <w:rPr>
                <w:sz w:val="20"/>
                <w:szCs w:val="20"/>
                <w:color w:val="auto"/>
              </w:rPr>
            </w:pPr>
            <w:r>
              <w:rPr>
                <w:rFonts w:ascii="Arial" w:cs="Arial" w:eastAsia="Arial" w:hAnsi="Arial"/>
                <w:sz w:val="18"/>
                <w:szCs w:val="18"/>
                <w:color w:val="auto"/>
                <w:w w:val="91"/>
              </w:rPr>
              <w:t>7/1/2016</w:t>
            </w:r>
          </w:p>
        </w:tc>
        <w:tc>
          <w:tcPr>
            <w:tcW w:w="2020" w:type="dxa"/>
            <w:vAlign w:val="bottom"/>
          </w:tcPr>
          <w:p>
            <w:pPr>
              <w:jc w:val="right"/>
              <w:spacing w:after="0"/>
              <w:rPr>
                <w:sz w:val="20"/>
                <w:szCs w:val="20"/>
                <w:color w:val="auto"/>
              </w:rPr>
            </w:pPr>
            <w:r>
              <w:rPr>
                <w:rFonts w:ascii="Arial" w:cs="Arial" w:eastAsia="Arial" w:hAnsi="Arial"/>
                <w:sz w:val="18"/>
                <w:szCs w:val="18"/>
                <w:color w:val="auto"/>
              </w:rPr>
              <w:t>5.99%</w:t>
            </w:r>
          </w:p>
        </w:tc>
        <w:tc>
          <w:tcPr>
            <w:tcW w:w="940" w:type="dxa"/>
            <w:vAlign w:val="bottom"/>
            <w:gridSpan w:val="2"/>
          </w:tcPr>
          <w:p>
            <w:pPr>
              <w:jc w:val="right"/>
              <w:ind w:right="630"/>
              <w:spacing w:after="0"/>
              <w:rPr>
                <w:sz w:val="20"/>
                <w:szCs w:val="20"/>
                <w:color w:val="auto"/>
              </w:rPr>
            </w:pPr>
            <w:r>
              <w:rPr>
                <w:rFonts w:ascii="Arial" w:cs="Arial" w:eastAsia="Arial" w:hAnsi="Arial"/>
                <w:sz w:val="18"/>
                <w:szCs w:val="18"/>
                <w:color w:val="auto"/>
                <w:w w:val="90"/>
              </w:rPr>
              <w:t>(a)</w:t>
            </w:r>
          </w:p>
        </w:tc>
        <w:tc>
          <w:tcPr>
            <w:tcW w:w="1480" w:type="dxa"/>
            <w:vAlign w:val="bottom"/>
          </w:tcPr>
          <w:p>
            <w:pPr>
              <w:jc w:val="right"/>
              <w:ind w:right="96"/>
              <w:spacing w:after="0"/>
              <w:rPr>
                <w:sz w:val="20"/>
                <w:szCs w:val="20"/>
                <w:color w:val="auto"/>
              </w:rPr>
            </w:pPr>
            <w:r>
              <w:rPr>
                <w:rFonts w:ascii="Arial" w:cs="Arial" w:eastAsia="Arial" w:hAnsi="Arial"/>
                <w:sz w:val="18"/>
                <w:szCs w:val="18"/>
                <w:color w:val="auto"/>
              </w:rPr>
              <w:t>20,785</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Greenlawn Plaza</w:t>
            </w:r>
          </w:p>
        </w:tc>
        <w:tc>
          <w:tcPr>
            <w:tcW w:w="1420" w:type="dxa"/>
            <w:vAlign w:val="bottom"/>
            <w:tcBorders>
              <w:bottom w:val="single" w:sz="8" w:color="CCEEFF"/>
            </w:tcBorders>
            <w:shd w:val="clear" w:color="auto" w:fill="CCEEFF"/>
          </w:tcPr>
          <w:p>
            <w:pPr>
              <w:jc w:val="center"/>
              <w:ind w:left="174"/>
              <w:spacing w:after="0"/>
              <w:rPr>
                <w:sz w:val="20"/>
                <w:szCs w:val="20"/>
                <w:color w:val="auto"/>
              </w:rPr>
            </w:pPr>
            <w:r>
              <w:rPr>
                <w:rFonts w:ascii="Arial" w:cs="Arial" w:eastAsia="Arial" w:hAnsi="Arial"/>
                <w:sz w:val="18"/>
                <w:szCs w:val="18"/>
                <w:color w:val="auto"/>
                <w:w w:val="91"/>
              </w:rPr>
              <w:t>7/1/2016</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6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13,600</w:t>
            </w:r>
          </w:p>
        </w:tc>
        <w:tc>
          <w:tcPr>
            <w:tcW w:w="2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020" w:type="dxa"/>
            <w:vAlign w:val="bottom"/>
          </w:tcPr>
          <w:p>
            <w:pPr>
              <w:jc w:val="right"/>
              <w:ind w:right="116"/>
              <w:spacing w:after="0"/>
              <w:rPr>
                <w:sz w:val="20"/>
                <w:szCs w:val="20"/>
                <w:color w:val="auto"/>
              </w:rPr>
            </w:pPr>
            <w:r>
              <w:rPr>
                <w:rFonts w:ascii="Arial" w:cs="Arial" w:eastAsia="Arial" w:hAnsi="Arial"/>
                <w:sz w:val="18"/>
                <w:szCs w:val="18"/>
                <w:color w:val="auto"/>
              </w:rPr>
              <w:t>Total Fixed Rate Debt</w:t>
            </w:r>
          </w:p>
        </w:tc>
        <w:tc>
          <w:tcPr>
            <w:tcW w:w="66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rPr>
              <w:t>44,885</w:t>
            </w:r>
          </w:p>
        </w:tc>
        <w:tc>
          <w:tcPr>
            <w:tcW w:w="2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Debt Maturities</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Year</w:t>
            </w:r>
          </w:p>
        </w:tc>
        <w:tc>
          <w:tcPr>
            <w:tcW w:w="16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6"/>
              </w:rPr>
              <w:t>Scheduled Amortization</w:t>
            </w:r>
          </w:p>
        </w:tc>
        <w:tc>
          <w:tcPr>
            <w:tcW w:w="340" w:type="dxa"/>
            <w:vAlign w:val="bottom"/>
          </w:tcPr>
          <w:p>
            <w:pPr>
              <w:spacing w:after="0"/>
              <w:rPr>
                <w:sz w:val="14"/>
                <w:szCs w:val="14"/>
                <w:color w:val="auto"/>
              </w:rPr>
            </w:pPr>
          </w:p>
        </w:tc>
        <w:tc>
          <w:tcPr>
            <w:tcW w:w="132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Maturities</w:t>
            </w:r>
          </w:p>
        </w:tc>
        <w:tc>
          <w:tcPr>
            <w:tcW w:w="460" w:type="dxa"/>
            <w:vAlign w:val="bottom"/>
          </w:tcPr>
          <w:p>
            <w:pPr>
              <w:spacing w:after="0"/>
              <w:rPr>
                <w:sz w:val="14"/>
                <w:szCs w:val="14"/>
                <w:color w:val="auto"/>
              </w:rPr>
            </w:pPr>
          </w:p>
        </w:tc>
        <w:tc>
          <w:tcPr>
            <w:tcW w:w="1340" w:type="dxa"/>
            <w:vAlign w:val="bottom"/>
            <w:vMerge w:val="restart"/>
          </w:tcPr>
          <w:p>
            <w:pPr>
              <w:jc w:val="right"/>
              <w:ind w:right="634"/>
              <w:spacing w:after="0"/>
              <w:rPr>
                <w:sz w:val="20"/>
                <w:szCs w:val="20"/>
                <w:color w:val="auto"/>
              </w:rPr>
            </w:pPr>
            <w:r>
              <w:rPr>
                <w:rFonts w:ascii="Arial" w:cs="Arial" w:eastAsia="Arial" w:hAnsi="Arial"/>
                <w:sz w:val="14"/>
                <w:szCs w:val="14"/>
                <w:b w:val="1"/>
                <w:bCs w:val="1"/>
                <w:color w:val="auto"/>
              </w:rPr>
              <w:t>Total</w:t>
            </w:r>
          </w:p>
        </w:tc>
        <w:tc>
          <w:tcPr>
            <w:tcW w:w="660" w:type="dxa"/>
            <w:vAlign w:val="bottom"/>
            <w:vMerge w:val="restart"/>
          </w:tcPr>
          <w:p>
            <w:pPr>
              <w:spacing w:after="0"/>
              <w:rPr>
                <w:sz w:val="14"/>
                <w:szCs w:val="14"/>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Percent of Debt Maturing</w:t>
            </w:r>
          </w:p>
        </w:tc>
        <w:tc>
          <w:tcPr>
            <w:tcW w:w="46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w w:val="94"/>
              </w:rPr>
              <w:t>Cumulative Percent of Debt</w:t>
            </w:r>
          </w:p>
        </w:tc>
        <w:tc>
          <w:tcPr>
            <w:tcW w:w="0" w:type="dxa"/>
            <w:vAlign w:val="bottom"/>
          </w:tcPr>
          <w:p>
            <w:pPr>
              <w:spacing w:after="0"/>
              <w:rPr>
                <w:sz w:val="1"/>
                <w:szCs w:val="1"/>
                <w:color w:val="auto"/>
              </w:rPr>
            </w:pPr>
          </w:p>
        </w:tc>
      </w:tr>
      <w:tr>
        <w:trPr>
          <w:trHeight w:val="192"/>
        </w:trPr>
        <w:tc>
          <w:tcPr>
            <w:tcW w:w="166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460" w:type="dxa"/>
            <w:vAlign w:val="bottom"/>
          </w:tcPr>
          <w:p>
            <w:pPr>
              <w:spacing w:after="0"/>
              <w:rPr>
                <w:sz w:val="16"/>
                <w:szCs w:val="16"/>
                <w:color w:val="auto"/>
              </w:rPr>
            </w:pPr>
          </w:p>
        </w:tc>
        <w:tc>
          <w:tcPr>
            <w:tcW w:w="17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Maturing</w:t>
            </w:r>
          </w:p>
        </w:tc>
        <w:tc>
          <w:tcPr>
            <w:tcW w:w="0" w:type="dxa"/>
            <w:vAlign w:val="bottom"/>
          </w:tcPr>
          <w:p>
            <w:pPr>
              <w:spacing w:after="0"/>
              <w:rPr>
                <w:sz w:val="1"/>
                <w:szCs w:val="1"/>
                <w:color w:val="auto"/>
              </w:rPr>
            </w:pPr>
          </w:p>
        </w:tc>
      </w:tr>
      <w:tr>
        <w:trPr>
          <w:trHeight w:val="243"/>
        </w:trPr>
        <w:tc>
          <w:tcPr>
            <w:tcW w:w="1660" w:type="dxa"/>
            <w:vAlign w:val="bottom"/>
          </w:tcPr>
          <w:p>
            <w:pPr>
              <w:jc w:val="right"/>
              <w:ind w:right="14"/>
              <w:spacing w:after="0"/>
              <w:rPr>
                <w:sz w:val="20"/>
                <w:szCs w:val="20"/>
                <w:color w:val="auto"/>
              </w:rPr>
            </w:pPr>
            <w:r>
              <w:rPr>
                <w:rFonts w:ascii="Arial" w:cs="Arial" w:eastAsia="Arial" w:hAnsi="Arial"/>
                <w:sz w:val="18"/>
                <w:szCs w:val="18"/>
                <w:color w:val="auto"/>
              </w:rPr>
              <w:t>2014</w:t>
            </w:r>
          </w:p>
        </w:tc>
        <w:tc>
          <w:tcPr>
            <w:tcW w:w="760" w:type="dxa"/>
            <w:vAlign w:val="bottom"/>
          </w:tcPr>
          <w:p>
            <w:pPr>
              <w:jc w:val="right"/>
              <w:ind w:right="556"/>
              <w:spacing w:after="0"/>
              <w:rPr>
                <w:sz w:val="20"/>
                <w:szCs w:val="20"/>
                <w:color w:val="auto"/>
              </w:rPr>
            </w:pPr>
            <w:r>
              <w:rPr>
                <w:rFonts w:ascii="Arial" w:cs="Arial" w:eastAsia="Arial" w:hAnsi="Arial"/>
                <w:sz w:val="18"/>
                <w:szCs w:val="18"/>
                <w:color w:val="auto"/>
                <w:w w:val="99"/>
              </w:rPr>
              <w:t>$</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10,500</w:t>
            </w:r>
          </w:p>
        </w:tc>
        <w:tc>
          <w:tcPr>
            <w:tcW w:w="4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10,500</w:t>
            </w:r>
          </w:p>
        </w:tc>
        <w:tc>
          <w:tcPr>
            <w:tcW w:w="6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23.4%</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2015</w:t>
            </w:r>
          </w:p>
        </w:tc>
        <w:tc>
          <w:tcPr>
            <w:tcW w:w="7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43"/>
        </w:trPr>
        <w:tc>
          <w:tcPr>
            <w:tcW w:w="1660" w:type="dxa"/>
            <w:vAlign w:val="bottom"/>
          </w:tcPr>
          <w:p>
            <w:pPr>
              <w:jc w:val="right"/>
              <w:ind w:right="14"/>
              <w:spacing w:after="0"/>
              <w:rPr>
                <w:sz w:val="20"/>
                <w:szCs w:val="20"/>
                <w:color w:val="auto"/>
              </w:rPr>
            </w:pPr>
            <w:r>
              <w:rPr>
                <w:rFonts w:ascii="Arial" w:cs="Arial" w:eastAsia="Arial" w:hAnsi="Arial"/>
                <w:sz w:val="18"/>
                <w:szCs w:val="18"/>
                <w:color w:val="auto"/>
              </w:rPr>
              <w:t>2016</w:t>
            </w:r>
          </w:p>
        </w:tc>
        <w:tc>
          <w:tcPr>
            <w:tcW w:w="760" w:type="dxa"/>
            <w:vAlign w:val="bottom"/>
          </w:tcPr>
          <w:p>
            <w:pPr>
              <w:spacing w:after="0"/>
              <w:rPr>
                <w:sz w:val="21"/>
                <w:szCs w:val="21"/>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34,385</w:t>
            </w:r>
          </w:p>
        </w:tc>
        <w:tc>
          <w:tcPr>
            <w:tcW w:w="460" w:type="dxa"/>
            <w:vAlign w:val="bottom"/>
          </w:tcPr>
          <w:p>
            <w:pPr>
              <w:spacing w:after="0"/>
              <w:rPr>
                <w:sz w:val="21"/>
                <w:szCs w:val="21"/>
                <w:color w:val="auto"/>
              </w:rPr>
            </w:pP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34,385</w:t>
            </w:r>
          </w:p>
        </w:tc>
        <w:tc>
          <w:tcPr>
            <w:tcW w:w="6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76.6%</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16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44,885</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44,885</w:t>
            </w:r>
          </w:p>
        </w:tc>
        <w:tc>
          <w:tcPr>
            <w:tcW w:w="6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Notes:</w:t>
      </w:r>
    </w:p>
    <w:p>
      <w:pPr>
        <w:spacing w:after="0" w:line="63" w:lineRule="exact"/>
        <w:rPr>
          <w:sz w:val="20"/>
          <w:szCs w:val="20"/>
          <w:color w:val="auto"/>
        </w:rPr>
      </w:pPr>
    </w:p>
    <w:p>
      <w:pPr>
        <w:ind w:left="620" w:right="220" w:hanging="585"/>
        <w:spacing w:after="0" w:line="277"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stated interest rate represents the weighted average interest rate for two mortgage loans secured by this property. The loan balance represents a note of $16.6 million at a stated rate of 6.06% and a note of $4.2 million at a stated rate of 5.71%.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2" w:right="239" w:bottom="1440" w:gutter="0" w:footer="0" w:header="0"/>
        </w:sectPr>
      </w:pPr>
    </w:p>
    <w:bookmarkStart w:id="31" w:name="page32"/>
    <w:bookmarkEnd w:id="3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Real Estate Status Report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2014</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3"/>
                <w:szCs w:val="13"/>
                <w:b w:val="1"/>
                <w:bCs w:val="1"/>
                <w:color w:val="auto"/>
              </w:rPr>
              <w:t>Grocery</w:t>
            </w:r>
          </w:p>
        </w:tc>
        <w:tc>
          <w:tcPr>
            <w:tcW w:w="110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6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7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91"/>
              </w:rPr>
              <w:t>Real Estate</w:t>
            </w: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Mortgage</w:t>
            </w:r>
          </w:p>
        </w:tc>
        <w:tc>
          <w:tcPr>
            <w:tcW w:w="660" w:type="dxa"/>
            <w:vAlign w:val="bottom"/>
          </w:tcPr>
          <w:p>
            <w:pPr>
              <w:spacing w:after="0"/>
              <w:rPr>
                <w:sz w:val="11"/>
                <w:szCs w:val="11"/>
                <w:color w:val="auto"/>
              </w:rPr>
            </w:pPr>
          </w:p>
        </w:tc>
        <w:tc>
          <w:tcPr>
            <w:tcW w:w="52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Anchor</w:t>
            </w:r>
          </w:p>
        </w:tc>
        <w:tc>
          <w:tcPr>
            <w:tcW w:w="1100" w:type="dxa"/>
            <w:vAlign w:val="bottom"/>
          </w:tcPr>
          <w:p>
            <w:pPr>
              <w:spacing w:after="0"/>
              <w:rPr>
                <w:sz w:val="11"/>
                <w:szCs w:val="11"/>
                <w:color w:val="auto"/>
              </w:rPr>
            </w:pPr>
          </w:p>
        </w:tc>
        <w:tc>
          <w:tcPr>
            <w:tcW w:w="2480" w:type="dxa"/>
            <w:vAlign w:val="bottom"/>
          </w:tcPr>
          <w:p>
            <w:pPr>
              <w:spacing w:after="0"/>
              <w:rPr>
                <w:sz w:val="11"/>
                <w:szCs w:val="11"/>
                <w:color w:val="auto"/>
              </w:rPr>
            </w:pPr>
          </w:p>
        </w:tc>
      </w:tr>
      <w:tr>
        <w:trPr>
          <w:trHeight w:val="174"/>
        </w:trPr>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Property Name</w:t>
            </w:r>
          </w:p>
        </w:tc>
        <w:tc>
          <w:tcPr>
            <w:tcW w:w="226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MSA Description</w:t>
            </w:r>
          </w:p>
        </w:tc>
        <w:tc>
          <w:tcPr>
            <w:tcW w:w="8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Acquired</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at Cost</w:t>
            </w: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Obligation</w:t>
            </w: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GLA</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GLA</w:t>
            </w: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Grocery Anchor</w:t>
            </w:r>
          </w:p>
        </w:tc>
        <w:tc>
          <w:tcPr>
            <w:tcW w:w="24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20"/>
              <w:spacing w:after="0"/>
              <w:rPr>
                <w:sz w:val="20"/>
                <w:szCs w:val="20"/>
                <w:color w:val="auto"/>
              </w:rPr>
            </w:pPr>
            <w:r>
              <w:rPr>
                <w:rFonts w:ascii="Arial" w:cs="Arial" w:eastAsia="Arial" w:hAnsi="Arial"/>
                <w:sz w:val="11"/>
                <w:szCs w:val="11"/>
                <w:color w:val="auto"/>
                <w:w w:val="97"/>
              </w:rPr>
              <w:t>(in</w:t>
            </w: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8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color w:val="auto"/>
                <w:w w:val="91"/>
              </w:rPr>
              <w:t>(in thousands)</w:t>
            </w:r>
          </w:p>
        </w:tc>
        <w:tc>
          <w:tcPr>
            <w:tcW w:w="100" w:type="dxa"/>
            <w:vAlign w:val="bottom"/>
          </w:tcPr>
          <w:p>
            <w:pPr>
              <w:spacing w:after="0"/>
              <w:rPr>
                <w:sz w:val="11"/>
                <w:szCs w:val="11"/>
                <w:color w:val="auto"/>
              </w:rPr>
            </w:pPr>
          </w:p>
        </w:tc>
        <w:tc>
          <w:tcPr>
            <w:tcW w:w="560" w:type="dxa"/>
            <w:vAlign w:val="bottom"/>
          </w:tcPr>
          <w:p>
            <w:pPr>
              <w:jc w:val="center"/>
              <w:ind w:right="40"/>
              <w:spacing w:after="0"/>
              <w:rPr>
                <w:sz w:val="20"/>
                <w:szCs w:val="20"/>
                <w:color w:val="auto"/>
              </w:rPr>
            </w:pPr>
            <w:r>
              <w:rPr>
                <w:rFonts w:ascii="Arial" w:cs="Arial" w:eastAsia="Arial" w:hAnsi="Arial"/>
                <w:sz w:val="11"/>
                <w:szCs w:val="11"/>
                <w:color w:val="auto"/>
                <w:w w:val="84"/>
              </w:rPr>
              <w:t>thousands)</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8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gridSpan w:val="4"/>
            <w:shd w:val="clear" w:color="auto" w:fill="CCEEFF"/>
          </w:tcPr>
          <w:p>
            <w:pPr>
              <w:ind w:left="60"/>
              <w:spacing w:after="0"/>
              <w:rPr>
                <w:sz w:val="20"/>
                <w:szCs w:val="20"/>
                <w:color w:val="auto"/>
              </w:rPr>
            </w:pPr>
            <w:r>
              <w:rPr>
                <w:rFonts w:ascii="Arial" w:cs="Arial" w:eastAsia="Arial" w:hAnsi="Arial"/>
                <w:sz w:val="13"/>
                <w:szCs w:val="13"/>
                <w:b w:val="1"/>
                <w:bCs w:val="1"/>
                <w:color w:val="auto"/>
                <w:w w:val="88"/>
              </w:rPr>
              <w:t>Washington Metropolitan Area</w:t>
            </w:r>
          </w:p>
        </w:tc>
        <w:tc>
          <w:tcPr>
            <w:tcW w:w="20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spacing w:after="0"/>
              <w:rPr>
                <w:sz w:val="21"/>
                <w:szCs w:val="21"/>
                <w:color w:val="auto"/>
              </w:rPr>
            </w:pPr>
          </w:p>
        </w:tc>
      </w:tr>
      <w:tr>
        <w:trPr>
          <w:trHeight w:val="262"/>
        </w:trPr>
        <w:tc>
          <w:tcPr>
            <w:tcW w:w="1580" w:type="dxa"/>
            <w:vAlign w:val="bottom"/>
            <w:gridSpan w:val="4"/>
          </w:tcPr>
          <w:p>
            <w:pPr>
              <w:ind w:left="40"/>
              <w:spacing w:after="0"/>
              <w:rPr>
                <w:sz w:val="20"/>
                <w:szCs w:val="20"/>
                <w:color w:val="auto"/>
              </w:rPr>
            </w:pPr>
            <w:r>
              <w:rPr>
                <w:rFonts w:ascii="Arial" w:cs="Arial" w:eastAsia="Arial" w:hAnsi="Arial"/>
                <w:sz w:val="13"/>
                <w:szCs w:val="13"/>
                <w:color w:val="auto"/>
              </w:rPr>
              <w:t>Barcroft Plaza</w:t>
            </w:r>
          </w:p>
        </w:tc>
        <w:tc>
          <w:tcPr>
            <w:tcW w:w="2260" w:type="dxa"/>
            <w:vAlign w:val="bottom"/>
            <w:gridSpan w:val="2"/>
          </w:tcPr>
          <w:p>
            <w:pPr>
              <w:ind w:left="180"/>
              <w:spacing w:after="0"/>
              <w:rPr>
                <w:sz w:val="20"/>
                <w:szCs w:val="20"/>
                <w:color w:val="auto"/>
              </w:rPr>
            </w:pPr>
            <w:r>
              <w:rPr>
                <w:rFonts w:ascii="Arial" w:cs="Arial" w:eastAsia="Arial" w:hAnsi="Arial"/>
                <w:sz w:val="13"/>
                <w:szCs w:val="13"/>
                <w:color w:val="auto"/>
              </w:rPr>
              <w:t>Washington, DC-MD-VA</w:t>
            </w:r>
          </w:p>
        </w:tc>
        <w:tc>
          <w:tcPr>
            <w:tcW w:w="860" w:type="dxa"/>
            <w:vAlign w:val="bottom"/>
          </w:tcPr>
          <w:p>
            <w:pPr>
              <w:jc w:val="right"/>
              <w:spacing w:after="0"/>
              <w:rPr>
                <w:sz w:val="20"/>
                <w:szCs w:val="20"/>
                <w:color w:val="auto"/>
              </w:rPr>
            </w:pPr>
            <w:r>
              <w:rPr>
                <w:rFonts w:ascii="Arial" w:cs="Arial" w:eastAsia="Arial" w:hAnsi="Arial"/>
                <w:sz w:val="13"/>
                <w:szCs w:val="13"/>
                <w:color w:val="auto"/>
              </w:rPr>
              <w:t>2006-2007</w:t>
            </w: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34,559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40"/>
              <w:spacing w:after="0"/>
              <w:rPr>
                <w:sz w:val="20"/>
                <w:szCs w:val="20"/>
                <w:color w:val="auto"/>
              </w:rPr>
            </w:pPr>
            <w:r>
              <w:rPr>
                <w:rFonts w:ascii="Arial" w:cs="Arial" w:eastAsia="Arial" w:hAnsi="Arial"/>
                <w:sz w:val="13"/>
                <w:szCs w:val="13"/>
                <w:color w:val="auto"/>
              </w:rPr>
              <w:t>20,785</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100,000</w:t>
            </w:r>
          </w:p>
        </w:tc>
        <w:tc>
          <w:tcPr>
            <w:tcW w:w="520" w:type="dxa"/>
            <w:vAlign w:val="bottom"/>
          </w:tcPr>
          <w:p>
            <w:pPr>
              <w:jc w:val="right"/>
              <w:spacing w:after="0"/>
              <w:rPr>
                <w:sz w:val="20"/>
                <w:szCs w:val="20"/>
                <w:color w:val="auto"/>
              </w:rPr>
            </w:pPr>
            <w:r>
              <w:rPr>
                <w:rFonts w:ascii="Arial" w:cs="Arial" w:eastAsia="Arial" w:hAnsi="Arial"/>
                <w:sz w:val="13"/>
                <w:szCs w:val="13"/>
                <w:color w:val="auto"/>
              </w:rPr>
              <w:t>79%</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46,000</w:t>
            </w:r>
          </w:p>
        </w:tc>
        <w:tc>
          <w:tcPr>
            <w:tcW w:w="1100" w:type="dxa"/>
            <w:vAlign w:val="bottom"/>
          </w:tcPr>
          <w:p>
            <w:pPr>
              <w:ind w:left="80"/>
              <w:spacing w:after="0"/>
              <w:rPr>
                <w:sz w:val="20"/>
                <w:szCs w:val="20"/>
                <w:color w:val="auto"/>
              </w:rPr>
            </w:pPr>
            <w:r>
              <w:rPr>
                <w:rFonts w:ascii="Arial" w:cs="Arial" w:eastAsia="Arial" w:hAnsi="Arial"/>
                <w:sz w:val="13"/>
                <w:szCs w:val="13"/>
                <w:color w:val="auto"/>
              </w:rPr>
              <w:t>Harris Teeter</w:t>
            </w:r>
          </w:p>
        </w:tc>
        <w:tc>
          <w:tcPr>
            <w:tcW w:w="2480" w:type="dxa"/>
            <w:vAlign w:val="bottom"/>
          </w:tcPr>
          <w:p>
            <w:pPr>
              <w:ind w:left="120"/>
              <w:spacing w:after="0"/>
              <w:rPr>
                <w:sz w:val="20"/>
                <w:szCs w:val="20"/>
                <w:color w:val="auto"/>
              </w:rPr>
            </w:pPr>
            <w:r>
              <w:rPr>
                <w:rFonts w:ascii="Arial" w:cs="Arial" w:eastAsia="Arial" w:hAnsi="Arial"/>
                <w:sz w:val="13"/>
                <w:szCs w:val="13"/>
                <w:color w:val="auto"/>
              </w:rPr>
              <w:t>Bank of America</w:t>
            </w:r>
          </w:p>
        </w:tc>
      </w:tr>
      <w:tr>
        <w:trPr>
          <w:trHeight w:val="156"/>
        </w:trPr>
        <w:tc>
          <w:tcPr>
            <w:tcW w:w="158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w w:val="93"/>
              </w:rPr>
              <w:t>Free State Shopping Center</w:t>
            </w:r>
          </w:p>
        </w:tc>
        <w:tc>
          <w:tcPr>
            <w:tcW w:w="22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Washington, DC-MD-VA</w:t>
            </w:r>
          </w:p>
        </w:tc>
        <w:tc>
          <w:tcPr>
            <w:tcW w:w="86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2007</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66,816</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279,000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73,000</w:t>
            </w:r>
          </w:p>
        </w:tc>
        <w:tc>
          <w:tcPr>
            <w:tcW w:w="11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TJ Maxx / Ross Dress For Less / Office</w:t>
            </w:r>
          </w:p>
        </w:tc>
      </w:tr>
      <w:tr>
        <w:trPr>
          <w:trHeight w:val="176"/>
        </w:trPr>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Depot</w:t>
            </w:r>
          </w:p>
        </w:tc>
      </w:tr>
      <w:tr>
        <w:trPr>
          <w:trHeight w:val="264"/>
        </w:trPr>
        <w:tc>
          <w:tcPr>
            <w:tcW w:w="1580" w:type="dxa"/>
            <w:vAlign w:val="bottom"/>
            <w:tcBorders>
              <w:bottom w:val="single" w:sz="8" w:color="CCEEFF"/>
            </w:tcBorders>
            <w:gridSpan w:val="4"/>
          </w:tcPr>
          <w:p>
            <w:pPr>
              <w:ind w:left="40"/>
              <w:spacing w:after="0"/>
              <w:rPr>
                <w:sz w:val="20"/>
                <w:szCs w:val="20"/>
                <w:color w:val="auto"/>
              </w:rPr>
            </w:pPr>
            <w:r>
              <w:rPr>
                <w:rFonts w:ascii="Arial" w:cs="Arial" w:eastAsia="Arial" w:hAnsi="Arial"/>
                <w:sz w:val="13"/>
                <w:szCs w:val="13"/>
                <w:color w:val="auto"/>
              </w:rPr>
              <w:t>Plaza del Mercado</w:t>
            </w:r>
          </w:p>
        </w:tc>
        <w:tc>
          <w:tcPr>
            <w:tcW w:w="2260" w:type="dxa"/>
            <w:vAlign w:val="bottom"/>
            <w:tcBorders>
              <w:bottom w:val="single" w:sz="8" w:color="CCEEFF"/>
            </w:tcBorders>
            <w:gridSpan w:val="2"/>
          </w:tcPr>
          <w:p>
            <w:pPr>
              <w:ind w:left="180"/>
              <w:spacing w:after="0"/>
              <w:rPr>
                <w:sz w:val="20"/>
                <w:szCs w:val="20"/>
                <w:color w:val="auto"/>
              </w:rPr>
            </w:pPr>
            <w:r>
              <w:rPr>
                <w:rFonts w:ascii="Arial" w:cs="Arial" w:eastAsia="Arial" w:hAnsi="Arial"/>
                <w:sz w:val="13"/>
                <w:szCs w:val="13"/>
                <w:color w:val="auto"/>
              </w:rPr>
              <w:t>Washington, DC-MD-VA</w:t>
            </w:r>
          </w:p>
        </w:tc>
        <w:tc>
          <w:tcPr>
            <w:tcW w:w="860" w:type="dxa"/>
            <w:vAlign w:val="bottom"/>
            <w:tcBorders>
              <w:bottom w:val="single" w:sz="8" w:color="CCEEFF"/>
            </w:tcBorders>
          </w:tcPr>
          <w:p>
            <w:pPr>
              <w:jc w:val="right"/>
              <w:ind w:right="337"/>
              <w:spacing w:after="0"/>
              <w:rPr>
                <w:sz w:val="20"/>
                <w:szCs w:val="20"/>
                <w:color w:val="auto"/>
              </w:rPr>
            </w:pPr>
            <w:r>
              <w:rPr>
                <w:rFonts w:ascii="Arial" w:cs="Arial" w:eastAsia="Arial" w:hAnsi="Arial"/>
                <w:sz w:val="13"/>
                <w:szCs w:val="13"/>
                <w:color w:val="auto"/>
              </w:rPr>
              <w:t>2004</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21,695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96,000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w:t>
            </w:r>
          </w:p>
        </w:tc>
        <w:tc>
          <w:tcPr>
            <w:tcW w:w="60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24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CVS</w:t>
            </w:r>
          </w:p>
        </w:tc>
      </w:tr>
      <w:tr>
        <w:trPr>
          <w:trHeight w:val="257"/>
        </w:trPr>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2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w w:val="99"/>
              </w:rPr>
              <w:t>Total Washington Metropolitan Area</w:t>
            </w: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3"/>
              </w:rPr>
              <w:t>123,070</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475,000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6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480" w:type="dxa"/>
            <w:vAlign w:val="bottom"/>
            <w:shd w:val="clear" w:color="auto" w:fill="CCEEFF"/>
          </w:tcPr>
          <w:p>
            <w:pPr>
              <w:spacing w:after="0"/>
              <w:rPr>
                <w:sz w:val="22"/>
                <w:szCs w:val="22"/>
                <w:color w:val="auto"/>
              </w:rPr>
            </w:pPr>
          </w:p>
        </w:tc>
      </w:tr>
      <w:tr>
        <w:trPr>
          <w:trHeight w:val="230"/>
        </w:trPr>
        <w:tc>
          <w:tcPr>
            <w:tcW w:w="40" w:type="dxa"/>
            <w:vAlign w:val="bottom"/>
          </w:tcPr>
          <w:p>
            <w:pPr>
              <w:spacing w:after="0"/>
              <w:rPr>
                <w:sz w:val="19"/>
                <w:szCs w:val="19"/>
                <w:color w:val="auto"/>
              </w:rPr>
            </w:pPr>
          </w:p>
        </w:tc>
        <w:tc>
          <w:tcPr>
            <w:tcW w:w="1540" w:type="dxa"/>
            <w:vAlign w:val="bottom"/>
            <w:gridSpan w:val="3"/>
          </w:tcPr>
          <w:p>
            <w:pPr>
              <w:ind w:left="60"/>
              <w:spacing w:after="0"/>
              <w:rPr>
                <w:sz w:val="20"/>
                <w:szCs w:val="20"/>
                <w:color w:val="auto"/>
              </w:rPr>
            </w:pPr>
            <w:r>
              <w:rPr>
                <w:rFonts w:ascii="Arial" w:cs="Arial" w:eastAsia="Arial" w:hAnsi="Arial"/>
                <w:sz w:val="13"/>
                <w:szCs w:val="13"/>
                <w:b w:val="1"/>
                <w:bCs w:val="1"/>
                <w:color w:val="auto"/>
              </w:rPr>
              <w:t>New York / New Jersey</w:t>
            </w: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64"/>
        </w:trPr>
        <w:tc>
          <w:tcPr>
            <w:tcW w:w="158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Greenlawn Plaza</w:t>
            </w:r>
          </w:p>
        </w:tc>
        <w:tc>
          <w:tcPr>
            <w:tcW w:w="22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Nassau-Suffolk, NY</w:t>
            </w:r>
          </w:p>
        </w:tc>
        <w:tc>
          <w:tcPr>
            <w:tcW w:w="86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2006</w:t>
            </w:r>
          </w:p>
        </w:tc>
        <w:tc>
          <w:tcPr>
            <w:tcW w:w="1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20,655</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13,600</w:t>
            </w: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106,000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46,000</w:t>
            </w:r>
          </w:p>
        </w:tc>
        <w:tc>
          <w:tcPr>
            <w:tcW w:w="110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Waldbaum's</w:t>
            </w:r>
          </w:p>
        </w:tc>
        <w:tc>
          <w:tcPr>
            <w:tcW w:w="2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Tuesday Morning</w:t>
            </w:r>
          </w:p>
        </w:tc>
      </w:tr>
      <w:tr>
        <w:trPr>
          <w:trHeight w:val="249"/>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60" w:type="dxa"/>
            <w:vAlign w:val="bottom"/>
            <w:gridSpan w:val="2"/>
          </w:tcPr>
          <w:p>
            <w:pPr>
              <w:ind w:left="180"/>
              <w:spacing w:after="0"/>
              <w:rPr>
                <w:sz w:val="20"/>
                <w:szCs w:val="20"/>
                <w:color w:val="auto"/>
              </w:rPr>
            </w:pPr>
            <w:r>
              <w:rPr>
                <w:rFonts w:ascii="Arial" w:cs="Arial" w:eastAsia="Arial" w:hAnsi="Arial"/>
                <w:sz w:val="13"/>
                <w:szCs w:val="13"/>
                <w:color w:val="auto"/>
              </w:rPr>
              <w:t>Total New York / New Jersey</w:t>
            </w: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20,655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106,000</w:t>
            </w:r>
          </w:p>
        </w:tc>
        <w:tc>
          <w:tcPr>
            <w:tcW w:w="520" w:type="dxa"/>
            <w:vAlign w:val="bottom"/>
          </w:tcPr>
          <w:p>
            <w:pPr>
              <w:jc w:val="right"/>
              <w:spacing w:after="0"/>
              <w:rPr>
                <w:sz w:val="20"/>
                <w:szCs w:val="20"/>
                <w:color w:val="auto"/>
              </w:rPr>
            </w:pPr>
            <w:r>
              <w:rPr>
                <w:rFonts w:ascii="Arial" w:cs="Arial" w:eastAsia="Arial" w:hAnsi="Arial"/>
                <w:sz w:val="13"/>
                <w:szCs w:val="13"/>
                <w:color w:val="auto"/>
              </w:rPr>
              <w:t>96%</w:t>
            </w:r>
          </w:p>
        </w:tc>
        <w:tc>
          <w:tcPr>
            <w:tcW w:w="6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258"/>
        </w:trPr>
        <w:tc>
          <w:tcPr>
            <w:tcW w:w="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88"/>
              </w:rPr>
              <w:t>New England</w:t>
            </w:r>
          </w:p>
        </w:tc>
        <w:tc>
          <w:tcPr>
            <w:tcW w:w="780" w:type="dxa"/>
            <w:vAlign w:val="bottom"/>
            <w:tcBorders>
              <w:bottom w:val="single" w:sz="8" w:color="CCEEFF"/>
            </w:tcBorders>
            <w:gridSpan w:val="2"/>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shd w:val="clear" w:color="auto" w:fill="CCEEFF"/>
          </w:tcPr>
          <w:p>
            <w:pPr>
              <w:spacing w:after="0"/>
              <w:rPr>
                <w:sz w:val="22"/>
                <w:szCs w:val="22"/>
                <w:color w:val="auto"/>
              </w:rPr>
            </w:pPr>
          </w:p>
        </w:tc>
      </w:tr>
      <w:tr>
        <w:trPr>
          <w:trHeight w:val="148"/>
        </w:trPr>
        <w:tc>
          <w:tcPr>
            <w:tcW w:w="158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Atlantic Plaza</w:t>
            </w:r>
          </w:p>
        </w:tc>
        <w:tc>
          <w:tcPr>
            <w:tcW w:w="2260" w:type="dxa"/>
            <w:vAlign w:val="bottom"/>
            <w:gridSpan w:val="2"/>
          </w:tcPr>
          <w:p>
            <w:pPr>
              <w:ind w:left="180"/>
              <w:spacing w:after="0" w:line="148" w:lineRule="exact"/>
              <w:rPr>
                <w:sz w:val="20"/>
                <w:szCs w:val="20"/>
                <w:color w:val="auto"/>
              </w:rPr>
            </w:pPr>
            <w:r>
              <w:rPr>
                <w:rFonts w:ascii="Arial" w:cs="Arial" w:eastAsia="Arial" w:hAnsi="Arial"/>
                <w:sz w:val="13"/>
                <w:szCs w:val="13"/>
                <w:color w:val="auto"/>
                <w:w w:val="97"/>
              </w:rPr>
              <w:t>Boston-Worcester-Lawrence-Lowell-</w:t>
            </w:r>
          </w:p>
        </w:tc>
        <w:tc>
          <w:tcPr>
            <w:tcW w:w="860" w:type="dxa"/>
            <w:vAlign w:val="bottom"/>
          </w:tcPr>
          <w:p>
            <w:pPr>
              <w:jc w:val="right"/>
              <w:ind w:right="337"/>
              <w:spacing w:after="0" w:line="148" w:lineRule="exact"/>
              <w:rPr>
                <w:sz w:val="20"/>
                <w:szCs w:val="20"/>
                <w:color w:val="auto"/>
              </w:rPr>
            </w:pPr>
            <w:r>
              <w:rPr>
                <w:rFonts w:ascii="Arial" w:cs="Arial" w:eastAsia="Arial" w:hAnsi="Arial"/>
                <w:sz w:val="13"/>
                <w:szCs w:val="13"/>
                <w:color w:val="auto"/>
              </w:rPr>
              <w:t>2004</w:t>
            </w:r>
          </w:p>
        </w:tc>
        <w:tc>
          <w:tcPr>
            <w:tcW w:w="120" w:type="dxa"/>
            <w:vAlign w:val="bottom"/>
          </w:tcPr>
          <w:p>
            <w:pPr>
              <w:spacing w:after="0"/>
              <w:rPr>
                <w:sz w:val="12"/>
                <w:szCs w:val="12"/>
                <w:color w:val="auto"/>
              </w:rPr>
            </w:pP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20,103</w:t>
            </w:r>
          </w:p>
        </w:tc>
        <w:tc>
          <w:tcPr>
            <w:tcW w:w="100" w:type="dxa"/>
            <w:vAlign w:val="bottom"/>
          </w:tcPr>
          <w:p>
            <w:pPr>
              <w:spacing w:after="0"/>
              <w:rPr>
                <w:sz w:val="12"/>
                <w:szCs w:val="12"/>
                <w:color w:val="auto"/>
              </w:rPr>
            </w:pPr>
          </w:p>
        </w:tc>
        <w:tc>
          <w:tcPr>
            <w:tcW w:w="560" w:type="dxa"/>
            <w:vAlign w:val="bottom"/>
          </w:tcPr>
          <w:p>
            <w:pPr>
              <w:jc w:val="right"/>
              <w:ind w:right="40"/>
              <w:spacing w:after="0" w:line="148" w:lineRule="exact"/>
              <w:rPr>
                <w:sz w:val="20"/>
                <w:szCs w:val="20"/>
                <w:color w:val="auto"/>
              </w:rPr>
            </w:pPr>
            <w:r>
              <w:rPr>
                <w:rFonts w:ascii="Arial" w:cs="Arial" w:eastAsia="Arial" w:hAnsi="Arial"/>
                <w:sz w:val="13"/>
                <w:szCs w:val="13"/>
                <w:color w:val="auto"/>
              </w:rPr>
              <w:t>10,500</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123,000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70%</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64,000</w:t>
            </w:r>
          </w:p>
        </w:tc>
        <w:tc>
          <w:tcPr>
            <w:tcW w:w="1100" w:type="dxa"/>
            <w:vAlign w:val="bottom"/>
          </w:tcPr>
          <w:p>
            <w:pPr>
              <w:ind w:left="80"/>
              <w:spacing w:after="0" w:line="148" w:lineRule="exact"/>
              <w:rPr>
                <w:sz w:val="20"/>
                <w:szCs w:val="20"/>
                <w:color w:val="auto"/>
              </w:rPr>
            </w:pPr>
            <w:r>
              <w:rPr>
                <w:rFonts w:ascii="Arial" w:cs="Arial" w:eastAsia="Arial" w:hAnsi="Arial"/>
                <w:sz w:val="13"/>
                <w:szCs w:val="13"/>
                <w:color w:val="auto"/>
              </w:rPr>
              <w:t>Stop &amp; Shop</w:t>
            </w:r>
          </w:p>
        </w:tc>
        <w:tc>
          <w:tcPr>
            <w:tcW w:w="248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2"/>
          </w:tcPr>
          <w:p>
            <w:pPr>
              <w:ind w:left="180"/>
              <w:spacing w:after="0"/>
              <w:rPr>
                <w:sz w:val="20"/>
                <w:szCs w:val="20"/>
                <w:color w:val="auto"/>
              </w:rPr>
            </w:pPr>
            <w:r>
              <w:rPr>
                <w:rFonts w:ascii="Arial" w:cs="Arial" w:eastAsia="Arial" w:hAnsi="Arial"/>
                <w:sz w:val="13"/>
                <w:szCs w:val="13"/>
                <w:color w:val="auto"/>
              </w:rPr>
              <w:t>Brockton, MA</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56"/>
        </w:trPr>
        <w:tc>
          <w:tcPr>
            <w:tcW w:w="158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Campus Plaza</w:t>
            </w:r>
          </w:p>
        </w:tc>
        <w:tc>
          <w:tcPr>
            <w:tcW w:w="22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w w:val="97"/>
              </w:rPr>
              <w:t>Boston-Worcester-Lawrence-Lowell-</w:t>
            </w:r>
          </w:p>
        </w:tc>
        <w:tc>
          <w:tcPr>
            <w:tcW w:w="86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2004</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23,012</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116,000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46,000</w:t>
            </w:r>
          </w:p>
        </w:tc>
        <w:tc>
          <w:tcPr>
            <w:tcW w:w="1100" w:type="dxa"/>
            <w:vAlign w:val="bottom"/>
            <w:shd w:val="clear" w:color="auto" w:fill="CCEEFF"/>
          </w:tcPr>
          <w:p>
            <w:pPr>
              <w:ind w:left="80"/>
              <w:spacing w:after="0"/>
              <w:rPr>
                <w:sz w:val="20"/>
                <w:szCs w:val="20"/>
                <w:color w:val="auto"/>
              </w:rPr>
            </w:pPr>
            <w:r>
              <w:rPr>
                <w:rFonts w:ascii="Arial" w:cs="Arial" w:eastAsia="Arial" w:hAnsi="Arial"/>
                <w:sz w:val="13"/>
                <w:szCs w:val="13"/>
                <w:color w:val="auto"/>
              </w:rPr>
              <w:t>Roche Bros.</w:t>
            </w:r>
          </w:p>
        </w:tc>
        <w:tc>
          <w:tcPr>
            <w:tcW w:w="2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Burlington Coat Factory</w:t>
            </w:r>
          </w:p>
        </w:tc>
      </w:tr>
      <w:tr>
        <w:trPr>
          <w:trHeight w:val="176"/>
        </w:trPr>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Brockton, MA</w:t>
            </w: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r>
      <w:tr>
        <w:trPr>
          <w:trHeight w:val="148"/>
        </w:trPr>
        <w:tc>
          <w:tcPr>
            <w:tcW w:w="158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Pleasant Shops (1)</w:t>
            </w:r>
          </w:p>
        </w:tc>
        <w:tc>
          <w:tcPr>
            <w:tcW w:w="2260" w:type="dxa"/>
            <w:vAlign w:val="bottom"/>
            <w:gridSpan w:val="2"/>
          </w:tcPr>
          <w:p>
            <w:pPr>
              <w:ind w:left="180"/>
              <w:spacing w:after="0" w:line="148" w:lineRule="exact"/>
              <w:rPr>
                <w:sz w:val="20"/>
                <w:szCs w:val="20"/>
                <w:color w:val="auto"/>
              </w:rPr>
            </w:pPr>
            <w:r>
              <w:rPr>
                <w:rFonts w:ascii="Arial" w:cs="Arial" w:eastAsia="Arial" w:hAnsi="Arial"/>
                <w:sz w:val="13"/>
                <w:szCs w:val="13"/>
                <w:color w:val="auto"/>
                <w:w w:val="97"/>
              </w:rPr>
              <w:t>Boston-Worcester-Lawrence-Lowell-</w:t>
            </w:r>
          </w:p>
        </w:tc>
        <w:tc>
          <w:tcPr>
            <w:tcW w:w="860" w:type="dxa"/>
            <w:vAlign w:val="bottom"/>
          </w:tcPr>
          <w:p>
            <w:pPr>
              <w:jc w:val="right"/>
              <w:ind w:right="337"/>
              <w:spacing w:after="0" w:line="148" w:lineRule="exact"/>
              <w:rPr>
                <w:sz w:val="20"/>
                <w:szCs w:val="20"/>
                <w:color w:val="auto"/>
              </w:rPr>
            </w:pPr>
            <w:r>
              <w:rPr>
                <w:rFonts w:ascii="Arial" w:cs="Arial" w:eastAsia="Arial" w:hAnsi="Arial"/>
                <w:sz w:val="13"/>
                <w:szCs w:val="13"/>
                <w:color w:val="auto"/>
              </w:rPr>
              <w:t>2004</w:t>
            </w:r>
          </w:p>
        </w:tc>
        <w:tc>
          <w:tcPr>
            <w:tcW w:w="120" w:type="dxa"/>
            <w:vAlign w:val="bottom"/>
          </w:tcPr>
          <w:p>
            <w:pPr>
              <w:spacing w:after="0"/>
              <w:rPr>
                <w:sz w:val="12"/>
                <w:szCs w:val="12"/>
                <w:color w:val="auto"/>
              </w:rPr>
            </w:pP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24,765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131,000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90%</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38,000</w:t>
            </w:r>
          </w:p>
        </w:tc>
        <w:tc>
          <w:tcPr>
            <w:tcW w:w="1100" w:type="dxa"/>
            <w:vAlign w:val="bottom"/>
          </w:tcPr>
          <w:p>
            <w:pPr>
              <w:ind w:left="80"/>
              <w:spacing w:after="0" w:line="148" w:lineRule="exact"/>
              <w:rPr>
                <w:sz w:val="20"/>
                <w:szCs w:val="20"/>
                <w:color w:val="auto"/>
              </w:rPr>
            </w:pPr>
            <w:r>
              <w:rPr>
                <w:rFonts w:ascii="Arial" w:cs="Arial" w:eastAsia="Arial" w:hAnsi="Arial"/>
                <w:sz w:val="13"/>
                <w:szCs w:val="13"/>
                <w:color w:val="auto"/>
              </w:rPr>
              <w:t>Whole Foods</w:t>
            </w:r>
          </w:p>
        </w:tc>
        <w:tc>
          <w:tcPr>
            <w:tcW w:w="2480" w:type="dxa"/>
            <w:vAlign w:val="bottom"/>
          </w:tcPr>
          <w:p>
            <w:pPr>
              <w:ind w:left="120"/>
              <w:spacing w:after="0" w:line="148" w:lineRule="exact"/>
              <w:rPr>
                <w:sz w:val="20"/>
                <w:szCs w:val="20"/>
                <w:color w:val="auto"/>
              </w:rPr>
            </w:pPr>
            <w:r>
              <w:rPr>
                <w:rFonts w:ascii="Arial" w:cs="Arial" w:eastAsia="Arial" w:hAnsi="Arial"/>
                <w:sz w:val="13"/>
                <w:szCs w:val="13"/>
                <w:color w:val="auto"/>
              </w:rPr>
              <w:t>Marshalls</w:t>
            </w:r>
          </w:p>
        </w:tc>
      </w:tr>
      <w:tr>
        <w:trPr>
          <w:trHeight w:val="170"/>
        </w:trPr>
        <w:tc>
          <w:tcPr>
            <w:tcW w:w="4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gridSpan w:val="2"/>
          </w:tcPr>
          <w:p>
            <w:pPr>
              <w:ind w:left="180"/>
              <w:spacing w:after="0"/>
              <w:rPr>
                <w:sz w:val="20"/>
                <w:szCs w:val="20"/>
                <w:color w:val="auto"/>
              </w:rPr>
            </w:pPr>
            <w:r>
              <w:rPr>
                <w:rFonts w:ascii="Arial" w:cs="Arial" w:eastAsia="Arial" w:hAnsi="Arial"/>
                <w:sz w:val="13"/>
                <w:szCs w:val="13"/>
                <w:color w:val="auto"/>
              </w:rPr>
              <w:t>Brockton, MA</w:t>
            </w:r>
          </w:p>
        </w:tc>
        <w:tc>
          <w:tcPr>
            <w:tcW w:w="8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r>
      <w:tr>
        <w:trPr>
          <w:trHeight w:val="250"/>
        </w:trPr>
        <w:tc>
          <w:tcPr>
            <w:tcW w:w="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226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3"/>
                <w:szCs w:val="13"/>
                <w:color w:val="auto"/>
              </w:rPr>
              <w:t>Total New England</w:t>
            </w:r>
          </w:p>
        </w:tc>
        <w:tc>
          <w:tcPr>
            <w:tcW w:w="8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67,880</w:t>
            </w:r>
          </w:p>
        </w:tc>
        <w:tc>
          <w:tcPr>
            <w:tcW w:w="10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370,000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6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2480" w:type="dxa"/>
            <w:vAlign w:val="bottom"/>
            <w:tcBorders>
              <w:bottom w:val="single" w:sz="8" w:color="auto"/>
            </w:tcBorders>
            <w:shd w:val="clear" w:color="auto" w:fill="CCEEFF"/>
          </w:tcPr>
          <w:p>
            <w:pPr>
              <w:spacing w:after="0"/>
              <w:rPr>
                <w:sz w:val="21"/>
                <w:szCs w:val="21"/>
                <w:color w:val="auto"/>
              </w:rPr>
            </w:pPr>
          </w:p>
        </w:tc>
      </w:tr>
      <w:tr>
        <w:trPr>
          <w:trHeight w:val="264"/>
        </w:trPr>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Grand Totals</w:t>
            </w:r>
          </w:p>
        </w:tc>
        <w:tc>
          <w:tcPr>
            <w:tcW w:w="20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82"/>
              </w:rPr>
              <w:t>$</w:t>
            </w: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3"/>
              </w:rPr>
              <w:t>211,605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56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b w:val="1"/>
                <w:bCs w:val="1"/>
                <w:color w:val="auto"/>
              </w:rPr>
              <w:t>44,885</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951,000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84%</w:t>
            </w:r>
          </w:p>
        </w:tc>
        <w:tc>
          <w:tcPr>
            <w:tcW w:w="6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tcPr>
          <w:p>
            <w:pPr>
              <w:spacing w:after="0"/>
              <w:rPr>
                <w:sz w:val="22"/>
                <w:szCs w:val="2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auto"/>
        </w:rPr>
        <w:t>Note:</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On July 24, 2014, the property was sold for $34.3 million.</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958"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7"/>
          <w:szCs w:val="17"/>
          <w:b w:val="1"/>
          <w:bCs w:val="1"/>
          <w:color w:val="auto"/>
        </w:rPr>
        <w:t xml:space="preserve">Adjusted EBITDA: </w:t>
      </w:r>
      <w:r>
        <w:rPr>
          <w:rFonts w:ascii="Arial" w:cs="Arial" w:eastAsia="Arial" w:hAnsi="Arial"/>
          <w:sz w:val="17"/>
          <w:szCs w:val="17"/>
          <w:color w:val="auto"/>
        </w:rPr>
        <w:t>Adjusted EBITDA is a non-GAAP measure that means net income or loss plus depreciation and amortization, net interest expense,</w:t>
      </w:r>
      <w:r>
        <w:rPr>
          <w:rFonts w:ascii="Arial" w:cs="Arial" w:eastAsia="Arial" w:hAnsi="Arial"/>
          <w:sz w:val="17"/>
          <w:szCs w:val="17"/>
          <w:b w:val="1"/>
          <w:bCs w:val="1"/>
          <w:color w:val="auto"/>
        </w:rPr>
        <w:t xml:space="preserve"> </w:t>
      </w:r>
      <w:r>
        <w:rPr>
          <w:rFonts w:ascii="Arial" w:cs="Arial" w:eastAsia="Arial" w:hAnsi="Arial"/>
          <w:sz w:val="17"/>
          <w:szCs w:val="17"/>
          <w:color w:val="auto"/>
        </w:rPr>
        <w:t>income taxes, gain or loss on sale of real estate, gain or loss on deconsolidation of variable interest entity (“VIE”)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net income to EBITDA and Adjusted EBITDA for the three and six months ended June 30, 2014 and 2013 is as follows: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center"/>
              <w:ind w:left="455"/>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gridSpan w:val="3"/>
          </w:tcPr>
          <w:p>
            <w:pPr>
              <w:jc w:val="center"/>
              <w:ind w:left="375"/>
              <w:spacing w:after="0"/>
              <w:rPr>
                <w:sz w:val="20"/>
                <w:szCs w:val="20"/>
                <w:color w:val="auto"/>
              </w:rPr>
            </w:pPr>
            <w:r>
              <w:rPr>
                <w:rFonts w:ascii="Arial" w:cs="Arial" w:eastAsia="Arial" w:hAnsi="Arial"/>
                <w:sz w:val="14"/>
                <w:szCs w:val="14"/>
                <w:b w:val="1"/>
                <w:bCs w:val="1"/>
                <w:color w:val="auto"/>
                <w:w w:val="93"/>
              </w:rPr>
              <w:t>Six Months Ended</w:t>
            </w:r>
          </w:p>
        </w:tc>
        <w:tc>
          <w:tcPr>
            <w:tcW w:w="840" w:type="dxa"/>
            <w:vAlign w:val="bottom"/>
          </w:tcPr>
          <w:p>
            <w:pPr>
              <w:spacing w:after="0"/>
              <w:rPr>
                <w:sz w:val="16"/>
                <w:szCs w:val="16"/>
                <w:color w:val="auto"/>
              </w:rPr>
            </w:pPr>
          </w:p>
        </w:tc>
      </w:tr>
      <w:tr>
        <w:trPr>
          <w:trHeight w:val="276"/>
        </w:trPr>
        <w:tc>
          <w:tcPr>
            <w:tcW w:w="53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left="395"/>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24"/>
                <w:szCs w:val="24"/>
                <w:color w:val="auto"/>
              </w:rPr>
            </w:pPr>
          </w:p>
        </w:tc>
      </w:tr>
      <w:tr>
        <w:trPr>
          <w:trHeight w:val="264"/>
        </w:trPr>
        <w:tc>
          <w:tcPr>
            <w:tcW w:w="53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53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45,416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38,797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85,961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74,639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40,893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39,853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84,743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80,477</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23,213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27,147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46,350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54,552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3,399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3,399</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37"/>
        </w:trPr>
        <w:tc>
          <w:tcPr>
            <w:tcW w:w="5380" w:type="dxa"/>
            <w:vAlign w:val="bottom"/>
          </w:tcPr>
          <w:p>
            <w:pPr>
              <w:ind w:left="380"/>
              <w:spacing w:after="0"/>
              <w:rPr>
                <w:sz w:val="20"/>
                <w:szCs w:val="20"/>
                <w:color w:val="auto"/>
              </w:rPr>
            </w:pPr>
            <w:r>
              <w:rPr>
                <w:rFonts w:ascii="Arial" w:cs="Arial" w:eastAsia="Arial" w:hAnsi="Arial"/>
                <w:sz w:val="18"/>
                <w:szCs w:val="18"/>
                <w:color w:val="auto"/>
              </w:rPr>
              <w:t>EBITDA</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109,504</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109,131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217,011</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212,972</w:t>
            </w: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r>
      <w:tr>
        <w:trPr>
          <w:trHeight w:val="257"/>
        </w:trPr>
        <w:tc>
          <w:tcPr>
            <w:tcW w:w="5380" w:type="dxa"/>
            <w:vAlign w:val="bottom"/>
          </w:tcPr>
          <w:p>
            <w:pPr>
              <w:ind w:left="38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109,504</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104,137</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217,011</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207,978</w:t>
            </w:r>
          </w:p>
        </w:tc>
      </w:tr>
      <w:tr>
        <w:trPr>
          <w:trHeight w:val="20"/>
        </w:trPr>
        <w:tc>
          <w:tcPr>
            <w:tcW w:w="5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 xml:space="preserve">Funds From Operations (FFO): </w:t>
      </w:r>
      <w:r>
        <w:rPr>
          <w:rFonts w:ascii="Arial" w:cs="Arial" w:eastAsia="Arial" w:hAnsi="Arial"/>
          <w:sz w:val="17"/>
          <w:szCs w:val="17"/>
          <w:color w:val="auto"/>
        </w:rPr>
        <w:t>FFO is a supplemental measure of real estate companies' operating performances. The National Association of Real Estate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Trusts (“NAREIT”) defines FFO as follows: net income, computed in accordance with GAAP plus real estate related depreciation and amortization and excluding extraordinary items,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7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 and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results from discontinued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and operated for the entirety of both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compared, excludes properties that were redeveloped, expanded or under development and properties purchased or sold at any time during the periods being compared.</w:t>
      </w:r>
    </w:p>
    <w:p>
      <w:pPr>
        <w:spacing w:after="0" w:line="176"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Tenant Improvements and Incentives: </w:t>
      </w:r>
      <w:r>
        <w:rPr>
          <w:rFonts w:ascii="Arial" w:cs="Arial" w:eastAsia="Arial" w:hAnsi="Arial"/>
          <w:sz w:val="17"/>
          <w:szCs w:val="17"/>
          <w:color w:val="auto"/>
        </w:rPr>
        <w:t>Represents not only the total dollars committed for the improvement (fit-out) of a space as it relates to a specific</w:t>
      </w:r>
      <w:r>
        <w:rPr>
          <w:rFonts w:ascii="Arial" w:cs="Arial" w:eastAsia="Arial" w:hAnsi="Arial"/>
          <w:sz w:val="17"/>
          <w:szCs w:val="17"/>
          <w:b w:val="1"/>
          <w:bCs w:val="1"/>
          <w:color w:val="auto"/>
        </w:rPr>
        <w:t xml:space="preserve"> </w:t>
      </w:r>
      <w:r>
        <w:rPr>
          <w:rFonts w:ascii="Arial" w:cs="Arial" w:eastAsia="Arial" w:hAnsi="Arial"/>
          <w:sz w:val="17"/>
          <w:szCs w:val="17"/>
          <w:color w:val="auto"/>
        </w:rPr>
        <w:t>lease and, except for redevelopments,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3"/>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2019-12-05T09:17:07Z</dcterms:created>
  <dcterms:modified xsi:type="dcterms:W3CDTF">2019-12-05T09:17:07Z</dcterms:modified>
</cp:coreProperties>
</file>