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154940</wp:posOffset>
            </wp:positionH>
            <wp:positionV relativeFrom="page">
              <wp:posOffset>154940</wp:posOffset>
            </wp:positionV>
            <wp:extent cx="725233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335" cy="29845"/>
                    </a:xfrm>
                    <a:prstGeom prst="rect">
                      <a:avLst/>
                    </a:prstGeom>
                    <a:noFill/>
                  </pic:spPr>
                </pic:pic>
              </a:graphicData>
            </a:graphic>
          </wp:anchor>
        </w:drawing>
        <w:t>SECURITIES AND EXCHANGE COMMISSION</w:t>
      </w:r>
    </w:p>
    <w:p>
      <w:pPr>
        <w:spacing w:after="0" w:line="31" w:lineRule="exact"/>
        <w:rPr>
          <w:sz w:val="24"/>
          <w:szCs w:val="24"/>
          <w:color w:val="auto"/>
        </w:rPr>
      </w:pPr>
    </w:p>
    <w:p>
      <w:pPr>
        <w:ind w:left="462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3004185</wp:posOffset>
            </wp:positionH>
            <wp:positionV relativeFrom="paragraph">
              <wp:posOffset>163195</wp:posOffset>
            </wp:positionV>
            <wp:extent cx="12490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3004185</wp:posOffset>
            </wp:positionH>
            <wp:positionV relativeFrom="paragraph">
              <wp:posOffset>183515</wp:posOffset>
            </wp:positionV>
            <wp:extent cx="1249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519"/>
        <w:spacing w:after="0"/>
        <w:rPr>
          <w:sz w:val="20"/>
          <w:szCs w:val="20"/>
          <w:color w:val="auto"/>
        </w:rPr>
      </w:pPr>
      <w:r>
        <w:rPr>
          <w:rFonts w:ascii="Arial" w:cs="Arial" w:eastAsia="Arial" w:hAnsi="Arial"/>
          <w:sz w:val="21"/>
          <w:szCs w:val="21"/>
          <w:b w:val="1"/>
          <w:bCs w:val="1"/>
          <w:color w:val="auto"/>
        </w:rPr>
        <w:t>CURRENT REPORT</w:t>
      </w:r>
    </w:p>
    <w:p>
      <w:pPr>
        <w:spacing w:after="0" w:line="147" w:lineRule="exact"/>
        <w:rPr>
          <w:sz w:val="24"/>
          <w:szCs w:val="24"/>
          <w:color w:val="auto"/>
        </w:rPr>
      </w:pPr>
    </w:p>
    <w:p>
      <w:pPr>
        <w:jc w:val="center"/>
        <w:ind w:right="-5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71" w:lineRule="exact"/>
        <w:rPr>
          <w:sz w:val="24"/>
          <w:szCs w:val="24"/>
          <w:color w:val="auto"/>
        </w:rPr>
      </w:pPr>
    </w:p>
    <w:p>
      <w:pPr>
        <w:ind w:left="3260"/>
        <w:spacing w:after="0"/>
        <w:rPr>
          <w:sz w:val="20"/>
          <w:szCs w:val="20"/>
          <w:color w:val="auto"/>
        </w:rPr>
      </w:pPr>
      <w:r>
        <w:rPr>
          <w:rFonts w:ascii="Arial" w:cs="Arial" w:eastAsia="Arial" w:hAnsi="Arial"/>
          <w:sz w:val="17"/>
          <w:szCs w:val="17"/>
          <w:b w:val="1"/>
          <w:bCs w:val="1"/>
          <w:color w:val="auto"/>
        </w:rPr>
        <w:t>Date of Report (Date of earliest event reported) November 3,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3004185</wp:posOffset>
            </wp:positionH>
            <wp:positionV relativeFrom="paragraph">
              <wp:posOffset>182245</wp:posOffset>
            </wp:positionV>
            <wp:extent cx="1249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ind w:right="-519"/>
        <w:spacing w:after="0"/>
        <w:rPr>
          <w:sz w:val="20"/>
          <w:szCs w:val="20"/>
          <w:color w:val="auto"/>
        </w:rPr>
      </w:pPr>
      <w:r>
        <w:rPr>
          <w:rFonts w:ascii="Arial" w:cs="Arial" w:eastAsia="Arial" w:hAnsi="Arial"/>
          <w:sz w:val="43"/>
          <w:szCs w:val="43"/>
          <w:b w:val="1"/>
          <w:bCs w:val="1"/>
          <w:color w:val="auto"/>
        </w:rPr>
        <w:t>Federal Realty Investment Trust</w:t>
      </w:r>
    </w:p>
    <w:p>
      <w:pPr>
        <w:spacing w:after="0" w:line="45" w:lineRule="exact"/>
        <w:rPr>
          <w:sz w:val="24"/>
          <w:szCs w:val="24"/>
          <w:color w:val="auto"/>
        </w:rPr>
      </w:pPr>
    </w:p>
    <w:p>
      <w:pPr>
        <w:ind w:left="424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3004185</wp:posOffset>
            </wp:positionH>
            <wp:positionV relativeFrom="paragraph">
              <wp:posOffset>159385</wp:posOffset>
            </wp:positionV>
            <wp:extent cx="1249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sectPr>
          <w:pgSz w:w="11900" w:h="16838" w:orient="portrait"/>
          <w:cols w:equalWidth="0" w:num="1">
            <w:col w:w="10920"/>
          </w:cols>
          <w:pgMar w:left="240" w:top="353" w:right="739" w:bottom="1440" w:gutter="0" w:footer="0" w:header="0"/>
        </w:sectPr>
      </w:pPr>
    </w:p>
    <w:p>
      <w:pPr>
        <w:spacing w:after="0" w:line="200" w:lineRule="exact"/>
        <w:rPr>
          <w:sz w:val="24"/>
          <w:szCs w:val="24"/>
          <w:color w:val="auto"/>
        </w:rPr>
      </w:pPr>
    </w:p>
    <w:p>
      <w:pPr>
        <w:spacing w:after="0" w:line="304"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jc w:val="center"/>
        <w:ind w:right="2320"/>
        <w:spacing w:after="0"/>
        <w:rPr>
          <w:sz w:val="20"/>
          <w:szCs w:val="20"/>
          <w:color w:val="auto"/>
        </w:rPr>
      </w:pPr>
      <w:r>
        <w:rPr>
          <w:rFonts w:ascii="Arial" w:cs="Arial" w:eastAsia="Arial" w:hAnsi="Arial"/>
          <w:sz w:val="15"/>
          <w:szCs w:val="15"/>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54" w:lineRule="exact"/>
        <w:rPr>
          <w:sz w:val="24"/>
          <w:szCs w:val="24"/>
          <w:color w:val="auto"/>
        </w:rPr>
      </w:pPr>
    </w:p>
    <w:p>
      <w:pPr>
        <w:sectPr>
          <w:pgSz w:w="11900" w:h="16838" w:orient="portrait"/>
          <w:cols w:equalWidth="0" w:num="3">
            <w:col w:w="4840" w:space="720"/>
            <w:col w:w="2900" w:space="720"/>
            <w:col w:w="1740"/>
          </w:cols>
          <w:pgMar w:left="240" w:top="353" w:right="73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2" w:lineRule="exact"/>
        <w:rPr>
          <w:sz w:val="24"/>
          <w:szCs w:val="24"/>
          <w:color w:val="auto"/>
        </w:rPr>
      </w:pPr>
    </w:p>
    <w:p>
      <w:pPr>
        <w:jc w:val="center"/>
        <w:ind w:right="44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4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800"/>
        <w:spacing w:after="0"/>
        <w:rPr>
          <w:sz w:val="20"/>
          <w:szCs w:val="20"/>
          <w:color w:val="auto"/>
        </w:rPr>
      </w:pPr>
      <w:r>
        <w:rPr>
          <w:rFonts w:ascii="Arial" w:cs="Arial" w:eastAsia="Arial" w:hAnsi="Arial"/>
          <w:sz w:val="13"/>
          <w:szCs w:val="13"/>
          <w:b w:val="1"/>
          <w:bCs w:val="1"/>
          <w:color w:val="auto"/>
        </w:rPr>
        <w:t>(IRS Employer</w:t>
      </w:r>
    </w:p>
    <w:p>
      <w:pPr>
        <w:jc w:val="center"/>
        <w:ind w:right="800"/>
        <w:spacing w:after="0"/>
        <w:rPr>
          <w:sz w:val="20"/>
          <w:szCs w:val="20"/>
          <w:color w:val="auto"/>
        </w:rPr>
      </w:pPr>
      <w:r>
        <w:rPr>
          <w:rFonts w:ascii="Arial" w:cs="Arial" w:eastAsia="Arial" w:hAnsi="Arial"/>
          <w:sz w:val="12"/>
          <w:szCs w:val="12"/>
          <w:b w:val="1"/>
          <w:bCs w:val="1"/>
          <w:color w:val="auto"/>
        </w:rPr>
        <w:t>Identification No.)</w:t>
      </w:r>
    </w:p>
    <w:p>
      <w:pPr>
        <w:spacing w:after="0" w:line="154" w:lineRule="exact"/>
        <w:rPr>
          <w:sz w:val="24"/>
          <w:szCs w:val="24"/>
          <w:color w:val="auto"/>
        </w:rPr>
      </w:pPr>
    </w:p>
    <w:p>
      <w:pPr>
        <w:sectPr>
          <w:pgSz w:w="11900" w:h="16838" w:orient="portrait"/>
          <w:cols w:equalWidth="0" w:num="3">
            <w:col w:w="4360" w:space="720"/>
            <w:col w:w="3280" w:space="720"/>
            <w:col w:w="1840"/>
          </w:cols>
          <w:pgMar w:left="240" w:top="353" w:right="739" w:bottom="1440" w:gutter="0" w:footer="0" w:header="0"/>
          <w:type w:val="continuous"/>
        </w:sectPr>
      </w:pPr>
    </w:p>
    <w:p>
      <w:pPr>
        <w:ind w:left="110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5" w:lineRule="exact"/>
        <w:rPr>
          <w:sz w:val="24"/>
          <w:szCs w:val="24"/>
          <w:color w:val="auto"/>
        </w:rPr>
      </w:pPr>
    </w:p>
    <w:p>
      <w:pPr>
        <w:sectPr>
          <w:pgSz w:w="11900" w:h="16838" w:orient="portrait"/>
          <w:cols w:equalWidth="0" w:num="2">
            <w:col w:w="7540" w:space="720"/>
            <w:col w:w="2660"/>
          </w:cols>
          <w:pgMar w:left="240" w:top="353" w:right="739" w:bottom="1440" w:gutter="0" w:footer="0" w:header="0"/>
          <w:type w:val="continuous"/>
        </w:sectPr>
      </w:pPr>
    </w:p>
    <w:p>
      <w:pPr>
        <w:ind w:left="176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43" w:lineRule="exact"/>
        <w:rPr>
          <w:sz w:val="24"/>
          <w:szCs w:val="24"/>
          <w:color w:val="auto"/>
        </w:rPr>
      </w:pPr>
    </w:p>
    <w:p>
      <w:pPr>
        <w:sectPr>
          <w:pgSz w:w="11900" w:h="16838" w:orient="portrait"/>
          <w:cols w:equalWidth="0" w:num="2">
            <w:col w:w="7660" w:space="720"/>
            <w:col w:w="2540"/>
          </w:cols>
          <w:pgMar w:left="240" w:top="353" w:right="739" w:bottom="1440" w:gutter="0" w:footer="0" w:header="0"/>
          <w:type w:val="continuous"/>
        </w:sectPr>
      </w:pPr>
    </w:p>
    <w:p>
      <w:pPr>
        <w:ind w:left="3280"/>
        <w:spacing w:after="0"/>
        <w:rPr>
          <w:sz w:val="20"/>
          <w:szCs w:val="20"/>
          <w:color w:val="auto"/>
        </w:rPr>
      </w:pPr>
      <w:r>
        <w:rPr>
          <w:rFonts w:ascii="Arial" w:cs="Arial" w:eastAsia="Arial" w:hAnsi="Arial"/>
          <w:sz w:val="17"/>
          <w:szCs w:val="17"/>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3004185</wp:posOffset>
            </wp:positionH>
            <wp:positionV relativeFrom="paragraph">
              <wp:posOffset>182245</wp:posOffset>
            </wp:positionV>
            <wp:extent cx="1249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spacing w:after="0" w:line="29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96" w:lineRule="exact"/>
        <w:rPr>
          <w:sz w:val="24"/>
          <w:szCs w:val="24"/>
          <w:color w:val="auto"/>
        </w:rPr>
      </w:pPr>
    </w:p>
    <w:p>
      <w:pPr>
        <w:ind w:left="460" w:hanging="453"/>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65" w:lineRule="exact"/>
        <w:rPr>
          <w:rFonts w:ascii="MS PGothic" w:cs="MS PGothic" w:eastAsia="MS PGothic" w:hAnsi="MS PGothic"/>
          <w:sz w:val="17"/>
          <w:szCs w:val="17"/>
          <w:color w:val="auto"/>
        </w:rPr>
      </w:pPr>
    </w:p>
    <w:p>
      <w:pPr>
        <w:ind w:left="460" w:hanging="453"/>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65" w:lineRule="exact"/>
        <w:rPr>
          <w:rFonts w:ascii="MS PGothic" w:cs="MS PGothic" w:eastAsia="MS PGothic" w:hAnsi="MS PGothic"/>
          <w:sz w:val="17"/>
          <w:szCs w:val="17"/>
          <w:color w:val="auto"/>
        </w:rPr>
      </w:pPr>
    </w:p>
    <w:p>
      <w:pPr>
        <w:ind w:left="460" w:hanging="453"/>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65" w:lineRule="exact"/>
        <w:rPr>
          <w:rFonts w:ascii="MS PGothic" w:cs="MS PGothic" w:eastAsia="MS PGothic" w:hAnsi="MS PGothic"/>
          <w:sz w:val="17"/>
          <w:szCs w:val="17"/>
          <w:color w:val="auto"/>
        </w:rPr>
      </w:pPr>
    </w:p>
    <w:p>
      <w:pPr>
        <w:ind w:left="460" w:hanging="453"/>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176530</wp:posOffset>
            </wp:positionV>
            <wp:extent cx="725233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335" cy="29845"/>
                    </a:xfrm>
                    <a:prstGeom prst="rect">
                      <a:avLst/>
                    </a:prstGeom>
                    <a:noFill/>
                  </pic:spPr>
                </pic:pic>
              </a:graphicData>
            </a:graphic>
          </wp:anchor>
        </w:drawing>
      </w:r>
    </w:p>
    <w:p>
      <w:pPr>
        <w:sectPr>
          <w:pgSz w:w="11900" w:h="16838" w:orient="portrait"/>
          <w:cols w:equalWidth="0" w:num="1">
            <w:col w:w="10920"/>
          </w:cols>
          <w:pgMar w:left="240" w:top="353" w:right="7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8845" cy="27305"/>
                    </a:xfrm>
                    <a:prstGeom prst="rect">
                      <a:avLst/>
                    </a:prstGeom>
                    <a:noFill/>
                  </pic:spPr>
                </pic:pic>
              </a:graphicData>
            </a:graphic>
          </wp:anchor>
        </w:drawing>
        <w:t>Item 2.02. Results of Operations and Financial Condition.</w:t>
      </w:r>
    </w:p>
    <w:p>
      <w:pPr>
        <w:spacing w:after="0" w:line="92"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99" w:lineRule="exact"/>
        <w:rPr>
          <w:sz w:val="20"/>
          <w:szCs w:val="20"/>
          <w:color w:val="auto"/>
        </w:rPr>
      </w:pPr>
    </w:p>
    <w:p>
      <w:pPr>
        <w:ind w:right="20" w:firstLine="456"/>
        <w:spacing w:after="0" w:line="294" w:lineRule="auto"/>
        <w:rPr>
          <w:sz w:val="20"/>
          <w:szCs w:val="20"/>
          <w:color w:val="auto"/>
        </w:rPr>
      </w:pPr>
      <w:r>
        <w:rPr>
          <w:rFonts w:ascii="Arial" w:cs="Arial" w:eastAsia="Arial" w:hAnsi="Arial"/>
          <w:sz w:val="17"/>
          <w:szCs w:val="17"/>
          <w:color w:val="auto"/>
        </w:rPr>
        <w:t>On November 3, 2004, Federal Realty Investment Trust issued supplemental data pertaining to its operations, as well as a press release, to report its financial results for the quarter ended September 30, 2004. The supplemental data and press release are furnished as Exhibit 99.1 hereto.</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92" w:lineRule="exact"/>
        <w:rPr>
          <w:sz w:val="20"/>
          <w:szCs w:val="20"/>
          <w:color w:val="auto"/>
        </w:rPr>
      </w:pPr>
    </w:p>
    <w:p>
      <w:pPr>
        <w:ind w:left="920" w:hanging="458"/>
        <w:spacing w:after="0"/>
        <w:tabs>
          <w:tab w:leader="none" w:pos="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w:t>
      </w:r>
    </w:p>
    <w:p>
      <w:pPr>
        <w:spacing w:after="0" w:line="86"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Supplemental portfolio information at September 30, 2004 (including press release dated November 3, 2004)</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SIGNATURES</w:t>
      </w:r>
    </w:p>
    <w:p>
      <w:pPr>
        <w:spacing w:after="0" w:line="17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90" w:lineRule="exact"/>
        <w:rPr>
          <w:sz w:val="20"/>
          <w:szCs w:val="20"/>
          <w:color w:val="auto"/>
        </w:rPr>
      </w:pPr>
    </w:p>
    <w:p>
      <w:pPr>
        <w:ind w:left="5840"/>
        <w:spacing w:after="0"/>
        <w:rPr>
          <w:sz w:val="20"/>
          <w:szCs w:val="20"/>
          <w:color w:val="auto"/>
        </w:rPr>
      </w:pPr>
      <w:r>
        <w:rPr>
          <w:rFonts w:ascii="Arial" w:cs="Arial" w:eastAsia="Arial" w:hAnsi="Arial"/>
          <w:sz w:val="17"/>
          <w:szCs w:val="17"/>
          <w:b w:val="1"/>
          <w:bCs w:val="1"/>
          <w:color w:val="auto"/>
        </w:rPr>
        <w:t>FEDERAL REALTY INVESTMENT TRUST</w:t>
      </w:r>
    </w:p>
    <w:p>
      <w:pPr>
        <w:spacing w:after="0" w:line="239"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Date: November 3, 2004</w:t>
      </w:r>
      <w:r>
        <w:rPr>
          <w:sz w:val="20"/>
          <w:szCs w:val="20"/>
          <w:color w:val="auto"/>
        </w:rPr>
        <w:tab/>
      </w:r>
      <w:r>
        <w:rPr>
          <w:rFonts w:ascii="Arial" w:cs="Arial" w:eastAsia="Arial" w:hAnsi="Arial"/>
          <w:sz w:val="16"/>
          <w:szCs w:val="16"/>
          <w:color w:val="auto"/>
        </w:rPr>
        <w:t>/s/ Larry E.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85090</wp:posOffset>
            </wp:positionV>
            <wp:extent cx="35433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43300" cy="8255"/>
                    </a:xfrm>
                    <a:prstGeom prst="rect">
                      <a:avLst/>
                    </a:prstGeom>
                    <a:noFill/>
                  </pic:spPr>
                </pic:pic>
              </a:graphicData>
            </a:graphic>
          </wp:anchor>
        </w:drawing>
      </w:r>
    </w:p>
    <w:p>
      <w:pPr>
        <w:spacing w:after="0" w:line="22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Larry E. Finger</w:t>
      </w:r>
    </w:p>
    <w:p>
      <w:pPr>
        <w:spacing w:after="0" w:line="2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Senior Vice President,</w:t>
      </w:r>
    </w:p>
    <w:p>
      <w:pPr>
        <w:spacing w:after="0" w:line="1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Chief Financial Officer and Treasurer</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272" w:right="259" w:bottom="1440" w:gutter="0" w:footer="0" w:header="0"/>
        </w:sectPr>
      </w:pPr>
    </w:p>
    <w:bookmarkStart w:id="2" w:name="page3"/>
    <w:bookmarkEnd w:id="2"/>
    <w:p>
      <w:pPr>
        <w:jc w:val="right"/>
        <w:ind w:right="385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8845" cy="27305"/>
                    </a:xfrm>
                    <a:prstGeom prst="rect">
                      <a:avLst/>
                    </a:prstGeom>
                    <a:noFill/>
                  </pic:spPr>
                </pic:pic>
              </a:graphicData>
            </a:graphic>
          </wp:anchor>
        </w:drawing>
        <w:t>EXHIBIT INDEX</w:t>
      </w:r>
    </w:p>
    <w:p>
      <w:pPr>
        <w:spacing w:after="0" w:line="161" w:lineRule="exact"/>
        <w:rPr>
          <w:sz w:val="20"/>
          <w:szCs w:val="20"/>
          <w:color w:val="auto"/>
        </w:rPr>
      </w:pPr>
    </w:p>
    <w:p>
      <w:pPr>
        <w:spacing w:after="0"/>
        <w:tabs>
          <w:tab w:leader="none" w:pos="940" w:val="left"/>
        </w:tabs>
        <w:rPr>
          <w:sz w:val="20"/>
          <w:szCs w:val="20"/>
          <w:color w:val="auto"/>
        </w:rPr>
      </w:pPr>
      <w:r>
        <w:rPr>
          <w:rFonts w:ascii="Arial" w:cs="Arial" w:eastAsia="Arial" w:hAnsi="Arial"/>
          <w:sz w:val="13"/>
          <w:szCs w:val="13"/>
          <w:b w:val="1"/>
          <w:bCs w:val="1"/>
          <w:color w:val="auto"/>
        </w:rPr>
        <w:t>Exh No.</w:t>
      </w:r>
      <w:r>
        <w:rPr>
          <w:sz w:val="20"/>
          <w:szCs w:val="20"/>
          <w:color w:val="auto"/>
        </w:rPr>
        <w:tab/>
      </w: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9601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10"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Supplemental Information at September 30, 2004</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219"/>
          </w:cols>
          <w:pgMar w:left="240" w:top="278"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7"/>
                <w:szCs w:val="17"/>
                <w:b w:val="1"/>
                <w:bCs w:val="1"/>
                <w:color w:val="auto"/>
              </w:rPr>
              <w:t>Exhibit 99.1</w:t>
            </w:r>
          </w:p>
        </w:tc>
      </w:tr>
      <w:tr>
        <w:trPr>
          <w:trHeight w:val="361"/>
        </w:trPr>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20" w:type="dxa"/>
            <w:vAlign w:val="bottom"/>
            <w:gridSpan w:val="2"/>
          </w:tcPr>
          <w:p>
            <w:pPr>
              <w:jc w:val="center"/>
              <w:ind w:right="1120"/>
              <w:spacing w:after="0"/>
              <w:rPr>
                <w:sz w:val="20"/>
                <w:szCs w:val="20"/>
                <w:color w:val="auto"/>
              </w:rPr>
            </w:pPr>
            <w:r>
              <w:rPr>
                <w:rFonts w:ascii="Arial" w:cs="Arial" w:eastAsia="Arial" w:hAnsi="Arial"/>
                <w:sz w:val="17"/>
                <w:szCs w:val="17"/>
                <w:b w:val="1"/>
                <w:bCs w:val="1"/>
                <w:color w:val="auto"/>
              </w:rPr>
              <w:t>FEDERAL REALTY INVESTMENT TRUST</w:t>
            </w:r>
          </w:p>
        </w:tc>
        <w:tc>
          <w:tcPr>
            <w:tcW w:w="2440" w:type="dxa"/>
            <w:vAlign w:val="bottom"/>
          </w:tcPr>
          <w:p>
            <w:pPr>
              <w:spacing w:after="0"/>
              <w:rPr>
                <w:sz w:val="24"/>
                <w:szCs w:val="24"/>
                <w:color w:val="auto"/>
              </w:rPr>
            </w:pPr>
          </w:p>
        </w:tc>
      </w:tr>
      <w:tr>
        <w:trPr>
          <w:trHeight w:val="354"/>
        </w:trPr>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20" w:type="dxa"/>
            <w:vAlign w:val="bottom"/>
            <w:gridSpan w:val="2"/>
          </w:tcPr>
          <w:p>
            <w:pPr>
              <w:jc w:val="center"/>
              <w:ind w:right="1120"/>
              <w:spacing w:after="0"/>
              <w:rPr>
                <w:sz w:val="20"/>
                <w:szCs w:val="20"/>
                <w:color w:val="auto"/>
              </w:rPr>
            </w:pPr>
            <w:r>
              <w:rPr>
                <w:rFonts w:ascii="Arial" w:cs="Arial" w:eastAsia="Arial" w:hAnsi="Arial"/>
                <w:sz w:val="17"/>
                <w:szCs w:val="17"/>
                <w:color w:val="auto"/>
                <w:w w:val="93"/>
              </w:rPr>
              <w:t>Supplemental Information</w:t>
            </w:r>
          </w:p>
        </w:tc>
        <w:tc>
          <w:tcPr>
            <w:tcW w:w="2440" w:type="dxa"/>
            <w:vAlign w:val="bottom"/>
          </w:tcPr>
          <w:p>
            <w:pPr>
              <w:spacing w:after="0"/>
              <w:rPr>
                <w:sz w:val="24"/>
                <w:szCs w:val="24"/>
                <w:color w:val="auto"/>
              </w:rPr>
            </w:pPr>
          </w:p>
        </w:tc>
      </w:tr>
      <w:tr>
        <w:trPr>
          <w:trHeight w:val="221"/>
        </w:trPr>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20" w:type="dxa"/>
            <w:vAlign w:val="bottom"/>
            <w:gridSpan w:val="2"/>
          </w:tcPr>
          <w:p>
            <w:pPr>
              <w:jc w:val="center"/>
              <w:ind w:right="1100"/>
              <w:spacing w:after="0"/>
              <w:rPr>
                <w:sz w:val="20"/>
                <w:szCs w:val="20"/>
                <w:color w:val="auto"/>
              </w:rPr>
            </w:pPr>
            <w:r>
              <w:rPr>
                <w:rFonts w:ascii="Arial" w:cs="Arial" w:eastAsia="Arial" w:hAnsi="Arial"/>
                <w:sz w:val="17"/>
                <w:szCs w:val="17"/>
                <w:color w:val="auto"/>
                <w:w w:val="90"/>
              </w:rPr>
              <w:t>September 30, 2004</w:t>
            </w:r>
          </w:p>
        </w:tc>
        <w:tc>
          <w:tcPr>
            <w:tcW w:w="2440" w:type="dxa"/>
            <w:vAlign w:val="bottom"/>
          </w:tcPr>
          <w:p>
            <w:pPr>
              <w:spacing w:after="0"/>
              <w:rPr>
                <w:sz w:val="19"/>
                <w:szCs w:val="19"/>
                <w:color w:val="auto"/>
              </w:rPr>
            </w:pPr>
          </w:p>
        </w:tc>
      </w:tr>
      <w:tr>
        <w:trPr>
          <w:trHeight w:val="361"/>
        </w:trPr>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20" w:type="dxa"/>
            <w:vAlign w:val="bottom"/>
            <w:gridSpan w:val="2"/>
          </w:tcPr>
          <w:p>
            <w:pPr>
              <w:jc w:val="center"/>
              <w:ind w:right="1120"/>
              <w:spacing w:after="0"/>
              <w:rPr>
                <w:sz w:val="20"/>
                <w:szCs w:val="20"/>
                <w:color w:val="auto"/>
              </w:rPr>
            </w:pPr>
            <w:r>
              <w:rPr>
                <w:rFonts w:ascii="Arial" w:cs="Arial" w:eastAsia="Arial" w:hAnsi="Arial"/>
                <w:sz w:val="17"/>
                <w:szCs w:val="17"/>
                <w:b w:val="1"/>
                <w:bCs w:val="1"/>
                <w:color w:val="auto"/>
              </w:rPr>
              <w:t>TABLE OF CONTENTS</w:t>
            </w:r>
          </w:p>
        </w:tc>
        <w:tc>
          <w:tcPr>
            <w:tcW w:w="2440" w:type="dxa"/>
            <w:vAlign w:val="bottom"/>
          </w:tcPr>
          <w:p>
            <w:pPr>
              <w:spacing w:after="0"/>
              <w:rPr>
                <w:sz w:val="24"/>
                <w:szCs w:val="24"/>
                <w:color w:val="auto"/>
              </w:rPr>
            </w:pPr>
          </w:p>
        </w:tc>
      </w:tr>
      <w:tr>
        <w:trPr>
          <w:trHeight w:val="323"/>
        </w:trPr>
        <w:tc>
          <w:tcPr>
            <w:tcW w:w="560" w:type="dxa"/>
            <w:vAlign w:val="bottom"/>
          </w:tcPr>
          <w:p>
            <w:pPr>
              <w:jc w:val="right"/>
              <w:ind w:right="333"/>
              <w:spacing w:after="0"/>
              <w:rPr>
                <w:sz w:val="20"/>
                <w:szCs w:val="20"/>
                <w:color w:val="auto"/>
              </w:rPr>
            </w:pPr>
            <w:r>
              <w:rPr>
                <w:rFonts w:ascii="Arial" w:cs="Arial" w:eastAsia="Arial" w:hAnsi="Arial"/>
                <w:sz w:val="17"/>
                <w:szCs w:val="17"/>
                <w:color w:val="auto"/>
                <w:w w:val="84"/>
              </w:rPr>
              <w:t>1.</w:t>
            </w:r>
          </w:p>
        </w:tc>
        <w:tc>
          <w:tcPr>
            <w:tcW w:w="8420" w:type="dxa"/>
            <w:vAlign w:val="bottom"/>
            <w:gridSpan w:val="8"/>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Third Quarter 2004 Earnings Press Release</w:t>
              </w:r>
            </w:hyperlink>
          </w:p>
        </w:tc>
        <w:tc>
          <w:tcPr>
            <w:tcW w:w="24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333"/>
        </w:trPr>
        <w:tc>
          <w:tcPr>
            <w:tcW w:w="560" w:type="dxa"/>
            <w:vAlign w:val="bottom"/>
          </w:tcPr>
          <w:p>
            <w:pPr>
              <w:jc w:val="right"/>
              <w:ind w:right="333"/>
              <w:spacing w:after="0"/>
              <w:rPr>
                <w:sz w:val="20"/>
                <w:szCs w:val="20"/>
                <w:color w:val="auto"/>
              </w:rPr>
            </w:pPr>
            <w:r>
              <w:rPr>
                <w:rFonts w:ascii="Arial" w:cs="Arial" w:eastAsia="Arial" w:hAnsi="Arial"/>
                <w:sz w:val="17"/>
                <w:szCs w:val="17"/>
                <w:color w:val="auto"/>
                <w:w w:val="84"/>
              </w:rPr>
              <w:t>2.</w:t>
            </w:r>
          </w:p>
        </w:tc>
        <w:tc>
          <w:tcPr>
            <w:tcW w:w="3000" w:type="dxa"/>
            <w:vAlign w:val="bottom"/>
            <w:tcBorders>
              <w:top w:val="single" w:sz="8" w:color="0000EE"/>
            </w:tcBorders>
            <w:gridSpan w:val="6"/>
          </w:tcPr>
          <w:p>
            <w:pPr>
              <w:spacing w:after="0"/>
              <w:rPr>
                <w:sz w:val="20"/>
                <w:szCs w:val="20"/>
                <w:color w:val="auto"/>
              </w:rPr>
            </w:pPr>
            <w:r>
              <w:rPr>
                <w:rFonts w:ascii="Arial" w:cs="Arial" w:eastAsia="Arial" w:hAnsi="Arial"/>
                <w:sz w:val="17"/>
                <w:szCs w:val="17"/>
                <w:color w:val="auto"/>
              </w:rPr>
              <w:t>Financial Highlights</w:t>
            </w:r>
          </w:p>
        </w:tc>
        <w:tc>
          <w:tcPr>
            <w:tcW w:w="5420" w:type="dxa"/>
            <w:vAlign w:val="bottom"/>
            <w:gridSpan w:val="2"/>
          </w:tcPr>
          <w:p>
            <w:pPr>
              <w:spacing w:after="0"/>
              <w:rPr>
                <w:sz w:val="24"/>
                <w:szCs w:val="24"/>
                <w:color w:val="auto"/>
              </w:rPr>
            </w:pPr>
          </w:p>
        </w:tc>
        <w:tc>
          <w:tcPr>
            <w:tcW w:w="2440" w:type="dxa"/>
            <w:vAlign w:val="bottom"/>
          </w:tcPr>
          <w:p>
            <w:pPr>
              <w:spacing w:after="0"/>
              <w:rPr>
                <w:sz w:val="24"/>
                <w:szCs w:val="24"/>
                <w:color w:val="auto"/>
              </w:rPr>
            </w:pPr>
          </w:p>
        </w:tc>
      </w:tr>
      <w:tr>
        <w:trPr>
          <w:trHeight w:val="182"/>
        </w:trPr>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920" w:type="dxa"/>
            <w:vAlign w:val="bottom"/>
            <w:gridSpan w:val="7"/>
          </w:tcPr>
          <w:p>
            <w:pPr>
              <w:spacing w:after="0" w:line="182" w:lineRule="exact"/>
              <w:rPr>
                <w:rFonts w:ascii="Arial" w:cs="Arial" w:eastAsia="Arial" w:hAnsi="Arial"/>
                <w:sz w:val="17"/>
                <w:szCs w:val="17"/>
                <w:color w:val="0000EE"/>
              </w:rPr>
            </w:pPr>
            <w:hyperlink w:anchor="page11">
              <w:r>
                <w:rPr>
                  <w:rFonts w:ascii="Arial" w:cs="Arial" w:eastAsia="Arial" w:hAnsi="Arial"/>
                  <w:sz w:val="17"/>
                  <w:szCs w:val="17"/>
                  <w:color w:val="0000EE"/>
                </w:rPr>
                <w:t>Summarized Operating Results</w:t>
              </w:r>
            </w:hyperlink>
          </w:p>
        </w:tc>
        <w:tc>
          <w:tcPr>
            <w:tcW w:w="2440" w:type="dxa"/>
            <w:vAlign w:val="bottom"/>
          </w:tcPr>
          <w:p>
            <w:pPr>
              <w:jc w:val="right"/>
              <w:spacing w:after="0" w:line="182" w:lineRule="exact"/>
              <w:rPr>
                <w:sz w:val="20"/>
                <w:szCs w:val="20"/>
                <w:color w:val="auto"/>
              </w:rPr>
            </w:pPr>
            <w:r>
              <w:rPr>
                <w:rFonts w:ascii="Arial" w:cs="Arial" w:eastAsia="Arial" w:hAnsi="Arial"/>
                <w:sz w:val="17"/>
                <w:szCs w:val="17"/>
                <w:color w:val="auto"/>
              </w:rPr>
              <w:t>8</w:t>
            </w:r>
          </w:p>
        </w:tc>
      </w:tr>
      <w:tr>
        <w:trPr>
          <w:trHeight w:val="194"/>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80" w:type="dxa"/>
            <w:vAlign w:val="bottom"/>
            <w:tcBorders>
              <w:top w:val="single" w:sz="8" w:color="0000EE"/>
            </w:tcBorders>
            <w:gridSpan w:val="3"/>
          </w:tcPr>
          <w:p>
            <w:pPr>
              <w:spacing w:after="0" w:line="194" w:lineRule="exact"/>
              <w:rPr>
                <w:rFonts w:ascii="Arial" w:cs="Arial" w:eastAsia="Arial" w:hAnsi="Arial"/>
                <w:sz w:val="17"/>
                <w:szCs w:val="17"/>
                <w:color w:val="0000EE"/>
              </w:rPr>
            </w:pPr>
            <w:hyperlink w:anchor="page13">
              <w:r>
                <w:rPr>
                  <w:rFonts w:ascii="Arial" w:cs="Arial" w:eastAsia="Arial" w:hAnsi="Arial"/>
                  <w:sz w:val="17"/>
                  <w:szCs w:val="17"/>
                  <w:color w:val="0000EE"/>
                </w:rPr>
                <w:t>Summarized Balance Sheet</w:t>
              </w:r>
            </w:hyperlink>
          </w:p>
        </w:tc>
        <w:tc>
          <w:tcPr>
            <w:tcW w:w="5740" w:type="dxa"/>
            <w:vAlign w:val="bottom"/>
            <w:gridSpan w:val="4"/>
          </w:tcPr>
          <w:p>
            <w:pPr>
              <w:spacing w:after="0"/>
              <w:rPr>
                <w:sz w:val="16"/>
                <w:szCs w:val="16"/>
                <w:color w:val="auto"/>
              </w:rPr>
            </w:pPr>
          </w:p>
        </w:tc>
        <w:tc>
          <w:tcPr>
            <w:tcW w:w="2440" w:type="dxa"/>
            <w:vAlign w:val="bottom"/>
          </w:tcPr>
          <w:p>
            <w:pPr>
              <w:jc w:val="right"/>
              <w:spacing w:after="0" w:line="194" w:lineRule="exact"/>
              <w:rPr>
                <w:sz w:val="20"/>
                <w:szCs w:val="20"/>
                <w:color w:val="auto"/>
              </w:rPr>
            </w:pPr>
            <w:r>
              <w:rPr>
                <w:rFonts w:ascii="Arial" w:cs="Arial" w:eastAsia="Arial" w:hAnsi="Arial"/>
                <w:sz w:val="17"/>
                <w:szCs w:val="17"/>
                <w:color w:val="auto"/>
              </w:rPr>
              <w:t>9</w:t>
            </w:r>
          </w:p>
        </w:tc>
      </w:tr>
      <w:tr>
        <w:trPr>
          <w:trHeight w:val="20"/>
        </w:trPr>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4"/>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920" w:type="dxa"/>
            <w:vAlign w:val="bottom"/>
            <w:gridSpan w:val="7"/>
          </w:tcPr>
          <w:p>
            <w:pPr>
              <w:spacing w:after="0" w:line="194" w:lineRule="exact"/>
              <w:rPr>
                <w:rFonts w:ascii="Arial" w:cs="Arial" w:eastAsia="Arial" w:hAnsi="Arial"/>
                <w:sz w:val="17"/>
                <w:szCs w:val="17"/>
                <w:color w:val="0000EE"/>
              </w:rPr>
            </w:pPr>
            <w:hyperlink w:anchor="page14">
              <w:r>
                <w:rPr>
                  <w:rFonts w:ascii="Arial" w:cs="Arial" w:eastAsia="Arial" w:hAnsi="Arial"/>
                  <w:sz w:val="17"/>
                  <w:szCs w:val="17"/>
                  <w:color w:val="0000EE"/>
                </w:rPr>
                <w:t>Funds From Operations / Summary of Capital Expenditures</w:t>
              </w:r>
            </w:hyperlink>
          </w:p>
        </w:tc>
        <w:tc>
          <w:tcPr>
            <w:tcW w:w="2440" w:type="dxa"/>
            <w:vAlign w:val="bottom"/>
          </w:tcPr>
          <w:p>
            <w:pPr>
              <w:jc w:val="right"/>
              <w:spacing w:after="0" w:line="194" w:lineRule="exact"/>
              <w:rPr>
                <w:sz w:val="20"/>
                <w:szCs w:val="20"/>
                <w:color w:val="auto"/>
              </w:rPr>
            </w:pPr>
            <w:r>
              <w:rPr>
                <w:rFonts w:ascii="Arial" w:cs="Arial" w:eastAsia="Arial" w:hAnsi="Arial"/>
                <w:sz w:val="17"/>
                <w:szCs w:val="17"/>
                <w:color w:val="auto"/>
              </w:rPr>
              <w:t>10</w:t>
            </w:r>
          </w:p>
        </w:tc>
      </w:tr>
      <w:tr>
        <w:trPr>
          <w:trHeight w:val="194"/>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160" w:type="dxa"/>
            <w:vAlign w:val="bottom"/>
            <w:tcBorders>
              <w:top w:val="single" w:sz="8" w:color="0000EE"/>
            </w:tcBorders>
            <w:gridSpan w:val="6"/>
          </w:tcPr>
          <w:p>
            <w:pPr>
              <w:spacing w:after="0" w:line="194" w:lineRule="exact"/>
              <w:rPr>
                <w:rFonts w:ascii="Arial" w:cs="Arial" w:eastAsia="Arial" w:hAnsi="Arial"/>
                <w:sz w:val="17"/>
                <w:szCs w:val="17"/>
                <w:color w:val="0000EE"/>
              </w:rPr>
            </w:pPr>
            <w:hyperlink w:anchor="page15">
              <w:r>
                <w:rPr>
                  <w:rFonts w:ascii="Arial" w:cs="Arial" w:eastAsia="Arial" w:hAnsi="Arial"/>
                  <w:sz w:val="17"/>
                  <w:szCs w:val="17"/>
                  <w:color w:val="0000EE"/>
                </w:rPr>
                <w:t>Market Data / Capital Availability</w:t>
              </w:r>
            </w:hyperlink>
          </w:p>
        </w:tc>
        <w:tc>
          <w:tcPr>
            <w:tcW w:w="3760" w:type="dxa"/>
            <w:vAlign w:val="bottom"/>
          </w:tcPr>
          <w:p>
            <w:pPr>
              <w:spacing w:after="0"/>
              <w:rPr>
                <w:sz w:val="16"/>
                <w:szCs w:val="16"/>
                <w:color w:val="auto"/>
              </w:rPr>
            </w:pPr>
          </w:p>
        </w:tc>
        <w:tc>
          <w:tcPr>
            <w:tcW w:w="2440" w:type="dxa"/>
            <w:vAlign w:val="bottom"/>
          </w:tcPr>
          <w:p>
            <w:pPr>
              <w:jc w:val="right"/>
              <w:spacing w:after="0" w:line="194" w:lineRule="exact"/>
              <w:rPr>
                <w:sz w:val="20"/>
                <w:szCs w:val="20"/>
                <w:color w:val="auto"/>
              </w:rPr>
            </w:pPr>
            <w:r>
              <w:rPr>
                <w:rFonts w:ascii="Arial" w:cs="Arial" w:eastAsia="Arial" w:hAnsi="Arial"/>
                <w:sz w:val="17"/>
                <w:szCs w:val="17"/>
                <w:color w:val="auto"/>
              </w:rPr>
              <w:t>11</w:t>
            </w:r>
          </w:p>
        </w:tc>
      </w:tr>
      <w:tr>
        <w:trPr>
          <w:trHeight w:val="194"/>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40" w:type="dxa"/>
            <w:vAlign w:val="bottom"/>
            <w:tcBorders>
              <w:top w:val="single" w:sz="8" w:color="0000EE"/>
              <w:bottom w:val="single" w:sz="8" w:color="0000EE"/>
            </w:tcBorders>
            <w:gridSpan w:val="2"/>
          </w:tcPr>
          <w:p>
            <w:pPr>
              <w:spacing w:after="0" w:line="194" w:lineRule="exact"/>
              <w:rPr>
                <w:rFonts w:ascii="Arial" w:cs="Arial" w:eastAsia="Arial" w:hAnsi="Arial"/>
                <w:sz w:val="17"/>
                <w:szCs w:val="17"/>
                <w:color w:val="0000EE"/>
                <w:w w:val="92"/>
              </w:rPr>
            </w:pPr>
            <w:hyperlink w:anchor="page16">
              <w:r>
                <w:rPr>
                  <w:rFonts w:ascii="Arial" w:cs="Arial" w:eastAsia="Arial" w:hAnsi="Arial"/>
                  <w:sz w:val="17"/>
                  <w:szCs w:val="17"/>
                  <w:color w:val="0000EE"/>
                  <w:w w:val="92"/>
                </w:rPr>
                <w:t>Components of Rental Income</w:t>
              </w:r>
            </w:hyperlink>
          </w:p>
        </w:tc>
        <w:tc>
          <w:tcPr>
            <w:tcW w:w="240" w:type="dxa"/>
            <w:vAlign w:val="bottom"/>
            <w:tcBorders>
              <w:top w:val="single" w:sz="8" w:color="0000EE"/>
            </w:tcBorders>
            <w:gridSpan w:val="2"/>
          </w:tcPr>
          <w:p>
            <w:pPr>
              <w:spacing w:after="0"/>
              <w:rPr>
                <w:sz w:val="16"/>
                <w:szCs w:val="16"/>
                <w:color w:val="auto"/>
              </w:rPr>
            </w:pPr>
          </w:p>
        </w:tc>
        <w:tc>
          <w:tcPr>
            <w:tcW w:w="5540" w:type="dxa"/>
            <w:vAlign w:val="bottom"/>
            <w:gridSpan w:val="3"/>
          </w:tcPr>
          <w:p>
            <w:pPr>
              <w:spacing w:after="0"/>
              <w:rPr>
                <w:sz w:val="16"/>
                <w:szCs w:val="16"/>
                <w:color w:val="auto"/>
              </w:rPr>
            </w:pPr>
          </w:p>
        </w:tc>
        <w:tc>
          <w:tcPr>
            <w:tcW w:w="2440" w:type="dxa"/>
            <w:vAlign w:val="bottom"/>
          </w:tcPr>
          <w:p>
            <w:pPr>
              <w:jc w:val="right"/>
              <w:spacing w:after="0" w:line="194" w:lineRule="exact"/>
              <w:rPr>
                <w:sz w:val="20"/>
                <w:szCs w:val="20"/>
                <w:color w:val="auto"/>
              </w:rPr>
            </w:pPr>
            <w:r>
              <w:rPr>
                <w:rFonts w:ascii="Arial" w:cs="Arial" w:eastAsia="Arial" w:hAnsi="Arial"/>
                <w:sz w:val="17"/>
                <w:szCs w:val="17"/>
                <w:color w:val="auto"/>
              </w:rPr>
              <w:t>12</w:t>
            </w:r>
          </w:p>
        </w:tc>
      </w:tr>
    </w:tbl>
    <w:p>
      <w:pPr>
        <w:spacing w:after="0" w:line="125" w:lineRule="exact"/>
        <w:rPr>
          <w:sz w:val="20"/>
          <w:szCs w:val="20"/>
          <w:color w:val="auto"/>
        </w:rPr>
      </w:pPr>
    </w:p>
    <w:p>
      <w:pPr>
        <w:ind w:left="560" w:hanging="553"/>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Summary of Debt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980" w:type="dxa"/>
            <w:vAlign w:val="bottom"/>
            <w:gridSpan w:val="7"/>
          </w:tcPr>
          <w:p>
            <w:pPr>
              <w:spacing w:after="0"/>
              <w:rPr>
                <w:rFonts w:ascii="Arial" w:cs="Arial" w:eastAsia="Arial" w:hAnsi="Arial"/>
                <w:sz w:val="17"/>
                <w:szCs w:val="17"/>
                <w:color w:val="0000EE"/>
              </w:rPr>
            </w:pPr>
            <w:hyperlink w:anchor="page17">
              <w:r>
                <w:rPr>
                  <w:rFonts w:ascii="Arial" w:cs="Arial" w:eastAsia="Arial" w:hAnsi="Arial"/>
                  <w:sz w:val="17"/>
                  <w:szCs w:val="17"/>
                  <w:color w:val="0000EE"/>
                </w:rPr>
                <w:t>Summary of Outstanding Debt</w:t>
              </w:r>
            </w:hyperlink>
          </w:p>
        </w:tc>
        <w:tc>
          <w:tcPr>
            <w:tcW w:w="33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194"/>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20" w:type="dxa"/>
            <w:vAlign w:val="bottom"/>
            <w:tcBorders>
              <w:top w:val="single" w:sz="8" w:color="0000EE"/>
              <w:bottom w:val="single" w:sz="8" w:color="0000EE"/>
            </w:tcBorders>
            <w:gridSpan w:val="3"/>
          </w:tcPr>
          <w:p>
            <w:pPr>
              <w:spacing w:after="0" w:line="194" w:lineRule="exact"/>
              <w:rPr>
                <w:rFonts w:ascii="Arial" w:cs="Arial" w:eastAsia="Arial" w:hAnsi="Arial"/>
                <w:sz w:val="17"/>
                <w:szCs w:val="17"/>
                <w:color w:val="0000EE"/>
                <w:w w:val="94"/>
              </w:rPr>
            </w:pPr>
            <w:hyperlink w:anchor="page19">
              <w:r>
                <w:rPr>
                  <w:rFonts w:ascii="Arial" w:cs="Arial" w:eastAsia="Arial" w:hAnsi="Arial"/>
                  <w:sz w:val="17"/>
                  <w:szCs w:val="17"/>
                  <w:color w:val="0000EE"/>
                  <w:w w:val="94"/>
                </w:rPr>
                <w:t>Summary of Debt Maturities</w:t>
              </w:r>
            </w:hyperlink>
          </w:p>
        </w:tc>
        <w:tc>
          <w:tcPr>
            <w:tcW w:w="120" w:type="dxa"/>
            <w:vAlign w:val="bottom"/>
            <w:tcBorders>
              <w:top w:val="single" w:sz="8" w:color="0000EE"/>
            </w:tcBorders>
          </w:tcPr>
          <w:p>
            <w:pPr>
              <w:spacing w:after="0"/>
              <w:rPr>
                <w:sz w:val="16"/>
                <w:szCs w:val="16"/>
                <w:color w:val="auto"/>
              </w:rPr>
            </w:pPr>
          </w:p>
        </w:tc>
        <w:tc>
          <w:tcPr>
            <w:tcW w:w="4840" w:type="dxa"/>
            <w:vAlign w:val="bottom"/>
            <w:gridSpan w:val="3"/>
          </w:tcPr>
          <w:p>
            <w:pPr>
              <w:spacing w:after="0"/>
              <w:rPr>
                <w:sz w:val="16"/>
                <w:szCs w:val="16"/>
                <w:color w:val="auto"/>
              </w:rPr>
            </w:pPr>
          </w:p>
        </w:tc>
        <w:tc>
          <w:tcPr>
            <w:tcW w:w="3380" w:type="dxa"/>
            <w:vAlign w:val="bottom"/>
          </w:tcPr>
          <w:p>
            <w:pPr>
              <w:jc w:val="right"/>
              <w:spacing w:after="0" w:line="194" w:lineRule="exact"/>
              <w:rPr>
                <w:sz w:val="20"/>
                <w:szCs w:val="20"/>
                <w:color w:val="auto"/>
              </w:rPr>
            </w:pPr>
            <w:r>
              <w:rPr>
                <w:rFonts w:ascii="Arial" w:cs="Arial" w:eastAsia="Arial" w:hAnsi="Arial"/>
                <w:sz w:val="17"/>
                <w:szCs w:val="17"/>
                <w:color w:val="auto"/>
              </w:rPr>
              <w:t>14</w:t>
            </w:r>
          </w:p>
        </w:tc>
      </w:tr>
      <w:tr>
        <w:trPr>
          <w:trHeight w:val="301"/>
        </w:trPr>
        <w:tc>
          <w:tcPr>
            <w:tcW w:w="560" w:type="dxa"/>
            <w:vAlign w:val="bottom"/>
          </w:tcPr>
          <w:p>
            <w:pPr>
              <w:jc w:val="right"/>
              <w:ind w:right="333"/>
              <w:spacing w:after="0"/>
              <w:rPr>
                <w:sz w:val="20"/>
                <w:szCs w:val="20"/>
                <w:color w:val="auto"/>
              </w:rPr>
            </w:pPr>
            <w:r>
              <w:rPr>
                <w:rFonts w:ascii="Arial" w:cs="Arial" w:eastAsia="Arial" w:hAnsi="Arial"/>
                <w:sz w:val="17"/>
                <w:szCs w:val="17"/>
                <w:color w:val="auto"/>
                <w:w w:val="84"/>
              </w:rPr>
              <w:t>4.</w:t>
            </w:r>
          </w:p>
        </w:tc>
        <w:tc>
          <w:tcPr>
            <w:tcW w:w="4260" w:type="dxa"/>
            <w:vAlign w:val="bottom"/>
            <w:tcBorders>
              <w:bottom w:val="single" w:sz="8" w:color="0000EE"/>
            </w:tcBorders>
            <w:gridSpan w:val="7"/>
          </w:tcPr>
          <w:p>
            <w:pPr>
              <w:spacing w:after="0"/>
              <w:rPr>
                <w:rFonts w:ascii="Arial" w:cs="Arial" w:eastAsia="Arial" w:hAnsi="Arial"/>
                <w:sz w:val="17"/>
                <w:szCs w:val="17"/>
                <w:color w:val="0000EE"/>
                <w:w w:val="91"/>
              </w:rPr>
            </w:pPr>
            <w:hyperlink w:anchor="page20">
              <w:r>
                <w:rPr>
                  <w:rFonts w:ascii="Arial" w:cs="Arial" w:eastAsia="Arial" w:hAnsi="Arial"/>
                  <w:sz w:val="17"/>
                  <w:szCs w:val="17"/>
                  <w:color w:val="0000EE"/>
                  <w:w w:val="91"/>
                </w:rPr>
                <w:t>Summary of Redevelopment Opportunities and Santana Row</w:t>
              </w:r>
            </w:hyperlink>
          </w:p>
        </w:tc>
        <w:tc>
          <w:tcPr>
            <w:tcW w:w="3220" w:type="dxa"/>
            <w:vAlign w:val="bottom"/>
          </w:tcPr>
          <w:p>
            <w:pPr>
              <w:spacing w:after="0"/>
              <w:rPr>
                <w:sz w:val="24"/>
                <w:szCs w:val="24"/>
                <w:color w:val="auto"/>
              </w:rPr>
            </w:pPr>
          </w:p>
        </w:tc>
        <w:tc>
          <w:tcPr>
            <w:tcW w:w="33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01"/>
        </w:trPr>
        <w:tc>
          <w:tcPr>
            <w:tcW w:w="560" w:type="dxa"/>
            <w:vAlign w:val="bottom"/>
          </w:tcPr>
          <w:p>
            <w:pPr>
              <w:jc w:val="right"/>
              <w:ind w:right="333"/>
              <w:spacing w:after="0"/>
              <w:rPr>
                <w:sz w:val="20"/>
                <w:szCs w:val="20"/>
                <w:color w:val="auto"/>
              </w:rPr>
            </w:pPr>
            <w:r>
              <w:rPr>
                <w:rFonts w:ascii="Arial" w:cs="Arial" w:eastAsia="Arial" w:hAnsi="Arial"/>
                <w:sz w:val="17"/>
                <w:szCs w:val="17"/>
                <w:color w:val="auto"/>
                <w:w w:val="84"/>
              </w:rPr>
              <w:t>5.</w:t>
            </w:r>
          </w:p>
        </w:tc>
        <w:tc>
          <w:tcPr>
            <w:tcW w:w="2480" w:type="dxa"/>
            <w:vAlign w:val="bottom"/>
            <w:tcBorders>
              <w:bottom w:val="single" w:sz="8" w:color="0000EE"/>
            </w:tcBorders>
            <w:gridSpan w:val="3"/>
          </w:tcPr>
          <w:p>
            <w:pPr>
              <w:spacing w:after="0"/>
              <w:rPr>
                <w:rFonts w:ascii="Arial" w:cs="Arial" w:eastAsia="Arial" w:hAnsi="Arial"/>
                <w:sz w:val="17"/>
                <w:szCs w:val="17"/>
                <w:color w:val="0000EE"/>
                <w:w w:val="93"/>
              </w:rPr>
            </w:pPr>
            <w:hyperlink w:anchor="page22">
              <w:r>
                <w:rPr>
                  <w:rFonts w:ascii="Arial" w:cs="Arial" w:eastAsia="Arial" w:hAnsi="Arial"/>
                  <w:sz w:val="17"/>
                  <w:szCs w:val="17"/>
                  <w:color w:val="0000EE"/>
                  <w:w w:val="93"/>
                </w:rPr>
                <w:t>2004 Acquisitions and Dispositions</w:t>
              </w:r>
            </w:hyperlink>
          </w:p>
        </w:tc>
        <w:tc>
          <w:tcPr>
            <w:tcW w:w="5000" w:type="dxa"/>
            <w:vAlign w:val="bottom"/>
            <w:gridSpan w:val="5"/>
          </w:tcPr>
          <w:p>
            <w:pPr>
              <w:spacing w:after="0"/>
              <w:rPr>
                <w:sz w:val="24"/>
                <w:szCs w:val="24"/>
                <w:color w:val="auto"/>
              </w:rPr>
            </w:pPr>
          </w:p>
        </w:tc>
        <w:tc>
          <w:tcPr>
            <w:tcW w:w="338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301"/>
        </w:trPr>
        <w:tc>
          <w:tcPr>
            <w:tcW w:w="560" w:type="dxa"/>
            <w:vAlign w:val="bottom"/>
          </w:tcPr>
          <w:p>
            <w:pPr>
              <w:jc w:val="right"/>
              <w:ind w:right="333"/>
              <w:spacing w:after="0"/>
              <w:rPr>
                <w:sz w:val="20"/>
                <w:szCs w:val="20"/>
                <w:color w:val="auto"/>
              </w:rPr>
            </w:pPr>
            <w:r>
              <w:rPr>
                <w:rFonts w:ascii="Arial" w:cs="Arial" w:eastAsia="Arial" w:hAnsi="Arial"/>
                <w:sz w:val="17"/>
                <w:szCs w:val="17"/>
                <w:color w:val="auto"/>
                <w:w w:val="84"/>
              </w:rPr>
              <w:t>6.</w:t>
            </w:r>
          </w:p>
        </w:tc>
        <w:tc>
          <w:tcPr>
            <w:tcW w:w="7480" w:type="dxa"/>
            <w:vAlign w:val="bottom"/>
            <w:gridSpan w:val="8"/>
          </w:tcPr>
          <w:p>
            <w:pPr>
              <w:spacing w:after="0"/>
              <w:rPr>
                <w:rFonts w:ascii="Arial" w:cs="Arial" w:eastAsia="Arial" w:hAnsi="Arial"/>
                <w:sz w:val="17"/>
                <w:szCs w:val="17"/>
                <w:color w:val="0000EE"/>
              </w:rPr>
            </w:pPr>
            <w:hyperlink w:anchor="page23">
              <w:r>
                <w:rPr>
                  <w:rFonts w:ascii="Arial" w:cs="Arial" w:eastAsia="Arial" w:hAnsi="Arial"/>
                  <w:sz w:val="17"/>
                  <w:szCs w:val="17"/>
                  <w:color w:val="0000EE"/>
                </w:rPr>
                <w:t>Real Estate Status Report</w:t>
              </w:r>
            </w:hyperlink>
          </w:p>
        </w:tc>
        <w:tc>
          <w:tcPr>
            <w:tcW w:w="33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0"/>
        </w:trPr>
        <w:tc>
          <w:tcPr>
            <w:tcW w:w="560" w:type="dxa"/>
            <w:vAlign w:val="bottom"/>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301"/>
        </w:trPr>
        <w:tc>
          <w:tcPr>
            <w:tcW w:w="560" w:type="dxa"/>
            <w:vAlign w:val="bottom"/>
          </w:tcPr>
          <w:p>
            <w:pPr>
              <w:jc w:val="right"/>
              <w:ind w:right="333"/>
              <w:spacing w:after="0"/>
              <w:rPr>
                <w:sz w:val="20"/>
                <w:szCs w:val="20"/>
                <w:color w:val="auto"/>
              </w:rPr>
            </w:pPr>
            <w:r>
              <w:rPr>
                <w:rFonts w:ascii="Arial" w:cs="Arial" w:eastAsia="Arial" w:hAnsi="Arial"/>
                <w:sz w:val="17"/>
                <w:szCs w:val="17"/>
                <w:color w:val="auto"/>
                <w:w w:val="84"/>
              </w:rPr>
              <w:t>7.</w:t>
            </w:r>
          </w:p>
        </w:tc>
        <w:tc>
          <w:tcPr>
            <w:tcW w:w="2900" w:type="dxa"/>
            <w:vAlign w:val="bottom"/>
            <w:tcBorders>
              <w:bottom w:val="single" w:sz="8" w:color="0000EE"/>
            </w:tcBorders>
            <w:gridSpan w:val="6"/>
          </w:tcPr>
          <w:p>
            <w:pPr>
              <w:spacing w:after="0"/>
              <w:rPr>
                <w:rFonts w:ascii="Arial" w:cs="Arial" w:eastAsia="Arial" w:hAnsi="Arial"/>
                <w:sz w:val="17"/>
                <w:szCs w:val="17"/>
                <w:color w:val="0000EE"/>
                <w:w w:val="92"/>
              </w:rPr>
            </w:pPr>
            <w:hyperlink w:anchor="page29">
              <w:r>
                <w:rPr>
                  <w:rFonts w:ascii="Arial" w:cs="Arial" w:eastAsia="Arial" w:hAnsi="Arial"/>
                  <w:sz w:val="17"/>
                  <w:szCs w:val="17"/>
                  <w:color w:val="0000EE"/>
                  <w:w w:val="92"/>
                </w:rPr>
                <w:t>Shopping Center / Street Retail Summary</w:t>
              </w:r>
            </w:hyperlink>
          </w:p>
        </w:tc>
        <w:tc>
          <w:tcPr>
            <w:tcW w:w="4580" w:type="dxa"/>
            <w:vAlign w:val="bottom"/>
            <w:gridSpan w:val="2"/>
          </w:tcPr>
          <w:p>
            <w:pPr>
              <w:spacing w:after="0"/>
              <w:rPr>
                <w:sz w:val="24"/>
                <w:szCs w:val="24"/>
                <w:color w:val="auto"/>
              </w:rPr>
            </w:pPr>
          </w:p>
        </w:tc>
        <w:tc>
          <w:tcPr>
            <w:tcW w:w="3380" w:type="dxa"/>
            <w:vAlign w:val="bottom"/>
          </w:tcPr>
          <w:p>
            <w:pPr>
              <w:jc w:val="right"/>
              <w:spacing w:after="0"/>
              <w:rPr>
                <w:sz w:val="20"/>
                <w:szCs w:val="20"/>
                <w:color w:val="auto"/>
              </w:rPr>
            </w:pPr>
            <w:r>
              <w:rPr>
                <w:rFonts w:ascii="Arial" w:cs="Arial" w:eastAsia="Arial" w:hAnsi="Arial"/>
                <w:sz w:val="17"/>
                <w:szCs w:val="17"/>
                <w:color w:val="auto"/>
              </w:rPr>
              <w:t>19</w:t>
            </w:r>
          </w:p>
        </w:tc>
      </w:tr>
    </w:tbl>
    <w:p>
      <w:pPr>
        <w:spacing w:after="0" w:line="125" w:lineRule="exact"/>
        <w:rPr>
          <w:sz w:val="20"/>
          <w:szCs w:val="20"/>
          <w:color w:val="auto"/>
        </w:rPr>
      </w:pPr>
    </w:p>
    <w:p>
      <w:pPr>
        <w:ind w:left="560" w:hanging="553"/>
        <w:spacing w:after="0"/>
        <w:tabs>
          <w:tab w:leader="none" w:pos="56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Leasing Summary</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40" w:type="dxa"/>
            <w:vAlign w:val="bottom"/>
            <w:gridSpan w:val="7"/>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Retail Leasing Summary – Comparable</w:t>
              </w:r>
            </w:hyperlink>
          </w:p>
        </w:tc>
        <w:tc>
          <w:tcPr>
            <w:tcW w:w="37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
        </w:trPr>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194"/>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40" w:type="dxa"/>
            <w:vAlign w:val="bottom"/>
            <w:gridSpan w:val="7"/>
          </w:tcPr>
          <w:p>
            <w:pPr>
              <w:spacing w:after="0" w:line="194" w:lineRule="exact"/>
              <w:rPr>
                <w:rFonts w:ascii="Arial" w:cs="Arial" w:eastAsia="Arial" w:hAnsi="Arial"/>
                <w:sz w:val="17"/>
                <w:szCs w:val="17"/>
                <w:color w:val="0000EE"/>
              </w:rPr>
            </w:pPr>
            <w:hyperlink w:anchor="page31">
              <w:r>
                <w:rPr>
                  <w:rFonts w:ascii="Arial" w:cs="Arial" w:eastAsia="Arial" w:hAnsi="Arial"/>
                  <w:sz w:val="17"/>
                  <w:szCs w:val="17"/>
                  <w:color w:val="0000EE"/>
                </w:rPr>
                <w:t>Retail Leasing Summary – Non-comparable</w:t>
              </w:r>
            </w:hyperlink>
          </w:p>
        </w:tc>
        <w:tc>
          <w:tcPr>
            <w:tcW w:w="3720" w:type="dxa"/>
            <w:vAlign w:val="bottom"/>
          </w:tcPr>
          <w:p>
            <w:pPr>
              <w:jc w:val="right"/>
              <w:spacing w:after="0" w:line="194" w:lineRule="exact"/>
              <w:rPr>
                <w:sz w:val="20"/>
                <w:szCs w:val="20"/>
                <w:color w:val="auto"/>
              </w:rPr>
            </w:pPr>
            <w:r>
              <w:rPr>
                <w:rFonts w:ascii="Arial" w:cs="Arial" w:eastAsia="Arial" w:hAnsi="Arial"/>
                <w:sz w:val="17"/>
                <w:szCs w:val="17"/>
                <w:color w:val="auto"/>
              </w:rPr>
              <w:t>21</w:t>
            </w:r>
          </w:p>
        </w:tc>
      </w:tr>
      <w:tr>
        <w:trPr>
          <w:trHeight w:val="20"/>
        </w:trPr>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301"/>
        </w:trPr>
        <w:tc>
          <w:tcPr>
            <w:tcW w:w="560" w:type="dxa"/>
            <w:vAlign w:val="bottom"/>
          </w:tcPr>
          <w:p>
            <w:pPr>
              <w:spacing w:after="0"/>
              <w:rPr>
                <w:sz w:val="20"/>
                <w:szCs w:val="20"/>
                <w:color w:val="auto"/>
              </w:rPr>
            </w:pPr>
            <w:r>
              <w:rPr>
                <w:rFonts w:ascii="Arial" w:cs="Arial" w:eastAsia="Arial" w:hAnsi="Arial"/>
                <w:sz w:val="17"/>
                <w:szCs w:val="17"/>
                <w:color w:val="auto"/>
              </w:rPr>
              <w:t>9.</w:t>
            </w:r>
          </w:p>
        </w:tc>
        <w:tc>
          <w:tcPr>
            <w:tcW w:w="7140" w:type="dxa"/>
            <w:vAlign w:val="bottom"/>
            <w:gridSpan w:val="8"/>
          </w:tcPr>
          <w:p>
            <w:pPr>
              <w:spacing w:after="0"/>
              <w:rPr>
                <w:rFonts w:ascii="Arial" w:cs="Arial" w:eastAsia="Arial" w:hAnsi="Arial"/>
                <w:sz w:val="17"/>
                <w:szCs w:val="17"/>
                <w:color w:val="0000EE"/>
              </w:rPr>
            </w:pPr>
            <w:hyperlink w:anchor="page32">
              <w:r>
                <w:rPr>
                  <w:rFonts w:ascii="Arial" w:cs="Arial" w:eastAsia="Arial" w:hAnsi="Arial"/>
                  <w:sz w:val="17"/>
                  <w:szCs w:val="17"/>
                  <w:color w:val="0000EE"/>
                </w:rPr>
                <w:t>Lease Expirations</w:t>
              </w:r>
            </w:hyperlink>
          </w:p>
        </w:tc>
        <w:tc>
          <w:tcPr>
            <w:tcW w:w="37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0"/>
        </w:trPr>
        <w:tc>
          <w:tcPr>
            <w:tcW w:w="56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301"/>
        </w:trPr>
        <w:tc>
          <w:tcPr>
            <w:tcW w:w="560" w:type="dxa"/>
            <w:vAlign w:val="bottom"/>
          </w:tcPr>
          <w:p>
            <w:pPr>
              <w:spacing w:after="0"/>
              <w:rPr>
                <w:sz w:val="20"/>
                <w:szCs w:val="20"/>
                <w:color w:val="auto"/>
              </w:rPr>
            </w:pPr>
            <w:r>
              <w:rPr>
                <w:rFonts w:ascii="Arial" w:cs="Arial" w:eastAsia="Arial" w:hAnsi="Arial"/>
                <w:sz w:val="17"/>
                <w:szCs w:val="17"/>
                <w:color w:val="auto"/>
              </w:rPr>
              <w:t>10.</w:t>
            </w:r>
          </w:p>
        </w:tc>
        <w:tc>
          <w:tcPr>
            <w:tcW w:w="7140" w:type="dxa"/>
            <w:vAlign w:val="bottom"/>
            <w:gridSpan w:val="8"/>
          </w:tcPr>
          <w:p>
            <w:pPr>
              <w:spacing w:after="0"/>
              <w:rPr>
                <w:rFonts w:ascii="Arial" w:cs="Arial" w:eastAsia="Arial" w:hAnsi="Arial"/>
                <w:sz w:val="17"/>
                <w:szCs w:val="17"/>
                <w:color w:val="0000EE"/>
              </w:rPr>
            </w:pPr>
            <w:hyperlink w:anchor="page33">
              <w:r>
                <w:rPr>
                  <w:rFonts w:ascii="Arial" w:cs="Arial" w:eastAsia="Arial" w:hAnsi="Arial"/>
                  <w:sz w:val="17"/>
                  <w:szCs w:val="17"/>
                  <w:color w:val="0000EE"/>
                </w:rPr>
                <w:t>Portfolio Leasing Statistics</w:t>
              </w:r>
            </w:hyperlink>
          </w:p>
        </w:tc>
        <w:tc>
          <w:tcPr>
            <w:tcW w:w="372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0"/>
        </w:trPr>
        <w:tc>
          <w:tcPr>
            <w:tcW w:w="560" w:type="dxa"/>
            <w:vAlign w:val="bottom"/>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301"/>
        </w:trPr>
        <w:tc>
          <w:tcPr>
            <w:tcW w:w="560" w:type="dxa"/>
            <w:vAlign w:val="bottom"/>
          </w:tcPr>
          <w:p>
            <w:pPr>
              <w:spacing w:after="0"/>
              <w:rPr>
                <w:sz w:val="20"/>
                <w:szCs w:val="20"/>
                <w:color w:val="auto"/>
              </w:rPr>
            </w:pPr>
            <w:r>
              <w:rPr>
                <w:rFonts w:ascii="Arial" w:cs="Arial" w:eastAsia="Arial" w:hAnsi="Arial"/>
                <w:sz w:val="17"/>
                <w:szCs w:val="17"/>
                <w:color w:val="auto"/>
              </w:rPr>
              <w:t>11.</w:t>
            </w:r>
          </w:p>
        </w:tc>
        <w:tc>
          <w:tcPr>
            <w:tcW w:w="1980" w:type="dxa"/>
            <w:vAlign w:val="bottom"/>
            <w:tcBorders>
              <w:bottom w:val="single" w:sz="8" w:color="0000EE"/>
            </w:tcBorders>
            <w:gridSpan w:val="4"/>
          </w:tcPr>
          <w:p>
            <w:pPr>
              <w:spacing w:after="0"/>
              <w:rPr>
                <w:rFonts w:ascii="Arial" w:cs="Arial" w:eastAsia="Arial" w:hAnsi="Arial"/>
                <w:sz w:val="17"/>
                <w:szCs w:val="17"/>
                <w:color w:val="0000EE"/>
                <w:w w:val="90"/>
              </w:rPr>
            </w:pPr>
            <w:hyperlink w:anchor="page34">
              <w:r>
                <w:rPr>
                  <w:rFonts w:ascii="Arial" w:cs="Arial" w:eastAsia="Arial" w:hAnsi="Arial"/>
                  <w:sz w:val="17"/>
                  <w:szCs w:val="17"/>
                  <w:color w:val="0000EE"/>
                  <w:w w:val="90"/>
                </w:rPr>
                <w:t>Summary of Top 25 Tenants</w:t>
              </w:r>
            </w:hyperlink>
          </w:p>
        </w:tc>
        <w:tc>
          <w:tcPr>
            <w:tcW w:w="5160" w:type="dxa"/>
            <w:vAlign w:val="bottom"/>
            <w:gridSpan w:val="4"/>
          </w:tcPr>
          <w:p>
            <w:pPr>
              <w:spacing w:after="0"/>
              <w:rPr>
                <w:sz w:val="24"/>
                <w:szCs w:val="24"/>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301"/>
        </w:trPr>
        <w:tc>
          <w:tcPr>
            <w:tcW w:w="560" w:type="dxa"/>
            <w:vAlign w:val="bottom"/>
          </w:tcPr>
          <w:p>
            <w:pPr>
              <w:spacing w:after="0"/>
              <w:rPr>
                <w:sz w:val="20"/>
                <w:szCs w:val="20"/>
                <w:color w:val="auto"/>
              </w:rPr>
            </w:pPr>
            <w:r>
              <w:rPr>
                <w:rFonts w:ascii="Arial" w:cs="Arial" w:eastAsia="Arial" w:hAnsi="Arial"/>
                <w:sz w:val="17"/>
                <w:szCs w:val="17"/>
                <w:color w:val="auto"/>
              </w:rPr>
              <w:t>12.</w:t>
            </w:r>
          </w:p>
        </w:tc>
        <w:tc>
          <w:tcPr>
            <w:tcW w:w="3320" w:type="dxa"/>
            <w:vAlign w:val="bottom"/>
            <w:tcBorders>
              <w:bottom w:val="single" w:sz="8" w:color="0000EE"/>
            </w:tcBorders>
            <w:gridSpan w:val="6"/>
          </w:tcPr>
          <w:p>
            <w:pPr>
              <w:spacing w:after="0"/>
              <w:rPr>
                <w:rFonts w:ascii="Arial" w:cs="Arial" w:eastAsia="Arial" w:hAnsi="Arial"/>
                <w:sz w:val="17"/>
                <w:szCs w:val="17"/>
                <w:color w:val="0000EE"/>
                <w:w w:val="93"/>
              </w:rPr>
            </w:pPr>
            <w:hyperlink w:anchor="page35">
              <w:r>
                <w:rPr>
                  <w:rFonts w:ascii="Arial" w:cs="Arial" w:eastAsia="Arial" w:hAnsi="Arial"/>
                  <w:sz w:val="17"/>
                  <w:szCs w:val="17"/>
                  <w:color w:val="0000EE"/>
                  <w:w w:val="93"/>
                </w:rPr>
                <w:t>Reconciliation of Net Income to FFO Guidance</w:t>
              </w:r>
            </w:hyperlink>
          </w:p>
        </w:tc>
        <w:tc>
          <w:tcPr>
            <w:tcW w:w="3820" w:type="dxa"/>
            <w:vAlign w:val="bottom"/>
            <w:gridSpan w:val="2"/>
          </w:tcPr>
          <w:p>
            <w:pPr>
              <w:spacing w:after="0"/>
              <w:rPr>
                <w:sz w:val="24"/>
                <w:szCs w:val="24"/>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25</w:t>
            </w:r>
          </w:p>
        </w:tc>
      </w:tr>
    </w:tbl>
    <w:p>
      <w:pPr>
        <w:spacing w:after="0" w:line="125" w:lineRule="exact"/>
        <w:rPr>
          <w:sz w:val="20"/>
          <w:szCs w:val="20"/>
          <w:color w:val="auto"/>
        </w:rPr>
      </w:pPr>
    </w:p>
    <w:p>
      <w:pPr>
        <w:ind w:left="560" w:hanging="553"/>
        <w:spacing w:after="0"/>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Joint Venture Disclosure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340" w:type="dxa"/>
            <w:vAlign w:val="bottom"/>
            <w:gridSpan w:val="7"/>
          </w:tcPr>
          <w:p>
            <w:pPr>
              <w:spacing w:after="0"/>
              <w:rPr>
                <w:rFonts w:ascii="Arial" w:cs="Arial" w:eastAsia="Arial" w:hAnsi="Arial"/>
                <w:sz w:val="17"/>
                <w:szCs w:val="17"/>
                <w:color w:val="0000EE"/>
              </w:rPr>
            </w:pPr>
            <w:hyperlink w:anchor="page36">
              <w:r>
                <w:rPr>
                  <w:rFonts w:ascii="Arial" w:cs="Arial" w:eastAsia="Arial" w:hAnsi="Arial"/>
                  <w:sz w:val="17"/>
                  <w:szCs w:val="17"/>
                  <w:color w:val="0000EE"/>
                </w:rPr>
                <w:t>Summarized Operating Results</w:t>
              </w:r>
            </w:hyperlink>
          </w:p>
        </w:tc>
        <w:tc>
          <w:tcPr>
            <w:tcW w:w="402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194"/>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80" w:type="dxa"/>
            <w:vAlign w:val="bottom"/>
            <w:tcBorders>
              <w:top w:val="single" w:sz="8" w:color="0000EE"/>
            </w:tcBorders>
            <w:gridSpan w:val="5"/>
          </w:tcPr>
          <w:p>
            <w:pPr>
              <w:spacing w:after="0" w:line="194" w:lineRule="exact"/>
              <w:rPr>
                <w:rFonts w:ascii="Arial" w:cs="Arial" w:eastAsia="Arial" w:hAnsi="Arial"/>
                <w:sz w:val="17"/>
                <w:szCs w:val="17"/>
                <w:color w:val="0000EE"/>
              </w:rPr>
            </w:pPr>
            <w:hyperlink w:anchor="page37">
              <w:r>
                <w:rPr>
                  <w:rFonts w:ascii="Arial" w:cs="Arial" w:eastAsia="Arial" w:hAnsi="Arial"/>
                  <w:sz w:val="17"/>
                  <w:szCs w:val="17"/>
                  <w:color w:val="0000EE"/>
                </w:rPr>
                <w:t>Summarized Balance Sheet</w:t>
              </w:r>
            </w:hyperlink>
          </w:p>
        </w:tc>
        <w:tc>
          <w:tcPr>
            <w:tcW w:w="4160" w:type="dxa"/>
            <w:vAlign w:val="bottom"/>
            <w:gridSpan w:val="2"/>
          </w:tcPr>
          <w:p>
            <w:pPr>
              <w:spacing w:after="0"/>
              <w:rPr>
                <w:sz w:val="16"/>
                <w:szCs w:val="16"/>
                <w:color w:val="auto"/>
              </w:rPr>
            </w:pPr>
          </w:p>
        </w:tc>
        <w:tc>
          <w:tcPr>
            <w:tcW w:w="4020" w:type="dxa"/>
            <w:vAlign w:val="bottom"/>
          </w:tcPr>
          <w:p>
            <w:pPr>
              <w:jc w:val="right"/>
              <w:spacing w:after="0" w:line="194" w:lineRule="exact"/>
              <w:rPr>
                <w:sz w:val="20"/>
                <w:szCs w:val="20"/>
                <w:color w:val="auto"/>
              </w:rPr>
            </w:pPr>
            <w:r>
              <w:rPr>
                <w:rFonts w:ascii="Arial" w:cs="Arial" w:eastAsia="Arial" w:hAnsi="Arial"/>
                <w:sz w:val="17"/>
                <w:szCs w:val="17"/>
                <w:color w:val="auto"/>
              </w:rPr>
              <w:t>27</w:t>
            </w:r>
          </w:p>
        </w:tc>
      </w:tr>
      <w:tr>
        <w:trPr>
          <w:trHeight w:val="20"/>
        </w:trPr>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4"/>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340" w:type="dxa"/>
            <w:vAlign w:val="bottom"/>
            <w:gridSpan w:val="7"/>
          </w:tcPr>
          <w:p>
            <w:pPr>
              <w:spacing w:after="0" w:line="194" w:lineRule="exact"/>
              <w:rPr>
                <w:rFonts w:ascii="Arial" w:cs="Arial" w:eastAsia="Arial" w:hAnsi="Arial"/>
                <w:sz w:val="17"/>
                <w:szCs w:val="17"/>
                <w:color w:val="0000EE"/>
              </w:rPr>
            </w:pPr>
            <w:hyperlink w:anchor="page38">
              <w:r>
                <w:rPr>
                  <w:rFonts w:ascii="Arial" w:cs="Arial" w:eastAsia="Arial" w:hAnsi="Arial"/>
                  <w:sz w:val="17"/>
                  <w:szCs w:val="17"/>
                  <w:color w:val="0000EE"/>
                </w:rPr>
                <w:t>Summary of Outstanding Debt</w:t>
              </w:r>
            </w:hyperlink>
          </w:p>
        </w:tc>
        <w:tc>
          <w:tcPr>
            <w:tcW w:w="4020" w:type="dxa"/>
            <w:vAlign w:val="bottom"/>
          </w:tcPr>
          <w:p>
            <w:pPr>
              <w:jc w:val="right"/>
              <w:spacing w:after="0" w:line="194" w:lineRule="exact"/>
              <w:rPr>
                <w:sz w:val="20"/>
                <w:szCs w:val="20"/>
                <w:color w:val="auto"/>
              </w:rPr>
            </w:pPr>
            <w:r>
              <w:rPr>
                <w:rFonts w:ascii="Arial" w:cs="Arial" w:eastAsia="Arial" w:hAnsi="Arial"/>
                <w:sz w:val="17"/>
                <w:szCs w:val="17"/>
                <w:color w:val="auto"/>
              </w:rPr>
              <w:t>28</w:t>
            </w:r>
          </w:p>
        </w:tc>
      </w:tr>
      <w:tr>
        <w:trPr>
          <w:trHeight w:val="20"/>
        </w:trPr>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4"/>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340" w:type="dxa"/>
            <w:vAlign w:val="bottom"/>
            <w:gridSpan w:val="7"/>
          </w:tcPr>
          <w:p>
            <w:pPr>
              <w:spacing w:after="0" w:line="194" w:lineRule="exact"/>
              <w:rPr>
                <w:rFonts w:ascii="Arial" w:cs="Arial" w:eastAsia="Arial" w:hAnsi="Arial"/>
                <w:sz w:val="17"/>
                <w:szCs w:val="17"/>
                <w:color w:val="0000EE"/>
              </w:rPr>
            </w:pPr>
            <w:hyperlink w:anchor="page39">
              <w:r>
                <w:rPr>
                  <w:rFonts w:ascii="Arial" w:cs="Arial" w:eastAsia="Arial" w:hAnsi="Arial"/>
                  <w:sz w:val="17"/>
                  <w:szCs w:val="17"/>
                  <w:color w:val="0000EE"/>
                </w:rPr>
                <w:t>2004 Acquisitions and Dispositions</w:t>
              </w:r>
            </w:hyperlink>
          </w:p>
        </w:tc>
        <w:tc>
          <w:tcPr>
            <w:tcW w:w="4020" w:type="dxa"/>
            <w:vAlign w:val="bottom"/>
          </w:tcPr>
          <w:p>
            <w:pPr>
              <w:jc w:val="right"/>
              <w:spacing w:after="0" w:line="194" w:lineRule="exact"/>
              <w:rPr>
                <w:sz w:val="20"/>
                <w:szCs w:val="20"/>
                <w:color w:val="auto"/>
              </w:rPr>
            </w:pPr>
            <w:r>
              <w:rPr>
                <w:rFonts w:ascii="Arial" w:cs="Arial" w:eastAsia="Arial" w:hAnsi="Arial"/>
                <w:sz w:val="17"/>
                <w:szCs w:val="17"/>
                <w:color w:val="auto"/>
              </w:rPr>
              <w:t>29</w:t>
            </w:r>
          </w:p>
        </w:tc>
      </w:tr>
      <w:tr>
        <w:trPr>
          <w:trHeight w:val="194"/>
        </w:trPr>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80" w:type="dxa"/>
            <w:vAlign w:val="bottom"/>
            <w:tcBorders>
              <w:top w:val="single" w:sz="8" w:color="0000EE"/>
            </w:tcBorders>
            <w:gridSpan w:val="6"/>
          </w:tcPr>
          <w:p>
            <w:pPr>
              <w:spacing w:after="0" w:line="194" w:lineRule="exact"/>
              <w:rPr>
                <w:rFonts w:ascii="Arial" w:cs="Arial" w:eastAsia="Arial" w:hAnsi="Arial"/>
                <w:sz w:val="17"/>
                <w:szCs w:val="17"/>
                <w:color w:val="0000EE"/>
              </w:rPr>
            </w:pPr>
            <w:hyperlink w:anchor="page40">
              <w:r>
                <w:rPr>
                  <w:rFonts w:ascii="Arial" w:cs="Arial" w:eastAsia="Arial" w:hAnsi="Arial"/>
                  <w:sz w:val="17"/>
                  <w:szCs w:val="17"/>
                  <w:color w:val="0000EE"/>
                </w:rPr>
                <w:t>Real Estate Status Report</w:t>
              </w:r>
            </w:hyperlink>
          </w:p>
        </w:tc>
        <w:tc>
          <w:tcPr>
            <w:tcW w:w="3860" w:type="dxa"/>
            <w:vAlign w:val="bottom"/>
          </w:tcPr>
          <w:p>
            <w:pPr>
              <w:spacing w:after="0"/>
              <w:rPr>
                <w:sz w:val="16"/>
                <w:szCs w:val="16"/>
                <w:color w:val="auto"/>
              </w:rPr>
            </w:pPr>
          </w:p>
        </w:tc>
        <w:tc>
          <w:tcPr>
            <w:tcW w:w="4020" w:type="dxa"/>
            <w:vAlign w:val="bottom"/>
          </w:tcPr>
          <w:p>
            <w:pPr>
              <w:jc w:val="right"/>
              <w:spacing w:after="0" w:line="194" w:lineRule="exact"/>
              <w:rPr>
                <w:sz w:val="20"/>
                <w:szCs w:val="20"/>
                <w:color w:val="auto"/>
              </w:rPr>
            </w:pPr>
            <w:r>
              <w:rPr>
                <w:rFonts w:ascii="Arial" w:cs="Arial" w:eastAsia="Arial" w:hAnsi="Arial"/>
                <w:sz w:val="17"/>
                <w:szCs w:val="17"/>
                <w:color w:val="auto"/>
              </w:rPr>
              <w:t>30</w:t>
            </w:r>
          </w:p>
        </w:tc>
      </w:tr>
      <w:tr>
        <w:trPr>
          <w:trHeight w:val="20"/>
        </w:trPr>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560" w:type="dxa"/>
            <w:vAlign w:val="bottom"/>
            <w:gridSpan w:val="5"/>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301"/>
        </w:trPr>
        <w:tc>
          <w:tcPr>
            <w:tcW w:w="560" w:type="dxa"/>
            <w:vAlign w:val="bottom"/>
          </w:tcPr>
          <w:p>
            <w:pPr>
              <w:jc w:val="right"/>
              <w:ind w:right="253"/>
              <w:spacing w:after="0"/>
              <w:rPr>
                <w:sz w:val="20"/>
                <w:szCs w:val="20"/>
                <w:color w:val="auto"/>
              </w:rPr>
            </w:pPr>
            <w:r>
              <w:rPr>
                <w:rFonts w:ascii="Arial" w:cs="Arial" w:eastAsia="Arial" w:hAnsi="Arial"/>
                <w:sz w:val="17"/>
                <w:szCs w:val="17"/>
                <w:color w:val="auto"/>
                <w:w w:val="84"/>
              </w:rPr>
              <w:t>14.</w:t>
            </w:r>
          </w:p>
        </w:tc>
        <w:tc>
          <w:tcPr>
            <w:tcW w:w="1280" w:type="dxa"/>
            <w:vAlign w:val="bottom"/>
            <w:tcBorders>
              <w:bottom w:val="single" w:sz="8" w:color="0000EE"/>
            </w:tcBorders>
            <w:gridSpan w:val="2"/>
          </w:tcPr>
          <w:p>
            <w:pPr>
              <w:spacing w:after="0"/>
              <w:rPr>
                <w:rFonts w:ascii="Arial" w:cs="Arial" w:eastAsia="Arial" w:hAnsi="Arial"/>
                <w:sz w:val="17"/>
                <w:szCs w:val="17"/>
                <w:color w:val="0000EE"/>
                <w:w w:val="90"/>
              </w:rPr>
            </w:pPr>
            <w:hyperlink w:anchor="page41">
              <w:r>
                <w:rPr>
                  <w:rFonts w:ascii="Arial" w:cs="Arial" w:eastAsia="Arial" w:hAnsi="Arial"/>
                  <w:sz w:val="17"/>
                  <w:szCs w:val="17"/>
                  <w:color w:val="0000EE"/>
                  <w:w w:val="90"/>
                </w:rPr>
                <w:t>Glossary of Terms</w:t>
              </w:r>
            </w:hyperlink>
          </w:p>
        </w:tc>
        <w:tc>
          <w:tcPr>
            <w:tcW w:w="5560" w:type="dxa"/>
            <w:vAlign w:val="bottom"/>
            <w:gridSpan w:val="6"/>
          </w:tcPr>
          <w:p>
            <w:pPr>
              <w:spacing w:after="0"/>
              <w:rPr>
                <w:sz w:val="24"/>
                <w:szCs w:val="24"/>
                <w:color w:val="auto"/>
              </w:rPr>
            </w:pPr>
          </w:p>
        </w:tc>
        <w:tc>
          <w:tcPr>
            <w:tcW w:w="4020" w:type="dxa"/>
            <w:vAlign w:val="bottom"/>
          </w:tcPr>
          <w:p>
            <w:pPr>
              <w:jc w:val="right"/>
              <w:spacing w:after="0"/>
              <w:rPr>
                <w:sz w:val="20"/>
                <w:szCs w:val="20"/>
                <w:color w:val="auto"/>
              </w:rPr>
            </w:pPr>
            <w:r>
              <w:rPr>
                <w:rFonts w:ascii="Arial" w:cs="Arial" w:eastAsia="Arial" w:hAnsi="Arial"/>
                <w:sz w:val="17"/>
                <w:szCs w:val="17"/>
                <w:color w:val="auto"/>
              </w:rPr>
              <w:t>31</w:t>
            </w:r>
          </w:p>
        </w:tc>
      </w:tr>
    </w:tbl>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1626 East Jefferson Street</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Rockville, Maryland 20852-4041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301/998-8100</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Safe Harbor Language</w:t>
      </w:r>
    </w:p>
    <w:p>
      <w:pPr>
        <w:spacing w:after="0" w:line="92"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Current Report on Form 8-K filed on March 11, 2004, and include the following:</w:t>
      </w:r>
    </w:p>
    <w:p>
      <w:pPr>
        <w:spacing w:after="0" w:line="34" w:lineRule="exact"/>
        <w:rPr>
          <w:sz w:val="20"/>
          <w:szCs w:val="20"/>
          <w:color w:val="auto"/>
        </w:rPr>
      </w:pPr>
    </w:p>
    <w:p>
      <w:pPr>
        <w:ind w:left="800" w:hanging="338"/>
        <w:spacing w:after="0"/>
        <w:tabs>
          <w:tab w:leader="none" w:pos="80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our tenants will not pay rent or that we may be unable to renew leases or re-let space at favorable rents as leases expire;</w:t>
      </w:r>
    </w:p>
    <w:p>
      <w:pPr>
        <w:spacing w:after="0" w:line="85" w:lineRule="exact"/>
        <w:rPr>
          <w:rFonts w:ascii="Arial" w:cs="Arial" w:eastAsia="Arial" w:hAnsi="Arial"/>
          <w:sz w:val="17"/>
          <w:szCs w:val="17"/>
          <w:i w:val="1"/>
          <w:iCs w:val="1"/>
          <w:color w:val="auto"/>
        </w:rPr>
      </w:pPr>
    </w:p>
    <w:p>
      <w:pPr>
        <w:ind w:left="800" w:right="140" w:hanging="338"/>
        <w:spacing w:after="0" w:line="294" w:lineRule="auto"/>
        <w:tabs>
          <w:tab w:leader="none" w:pos="80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16" w:lineRule="exact"/>
        <w:rPr>
          <w:rFonts w:ascii="Arial" w:cs="Arial" w:eastAsia="Arial" w:hAnsi="Arial"/>
          <w:sz w:val="17"/>
          <w:szCs w:val="17"/>
          <w:i w:val="1"/>
          <w:iCs w:val="1"/>
          <w:color w:val="auto"/>
        </w:rPr>
      </w:pPr>
    </w:p>
    <w:p>
      <w:pPr>
        <w:ind w:left="800" w:right="140" w:hanging="338"/>
        <w:spacing w:after="0" w:line="294" w:lineRule="auto"/>
        <w:tabs>
          <w:tab w:leader="none" w:pos="80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the number of properties we acquire for our own account, and therefore the amount of capital we invest in acquisitions, may be impacted by our real estate partnership;</w:t>
      </w:r>
    </w:p>
    <w:p>
      <w:pPr>
        <w:spacing w:after="0" w:line="16" w:lineRule="exact"/>
        <w:rPr>
          <w:rFonts w:ascii="Arial" w:cs="Arial" w:eastAsia="Arial" w:hAnsi="Arial"/>
          <w:sz w:val="17"/>
          <w:szCs w:val="17"/>
          <w:i w:val="1"/>
          <w:iCs w:val="1"/>
          <w:color w:val="auto"/>
        </w:rPr>
      </w:pPr>
    </w:p>
    <w:p>
      <w:pPr>
        <w:ind w:left="800" w:hanging="338"/>
        <w:spacing w:after="0" w:line="273" w:lineRule="auto"/>
        <w:tabs>
          <w:tab w:leader="none" w:pos="80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we may have environmental risks at our properties, and, because real estate is illiquid, that we may not be able to sell properties when appropriate;</w:t>
      </w:r>
    </w:p>
    <w:p>
      <w:pPr>
        <w:spacing w:after="0" w:line="33" w:lineRule="exact"/>
        <w:rPr>
          <w:rFonts w:ascii="Arial" w:cs="Arial" w:eastAsia="Arial" w:hAnsi="Arial"/>
          <w:sz w:val="17"/>
          <w:szCs w:val="17"/>
          <w:i w:val="1"/>
          <w:iCs w:val="1"/>
          <w:color w:val="auto"/>
        </w:rPr>
      </w:pPr>
    </w:p>
    <w:p>
      <w:pPr>
        <w:ind w:left="800" w:hanging="338"/>
        <w:spacing w:after="0"/>
        <w:tabs>
          <w:tab w:leader="none" w:pos="80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our growth will be limited if we cannot obtain additional capital;</w:t>
      </w:r>
    </w:p>
    <w:p>
      <w:pPr>
        <w:spacing w:after="0" w:line="85" w:lineRule="exact"/>
        <w:rPr>
          <w:rFonts w:ascii="Arial" w:cs="Arial" w:eastAsia="Arial" w:hAnsi="Arial"/>
          <w:sz w:val="17"/>
          <w:szCs w:val="17"/>
          <w:i w:val="1"/>
          <w:iCs w:val="1"/>
          <w:color w:val="auto"/>
        </w:rPr>
      </w:pPr>
    </w:p>
    <w:p>
      <w:pPr>
        <w:ind w:left="800" w:right="20" w:hanging="338"/>
        <w:spacing w:after="0" w:line="278" w:lineRule="auto"/>
        <w:tabs>
          <w:tab w:leader="none" w:pos="80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29" w:lineRule="exact"/>
        <w:rPr>
          <w:rFonts w:ascii="Arial" w:cs="Arial" w:eastAsia="Arial" w:hAnsi="Arial"/>
          <w:sz w:val="17"/>
          <w:szCs w:val="17"/>
          <w:i w:val="1"/>
          <w:iCs w:val="1"/>
          <w:color w:val="auto"/>
        </w:rPr>
      </w:pPr>
    </w:p>
    <w:p>
      <w:pPr>
        <w:ind w:left="800" w:right="240" w:hanging="338"/>
        <w:spacing w:after="0" w:line="278" w:lineRule="auto"/>
        <w:tabs>
          <w:tab w:leader="none" w:pos="80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10"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(as amended), our quarterly reports on Form 10-Q, and the risks contained in our Current Report on Form 8-K filed with the Securities and Exchange Commission on March 11, 2004.</w:t>
      </w:r>
    </w:p>
    <w:p>
      <w:pPr>
        <w:sectPr>
          <w:pgSz w:w="11900" w:h="16838" w:orient="portrait"/>
          <w:cols w:equalWidth="0" w:num="1">
            <w:col w:w="11380"/>
          </w:cols>
          <w:pgMar w:left="240" w:top="456"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IMMEDIATE RELEASE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40" w:type="dxa"/>
            <w:vAlign w:val="bottom"/>
            <w:gridSpan w:val="3"/>
          </w:tcPr>
          <w:p>
            <w:pPr>
              <w:spacing w:after="0"/>
              <w:rPr>
                <w:sz w:val="20"/>
                <w:szCs w:val="20"/>
                <w:color w:val="auto"/>
              </w:rPr>
            </w:pPr>
            <w:r>
              <w:rPr>
                <w:rFonts w:ascii="Arial" w:cs="Arial" w:eastAsia="Arial" w:hAnsi="Arial"/>
                <w:sz w:val="13"/>
                <w:szCs w:val="13"/>
                <w:color w:val="auto"/>
              </w:rPr>
              <w:t>Investor and Media Inquiries</w:t>
            </w:r>
          </w:p>
        </w:tc>
        <w:tc>
          <w:tcPr>
            <w:tcW w:w="2800" w:type="dxa"/>
            <w:vAlign w:val="bottom"/>
          </w:tcPr>
          <w:p>
            <w:pPr>
              <w:spacing w:after="0"/>
              <w:rPr>
                <w:sz w:val="13"/>
                <w:szCs w:val="13"/>
                <w:color w:val="auto"/>
              </w:rPr>
            </w:pPr>
          </w:p>
        </w:tc>
        <w:tc>
          <w:tcPr>
            <w:tcW w:w="2060" w:type="dxa"/>
            <w:vAlign w:val="bottom"/>
            <w:gridSpan w:val="2"/>
            <w:vMerge w:val="restart"/>
          </w:tcPr>
          <w:p>
            <w:pPr>
              <w:spacing w:after="0"/>
              <w:rPr>
                <w:sz w:val="20"/>
                <w:szCs w:val="20"/>
                <w:color w:val="auto"/>
              </w:rPr>
            </w:pPr>
            <w:r>
              <w:rPr>
                <w:rFonts w:ascii="Arial" w:cs="Arial" w:eastAsia="Arial" w:hAnsi="Arial"/>
                <w:sz w:val="13"/>
                <w:szCs w:val="13"/>
                <w:color w:val="auto"/>
              </w:rPr>
              <w:t>Suzanne O’Neill</w:t>
            </w:r>
          </w:p>
        </w:tc>
        <w:tc>
          <w:tcPr>
            <w:tcW w:w="0" w:type="dxa"/>
            <w:vAlign w:val="bottom"/>
          </w:tcPr>
          <w:p>
            <w:pPr>
              <w:spacing w:after="0"/>
              <w:rPr>
                <w:sz w:val="1"/>
                <w:szCs w:val="1"/>
                <w:color w:val="auto"/>
              </w:rPr>
            </w:pPr>
          </w:p>
        </w:tc>
      </w:tr>
      <w:tr>
        <w:trPr>
          <w:trHeight w:val="130"/>
        </w:trPr>
        <w:tc>
          <w:tcPr>
            <w:tcW w:w="1560" w:type="dxa"/>
            <w:vAlign w:val="bottom"/>
            <w:tcBorders>
              <w:top w:val="single" w:sz="8" w:color="auto"/>
            </w:tcBorders>
            <w:gridSpan w:val="2"/>
          </w:tcPr>
          <w:p>
            <w:pPr>
              <w:spacing w:after="0" w:line="130" w:lineRule="exact"/>
              <w:rPr>
                <w:sz w:val="20"/>
                <w:szCs w:val="20"/>
                <w:color w:val="auto"/>
              </w:rPr>
            </w:pPr>
            <w:r>
              <w:rPr>
                <w:rFonts w:ascii="Arial" w:cs="Arial" w:eastAsia="Arial" w:hAnsi="Arial"/>
                <w:sz w:val="13"/>
                <w:szCs w:val="13"/>
                <w:color w:val="auto"/>
              </w:rPr>
              <w:t>Andrew Blocher</w:t>
            </w:r>
          </w:p>
        </w:tc>
        <w:tc>
          <w:tcPr>
            <w:tcW w:w="15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40" w:type="dxa"/>
            <w:vAlign w:val="bottom"/>
            <w:gridSpan w:val="3"/>
          </w:tcPr>
          <w:p>
            <w:pPr>
              <w:spacing w:after="0" w:line="148" w:lineRule="exact"/>
              <w:rPr>
                <w:sz w:val="20"/>
                <w:szCs w:val="20"/>
                <w:color w:val="auto"/>
              </w:rPr>
            </w:pPr>
            <w:r>
              <w:rPr>
                <w:rFonts w:ascii="Arial" w:cs="Arial" w:eastAsia="Arial" w:hAnsi="Arial"/>
                <w:sz w:val="13"/>
                <w:szCs w:val="13"/>
                <w:color w:val="auto"/>
              </w:rPr>
              <w:t>Vice President, Capital Markets &amp; Investor Relations</w:t>
            </w:r>
          </w:p>
        </w:tc>
        <w:tc>
          <w:tcPr>
            <w:tcW w:w="2800" w:type="dxa"/>
            <w:vAlign w:val="bottom"/>
          </w:tcPr>
          <w:p>
            <w:pPr>
              <w:spacing w:after="0"/>
              <w:rPr>
                <w:sz w:val="12"/>
                <w:szCs w:val="12"/>
                <w:color w:val="auto"/>
              </w:rPr>
            </w:pPr>
          </w:p>
        </w:tc>
        <w:tc>
          <w:tcPr>
            <w:tcW w:w="2060" w:type="dxa"/>
            <w:vAlign w:val="bottom"/>
            <w:gridSpan w:val="2"/>
          </w:tcPr>
          <w:p>
            <w:pPr>
              <w:spacing w:after="0" w:line="148" w:lineRule="exact"/>
              <w:rPr>
                <w:sz w:val="20"/>
                <w:szCs w:val="20"/>
                <w:color w:val="auto"/>
              </w:rPr>
            </w:pPr>
            <w:r>
              <w:rPr>
                <w:rFonts w:ascii="Arial" w:cs="Arial" w:eastAsia="Arial" w:hAnsi="Arial"/>
                <w:sz w:val="13"/>
                <w:szCs w:val="13"/>
                <w:color w:val="auto"/>
              </w:rPr>
              <w:t>Manager, Investor Relations</w:t>
            </w:r>
          </w:p>
        </w:tc>
        <w:tc>
          <w:tcPr>
            <w:tcW w:w="0" w:type="dxa"/>
            <w:vAlign w:val="bottom"/>
          </w:tcPr>
          <w:p>
            <w:pPr>
              <w:spacing w:after="0"/>
              <w:rPr>
                <w:sz w:val="1"/>
                <w:szCs w:val="1"/>
                <w:color w:val="auto"/>
              </w:rPr>
            </w:pPr>
          </w:p>
        </w:tc>
      </w:tr>
      <w:tr>
        <w:trPr>
          <w:trHeight w:val="147"/>
        </w:trPr>
        <w:tc>
          <w:tcPr>
            <w:tcW w:w="1540" w:type="dxa"/>
            <w:vAlign w:val="bottom"/>
          </w:tcPr>
          <w:p>
            <w:pPr>
              <w:spacing w:after="0" w:line="148" w:lineRule="exact"/>
              <w:rPr>
                <w:sz w:val="20"/>
                <w:szCs w:val="20"/>
                <w:color w:val="auto"/>
              </w:rPr>
            </w:pPr>
            <w:r>
              <w:rPr>
                <w:rFonts w:ascii="Arial" w:cs="Arial" w:eastAsia="Arial" w:hAnsi="Arial"/>
                <w:sz w:val="13"/>
                <w:szCs w:val="13"/>
                <w:color w:val="auto"/>
              </w:rPr>
              <w:t>301/998-8166</w:t>
            </w:r>
          </w:p>
        </w:tc>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220" w:type="dxa"/>
            <w:vAlign w:val="bottom"/>
            <w:gridSpan w:val="2"/>
          </w:tcPr>
          <w:p>
            <w:pPr>
              <w:ind w:left="2800"/>
              <w:spacing w:after="0" w:line="148" w:lineRule="exact"/>
              <w:rPr>
                <w:sz w:val="20"/>
                <w:szCs w:val="20"/>
                <w:color w:val="auto"/>
              </w:rPr>
            </w:pPr>
            <w:r>
              <w:rPr>
                <w:rFonts w:ascii="Arial" w:cs="Arial" w:eastAsia="Arial" w:hAnsi="Arial"/>
                <w:sz w:val="13"/>
                <w:szCs w:val="13"/>
                <w:color w:val="auto"/>
              </w:rPr>
              <w:t>301/998-8358</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40" w:type="dxa"/>
            <w:vAlign w:val="bottom"/>
            <w:gridSpan w:val="3"/>
          </w:tcPr>
          <w:p>
            <w:pPr>
              <w:spacing w:after="0" w:line="145" w:lineRule="exact"/>
              <w:rPr>
                <w:sz w:val="20"/>
                <w:szCs w:val="20"/>
                <w:color w:val="auto"/>
              </w:rPr>
            </w:pPr>
            <w:r>
              <w:rPr>
                <w:rFonts w:ascii="Arial" w:cs="Arial" w:eastAsia="Arial" w:hAnsi="Arial"/>
                <w:sz w:val="13"/>
                <w:szCs w:val="13"/>
                <w:i w:val="1"/>
                <w:iCs w:val="1"/>
                <w:color w:val="auto"/>
              </w:rPr>
              <w:t>ablocher@federalrealty.com</w:t>
            </w:r>
          </w:p>
        </w:tc>
        <w:tc>
          <w:tcPr>
            <w:tcW w:w="2800" w:type="dxa"/>
            <w:vAlign w:val="bottom"/>
          </w:tcPr>
          <w:p>
            <w:pPr>
              <w:spacing w:after="0"/>
              <w:rPr>
                <w:sz w:val="12"/>
                <w:szCs w:val="12"/>
                <w:color w:val="auto"/>
              </w:rPr>
            </w:pPr>
          </w:p>
        </w:tc>
        <w:tc>
          <w:tcPr>
            <w:tcW w:w="2060" w:type="dxa"/>
            <w:vAlign w:val="bottom"/>
            <w:gridSpan w:val="2"/>
          </w:tcPr>
          <w:p>
            <w:pPr>
              <w:spacing w:after="0" w:line="145" w:lineRule="exact"/>
              <w:rPr>
                <w:sz w:val="20"/>
                <w:szCs w:val="20"/>
                <w:color w:val="auto"/>
              </w:rPr>
            </w:pPr>
            <w:r>
              <w:rPr>
                <w:rFonts w:ascii="Arial" w:cs="Arial" w:eastAsia="Arial" w:hAnsi="Arial"/>
                <w:sz w:val="13"/>
                <w:szCs w:val="13"/>
                <w:i w:val="1"/>
                <w:iCs w:val="1"/>
                <w:color w:val="auto"/>
              </w:rPr>
              <w:t>soneill@federalrealty.com</w:t>
            </w: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860" w:type="dxa"/>
            <w:vAlign w:val="bottom"/>
            <w:gridSpan w:val="3"/>
          </w:tcPr>
          <w:p>
            <w:pPr>
              <w:jc w:val="center"/>
              <w:ind w:left="220"/>
              <w:spacing w:after="0"/>
              <w:rPr>
                <w:sz w:val="20"/>
                <w:szCs w:val="20"/>
                <w:color w:val="auto"/>
              </w:rPr>
            </w:pPr>
            <w:r>
              <w:rPr>
                <w:rFonts w:ascii="Arial" w:cs="Arial" w:eastAsia="Arial" w:hAnsi="Arial"/>
                <w:sz w:val="17"/>
                <w:szCs w:val="17"/>
                <w:b w:val="1"/>
                <w:bCs w:val="1"/>
                <w:color w:val="auto"/>
              </w:rPr>
              <w:t>FEDERAL REALTY INVESTMENT TRUST ANNOUNCES</w:t>
            </w:r>
          </w:p>
        </w:tc>
        <w:tc>
          <w:tcPr>
            <w:tcW w:w="0" w:type="dxa"/>
            <w:vAlign w:val="bottom"/>
          </w:tcPr>
          <w:p>
            <w:pPr>
              <w:spacing w:after="0"/>
              <w:rPr>
                <w:sz w:val="1"/>
                <w:szCs w:val="1"/>
                <w:color w:val="auto"/>
              </w:rPr>
            </w:pPr>
          </w:p>
        </w:tc>
      </w:tr>
      <w:tr>
        <w:trPr>
          <w:trHeight w:val="227"/>
        </w:trPr>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860" w:type="dxa"/>
            <w:vAlign w:val="bottom"/>
            <w:gridSpan w:val="3"/>
          </w:tcPr>
          <w:p>
            <w:pPr>
              <w:jc w:val="center"/>
              <w:ind w:left="200"/>
              <w:spacing w:after="0"/>
              <w:rPr>
                <w:sz w:val="20"/>
                <w:szCs w:val="20"/>
                <w:color w:val="auto"/>
              </w:rPr>
            </w:pPr>
            <w:r>
              <w:rPr>
                <w:rFonts w:ascii="Arial" w:cs="Arial" w:eastAsia="Arial" w:hAnsi="Arial"/>
                <w:sz w:val="17"/>
                <w:szCs w:val="17"/>
                <w:b w:val="1"/>
                <w:bCs w:val="1"/>
                <w:color w:val="auto"/>
              </w:rPr>
              <w:t>THIRD QUARTER 2004 OPERATING RESULTS</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ROCKVILLE, Md. (November 3, 2004) – Federal Realty Investment Trust (NYSE:FRT) today reported operating results for its third quarter ended September 30, 2004.</w:t>
      </w:r>
    </w:p>
    <w:p>
      <w:pPr>
        <w:spacing w:after="0" w:line="26" w:lineRule="exact"/>
        <w:rPr>
          <w:sz w:val="20"/>
          <w:szCs w:val="20"/>
          <w:color w:val="auto"/>
        </w:rPr>
      </w:pPr>
    </w:p>
    <w:p>
      <w:pPr>
        <w:ind w:left="920" w:right="240" w:hanging="458"/>
        <w:spacing w:after="0" w:line="270" w:lineRule="auto"/>
        <w:tabs>
          <w:tab w:leader="none" w:pos="920" w:val="left"/>
        </w:tabs>
        <w:numPr>
          <w:ilvl w:val="0"/>
          <w:numId w:val="7"/>
        </w:numPr>
        <w:rPr>
          <w:rFonts w:ascii="MS PGothic" w:cs="MS PGothic" w:eastAsia="MS PGothic" w:hAnsi="MS PGothic"/>
          <w:sz w:val="17"/>
          <w:szCs w:val="17"/>
          <w:color w:val="auto"/>
        </w:rPr>
      </w:pPr>
      <w:r>
        <w:rPr>
          <w:rFonts w:ascii="Arial" w:cs="Arial" w:eastAsia="Arial" w:hAnsi="Arial"/>
          <w:sz w:val="17"/>
          <w:szCs w:val="17"/>
          <w:b w:val="1"/>
          <w:bCs w:val="1"/>
          <w:color w:val="auto"/>
        </w:rPr>
        <w:t>For the third quarter 2004, Funds from Operations available for common shareholders (FFO) per diluted share was $0.72 and net income available for common shareholders per diluted share was $0.30.</w:t>
      </w:r>
    </w:p>
    <w:p>
      <w:pPr>
        <w:spacing w:after="0" w:line="1" w:lineRule="exact"/>
        <w:rPr>
          <w:rFonts w:ascii="MS PGothic" w:cs="MS PGothic" w:eastAsia="MS PGothic" w:hAnsi="MS PGothic"/>
          <w:sz w:val="17"/>
          <w:szCs w:val="17"/>
          <w:color w:val="auto"/>
        </w:rPr>
      </w:pPr>
    </w:p>
    <w:p>
      <w:pPr>
        <w:ind w:left="920" w:right="240" w:hanging="458"/>
        <w:spacing w:after="0" w:line="262" w:lineRule="auto"/>
        <w:tabs>
          <w:tab w:leader="none" w:pos="920" w:val="left"/>
        </w:tabs>
        <w:numPr>
          <w:ilvl w:val="0"/>
          <w:numId w:val="7"/>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When compared to third quarter 2003, same-center property operating income increased 4.5% including redevelopments and expansions, and 3.3% excluding redevelopment and expansion properties.</w:t>
      </w:r>
    </w:p>
    <w:p>
      <w:pPr>
        <w:spacing w:after="0" w:line="1" w:lineRule="exact"/>
        <w:rPr>
          <w:rFonts w:ascii="MS PGothic" w:cs="MS PGothic" w:eastAsia="MS PGothic" w:hAnsi="MS PGothic"/>
          <w:sz w:val="17"/>
          <w:szCs w:val="17"/>
          <w:color w:val="auto"/>
          <w:highlight w:val="black"/>
        </w:rPr>
      </w:pPr>
    </w:p>
    <w:p>
      <w:pPr>
        <w:ind w:left="920" w:right="100" w:hanging="458"/>
        <w:spacing w:after="0" w:line="262" w:lineRule="auto"/>
        <w:tabs>
          <w:tab w:leader="none" w:pos="920" w:val="left"/>
        </w:tabs>
        <w:numPr>
          <w:ilvl w:val="0"/>
          <w:numId w:val="7"/>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Cash-basis contractual rent increases on lease rollovers were 22% for the third quarter on over 400,000 square feet of retail space for which there was a prior tenant.</w:t>
      </w:r>
    </w:p>
    <w:p>
      <w:pPr>
        <w:spacing w:after="0" w:line="1" w:lineRule="exact"/>
        <w:rPr>
          <w:rFonts w:ascii="MS PGothic" w:cs="MS PGothic" w:eastAsia="MS PGothic" w:hAnsi="MS PGothic"/>
          <w:sz w:val="17"/>
          <w:szCs w:val="17"/>
          <w:color w:val="auto"/>
          <w:highlight w:val="black"/>
        </w:rPr>
      </w:pPr>
    </w:p>
    <w:p>
      <w:pPr>
        <w:ind w:left="920" w:hanging="458"/>
        <w:spacing w:after="0"/>
        <w:tabs>
          <w:tab w:leader="none" w:pos="920" w:val="left"/>
        </w:tabs>
        <w:numPr>
          <w:ilvl w:val="0"/>
          <w:numId w:val="7"/>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The Trust’s portfolio was 94.2% leased at September 30, 2004.</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Results</w:t>
      </w:r>
    </w:p>
    <w:p>
      <w:pPr>
        <w:spacing w:after="0" w:line="9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Federal Realty reported FFO per diluted share of $0.72 in third quarter 2004, a 9.1% increase over the $0.66 of FFO per diluted share reported in third quarter 2003. Total FFO available for common shareholders was $38.3 million for the third quarter of 2004 compared to $33.3 million for last year’s third quarter. For the nine months ended September 30, 2004, Federal Realty reported FFO of $111.7 million, or $2.14 per diluted share, compared to $89.9 million, or $1.87 per diluted share for the nine months ended September 30, 2003. Federal Realty’s FFO results for the nine months ended September 30, 2003, include a $3.4 million ($0.07 per diluted share) charge relating to the redemption of the Trust’s 7.95% Series A Cumulative Redeemable Preferred Shares.</w:t>
      </w:r>
    </w:p>
    <w:p>
      <w:pPr>
        <w:spacing w:after="0" w:line="102" w:lineRule="exact"/>
        <w:rPr>
          <w:sz w:val="20"/>
          <w:szCs w:val="20"/>
          <w:color w:val="auto"/>
        </w:rPr>
      </w:pPr>
    </w:p>
    <w:p>
      <w:pPr>
        <w:ind w:right="120"/>
        <w:spacing w:after="0" w:line="294" w:lineRule="auto"/>
        <w:rPr>
          <w:sz w:val="20"/>
          <w:szCs w:val="20"/>
          <w:color w:val="auto"/>
        </w:rPr>
      </w:pPr>
      <w:r>
        <w:rPr>
          <w:rFonts w:ascii="Arial" w:cs="Arial" w:eastAsia="Arial" w:hAnsi="Arial"/>
          <w:sz w:val="17"/>
          <w:szCs w:val="17"/>
          <w:color w:val="auto"/>
        </w:rPr>
        <w:t>Net income available for common shareholders was $15.8 million, and net income available for common shareholders per diluted share was $0.30 for the quarter ended September 30, 2004, versus $21.7 million and</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 MORE –</w:t>
      </w:r>
    </w:p>
    <w:p>
      <w:pPr>
        <w:sectPr>
          <w:pgSz w:w="11900" w:h="16838" w:orient="portrait"/>
          <w:cols w:equalWidth="0" w:num="1">
            <w:col w:w="11360"/>
          </w:cols>
          <w:pgMar w:left="240" w:top="456"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FEDERAL REALTY INVESTMENT TRUST ANNOUNCES</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THIRD QUARTER 2004 OPERATING RESULTS</w:t>
      </w:r>
    </w:p>
    <w:p>
      <w:pPr>
        <w:spacing w:after="0"/>
        <w:rPr>
          <w:sz w:val="20"/>
          <w:szCs w:val="20"/>
          <w:color w:val="auto"/>
        </w:rPr>
      </w:pPr>
      <w:r>
        <w:rPr>
          <w:rFonts w:ascii="Arial" w:cs="Arial" w:eastAsia="Arial" w:hAnsi="Arial"/>
          <w:sz w:val="13"/>
          <w:szCs w:val="13"/>
          <w:color w:val="auto"/>
        </w:rPr>
        <w:t>Page 2</w:t>
      </w:r>
    </w:p>
    <w:p>
      <w:pPr>
        <w:spacing w:after="0" w:line="13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$0.44, respectively, for the third quarter of 2003. Net income available for common shareholders increased 23.2% from $43.5 million for the nine months ended September 30, 2003, to $53.6 million, for the nine months ended September 30, 2004. Year to date, net income available for common shareholders per diluted share improved from $0.92 in 2003 to $1.04 in 2004. Net income available for common shareholders and net income available for common shareholders per diluted share for the nine months ended September 30, 2003, include the impact of the preferred share redemption charge discussed above.</w:t>
      </w:r>
    </w:p>
    <w:p>
      <w:pPr>
        <w:spacing w:after="0" w:line="99"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FFO is a non-GAAP supplemental earnings measure which the Trust considers meaningful in measuring its operating performance. A reconciliation of FFO available for common shareholders and FFO per diluted share to net income available for common shareholders and net income available for common shareholders per diluted share, respectively, is attached to this press release.</w:t>
      </w:r>
    </w:p>
    <w:p>
      <w:pPr>
        <w:spacing w:after="0" w:line="110"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color w:val="auto"/>
        </w:rPr>
        <w:t>“Careful execution of the Trust’s business plan has resulted in consistently improving operating results,” commented Donald Wood, Federal Realty’s President and Chief Executive Officer. “By focusing our attention on continually improving our high quality existing portfolio, through leasing and redevelopment, and by opportunistically capitalizing on external growth opportunities, we have uniquely positioned ourselves to improve on our success to date.”</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Portfolio Results</w:t>
      </w:r>
    </w:p>
    <w:p>
      <w:pPr>
        <w:spacing w:after="0" w:line="92" w:lineRule="exact"/>
        <w:rPr>
          <w:sz w:val="20"/>
          <w:szCs w:val="20"/>
          <w:color w:val="auto"/>
        </w:rPr>
      </w:pPr>
    </w:p>
    <w:p>
      <w:pPr>
        <w:ind w:right="1000"/>
        <w:spacing w:after="0" w:line="327" w:lineRule="auto"/>
        <w:rPr>
          <w:sz w:val="20"/>
          <w:szCs w:val="20"/>
          <w:color w:val="auto"/>
        </w:rPr>
      </w:pPr>
      <w:r>
        <w:rPr>
          <w:rFonts w:ascii="Arial" w:cs="Arial" w:eastAsia="Arial" w:hAnsi="Arial"/>
          <w:sz w:val="16"/>
          <w:szCs w:val="16"/>
          <w:color w:val="auto"/>
        </w:rPr>
        <w:t>On a same-center basis, including redevelopment and expansion properties, property operating income increased 4.5% over third quarter 2003. When redevelopment and expansion properties are excluded, same-center property operating income increased 3.3% from third quarter 2003.</w:t>
      </w:r>
    </w:p>
    <w:p>
      <w:pPr>
        <w:spacing w:after="0" w:line="74"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Overall, the Trust’s portfolio was 94.2% leased as of September 30, 2004, an improvement of 110 basis points from December 31, 2003. As of September 30, 2004, Federal Realty’s same-center portfolio was 96.5% leased, a 50 basis point improvement over year-end 2003.</w:t>
      </w:r>
    </w:p>
    <w:p>
      <w:pPr>
        <w:spacing w:after="0" w:line="96" w:lineRule="exact"/>
        <w:rPr>
          <w:sz w:val="20"/>
          <w:szCs w:val="20"/>
          <w:color w:val="auto"/>
        </w:rPr>
      </w:pPr>
    </w:p>
    <w:p>
      <w:pPr>
        <w:ind w:right="40"/>
        <w:spacing w:after="0" w:line="320" w:lineRule="auto"/>
        <w:rPr>
          <w:sz w:val="20"/>
          <w:szCs w:val="20"/>
          <w:color w:val="auto"/>
        </w:rPr>
      </w:pPr>
      <w:r>
        <w:rPr>
          <w:rFonts w:ascii="Arial" w:cs="Arial" w:eastAsia="Arial" w:hAnsi="Arial"/>
          <w:sz w:val="15"/>
          <w:szCs w:val="15"/>
          <w:color w:val="auto"/>
        </w:rPr>
        <w:t>During the third quarter of 2004, the Trust signed 79 leases for 418,000 square feet of retail space. On a comparable space basis (</w:t>
      </w:r>
      <w:r>
        <w:rPr>
          <w:rFonts w:ascii="Arial" w:cs="Arial" w:eastAsia="Arial" w:hAnsi="Arial"/>
          <w:sz w:val="15"/>
          <w:szCs w:val="15"/>
          <w:i w:val="1"/>
          <w:iCs w:val="1"/>
          <w:color w:val="auto"/>
        </w:rPr>
        <w:t>i.e.</w:t>
      </w:r>
      <w:r>
        <w:rPr>
          <w:rFonts w:ascii="Arial" w:cs="Arial" w:eastAsia="Arial" w:hAnsi="Arial"/>
          <w:sz w:val="15"/>
          <w:szCs w:val="15"/>
          <w:color w:val="auto"/>
        </w:rPr>
        <w:t xml:space="preserve"> spaces for which there was a former tenant), the Trust leased 409,000 square feet at a weighted-average cash-basis contractual rent increase per square foot (</w:t>
      </w:r>
      <w:r>
        <w:rPr>
          <w:rFonts w:ascii="Arial" w:cs="Arial" w:eastAsia="Arial" w:hAnsi="Arial"/>
          <w:sz w:val="15"/>
          <w:szCs w:val="15"/>
          <w:i w:val="1"/>
          <w:iCs w:val="1"/>
          <w:color w:val="auto"/>
        </w:rPr>
        <w:t>i.e.</w:t>
      </w:r>
      <w:r>
        <w:rPr>
          <w:rFonts w:ascii="Arial" w:cs="Arial" w:eastAsia="Arial" w:hAnsi="Arial"/>
          <w:sz w:val="15"/>
          <w:szCs w:val="15"/>
          <w:color w:val="auto"/>
        </w:rPr>
        <w:t xml:space="preserve"> excluding the impact of straight-line rents) of 22%. The weighted-average contractual rent on this comparable space for the first year of the new leases is $22.82 per square foot compared to the weighted-average contractual rent of $18.69 per square foot for the last year of the prior leases. The weighted-average contractual rent for the last year of the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ectPr>
          <w:pgSz w:w="11900" w:h="16838" w:orient="portrait"/>
          <w:cols w:equalWidth="0" w:num="1">
            <w:col w:w="11420"/>
          </w:cols>
          <w:pgMar w:left="240" w:top="456"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FEDERAL REALTY INVESTMENT TRUST ANNOUNCES</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THIRD QUARTER 2004 OPERATING RESULTS</w:t>
      </w:r>
    </w:p>
    <w:p>
      <w:pPr>
        <w:spacing w:after="0"/>
        <w:rPr>
          <w:sz w:val="20"/>
          <w:szCs w:val="20"/>
          <w:color w:val="auto"/>
        </w:rPr>
      </w:pPr>
      <w:r>
        <w:rPr>
          <w:rFonts w:ascii="Arial" w:cs="Arial" w:eastAsia="Arial" w:hAnsi="Arial"/>
          <w:sz w:val="13"/>
          <w:szCs w:val="13"/>
          <w:color w:val="auto"/>
        </w:rPr>
        <w:t>Page 3</w:t>
      </w:r>
    </w:p>
    <w:p>
      <w:pPr>
        <w:spacing w:after="0" w:line="13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prior leases is calculated by including both the minimum rent and the percentage rent actually paid during the last year of those leases. Year to date, the Trust has signed 233 leases for 1.3 million square feet of comparable space, a record for the first three quarters of any year, at a weighted-average cash-basis contractual rent increase per square foot of 18%. On a GAAP basis (</w:t>
      </w:r>
      <w:r>
        <w:rPr>
          <w:rFonts w:ascii="Arial" w:cs="Arial" w:eastAsia="Arial" w:hAnsi="Arial"/>
          <w:sz w:val="17"/>
          <w:szCs w:val="17"/>
          <w:i w:val="1"/>
          <w:iCs w:val="1"/>
          <w:color w:val="auto"/>
        </w:rPr>
        <w:t>i.e.</w:t>
      </w:r>
      <w:r>
        <w:rPr>
          <w:rFonts w:ascii="Arial" w:cs="Arial" w:eastAsia="Arial" w:hAnsi="Arial"/>
          <w:sz w:val="17"/>
          <w:szCs w:val="17"/>
          <w:color w:val="auto"/>
        </w:rPr>
        <w:t xml:space="preserve"> including the impact of straight-line rents), weighted-average rent increases per square foot for comparable space were 33% for the third quarter of 2004. As of September 30, 2004, Federal Realty’s weighted-average contractual rent for retail and commercial space in its portfolio was $18.47 per square foot.</w:t>
      </w:r>
    </w:p>
    <w:p>
      <w:pPr>
        <w:spacing w:after="0" w:line="118" w:lineRule="exact"/>
        <w:rPr>
          <w:sz w:val="20"/>
          <w:szCs w:val="20"/>
          <w:color w:val="auto"/>
        </w:rPr>
      </w:pPr>
    </w:p>
    <w:p>
      <w:pPr>
        <w:jc w:val="both"/>
        <w:ind w:right="80"/>
        <w:spacing w:after="0" w:line="303" w:lineRule="auto"/>
        <w:rPr>
          <w:sz w:val="20"/>
          <w:szCs w:val="20"/>
          <w:color w:val="auto"/>
        </w:rPr>
      </w:pPr>
      <w:r>
        <w:rPr>
          <w:rFonts w:ascii="Arial" w:cs="Arial" w:eastAsia="Arial" w:hAnsi="Arial"/>
          <w:sz w:val="16"/>
          <w:szCs w:val="16"/>
          <w:color w:val="auto"/>
        </w:rPr>
        <w:t>At Santana Row, Federal Realty’s mixed-use community in San Jose, Calif., 92% of the retail space was leased to 115 tenants, with 101 stores open and operating as of September 30, 2004. Phase III (CinéArts Theatre) opened as planned during third quarter 2004. The 255 existing residential units at Santana Row were 98% leased as of September 30, 2004, and the development of the 256 Phase IV residential units remains on schedule and on budget.</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Guidance</w:t>
      </w:r>
    </w:p>
    <w:p>
      <w:pPr>
        <w:spacing w:after="0" w:line="9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Federal Realty today narrowed its guidance for 2004 FFO per diluted share to a range of $2.83 to $2.84, and increased guidance for net income per diluted share to a range of $1.30 to $1.31. In addition, management provided initial guidance for 2005 FFO per diluted share of $3.00 to $3.03, and net income per diluted share of $1.24 to $1.27.</w:t>
      </w:r>
    </w:p>
    <w:p>
      <w:pPr>
        <w:spacing w:after="0" w:line="11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“Our guidance for 2004 and 2005 projects real FFO per share growth of 7% in 2004 and 8% to 9% for 2005, after adjusting for Santana Row insurance proceeds and the impact of the 2003 preferred share redemption charge,” commented Larry Finger, Federal Realty’s Senior Vice President and Chief Financial Officer. “Through our internal growth and redevelopment focused operating strategy, we are confident of our ability to produce top tier FFO per share growth while subjecting our investors to the least amount of risk in the sector.”</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of Other Quarterly Activities and Recent Developments</w:t>
      </w:r>
    </w:p>
    <w:p>
      <w:pPr>
        <w:spacing w:after="0" w:line="92" w:lineRule="exact"/>
        <w:rPr>
          <w:sz w:val="20"/>
          <w:szCs w:val="20"/>
          <w:color w:val="auto"/>
        </w:rPr>
      </w:pPr>
    </w:p>
    <w:p>
      <w:pPr>
        <w:ind w:left="460" w:right="20" w:hanging="453"/>
        <w:spacing w:after="0" w:line="278"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July 12, 2004 – Federal Realty announced that it formed a joint venture with Clarion Lion Properties Fund, a discretionary fund created and advised by ING Clarion Partners. The joint venture intends to acquire up to $350 million of stabilized, supermarket-anchored shopping centers in the Trust’s strategic East Coast and California markets.</w:t>
      </w:r>
    </w:p>
    <w:p>
      <w:pPr>
        <w:spacing w:after="0" w:line="29" w:lineRule="exact"/>
        <w:rPr>
          <w:rFonts w:ascii="Arial" w:cs="Arial" w:eastAsia="Arial" w:hAnsi="Arial"/>
          <w:sz w:val="17"/>
          <w:szCs w:val="17"/>
          <w:color w:val="auto"/>
        </w:rPr>
      </w:pPr>
    </w:p>
    <w:p>
      <w:pPr>
        <w:ind w:left="460" w:right="100" w:hanging="453"/>
        <w:spacing w:after="0" w:line="294"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September 7, 2004 – Federal Realty announced that its Board of Trustees increased the dividend on the Trust’s common shares by $0.06 annually, resulting in an annualized rate of $2.02 per share. This</w:t>
      </w:r>
    </w:p>
    <w:p>
      <w:pPr>
        <w:spacing w:after="0" w:line="96" w:lineRule="exact"/>
        <w:rPr>
          <w:rFonts w:ascii="Arial" w:cs="Arial" w:eastAsia="Arial" w:hAnsi="Arial"/>
          <w:sz w:val="17"/>
          <w:szCs w:val="17"/>
          <w:color w:val="auto"/>
        </w:rPr>
      </w:pPr>
    </w:p>
    <w:p>
      <w:pPr>
        <w:ind w:left="5460" w:hanging="99"/>
        <w:spacing w:after="0"/>
        <w:tabs>
          <w:tab w:leader="none" w:pos="5460" w:val="left"/>
        </w:tabs>
        <w:numPr>
          <w:ilvl w:val="1"/>
          <w:numId w:val="8"/>
        </w:numPr>
        <w:rPr>
          <w:rFonts w:ascii="Arial" w:cs="Arial" w:eastAsia="Arial" w:hAnsi="Arial"/>
          <w:sz w:val="17"/>
          <w:szCs w:val="17"/>
          <w:color w:val="auto"/>
        </w:rPr>
      </w:pPr>
      <w:r>
        <w:rPr>
          <w:rFonts w:ascii="Arial" w:cs="Arial" w:eastAsia="Arial" w:hAnsi="Arial"/>
          <w:sz w:val="17"/>
          <w:szCs w:val="17"/>
          <w:color w:val="auto"/>
        </w:rPr>
        <w:t>MORE -</w:t>
      </w:r>
    </w:p>
    <w:p>
      <w:pPr>
        <w:sectPr>
          <w:pgSz w:w="11900" w:h="16838" w:orient="portrait"/>
          <w:cols w:equalWidth="0" w:num="1">
            <w:col w:w="11360"/>
          </w:cols>
          <w:pgMar w:left="240" w:top="456"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FEDERAL REALTY INVESTMENT TRUST ANNOUNCES</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THIRD QUARTER 2004 OPERATING RESULTS</w:t>
      </w:r>
    </w:p>
    <w:p>
      <w:pPr>
        <w:spacing w:after="0"/>
        <w:rPr>
          <w:sz w:val="20"/>
          <w:szCs w:val="20"/>
          <w:color w:val="auto"/>
        </w:rPr>
      </w:pPr>
      <w:r>
        <w:rPr>
          <w:rFonts w:ascii="Arial" w:cs="Arial" w:eastAsia="Arial" w:hAnsi="Arial"/>
          <w:sz w:val="13"/>
          <w:szCs w:val="13"/>
          <w:color w:val="auto"/>
        </w:rPr>
        <w:t>Page 4</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increase represented the 37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consecutive year that Federal Realty had increased its common dividend, the longest consecutive record in the REIT sector.</w:t>
      </w:r>
    </w:p>
    <w:p>
      <w:pPr>
        <w:spacing w:after="0" w:line="65" w:lineRule="exact"/>
        <w:rPr>
          <w:sz w:val="20"/>
          <w:szCs w:val="20"/>
          <w:color w:val="auto"/>
        </w:rPr>
      </w:pPr>
    </w:p>
    <w:p>
      <w:pPr>
        <w:ind w:left="460" w:right="120" w:hanging="453"/>
        <w:spacing w:after="0" w:line="269"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September 21, 2004 – Federal Realty announced the acquisition of two supermarket-anchored shopping centers in the Boston metropolitan area for $38 million. The two properties, Campus Plaza in Bridgewater, Mass., and Pleasant Shops in Weymouth, Mass., were acquired for the Trust’s joint venture with Clarion Lion Properties Fund.</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Conference Call Information</w:t>
      </w:r>
    </w:p>
    <w:p>
      <w:pPr>
        <w:spacing w:after="0" w:line="9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Federal Realty’s management team will present an in-depth discussion of the Trust’s operating performance on its third quarter earnings conference call, which is scheduled for November 4, 2004, at 11 a.m. Eastern Standard Time. To participate, please call (888) 566-5771 five to ten minutes prior to the call’s start time and use the Passcode EARNINGS (required). The conference leader is Andrew Blocher. Federal Realty will also provide an online Web Simulcast on the Company’s Web site, www.federalrealty.com, which will remain available for 30 days following the call. A telephone recording of the call will also be available for 30 days by dialing (800) 679-9654.</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About Federal Realty</w:t>
      </w:r>
    </w:p>
    <w:p>
      <w:pPr>
        <w:spacing w:after="0" w:line="9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development, and redevelopment of shopping centers and Street Retail properties. Federal Realty’s portfolio (excluding joint venture properties) contains approximately 16.8 million square feet located primarily in strategic metropolitan markets in the Northeast, Mid-Atlantic, and California. In addition, the Trust has an ownership interest in approximately 350,000 square feet of retail space through its joint venture with Clarion Lion Properties Fund. Our operating portfolio (excluding joint venture properties) was 94.2% leased to approximately 2,200 national, regional, and local retailers as of September 30, 2004, with no single tenant accounting for more than 2.3% of rental revenue. Federal Realty has paid quarterly dividends to its shareholders continuously since its founding in 1962, and has increased its dividend rate for 37 consecutive years, the longest consecutive record in the REIT industry. Shares of Federal Realty are traded on the NYSE under the symbol FRT.</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Safe Harbor Language</w:t>
      </w:r>
    </w:p>
    <w:p>
      <w:pPr>
        <w:spacing w:after="0" w:line="67" w:lineRule="exact"/>
        <w:rPr>
          <w:sz w:val="20"/>
          <w:szCs w:val="20"/>
          <w:color w:val="auto"/>
        </w:rPr>
      </w:pPr>
    </w:p>
    <w:p>
      <w:pPr>
        <w:ind w:right="20"/>
        <w:spacing w:after="0" w:line="253" w:lineRule="auto"/>
        <w:rPr>
          <w:sz w:val="20"/>
          <w:szCs w:val="20"/>
          <w:color w:val="auto"/>
        </w:rPr>
      </w:pPr>
      <w:r>
        <w:rPr>
          <w:rFonts w:ascii="Arial" w:cs="Arial" w:eastAsia="Arial" w:hAnsi="Arial"/>
          <w:sz w:val="13"/>
          <w:szCs w:val="13"/>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Current Report on Form 8-K filed on March 11, 2004, and include the following: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ectPr>
          <w:pgSz w:w="11900" w:h="16838" w:orient="portrait"/>
          <w:cols w:equalWidth="0" w:num="1">
            <w:col w:w="11420"/>
          </w:cols>
          <w:pgMar w:left="240" w:top="456"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FEDERAL REALTY INVESTMENT TRUST ANNOUNCES</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THIRD QUARTER 2004 OPERATING RESULTS</w:t>
      </w:r>
    </w:p>
    <w:p>
      <w:pPr>
        <w:spacing w:after="0"/>
        <w:rPr>
          <w:sz w:val="20"/>
          <w:szCs w:val="20"/>
          <w:color w:val="auto"/>
        </w:rPr>
      </w:pPr>
      <w:r>
        <w:rPr>
          <w:rFonts w:ascii="Arial" w:cs="Arial" w:eastAsia="Arial" w:hAnsi="Arial"/>
          <w:sz w:val="13"/>
          <w:szCs w:val="13"/>
          <w:color w:val="auto"/>
        </w:rPr>
        <w:t>Page 5</w:t>
      </w:r>
    </w:p>
    <w:p>
      <w:pPr>
        <w:spacing w:after="0" w:line="133" w:lineRule="exact"/>
        <w:rPr>
          <w:sz w:val="20"/>
          <w:szCs w:val="20"/>
          <w:color w:val="auto"/>
        </w:rPr>
      </w:pPr>
    </w:p>
    <w:p>
      <w:pPr>
        <w:ind w:left="800" w:hanging="338"/>
        <w:spacing w:after="0"/>
        <w:tabs>
          <w:tab w:leader="none" w:pos="800" w:val="left"/>
        </w:tabs>
        <w:numPr>
          <w:ilvl w:val="0"/>
          <w:numId w:val="10"/>
        </w:numPr>
        <w:rPr>
          <w:rFonts w:ascii="MS PGothic" w:cs="MS PGothic" w:eastAsia="MS PGothic" w:hAnsi="MS PGothic"/>
          <w:sz w:val="13"/>
          <w:szCs w:val="13"/>
          <w:i w:val="1"/>
          <w:iCs w:val="1"/>
          <w:color w:val="auto"/>
        </w:rPr>
      </w:pPr>
      <w:r>
        <w:rPr>
          <w:rFonts w:ascii="Arial" w:cs="Arial" w:eastAsia="Arial" w:hAnsi="Arial"/>
          <w:sz w:val="13"/>
          <w:szCs w:val="13"/>
          <w:i w:val="1"/>
          <w:iCs w:val="1"/>
          <w:color w:val="auto"/>
        </w:rPr>
        <w:t>risks that our tenants will not pay rent or that we may be unable to renew leases or re-let space at favorable rents as leases expire;</w:t>
      </w:r>
    </w:p>
    <w:p>
      <w:pPr>
        <w:spacing w:after="0" w:line="64" w:lineRule="exact"/>
        <w:rPr>
          <w:rFonts w:ascii="MS PGothic" w:cs="MS PGothic" w:eastAsia="MS PGothic" w:hAnsi="MS PGothic"/>
          <w:sz w:val="13"/>
          <w:szCs w:val="13"/>
          <w:i w:val="1"/>
          <w:iCs w:val="1"/>
          <w:color w:val="auto"/>
        </w:rPr>
      </w:pPr>
    </w:p>
    <w:p>
      <w:pPr>
        <w:ind w:left="800" w:right="140" w:hanging="338"/>
        <w:spacing w:after="0" w:line="271" w:lineRule="auto"/>
        <w:tabs>
          <w:tab w:leader="none" w:pos="800" w:val="left"/>
        </w:tabs>
        <w:numPr>
          <w:ilvl w:val="0"/>
          <w:numId w:val="10"/>
        </w:numPr>
        <w:rPr>
          <w:rFonts w:ascii="MS PGothic" w:cs="MS PGothic" w:eastAsia="MS PGothic" w:hAnsi="MS PGothic"/>
          <w:sz w:val="13"/>
          <w:szCs w:val="13"/>
          <w:i w:val="1"/>
          <w:iCs w:val="1"/>
          <w:color w:val="auto"/>
        </w:rPr>
      </w:pPr>
      <w:r>
        <w:rPr>
          <w:rFonts w:ascii="Arial" w:cs="Arial" w:eastAsia="Arial" w:hAnsi="Arial"/>
          <w:sz w:val="13"/>
          <w:szCs w:val="13"/>
          <w:i w:val="1"/>
          <w:iCs w:val="1"/>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23" w:lineRule="exact"/>
        <w:rPr>
          <w:rFonts w:ascii="MS PGothic" w:cs="MS PGothic" w:eastAsia="MS PGothic" w:hAnsi="MS PGothic"/>
          <w:sz w:val="13"/>
          <w:szCs w:val="13"/>
          <w:i w:val="1"/>
          <w:iCs w:val="1"/>
          <w:color w:val="auto"/>
        </w:rPr>
      </w:pPr>
    </w:p>
    <w:p>
      <w:pPr>
        <w:ind w:left="800" w:hanging="338"/>
        <w:spacing w:after="0"/>
        <w:tabs>
          <w:tab w:leader="none" w:pos="800" w:val="left"/>
        </w:tabs>
        <w:numPr>
          <w:ilvl w:val="0"/>
          <w:numId w:val="10"/>
        </w:numPr>
        <w:rPr>
          <w:rFonts w:ascii="MS PGothic" w:cs="MS PGothic" w:eastAsia="MS PGothic" w:hAnsi="MS PGothic"/>
          <w:sz w:val="13"/>
          <w:szCs w:val="13"/>
          <w:i w:val="1"/>
          <w:iCs w:val="1"/>
          <w:color w:val="auto"/>
        </w:rPr>
      </w:pPr>
      <w:r>
        <w:rPr>
          <w:rFonts w:ascii="Arial" w:cs="Arial" w:eastAsia="Arial" w:hAnsi="Arial"/>
          <w:sz w:val="13"/>
          <w:szCs w:val="13"/>
          <w:i w:val="1"/>
          <w:iCs w:val="1"/>
          <w:color w:val="auto"/>
        </w:rPr>
        <w:t>risks that the number of properties we acquire for our own account, and therefore the amount of capital we invest in acquisitions, may be impacted by our real estate partnership;</w:t>
      </w:r>
    </w:p>
    <w:p>
      <w:pPr>
        <w:spacing w:after="0" w:line="64" w:lineRule="exact"/>
        <w:rPr>
          <w:rFonts w:ascii="MS PGothic" w:cs="MS PGothic" w:eastAsia="MS PGothic" w:hAnsi="MS PGothic"/>
          <w:sz w:val="13"/>
          <w:szCs w:val="13"/>
          <w:i w:val="1"/>
          <w:iCs w:val="1"/>
          <w:color w:val="auto"/>
        </w:rPr>
      </w:pPr>
    </w:p>
    <w:p>
      <w:pPr>
        <w:jc w:val="both"/>
        <w:ind w:left="800" w:hanging="338"/>
        <w:spacing w:after="0" w:line="253" w:lineRule="auto"/>
        <w:tabs>
          <w:tab w:leader="none" w:pos="800" w:val="left"/>
        </w:tabs>
        <w:numPr>
          <w:ilvl w:val="0"/>
          <w:numId w:val="10"/>
        </w:numPr>
        <w:rPr>
          <w:rFonts w:ascii="MS PGothic" w:cs="MS PGothic" w:eastAsia="MS PGothic" w:hAnsi="MS PGothic"/>
          <w:sz w:val="13"/>
          <w:szCs w:val="13"/>
          <w:i w:val="1"/>
          <w:iCs w:val="1"/>
          <w:color w:val="auto"/>
        </w:rPr>
      </w:pPr>
      <w:r>
        <w:rPr>
          <w:rFonts w:ascii="Arial" w:cs="Arial" w:eastAsia="Arial" w:hAnsi="Arial"/>
          <w:sz w:val="13"/>
          <w:szCs w:val="13"/>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we may have environmental risks at our properties, and, because real estate is illiquid, that we may not be able to sell properties when appropriate;</w:t>
      </w:r>
    </w:p>
    <w:p>
      <w:pPr>
        <w:spacing w:after="0" w:line="35" w:lineRule="exact"/>
        <w:rPr>
          <w:rFonts w:ascii="MS PGothic" w:cs="MS PGothic" w:eastAsia="MS PGothic" w:hAnsi="MS PGothic"/>
          <w:sz w:val="13"/>
          <w:szCs w:val="13"/>
          <w:i w:val="1"/>
          <w:iCs w:val="1"/>
          <w:color w:val="auto"/>
        </w:rPr>
      </w:pPr>
    </w:p>
    <w:p>
      <w:pPr>
        <w:ind w:left="800" w:hanging="338"/>
        <w:spacing w:after="0"/>
        <w:tabs>
          <w:tab w:leader="none" w:pos="800" w:val="left"/>
        </w:tabs>
        <w:numPr>
          <w:ilvl w:val="0"/>
          <w:numId w:val="10"/>
        </w:numPr>
        <w:rPr>
          <w:rFonts w:ascii="MS PGothic" w:cs="MS PGothic" w:eastAsia="MS PGothic" w:hAnsi="MS PGothic"/>
          <w:sz w:val="13"/>
          <w:szCs w:val="13"/>
          <w:i w:val="1"/>
          <w:iCs w:val="1"/>
          <w:color w:val="auto"/>
        </w:rPr>
      </w:pPr>
      <w:r>
        <w:rPr>
          <w:rFonts w:ascii="Arial" w:cs="Arial" w:eastAsia="Arial" w:hAnsi="Arial"/>
          <w:sz w:val="13"/>
          <w:szCs w:val="13"/>
          <w:i w:val="1"/>
          <w:iCs w:val="1"/>
          <w:color w:val="auto"/>
        </w:rPr>
        <w:t>risks that our growth will be limited if we cannot obtain additional capital;</w:t>
      </w:r>
    </w:p>
    <w:p>
      <w:pPr>
        <w:spacing w:after="0" w:line="64" w:lineRule="exact"/>
        <w:rPr>
          <w:rFonts w:ascii="MS PGothic" w:cs="MS PGothic" w:eastAsia="MS PGothic" w:hAnsi="MS PGothic"/>
          <w:sz w:val="13"/>
          <w:szCs w:val="13"/>
          <w:i w:val="1"/>
          <w:iCs w:val="1"/>
          <w:color w:val="auto"/>
        </w:rPr>
      </w:pPr>
    </w:p>
    <w:p>
      <w:pPr>
        <w:ind w:left="800" w:right="40" w:hanging="338"/>
        <w:spacing w:after="0" w:line="271" w:lineRule="auto"/>
        <w:tabs>
          <w:tab w:leader="none" w:pos="800" w:val="left"/>
        </w:tabs>
        <w:numPr>
          <w:ilvl w:val="0"/>
          <w:numId w:val="10"/>
        </w:numPr>
        <w:rPr>
          <w:rFonts w:ascii="MS PGothic" w:cs="MS PGothic" w:eastAsia="MS PGothic" w:hAnsi="MS PGothic"/>
          <w:sz w:val="13"/>
          <w:szCs w:val="13"/>
          <w:i w:val="1"/>
          <w:iCs w:val="1"/>
          <w:color w:val="auto"/>
        </w:rPr>
      </w:pPr>
      <w:r>
        <w:rPr>
          <w:rFonts w:ascii="Arial" w:cs="Arial" w:eastAsia="Arial" w:hAnsi="Arial"/>
          <w:sz w:val="13"/>
          <w:szCs w:val="13"/>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23" w:lineRule="exact"/>
        <w:rPr>
          <w:rFonts w:ascii="MS PGothic" w:cs="MS PGothic" w:eastAsia="MS PGothic" w:hAnsi="MS PGothic"/>
          <w:sz w:val="13"/>
          <w:szCs w:val="13"/>
          <w:i w:val="1"/>
          <w:iCs w:val="1"/>
          <w:color w:val="auto"/>
        </w:rPr>
      </w:pPr>
    </w:p>
    <w:p>
      <w:pPr>
        <w:ind w:left="800" w:hanging="338"/>
        <w:spacing w:after="0" w:line="271" w:lineRule="auto"/>
        <w:tabs>
          <w:tab w:leader="none" w:pos="800" w:val="left"/>
        </w:tabs>
        <w:numPr>
          <w:ilvl w:val="0"/>
          <w:numId w:val="10"/>
        </w:numPr>
        <w:rPr>
          <w:rFonts w:ascii="MS PGothic" w:cs="MS PGothic" w:eastAsia="MS PGothic" w:hAnsi="MS PGothic"/>
          <w:sz w:val="13"/>
          <w:szCs w:val="13"/>
          <w:i w:val="1"/>
          <w:iCs w:val="1"/>
          <w:color w:val="auto"/>
        </w:rPr>
      </w:pPr>
      <w:r>
        <w:rPr>
          <w:rFonts w:ascii="Arial" w:cs="Arial" w:eastAsia="Arial" w:hAnsi="Arial"/>
          <w:sz w:val="13"/>
          <w:szCs w:val="13"/>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24" w:lineRule="exact"/>
        <w:rPr>
          <w:sz w:val="20"/>
          <w:szCs w:val="20"/>
          <w:color w:val="auto"/>
        </w:rPr>
      </w:pPr>
    </w:p>
    <w:p>
      <w:pPr>
        <w:ind w:left="120" w:right="80"/>
        <w:spacing w:after="0" w:line="253" w:lineRule="auto"/>
        <w:rPr>
          <w:sz w:val="20"/>
          <w:szCs w:val="20"/>
          <w:color w:val="auto"/>
        </w:rPr>
      </w:pPr>
      <w:r>
        <w:rPr>
          <w:rFonts w:ascii="Arial" w:cs="Arial" w:eastAsia="Arial" w:hAnsi="Arial"/>
          <w:sz w:val="13"/>
          <w:szCs w:val="13"/>
          <w:i w:val="1"/>
          <w:iCs w:val="1"/>
          <w:color w:val="auto"/>
        </w:rPr>
        <w:t>Given these uncertainties, readers are cautioned not to place undue reliance on any forward-looking statements that we make, including those in this press release. Except as required by law, we make no promise to update any of the forward-looking statements as a result of new information, future events, or otherwise. You should review the risks contained in our annual report on Form 10-K (as amended), our quarterly reports on Form 10-Q, and the risks contained in our Current Report on Form 8-K filed with the Securities and Exchange Commission on March 11, 2004.</w:t>
      </w:r>
    </w:p>
    <w:p>
      <w:pPr>
        <w:sectPr>
          <w:pgSz w:w="11900" w:h="16838" w:orient="portrait"/>
          <w:cols w:equalWidth="0" w:num="1">
            <w:col w:w="11380"/>
          </w:cols>
          <w:pgMar w:left="240" w:top="456"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Operating Results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Financial Highlights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per share data)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6"/>
          </w:tcPr>
          <w:p>
            <w:pPr>
              <w:jc w:val="right"/>
              <w:ind w:right="480"/>
              <w:spacing w:after="0"/>
              <w:rPr>
                <w:sz w:val="20"/>
                <w:szCs w:val="20"/>
                <w:color w:val="auto"/>
              </w:rPr>
            </w:pPr>
            <w:r>
              <w:rPr>
                <w:rFonts w:ascii="Arial" w:cs="Arial" w:eastAsia="Arial" w:hAnsi="Arial"/>
                <w:sz w:val="13"/>
                <w:szCs w:val="13"/>
                <w:b w:val="1"/>
                <w:bCs w:val="1"/>
                <w:color w:val="auto"/>
                <w:w w:val="98"/>
              </w:rPr>
              <w:t>Three months ended</w:t>
            </w:r>
          </w:p>
        </w:tc>
        <w:tc>
          <w:tcPr>
            <w:tcW w:w="100" w:type="dxa"/>
            <w:vAlign w:val="bottom"/>
          </w:tcPr>
          <w:p>
            <w:pPr>
              <w:spacing w:after="0"/>
              <w:rPr>
                <w:sz w:val="13"/>
                <w:szCs w:val="13"/>
                <w:color w:val="auto"/>
              </w:rPr>
            </w:pPr>
          </w:p>
        </w:tc>
        <w:tc>
          <w:tcPr>
            <w:tcW w:w="1580" w:type="dxa"/>
            <w:vAlign w:val="bottom"/>
            <w:gridSpan w:val="5"/>
          </w:tcPr>
          <w:p>
            <w:pPr>
              <w:jc w:val="right"/>
              <w:ind w:right="32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6"/>
          </w:tcPr>
          <w:p>
            <w:pPr>
              <w:jc w:val="right"/>
              <w:ind w:right="660"/>
              <w:spacing w:after="0"/>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5"/>
                <w:szCs w:val="15"/>
                <w:color w:val="auto"/>
              </w:rPr>
            </w:pPr>
          </w:p>
        </w:tc>
        <w:tc>
          <w:tcPr>
            <w:tcW w:w="1580" w:type="dxa"/>
            <w:vAlign w:val="bottom"/>
            <w:gridSpan w:val="5"/>
          </w:tcPr>
          <w:p>
            <w:pPr>
              <w:jc w:val="right"/>
              <w:ind w:right="460"/>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3"/>
                <w:szCs w:val="13"/>
                <w:b w:val="1"/>
                <w:bCs w:val="1"/>
                <w:color w:val="auto"/>
              </w:rPr>
              <w:t>2004</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94"/>
              <w:spacing w:after="0"/>
              <w:rPr>
                <w:sz w:val="20"/>
                <w:szCs w:val="20"/>
                <w:color w:val="auto"/>
              </w:rPr>
            </w:pPr>
            <w:r>
              <w:rPr>
                <w:rFonts w:ascii="Arial" w:cs="Arial" w:eastAsia="Arial" w:hAnsi="Arial"/>
                <w:sz w:val="13"/>
                <w:szCs w:val="13"/>
                <w:b w:val="1"/>
                <w:bCs w:val="1"/>
                <w:color w:val="auto"/>
              </w:rPr>
              <w:t>2003</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4"/>
              <w:spacing w:after="0"/>
              <w:rPr>
                <w:sz w:val="20"/>
                <w:szCs w:val="20"/>
                <w:color w:val="auto"/>
              </w:rPr>
            </w:pPr>
            <w:r>
              <w:rPr>
                <w:rFonts w:ascii="Arial" w:cs="Arial" w:eastAsia="Arial" w:hAnsi="Arial"/>
                <w:sz w:val="13"/>
                <w:szCs w:val="13"/>
                <w:b w:val="1"/>
                <w:bCs w:val="1"/>
                <w:color w:val="auto"/>
              </w:rPr>
              <w:t>2004</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3"/>
                <w:szCs w:val="13"/>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1760" w:type="dxa"/>
            <w:vAlign w:val="bottom"/>
            <w:gridSpan w:val="2"/>
            <w:vMerge w:val="restart"/>
          </w:tcPr>
          <w:p>
            <w:pPr>
              <w:spacing w:after="0"/>
              <w:rPr>
                <w:sz w:val="20"/>
                <w:szCs w:val="20"/>
                <w:color w:val="auto"/>
              </w:rPr>
            </w:pPr>
            <w:r>
              <w:rPr>
                <w:rFonts w:ascii="Arial" w:cs="Arial" w:eastAsia="Arial" w:hAnsi="Arial"/>
                <w:sz w:val="17"/>
                <w:szCs w:val="17"/>
                <w:color w:val="auto"/>
                <w:w w:val="94"/>
              </w:rPr>
              <w:t>OPERATING RESULTS</w:t>
            </w:r>
          </w:p>
        </w:tc>
        <w:tc>
          <w:tcPr>
            <w:tcW w:w="6140" w:type="dxa"/>
            <w:vAlign w:val="bottom"/>
            <w:gridSpan w:val="4"/>
            <w:vMerge w:val="restart"/>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760" w:type="dxa"/>
            <w:vAlign w:val="bottom"/>
            <w:tcBorders>
              <w:bottom w:val="single" w:sz="8" w:color="auto"/>
            </w:tcBorders>
            <w:gridSpan w:val="2"/>
            <w:vMerge w:val="continue"/>
          </w:tcPr>
          <w:p>
            <w:pPr>
              <w:spacing w:after="0"/>
              <w:rPr>
                <w:sz w:val="23"/>
                <w:szCs w:val="23"/>
                <w:color w:val="auto"/>
              </w:rPr>
            </w:pPr>
          </w:p>
        </w:tc>
        <w:tc>
          <w:tcPr>
            <w:tcW w:w="6140" w:type="dxa"/>
            <w:vAlign w:val="bottom"/>
            <w:gridSpan w:val="4"/>
            <w:vMerge w:val="continue"/>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7900" w:type="dxa"/>
            <w:vAlign w:val="bottom"/>
            <w:gridSpan w:val="6"/>
          </w:tcPr>
          <w:p>
            <w:pPr>
              <w:spacing w:after="0"/>
              <w:rPr>
                <w:sz w:val="20"/>
                <w:szCs w:val="20"/>
                <w:color w:val="auto"/>
              </w:rPr>
            </w:pPr>
            <w:r>
              <w:rPr>
                <w:rFonts w:ascii="Arial" w:cs="Arial" w:eastAsia="Arial" w:hAnsi="Arial"/>
                <w:sz w:val="17"/>
                <w:szCs w:val="17"/>
                <w:b w:val="1"/>
                <w:bCs w:val="1"/>
                <w:color w:val="auto"/>
              </w:rPr>
              <w:t>Revenues</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80" w:type="dxa"/>
            <w:vAlign w:val="bottom"/>
            <w:gridSpan w:val="5"/>
            <w:shd w:val="clear" w:color="auto" w:fill="CCEEFF"/>
          </w:tcPr>
          <w:p>
            <w:pPr>
              <w:ind w:left="200"/>
              <w:spacing w:after="0"/>
              <w:rPr>
                <w:sz w:val="20"/>
                <w:szCs w:val="20"/>
                <w:color w:val="auto"/>
              </w:rPr>
            </w:pPr>
            <w:r>
              <w:rPr>
                <w:rFonts w:ascii="Arial" w:cs="Arial" w:eastAsia="Arial" w:hAnsi="Arial"/>
                <w:sz w:val="17"/>
                <w:szCs w:val="17"/>
                <w:color w:val="auto"/>
              </w:rPr>
              <w:t>Rental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91,599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80,424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271,975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238,563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tcPr>
          <w:p>
            <w:pPr>
              <w:ind w:left="200"/>
              <w:spacing w:after="0"/>
              <w:rPr>
                <w:sz w:val="20"/>
                <w:szCs w:val="20"/>
                <w:color w:val="auto"/>
              </w:rPr>
            </w:pPr>
            <w:r>
              <w:rPr>
                <w:rFonts w:ascii="Arial" w:cs="Arial" w:eastAsia="Arial" w:hAnsi="Arial"/>
                <w:sz w:val="17"/>
                <w:szCs w:val="17"/>
                <w:color w:val="auto"/>
              </w:rPr>
              <w:t>Other property income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7,416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4,626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19,030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12,885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shd w:val="clear" w:color="auto" w:fill="CCEEFF"/>
          </w:tcPr>
          <w:p>
            <w:pPr>
              <w:ind w:left="200"/>
              <w:spacing w:after="0"/>
              <w:rPr>
                <w:sz w:val="20"/>
                <w:szCs w:val="20"/>
                <w:color w:val="auto"/>
              </w:rPr>
            </w:pPr>
            <w:r>
              <w:rPr>
                <w:rFonts w:ascii="Arial" w:cs="Arial" w:eastAsia="Arial" w:hAnsi="Arial"/>
                <w:sz w:val="17"/>
                <w:szCs w:val="17"/>
                <w:color w:val="auto"/>
              </w:rPr>
              <w:t>Mortgage interest income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100,157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85,936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294,390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254,466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tcPr>
          <w:p>
            <w:pPr>
              <w:spacing w:after="0"/>
              <w:rPr>
                <w:sz w:val="20"/>
                <w:szCs w:val="20"/>
                <w:color w:val="auto"/>
              </w:rPr>
            </w:pPr>
            <w:r>
              <w:rPr>
                <w:rFonts w:ascii="Arial" w:cs="Arial" w:eastAsia="Arial" w:hAnsi="Arial"/>
                <w:sz w:val="17"/>
                <w:szCs w:val="17"/>
                <w:b w:val="1"/>
                <w:bCs w:val="1"/>
                <w:color w:val="auto"/>
              </w:rPr>
              <w:t>Expenses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shd w:val="clear" w:color="auto" w:fill="CCEEFF"/>
          </w:tcPr>
          <w:p>
            <w:pPr>
              <w:ind w:left="200"/>
              <w:spacing w:after="0"/>
              <w:rPr>
                <w:sz w:val="20"/>
                <w:szCs w:val="20"/>
                <w:color w:val="auto"/>
              </w:rPr>
            </w:pPr>
            <w:r>
              <w:rPr>
                <w:rFonts w:ascii="Arial" w:cs="Arial" w:eastAsia="Arial" w:hAnsi="Arial"/>
                <w:sz w:val="17"/>
                <w:szCs w:val="17"/>
                <w:color w:val="auto"/>
              </w:rPr>
              <w:t>Rental</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18,952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tcPr>
          <w:p>
            <w:pPr>
              <w:ind w:left="200"/>
              <w:spacing w:after="0"/>
              <w:rPr>
                <w:sz w:val="20"/>
                <w:szCs w:val="20"/>
                <w:color w:val="auto"/>
              </w:rPr>
            </w:pPr>
            <w:r>
              <w:rPr>
                <w:rFonts w:ascii="Arial" w:cs="Arial" w:eastAsia="Arial" w:hAnsi="Arial"/>
                <w:sz w:val="17"/>
                <w:szCs w:val="17"/>
                <w:color w:val="auto"/>
              </w:rPr>
              <w:t>Real estate taxes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10,033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8,897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28,655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25,312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shd w:val="clear" w:color="auto" w:fill="CCEEFF"/>
          </w:tcPr>
          <w:p>
            <w:pPr>
              <w:ind w:left="200"/>
              <w:spacing w:after="0"/>
              <w:rPr>
                <w:sz w:val="20"/>
                <w:szCs w:val="20"/>
                <w:color w:val="auto"/>
              </w:rPr>
            </w:pPr>
            <w:r>
              <w:rPr>
                <w:rFonts w:ascii="Arial" w:cs="Arial" w:eastAsia="Arial" w:hAnsi="Arial"/>
                <w:sz w:val="17"/>
                <w:szCs w:val="17"/>
                <w:color w:val="auto"/>
              </w:rPr>
              <w:t>Administrative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3,221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80" w:type="dxa"/>
            <w:vAlign w:val="bottom"/>
            <w:gridSpan w:val="5"/>
          </w:tcPr>
          <w:p>
            <w:pPr>
              <w:ind w:left="200"/>
              <w:spacing w:after="0"/>
              <w:rPr>
                <w:sz w:val="20"/>
                <w:szCs w:val="20"/>
                <w:color w:val="auto"/>
              </w:rPr>
            </w:pPr>
            <w:r>
              <w:rPr>
                <w:rFonts w:ascii="Arial" w:cs="Arial" w:eastAsia="Arial" w:hAnsi="Arial"/>
                <w:sz w:val="17"/>
                <w:szCs w:val="17"/>
                <w:color w:val="auto"/>
              </w:rPr>
              <w:t>Depreciation and amortization</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23,666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w w:val="99"/>
              </w:rPr>
              <w:t>18,576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67,148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53,820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60,996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49,646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176,413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148,140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shd w:val="clear" w:color="auto" w:fill="CCEEFF"/>
          </w:tcPr>
          <w:p>
            <w:pPr>
              <w:ind w:left="200"/>
              <w:spacing w:after="0"/>
              <w:rPr>
                <w:sz w:val="20"/>
                <w:szCs w:val="20"/>
                <w:color w:val="auto"/>
              </w:rPr>
            </w:pPr>
            <w:r>
              <w:rPr>
                <w:rFonts w:ascii="Arial" w:cs="Arial" w:eastAsia="Arial" w:hAnsi="Arial"/>
                <w:sz w:val="17"/>
                <w:szCs w:val="17"/>
                <w:color w:val="auto"/>
              </w:rPr>
              <w:t>Operating income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39,161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36,290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117,977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106,326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7900" w:type="dxa"/>
            <w:vAlign w:val="bottom"/>
            <w:gridSpan w:val="6"/>
          </w:tcPr>
          <w:p>
            <w:pPr>
              <w:spacing w:after="0"/>
              <w:rPr>
                <w:sz w:val="20"/>
                <w:szCs w:val="20"/>
                <w:color w:val="auto"/>
              </w:rPr>
            </w:pPr>
            <w:r>
              <w:rPr>
                <w:rFonts w:ascii="Arial" w:cs="Arial" w:eastAsia="Arial" w:hAnsi="Arial"/>
                <w:sz w:val="17"/>
                <w:szCs w:val="17"/>
                <w:color w:val="auto"/>
              </w:rPr>
              <w:t>Interest income</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548</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316</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1,350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7"/>
              </w:rPr>
              <w:t>(21,125)</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w w:val="91"/>
              </w:rPr>
              <w:t>(18,719)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4"/>
              </w:rPr>
              <w:t>(63,835)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(54,550)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tcPr>
          <w:p>
            <w:pPr>
              <w:spacing w:after="0"/>
              <w:rPr>
                <w:sz w:val="20"/>
                <w:szCs w:val="20"/>
                <w:color w:val="auto"/>
              </w:rPr>
            </w:pPr>
            <w:r>
              <w:rPr>
                <w:rFonts w:ascii="Arial" w:cs="Arial" w:eastAsia="Arial" w:hAnsi="Arial"/>
                <w:sz w:val="17"/>
                <w:szCs w:val="17"/>
                <w:color w:val="auto"/>
              </w:rPr>
              <w:t>Income from real estate partnership</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Minority interests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(936)</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(1,053)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(3,317)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(3,257)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88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Income from continuing operations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17,667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16,834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7900" w:type="dxa"/>
            <w:vAlign w:val="bottom"/>
            <w:gridSpan w:val="6"/>
          </w:tcPr>
          <w:p>
            <w:pPr>
              <w:spacing w:after="0"/>
              <w:rPr>
                <w:sz w:val="20"/>
                <w:szCs w:val="20"/>
                <w:color w:val="auto"/>
              </w:rPr>
            </w:pPr>
            <w:r>
              <w:rPr>
                <w:rFonts w:ascii="Arial" w:cs="Arial" w:eastAsia="Arial" w:hAnsi="Arial"/>
                <w:sz w:val="17"/>
                <w:szCs w:val="17"/>
                <w:color w:val="auto"/>
              </w:rPr>
              <w:t>Discontinued operations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80" w:type="dxa"/>
            <w:vAlign w:val="bottom"/>
            <w:gridSpan w:val="5"/>
            <w:shd w:val="clear" w:color="auto" w:fill="CCEEFF"/>
          </w:tcPr>
          <w:p>
            <w:pPr>
              <w:ind w:left="200"/>
              <w:spacing w:after="0"/>
              <w:rPr>
                <w:sz w:val="20"/>
                <w:szCs w:val="20"/>
                <w:color w:val="auto"/>
              </w:rPr>
            </w:pPr>
            <w:r>
              <w:rPr>
                <w:rFonts w:ascii="Arial" w:cs="Arial" w:eastAsia="Arial" w:hAnsi="Arial"/>
                <w:sz w:val="17"/>
                <w:szCs w:val="17"/>
                <w:color w:val="auto"/>
              </w:rPr>
              <w:t>Operating income from discontinued operations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589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80" w:type="dxa"/>
            <w:vAlign w:val="bottom"/>
            <w:gridSpan w:val="5"/>
          </w:tcPr>
          <w:p>
            <w:pPr>
              <w:ind w:left="200"/>
              <w:spacing w:after="0"/>
              <w:rPr>
                <w:sz w:val="20"/>
                <w:szCs w:val="20"/>
                <w:color w:val="auto"/>
              </w:rPr>
            </w:pPr>
            <w:r>
              <w:rPr>
                <w:rFonts w:ascii="Arial" w:cs="Arial" w:eastAsia="Arial" w:hAnsi="Arial"/>
                <w:sz w:val="17"/>
                <w:szCs w:val="17"/>
                <w:color w:val="auto"/>
              </w:rPr>
              <w:t>Gain on sale of real estate</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997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7,172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9,331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7,723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88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Results from operations of discontinued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7,761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880" w:type="dxa"/>
            <w:vAlign w:val="bottom"/>
            <w:gridSpan w:val="5"/>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18,660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w w:val="99"/>
              </w:rPr>
              <w:t>24,595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62,238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59,097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tcPr>
          <w:p>
            <w:pPr>
              <w:ind w:left="200"/>
              <w:spacing w:after="0"/>
              <w:rPr>
                <w:sz w:val="20"/>
                <w:szCs w:val="20"/>
                <w:color w:val="auto"/>
              </w:rPr>
            </w:pPr>
            <w:r>
              <w:rPr>
                <w:rFonts w:ascii="Arial" w:cs="Arial" w:eastAsia="Arial" w:hAnsi="Arial"/>
                <w:sz w:val="17"/>
                <w:szCs w:val="17"/>
                <w:color w:val="auto"/>
              </w:rPr>
              <w:t>Dividends on preferred stock</w:t>
            </w: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(2,869)</w:t>
            </w:r>
          </w:p>
        </w:tc>
        <w:tc>
          <w:tcPr>
            <w:tcW w:w="10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7"/>
                <w:szCs w:val="17"/>
                <w:color w:val="auto"/>
              </w:rPr>
              <w:t>(2,869)</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(8,607)</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w w:val="97"/>
              </w:rPr>
              <w:t>(12,215)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shd w:val="clear" w:color="auto" w:fill="CCEEFF"/>
          </w:tcPr>
          <w:p>
            <w:pPr>
              <w:ind w:left="200"/>
              <w:spacing w:after="0"/>
              <w:rPr>
                <w:sz w:val="20"/>
                <w:szCs w:val="20"/>
                <w:color w:val="auto"/>
              </w:rPr>
            </w:pPr>
            <w:r>
              <w:rPr>
                <w:rFonts w:ascii="Arial" w:cs="Arial" w:eastAsia="Arial" w:hAnsi="Arial"/>
                <w:sz w:val="17"/>
                <w:szCs w:val="17"/>
                <w:color w:val="auto"/>
              </w:rPr>
              <w:t>Preferred stock redemption fee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(3,423)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shd w:val="clear" w:color="auto" w:fill="CCEEFF"/>
          </w:tcPr>
          <w:p>
            <w:pPr>
              <w:ind w:left="840"/>
              <w:spacing w:after="0"/>
              <w:rPr>
                <w:sz w:val="20"/>
                <w:szCs w:val="20"/>
                <w:color w:val="auto"/>
              </w:rPr>
            </w:pPr>
            <w:r>
              <w:rPr>
                <w:rFonts w:ascii="Arial" w:cs="Arial" w:eastAsia="Arial" w:hAnsi="Arial"/>
                <w:sz w:val="17"/>
                <w:szCs w:val="17"/>
                <w:color w:val="auto"/>
              </w:rPr>
              <w:t>Net income available for common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15,791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21,726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1760" w:type="dxa"/>
            <w:vAlign w:val="bottom"/>
            <w:gridSpan w:val="2"/>
          </w:tcPr>
          <w:p>
            <w:pPr>
              <w:spacing w:after="0"/>
              <w:rPr>
                <w:sz w:val="11"/>
                <w:szCs w:val="11"/>
                <w:color w:val="auto"/>
              </w:rPr>
            </w:pPr>
          </w:p>
        </w:tc>
        <w:tc>
          <w:tcPr>
            <w:tcW w:w="15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8"/>
        </w:trPr>
        <w:tc>
          <w:tcPr>
            <w:tcW w:w="7900" w:type="dxa"/>
            <w:vAlign w:val="bottom"/>
            <w:gridSpan w:val="6"/>
          </w:tcPr>
          <w:p>
            <w:pPr>
              <w:spacing w:after="0"/>
              <w:rPr>
                <w:sz w:val="20"/>
                <w:szCs w:val="20"/>
                <w:color w:val="auto"/>
              </w:rPr>
            </w:pPr>
            <w:r>
              <w:rPr>
                <w:rFonts w:ascii="Arial" w:cs="Arial" w:eastAsia="Arial" w:hAnsi="Arial"/>
                <w:sz w:val="17"/>
                <w:szCs w:val="17"/>
                <w:color w:val="auto"/>
              </w:rPr>
              <w:t>FUNDS FROM OPERATIONS AVAILABLE FOR COMMON SHAREHOLDERS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2560" w:type="dxa"/>
            <w:vAlign w:val="bottom"/>
            <w:tcBorders>
              <w:top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shd w:val="clear" w:color="auto" w:fill="CCEEFF"/>
          </w:tcPr>
          <w:p>
            <w:pPr>
              <w:ind w:left="840"/>
              <w:spacing w:after="0"/>
              <w:rPr>
                <w:sz w:val="20"/>
                <w:szCs w:val="20"/>
                <w:color w:val="auto"/>
              </w:rPr>
            </w:pPr>
            <w:r>
              <w:rPr>
                <w:rFonts w:ascii="Arial" w:cs="Arial" w:eastAsia="Arial" w:hAnsi="Arial"/>
                <w:sz w:val="17"/>
                <w:szCs w:val="17"/>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24,595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tcPr>
          <w:p>
            <w:pPr>
              <w:ind w:left="840"/>
              <w:spacing w:after="0"/>
              <w:rPr>
                <w:sz w:val="20"/>
                <w:szCs w:val="20"/>
                <w:color w:val="auto"/>
              </w:rPr>
            </w:pPr>
            <w:r>
              <w:rPr>
                <w:rFonts w:ascii="Arial" w:cs="Arial" w:eastAsia="Arial" w:hAnsi="Arial"/>
                <w:sz w:val="17"/>
                <w:szCs w:val="17"/>
                <w:color w:val="auto"/>
              </w:rPr>
              <w:t>Gain on sale of real estate</w:t>
            </w: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(997)</w:t>
            </w:r>
          </w:p>
        </w:tc>
        <w:tc>
          <w:tcPr>
            <w:tcW w:w="10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7"/>
                <w:szCs w:val="17"/>
                <w:color w:val="auto"/>
              </w:rPr>
              <w:t>(7,172)</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(9,331)</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(7,723)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shd w:val="clear" w:color="auto" w:fill="CCEEFF"/>
          </w:tcPr>
          <w:p>
            <w:pPr>
              <w:ind w:left="840"/>
              <w:spacing w:after="0"/>
              <w:rPr>
                <w:sz w:val="20"/>
                <w:szCs w:val="20"/>
                <w:color w:val="auto"/>
              </w:rPr>
            </w:pPr>
            <w:r>
              <w:rPr>
                <w:rFonts w:ascii="Arial" w:cs="Arial" w:eastAsia="Arial" w:hAnsi="Arial"/>
                <w:sz w:val="17"/>
                <w:szCs w:val="17"/>
                <w:color w:val="auto"/>
              </w:rPr>
              <w:t>Depreciation and amortization of real estate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16,974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61,145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tcPr>
          <w:p>
            <w:pPr>
              <w:ind w:left="840"/>
              <w:spacing w:after="0"/>
              <w:rPr>
                <w:sz w:val="20"/>
                <w:szCs w:val="20"/>
                <w:color w:val="auto"/>
              </w:rPr>
            </w:pPr>
            <w:r>
              <w:rPr>
                <w:rFonts w:ascii="Arial" w:cs="Arial" w:eastAsia="Arial" w:hAnsi="Arial"/>
                <w:sz w:val="17"/>
                <w:szCs w:val="17"/>
                <w:color w:val="auto"/>
              </w:rPr>
              <w:t>Depreciation on JV real estate assets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shd w:val="clear" w:color="auto" w:fill="CCEEFF"/>
          </w:tcPr>
          <w:p>
            <w:pPr>
              <w:ind w:left="840"/>
              <w:spacing w:after="0"/>
              <w:rPr>
                <w:sz w:val="20"/>
                <w:szCs w:val="20"/>
                <w:color w:val="auto"/>
              </w:rPr>
            </w:pPr>
            <w:r>
              <w:rPr>
                <w:rFonts w:ascii="Arial" w:cs="Arial" w:eastAsia="Arial" w:hAnsi="Arial"/>
                <w:sz w:val="17"/>
                <w:szCs w:val="17"/>
                <w:color w:val="auto"/>
              </w:rPr>
              <w:t>Amortization of initial direct costs of leases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1,427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shd w:val="clear" w:color="auto" w:fill="CCEEFF"/>
          </w:tcPr>
          <w:p>
            <w:pPr>
              <w:ind w:left="840"/>
              <w:spacing w:after="0"/>
              <w:rPr>
                <w:sz w:val="20"/>
                <w:szCs w:val="20"/>
                <w:color w:val="auto"/>
              </w:rPr>
            </w:pPr>
            <w:r>
              <w:rPr>
                <w:rFonts w:ascii="Arial" w:cs="Arial" w:eastAsia="Arial" w:hAnsi="Arial"/>
                <w:sz w:val="17"/>
                <w:szCs w:val="17"/>
                <w:color w:val="auto"/>
              </w:rPr>
              <w:t>Funds from operations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40,971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35,824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119,272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104,693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tcPr>
          <w:p>
            <w:pPr>
              <w:ind w:left="840"/>
              <w:spacing w:after="0"/>
              <w:rPr>
                <w:sz w:val="20"/>
                <w:szCs w:val="20"/>
                <w:color w:val="auto"/>
              </w:rPr>
            </w:pPr>
            <w:r>
              <w:rPr>
                <w:rFonts w:ascii="Arial" w:cs="Arial" w:eastAsia="Arial" w:hAnsi="Arial"/>
                <w:sz w:val="17"/>
                <w:szCs w:val="17"/>
                <w:color w:val="auto"/>
              </w:rPr>
              <w:t>Dividends on preferred stock</w:t>
            </w: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(2,869)</w:t>
            </w:r>
          </w:p>
        </w:tc>
        <w:tc>
          <w:tcPr>
            <w:tcW w:w="10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7"/>
                <w:szCs w:val="17"/>
                <w:color w:val="auto"/>
              </w:rPr>
              <w:t>(2,869)</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(8,607)</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w w:val="97"/>
              </w:rPr>
              <w:t>(12,215)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shd w:val="clear" w:color="auto" w:fill="CCEEFF"/>
          </w:tcPr>
          <w:p>
            <w:pPr>
              <w:ind w:left="840"/>
              <w:spacing w:after="0"/>
              <w:rPr>
                <w:sz w:val="20"/>
                <w:szCs w:val="20"/>
                <w:color w:val="auto"/>
              </w:rPr>
            </w:pPr>
            <w:r>
              <w:rPr>
                <w:rFonts w:ascii="Arial" w:cs="Arial" w:eastAsia="Arial" w:hAnsi="Arial"/>
                <w:sz w:val="17"/>
                <w:szCs w:val="17"/>
                <w:color w:val="auto"/>
              </w:rPr>
              <w:t>Income attributable to operating partnership units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80" w:type="dxa"/>
            <w:vAlign w:val="bottom"/>
            <w:gridSpan w:val="5"/>
          </w:tcPr>
          <w:p>
            <w:pPr>
              <w:ind w:left="840"/>
              <w:spacing w:after="0"/>
              <w:rPr>
                <w:sz w:val="20"/>
                <w:szCs w:val="20"/>
                <w:color w:val="auto"/>
              </w:rPr>
            </w:pPr>
            <w:r>
              <w:rPr>
                <w:rFonts w:ascii="Arial" w:cs="Arial" w:eastAsia="Arial" w:hAnsi="Arial"/>
                <w:sz w:val="17"/>
                <w:szCs w:val="17"/>
                <w:color w:val="auto"/>
              </w:rPr>
              <w:t>Preferred stock redemption fee</w:t>
            </w:r>
          </w:p>
        </w:tc>
        <w:tc>
          <w:tcPr>
            <w:tcW w:w="8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(3,423)</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shd w:val="clear" w:color="auto" w:fill="CCEEFF"/>
          </w:tcPr>
          <w:p>
            <w:pPr>
              <w:ind w:left="840"/>
              <w:spacing w:after="0"/>
              <w:rPr>
                <w:sz w:val="20"/>
                <w:szCs w:val="20"/>
                <w:color w:val="auto"/>
              </w:rPr>
            </w:pPr>
            <w:r>
              <w:rPr>
                <w:rFonts w:ascii="Arial" w:cs="Arial" w:eastAsia="Arial" w:hAnsi="Arial"/>
                <w:sz w:val="17"/>
                <w:szCs w:val="17"/>
                <w:color w:val="auto"/>
              </w:rPr>
              <w:t>Funds from operations available for common shareholders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33,330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111,697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89,871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shd w:val="clear" w:color="auto" w:fill="CCEEFF"/>
          </w:tcPr>
          <w:p>
            <w:pPr>
              <w:ind w:left="1280"/>
              <w:spacing w:after="0"/>
              <w:rPr>
                <w:sz w:val="20"/>
                <w:szCs w:val="20"/>
                <w:color w:val="auto"/>
              </w:rPr>
            </w:pPr>
            <w:r>
              <w:rPr>
                <w:rFonts w:ascii="Arial" w:cs="Arial" w:eastAsia="Arial" w:hAnsi="Arial"/>
                <w:sz w:val="17"/>
                <w:szCs w:val="17"/>
                <w:color w:val="auto"/>
              </w:rPr>
              <w:t>Weighted average number of common shares, diluted</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50,216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shd w:val="clear" w:color="auto" w:fill="CCEEFF"/>
          </w:tcPr>
          <w:p>
            <w:pPr>
              <w:ind w:left="840"/>
              <w:spacing w:after="0"/>
              <w:rPr>
                <w:sz w:val="20"/>
                <w:szCs w:val="20"/>
                <w:color w:val="auto"/>
              </w:rPr>
            </w:pPr>
            <w:r>
              <w:rPr>
                <w:rFonts w:ascii="Arial" w:cs="Arial" w:eastAsia="Arial" w:hAnsi="Arial"/>
                <w:sz w:val="17"/>
                <w:szCs w:val="17"/>
                <w:color w:val="auto"/>
              </w:rPr>
              <w:t>Funds from operations per share available for common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0.66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1760" w:type="dxa"/>
            <w:vAlign w:val="bottom"/>
            <w:gridSpan w:val="2"/>
          </w:tcPr>
          <w:p>
            <w:pPr>
              <w:spacing w:after="0"/>
              <w:rPr>
                <w:sz w:val="11"/>
                <w:szCs w:val="11"/>
                <w:color w:val="auto"/>
              </w:rPr>
            </w:pPr>
          </w:p>
        </w:tc>
        <w:tc>
          <w:tcPr>
            <w:tcW w:w="15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8"/>
        </w:trPr>
        <w:tc>
          <w:tcPr>
            <w:tcW w:w="7900" w:type="dxa"/>
            <w:vAlign w:val="bottom"/>
            <w:gridSpan w:val="6"/>
          </w:tcPr>
          <w:p>
            <w:pPr>
              <w:spacing w:after="0"/>
              <w:rPr>
                <w:sz w:val="20"/>
                <w:szCs w:val="20"/>
                <w:color w:val="auto"/>
              </w:rPr>
            </w:pPr>
            <w:r>
              <w:rPr>
                <w:rFonts w:ascii="Arial" w:cs="Arial" w:eastAsia="Arial" w:hAnsi="Arial"/>
                <w:sz w:val="17"/>
                <w:szCs w:val="17"/>
                <w:color w:val="auto"/>
              </w:rPr>
              <w:t>EARNINGS PER COMMON SHARE, BASIC</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Income from continuing operations available for common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80" w:type="dxa"/>
            <w:vAlign w:val="bottom"/>
            <w:gridSpan w:val="5"/>
          </w:tcPr>
          <w:p>
            <w:pPr>
              <w:ind w:left="420"/>
              <w:spacing w:after="0"/>
              <w:rPr>
                <w:sz w:val="20"/>
                <w:szCs w:val="20"/>
                <w:color w:val="auto"/>
              </w:rPr>
            </w:pPr>
            <w:r>
              <w:rPr>
                <w:rFonts w:ascii="Arial" w:cs="Arial" w:eastAsia="Arial" w:hAnsi="Arial"/>
                <w:sz w:val="17"/>
                <w:szCs w:val="17"/>
                <w:color w:val="auto"/>
              </w:rPr>
              <w:t>Income from discontinued operations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0.02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0.16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0.20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shd w:val="clear" w:color="auto" w:fill="CCEEFF"/>
          </w:tcPr>
          <w:p>
            <w:pPr>
              <w:ind w:left="1700"/>
              <w:spacing w:after="0"/>
              <w:rPr>
                <w:sz w:val="20"/>
                <w:szCs w:val="20"/>
                <w:color w:val="auto"/>
              </w:rPr>
            </w:pPr>
            <w:r>
              <w:rPr>
                <w:rFonts w:ascii="Arial" w:cs="Arial" w:eastAsia="Arial" w:hAnsi="Arial"/>
                <w:sz w:val="17"/>
                <w:szCs w:val="17"/>
                <w:color w:val="auto"/>
              </w:rPr>
              <w:t>Net income available for common shareholders, 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80" w:type="dxa"/>
            <w:vAlign w:val="bottom"/>
            <w:gridSpan w:val="5"/>
            <w:shd w:val="clear" w:color="auto" w:fill="CCEEFF"/>
          </w:tcPr>
          <w:p>
            <w:pPr>
              <w:ind w:left="620"/>
              <w:spacing w:after="0"/>
              <w:rPr>
                <w:sz w:val="20"/>
                <w:szCs w:val="20"/>
                <w:color w:val="auto"/>
              </w:rPr>
            </w:pPr>
            <w:r>
              <w:rPr>
                <w:rFonts w:ascii="Arial" w:cs="Arial" w:eastAsia="Arial" w:hAnsi="Arial"/>
                <w:sz w:val="17"/>
                <w:szCs w:val="17"/>
                <w:color w:val="auto"/>
              </w:rPr>
              <w:t>Weighted average number of common shares, basic</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51,640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48,935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5006975</wp:posOffset>
            </wp:positionH>
            <wp:positionV relativeFrom="paragraph">
              <wp:posOffset>-3621405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5057775</wp:posOffset>
            </wp:positionH>
            <wp:positionV relativeFrom="paragraph">
              <wp:posOffset>-3621405</wp:posOffset>
            </wp:positionV>
            <wp:extent cx="2095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5423535</wp:posOffset>
            </wp:positionH>
            <wp:positionV relativeFrom="paragraph">
              <wp:posOffset>-3621405</wp:posOffset>
            </wp:positionV>
            <wp:extent cx="381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5601970</wp:posOffset>
            </wp:positionH>
            <wp:positionV relativeFrom="paragraph">
              <wp:posOffset>-3621405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5652770</wp:posOffset>
            </wp:positionH>
            <wp:positionV relativeFrom="paragraph">
              <wp:posOffset>-3621405</wp:posOffset>
            </wp:positionV>
            <wp:extent cx="2095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-3621405</wp:posOffset>
            </wp:positionV>
            <wp:extent cx="381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-3621405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6230620</wp:posOffset>
            </wp:positionH>
            <wp:positionV relativeFrom="paragraph">
              <wp:posOffset>-3621405</wp:posOffset>
            </wp:positionV>
            <wp:extent cx="2095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-3621405</wp:posOffset>
            </wp:positionV>
            <wp:extent cx="381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6783070</wp:posOffset>
            </wp:positionH>
            <wp:positionV relativeFrom="paragraph">
              <wp:posOffset>-3621405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6833870</wp:posOffset>
            </wp:positionH>
            <wp:positionV relativeFrom="paragraph">
              <wp:posOffset>-3621405</wp:posOffset>
            </wp:positionV>
            <wp:extent cx="2095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7198995</wp:posOffset>
            </wp:positionH>
            <wp:positionV relativeFrom="paragraph">
              <wp:posOffset>-3621405</wp:posOffset>
            </wp:positionV>
            <wp:extent cx="381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-1675130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5057775</wp:posOffset>
            </wp:positionH>
            <wp:positionV relativeFrom="paragraph">
              <wp:posOffset>-1675130</wp:posOffset>
            </wp:positionV>
            <wp:extent cx="2095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5423535</wp:posOffset>
            </wp:positionH>
            <wp:positionV relativeFrom="paragraph">
              <wp:posOffset>-1675130</wp:posOffset>
            </wp:positionV>
            <wp:extent cx="381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5601970</wp:posOffset>
            </wp:positionH>
            <wp:positionV relativeFrom="paragraph">
              <wp:posOffset>-1675130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5652770</wp:posOffset>
            </wp:positionH>
            <wp:positionV relativeFrom="paragraph">
              <wp:posOffset>-1675130</wp:posOffset>
            </wp:positionV>
            <wp:extent cx="2095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-1675130</wp:posOffset>
            </wp:positionV>
            <wp:extent cx="381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-1675130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6230620</wp:posOffset>
            </wp:positionH>
            <wp:positionV relativeFrom="paragraph">
              <wp:posOffset>-1675130</wp:posOffset>
            </wp:positionV>
            <wp:extent cx="2095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-1675130</wp:posOffset>
            </wp:positionV>
            <wp:extent cx="381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6783070</wp:posOffset>
            </wp:positionH>
            <wp:positionV relativeFrom="paragraph">
              <wp:posOffset>-1675130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6833870</wp:posOffset>
            </wp:positionH>
            <wp:positionV relativeFrom="paragraph">
              <wp:posOffset>-1675130</wp:posOffset>
            </wp:positionV>
            <wp:extent cx="2095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7198995</wp:posOffset>
            </wp:positionH>
            <wp:positionV relativeFrom="paragraph">
              <wp:posOffset>-1675130</wp:posOffset>
            </wp:positionV>
            <wp:extent cx="381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-1377950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5057775</wp:posOffset>
            </wp:positionH>
            <wp:positionV relativeFrom="paragraph">
              <wp:posOffset>-1377950</wp:posOffset>
            </wp:positionV>
            <wp:extent cx="2095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5423535</wp:posOffset>
            </wp:positionH>
            <wp:positionV relativeFrom="paragraph">
              <wp:posOffset>-1377950</wp:posOffset>
            </wp:positionV>
            <wp:extent cx="381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5601970</wp:posOffset>
            </wp:positionH>
            <wp:positionV relativeFrom="paragraph">
              <wp:posOffset>-1377950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5652770</wp:posOffset>
            </wp:positionH>
            <wp:positionV relativeFrom="paragraph">
              <wp:posOffset>-1377950</wp:posOffset>
            </wp:positionV>
            <wp:extent cx="2095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-1377950</wp:posOffset>
            </wp:positionV>
            <wp:extent cx="381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-1377950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6230620</wp:posOffset>
            </wp:positionH>
            <wp:positionV relativeFrom="paragraph">
              <wp:posOffset>-1377950</wp:posOffset>
            </wp:positionV>
            <wp:extent cx="2095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-1377950</wp:posOffset>
            </wp:positionV>
            <wp:extent cx="381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6783070</wp:posOffset>
            </wp:positionH>
            <wp:positionV relativeFrom="paragraph">
              <wp:posOffset>-1377950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6833870</wp:posOffset>
            </wp:positionH>
            <wp:positionV relativeFrom="paragraph">
              <wp:posOffset>-1377950</wp:posOffset>
            </wp:positionV>
            <wp:extent cx="2095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7198995</wp:posOffset>
            </wp:positionH>
            <wp:positionV relativeFrom="paragraph">
              <wp:posOffset>-1377950</wp:posOffset>
            </wp:positionV>
            <wp:extent cx="381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-1080770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5057775</wp:posOffset>
            </wp:positionH>
            <wp:positionV relativeFrom="paragraph">
              <wp:posOffset>-1080770</wp:posOffset>
            </wp:positionV>
            <wp:extent cx="2095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5423535</wp:posOffset>
            </wp:positionH>
            <wp:positionV relativeFrom="paragraph">
              <wp:posOffset>-1080770</wp:posOffset>
            </wp:positionV>
            <wp:extent cx="381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5601970</wp:posOffset>
            </wp:positionH>
            <wp:positionV relativeFrom="paragraph">
              <wp:posOffset>-1080770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5652770</wp:posOffset>
            </wp:positionH>
            <wp:positionV relativeFrom="paragraph">
              <wp:posOffset>-1080770</wp:posOffset>
            </wp:positionV>
            <wp:extent cx="2095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-1080770</wp:posOffset>
            </wp:positionV>
            <wp:extent cx="381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-1080770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6230620</wp:posOffset>
            </wp:positionH>
            <wp:positionV relativeFrom="paragraph">
              <wp:posOffset>-1080770</wp:posOffset>
            </wp:positionV>
            <wp:extent cx="2095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-1080770</wp:posOffset>
            </wp:positionV>
            <wp:extent cx="381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6783070</wp:posOffset>
            </wp:positionH>
            <wp:positionV relativeFrom="paragraph">
              <wp:posOffset>-1080770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6833870</wp:posOffset>
            </wp:positionH>
            <wp:positionV relativeFrom="paragraph">
              <wp:posOffset>-1080770</wp:posOffset>
            </wp:positionV>
            <wp:extent cx="2095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7198995</wp:posOffset>
            </wp:positionH>
            <wp:positionV relativeFrom="paragraph">
              <wp:posOffset>-1080770</wp:posOffset>
            </wp:positionV>
            <wp:extent cx="381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-231140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5057775</wp:posOffset>
            </wp:positionH>
            <wp:positionV relativeFrom="paragraph">
              <wp:posOffset>-231140</wp:posOffset>
            </wp:positionV>
            <wp:extent cx="2095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5423535</wp:posOffset>
            </wp:positionH>
            <wp:positionV relativeFrom="paragraph">
              <wp:posOffset>-231140</wp:posOffset>
            </wp:positionV>
            <wp:extent cx="381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5601970</wp:posOffset>
            </wp:positionH>
            <wp:positionV relativeFrom="paragraph">
              <wp:posOffset>-231140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5652770</wp:posOffset>
            </wp:positionH>
            <wp:positionV relativeFrom="paragraph">
              <wp:posOffset>-231140</wp:posOffset>
            </wp:positionV>
            <wp:extent cx="2095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-231140</wp:posOffset>
            </wp:positionV>
            <wp:extent cx="381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-231140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6230620</wp:posOffset>
            </wp:positionH>
            <wp:positionV relativeFrom="paragraph">
              <wp:posOffset>-231140</wp:posOffset>
            </wp:positionV>
            <wp:extent cx="2095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-231140</wp:posOffset>
            </wp:positionV>
            <wp:extent cx="381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6783070</wp:posOffset>
            </wp:positionH>
            <wp:positionV relativeFrom="paragraph">
              <wp:posOffset>-231140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6833870</wp:posOffset>
            </wp:positionH>
            <wp:positionV relativeFrom="paragraph">
              <wp:posOffset>-231140</wp:posOffset>
            </wp:positionV>
            <wp:extent cx="2095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7198995</wp:posOffset>
            </wp:positionH>
            <wp:positionV relativeFrom="paragraph">
              <wp:posOffset>-231140</wp:posOffset>
            </wp:positionV>
            <wp:extent cx="381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100" cy="29845"/>
                    </a:xfrm>
                    <a:prstGeom prst="rect">
                      <a:avLst/>
                    </a:prstGeom>
                    <a:noFill/>
                  </pic:spPr>
                </pic:pic>
              </a:graphicData>
            </a:graphic>
          </wp:anchor>
        </w:drawing>
      </w:r>
    </w:p>
    <w:p>
      <w:pPr>
        <w:sectPr>
          <w:pgSz w:w="11900" w:h="16839" w:orient="portrait"/>
          <w:cols w:equalWidth="0" w:num="1">
            <w:col w:w="11420"/>
          </w:cols>
          <w:pgMar w:left="240" w:top="456" w:right="239"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5"/>
        </w:trPr>
        <w:tc>
          <w:tcPr>
            <w:tcW w:w="7880" w:type="dxa"/>
            <w:vAlign w:val="bottom"/>
            <w:gridSpan w:val="2"/>
          </w:tcPr>
          <w:p>
            <w:pPr>
              <w:spacing w:after="0"/>
              <w:rPr>
                <w:sz w:val="20"/>
                <w:szCs w:val="20"/>
                <w:color w:val="auto"/>
              </w:rPr>
            </w:pPr>
            <w:r>
              <w:rPr>
                <w:rFonts w:ascii="Arial" w:cs="Arial" w:eastAsia="Arial" w:hAnsi="Arial"/>
                <w:sz w:val="17"/>
                <w:szCs w:val="17"/>
                <w:color w:val="auto"/>
              </w:rPr>
              <w:t>EARNINGS PER COMMON SHARE, DILUTED</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3540" w:type="dxa"/>
            <w:vAlign w:val="bottom"/>
            <w:tcBorders>
              <w:top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4"/>
        </w:trPr>
        <w:tc>
          <w:tcPr>
            <w:tcW w:w="78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Income from continuing operations available for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0.29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0.72</w:t>
            </w:r>
          </w:p>
        </w:tc>
        <w:tc>
          <w:tcPr>
            <w:tcW w:w="60" w:type="dxa"/>
            <w:vAlign w:val="bottom"/>
            <w:shd w:val="clear" w:color="auto" w:fill="CCEEFF"/>
          </w:tcPr>
          <w:p>
            <w:pPr>
              <w:spacing w:after="0"/>
              <w:rPr>
                <w:sz w:val="18"/>
                <w:szCs w:val="18"/>
                <w:color w:val="auto"/>
              </w:rPr>
            </w:pPr>
          </w:p>
        </w:tc>
      </w:tr>
      <w:tr>
        <w:trPr>
          <w:trHeight w:val="221"/>
        </w:trPr>
        <w:tc>
          <w:tcPr>
            <w:tcW w:w="7880" w:type="dxa"/>
            <w:vAlign w:val="bottom"/>
            <w:gridSpan w:val="2"/>
          </w:tcPr>
          <w:p>
            <w:pPr>
              <w:ind w:left="440"/>
              <w:spacing w:after="0"/>
              <w:rPr>
                <w:sz w:val="20"/>
                <w:szCs w:val="20"/>
                <w:color w:val="auto"/>
              </w:rPr>
            </w:pPr>
            <w:r>
              <w:rPr>
                <w:rFonts w:ascii="Arial" w:cs="Arial" w:eastAsia="Arial" w:hAnsi="Arial"/>
                <w:sz w:val="17"/>
                <w:szCs w:val="17"/>
                <w:color w:val="auto"/>
              </w:rPr>
              <w:t>Income from discontinued operations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0.02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0.15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0.19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0.20</w:t>
            </w:r>
          </w:p>
        </w:tc>
        <w:tc>
          <w:tcPr>
            <w:tcW w:w="60" w:type="dxa"/>
            <w:vAlign w:val="bottom"/>
          </w:tcPr>
          <w:p>
            <w:pPr>
              <w:spacing w:after="0"/>
              <w:rPr>
                <w:sz w:val="19"/>
                <w:szCs w:val="19"/>
                <w:color w:val="auto"/>
              </w:rPr>
            </w:pPr>
          </w:p>
        </w:tc>
      </w:tr>
      <w:tr>
        <w:trPr>
          <w:trHeight w:val="100"/>
        </w:trPr>
        <w:tc>
          <w:tcPr>
            <w:tcW w:w="354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0"/>
        </w:trPr>
        <w:tc>
          <w:tcPr>
            <w:tcW w:w="354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4"/>
        </w:trPr>
        <w:tc>
          <w:tcPr>
            <w:tcW w:w="7880" w:type="dxa"/>
            <w:vAlign w:val="bottom"/>
            <w:gridSpan w:val="2"/>
            <w:shd w:val="clear" w:color="auto" w:fill="CCEEFF"/>
          </w:tcPr>
          <w:p>
            <w:pPr>
              <w:ind w:left="1720"/>
              <w:spacing w:after="0"/>
              <w:rPr>
                <w:sz w:val="20"/>
                <w:szCs w:val="20"/>
                <w:color w:val="auto"/>
              </w:rPr>
            </w:pPr>
            <w:r>
              <w:rPr>
                <w:rFonts w:ascii="Arial" w:cs="Arial" w:eastAsia="Arial" w:hAnsi="Arial"/>
                <w:sz w:val="17"/>
                <w:szCs w:val="17"/>
                <w:color w:val="auto"/>
              </w:rPr>
              <w:t>Net income available for common shareholders,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0.44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0.92</w:t>
            </w:r>
          </w:p>
        </w:tc>
        <w:tc>
          <w:tcPr>
            <w:tcW w:w="60" w:type="dxa"/>
            <w:vAlign w:val="bottom"/>
            <w:shd w:val="clear" w:color="auto" w:fill="CCEEFF"/>
          </w:tcPr>
          <w:p>
            <w:pPr>
              <w:spacing w:after="0"/>
              <w:rPr>
                <w:sz w:val="18"/>
                <w:szCs w:val="18"/>
                <w:color w:val="auto"/>
              </w:rPr>
            </w:pPr>
          </w:p>
        </w:tc>
      </w:tr>
      <w:tr>
        <w:trPr>
          <w:trHeight w:val="130"/>
        </w:trPr>
        <w:tc>
          <w:tcPr>
            <w:tcW w:w="354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04"/>
        </w:trPr>
        <w:tc>
          <w:tcPr>
            <w:tcW w:w="3540" w:type="dxa"/>
            <w:vAlign w:val="bottom"/>
          </w:tcPr>
          <w:p>
            <w:pPr>
              <w:spacing w:after="0"/>
              <w:rPr>
                <w:sz w:val="9"/>
                <w:szCs w:val="9"/>
                <w:color w:val="auto"/>
              </w:rPr>
            </w:pPr>
          </w:p>
        </w:tc>
        <w:tc>
          <w:tcPr>
            <w:tcW w:w="4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4"/>
        </w:trPr>
        <w:tc>
          <w:tcPr>
            <w:tcW w:w="788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Weighted average number of common shares, 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50,216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51,273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48,004</w:t>
            </w:r>
          </w:p>
        </w:tc>
        <w:tc>
          <w:tcPr>
            <w:tcW w:w="60" w:type="dxa"/>
            <w:vAlign w:val="bottom"/>
            <w:shd w:val="clear" w:color="auto" w:fill="CCEEFF"/>
          </w:tcPr>
          <w:p>
            <w:pPr>
              <w:spacing w:after="0"/>
              <w:rPr>
                <w:sz w:val="18"/>
                <w:szCs w:val="18"/>
                <w:color w:val="auto"/>
              </w:rPr>
            </w:pPr>
          </w:p>
        </w:tc>
      </w:tr>
      <w:tr>
        <w:trPr>
          <w:trHeight w:val="130"/>
        </w:trPr>
        <w:tc>
          <w:tcPr>
            <w:tcW w:w="354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5159375</wp:posOffset>
            </wp:positionH>
            <wp:positionV relativeFrom="page">
              <wp:posOffset>88900</wp:posOffset>
            </wp:positionV>
            <wp:extent cx="2230120" cy="27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230120" cy="2730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-326390</wp:posOffset>
            </wp:positionV>
            <wp:extent cx="223012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230120" cy="2984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5057775</wp:posOffset>
            </wp:positionH>
            <wp:positionV relativeFrom="paragraph">
              <wp:posOffset>-29210</wp:posOffset>
            </wp:positionV>
            <wp:extent cx="2095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5423535</wp:posOffset>
            </wp:positionH>
            <wp:positionV relativeFrom="paragraph">
              <wp:posOffset>-29210</wp:posOffset>
            </wp:positionV>
            <wp:extent cx="381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5601970</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5652770</wp:posOffset>
            </wp:positionH>
            <wp:positionV relativeFrom="paragraph">
              <wp:posOffset>-29210</wp:posOffset>
            </wp:positionV>
            <wp:extent cx="2095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-29210</wp:posOffset>
            </wp:positionV>
            <wp:extent cx="381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6230620</wp:posOffset>
            </wp:positionH>
            <wp:positionV relativeFrom="paragraph">
              <wp:posOffset>-29210</wp:posOffset>
            </wp:positionV>
            <wp:extent cx="2095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-29210</wp:posOffset>
            </wp:positionV>
            <wp:extent cx="381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6783070</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6833870</wp:posOffset>
            </wp:positionH>
            <wp:positionV relativeFrom="paragraph">
              <wp:posOffset>-29210</wp:posOffset>
            </wp:positionV>
            <wp:extent cx="2095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7198995</wp:posOffset>
            </wp:positionH>
            <wp:positionV relativeFrom="paragraph">
              <wp:posOffset>-29210</wp:posOffset>
            </wp:positionV>
            <wp:extent cx="381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100" cy="29845"/>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Balance Sheet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Financial Highlights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per share data)</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CONSOLIDATED BALANCE SHEETS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32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Arial" w:cs="Arial" w:eastAsia="Arial" w:hAnsi="Arial"/>
                <w:sz w:val="13"/>
                <w:szCs w:val="13"/>
                <w:b w:val="1"/>
                <w:bCs w:val="1"/>
                <w:color w:val="auto"/>
              </w:rPr>
              <w:t>September 30,</w:t>
            </w: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3"/>
                <w:szCs w:val="13"/>
                <w:b w:val="1"/>
                <w:bCs w:val="1"/>
                <w:color w:val="auto"/>
              </w:rPr>
              <w:t>2004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Arial" w:cs="Arial" w:eastAsia="Arial" w:hAnsi="Arial"/>
                <w:sz w:val="13"/>
                <w:szCs w:val="13"/>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9320" w:type="dxa"/>
            <w:vAlign w:val="bottom"/>
          </w:tcPr>
          <w:p>
            <w:pPr>
              <w:spacing w:after="0"/>
              <w:rPr>
                <w:sz w:val="21"/>
                <w:szCs w:val="21"/>
                <w:color w:val="auto"/>
              </w:rPr>
            </w:pPr>
          </w:p>
        </w:tc>
        <w:tc>
          <w:tcPr>
            <w:tcW w:w="1220" w:type="dxa"/>
            <w:vAlign w:val="bottom"/>
            <w:gridSpan w:val="3"/>
          </w:tcPr>
          <w:p>
            <w:pPr>
              <w:ind w:left="80"/>
              <w:spacing w:after="0"/>
              <w:rPr>
                <w:sz w:val="20"/>
                <w:szCs w:val="20"/>
                <w:color w:val="auto"/>
              </w:rPr>
            </w:pPr>
            <w:r>
              <w:rPr>
                <w:rFonts w:ascii="Arial" w:cs="Arial" w:eastAsia="Arial" w:hAnsi="Arial"/>
                <w:sz w:val="13"/>
                <w:szCs w:val="13"/>
                <w:b w:val="1"/>
                <w:bCs w:val="1"/>
                <w:color w:val="auto"/>
              </w:rPr>
              <w:t>(unaudited)</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9340" w:type="dxa"/>
            <w:vAlign w:val="bottom"/>
            <w:gridSpan w:val="2"/>
          </w:tcPr>
          <w:p>
            <w:pPr>
              <w:spacing w:after="0"/>
              <w:rPr>
                <w:sz w:val="20"/>
                <w:szCs w:val="20"/>
                <w:color w:val="auto"/>
              </w:rPr>
            </w:pPr>
            <w:r>
              <w:rPr>
                <w:rFonts w:ascii="Arial" w:cs="Arial" w:eastAsia="Arial" w:hAnsi="Arial"/>
                <w:sz w:val="17"/>
                <w:szCs w:val="17"/>
                <w:color w:val="auto"/>
              </w:rPr>
              <w:t>Real estate, at cost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2,659,903</w:t>
            </w:r>
          </w:p>
        </w:tc>
        <w:tc>
          <w:tcPr>
            <w:tcW w:w="40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2,470,149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(573,246)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(514,177)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9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7"/>
                <w:szCs w:val="17"/>
                <w:color w:val="auto"/>
              </w:rPr>
              <w:t>Net real estate investments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2,086,657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1,955,972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934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23,437</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34,968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7"/>
                <w:szCs w:val="17"/>
                <w:color w:val="auto"/>
              </w:rPr>
              <w:t>Mortgage notes receivable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45,079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7"/>
                <w:szCs w:val="17"/>
                <w:color w:val="auto"/>
              </w:rPr>
              <w:t>Accounts and notes receivable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34,748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31,207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7"/>
                <w:szCs w:val="17"/>
                <w:color w:val="auto"/>
              </w:rPr>
              <w:t>Investment in real estate partnership</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14,078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2,281,020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2,143,435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9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9340" w:type="dxa"/>
            <w:vAlign w:val="bottom"/>
            <w:gridSpan w:val="2"/>
          </w:tcPr>
          <w:p>
            <w:pPr>
              <w:spacing w:after="0"/>
              <w:rPr>
                <w:sz w:val="20"/>
                <w:szCs w:val="20"/>
                <w:color w:val="auto"/>
              </w:rPr>
            </w:pPr>
            <w:r>
              <w:rPr>
                <w:rFonts w:ascii="Arial" w:cs="Arial" w:eastAsia="Arial" w:hAnsi="Arial"/>
                <w:sz w:val="17"/>
                <w:szCs w:val="17"/>
                <w:color w:val="auto"/>
              </w:rPr>
              <w:t>Liabilities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3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Obligations under capital leases and mortgage loans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411,831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414,357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320" w:type="dxa"/>
            <w:vAlign w:val="bottom"/>
          </w:tcPr>
          <w:p>
            <w:pPr>
              <w:ind w:left="840"/>
              <w:spacing w:after="0"/>
              <w:rPr>
                <w:sz w:val="20"/>
                <w:szCs w:val="20"/>
                <w:color w:val="auto"/>
              </w:rPr>
            </w:pPr>
            <w:r>
              <w:rPr>
                <w:rFonts w:ascii="Arial" w:cs="Arial" w:eastAsia="Arial" w:hAnsi="Arial"/>
                <w:sz w:val="17"/>
                <w:szCs w:val="17"/>
                <w:color w:val="auto"/>
              </w:rPr>
              <w:t>Notes payable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320,090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361,323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3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Senior notes and debentures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567,980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20" w:type="dxa"/>
            <w:vAlign w:val="bottom"/>
          </w:tcPr>
          <w:p>
            <w:pPr>
              <w:ind w:left="840"/>
              <w:spacing w:after="0"/>
              <w:rPr>
                <w:sz w:val="20"/>
                <w:szCs w:val="20"/>
                <w:color w:val="auto"/>
              </w:rPr>
            </w:pPr>
            <w:r>
              <w:rPr>
                <w:rFonts w:ascii="Arial" w:cs="Arial" w:eastAsia="Arial" w:hAnsi="Arial"/>
                <w:sz w:val="17"/>
                <w:szCs w:val="17"/>
                <w:color w:val="auto"/>
              </w:rPr>
              <w:t>Other liabilities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156,106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111,799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1,456,007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1,422,479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9340" w:type="dxa"/>
            <w:vAlign w:val="bottom"/>
            <w:gridSpan w:val="2"/>
          </w:tcPr>
          <w:p>
            <w:pPr>
              <w:spacing w:after="0"/>
              <w:rPr>
                <w:sz w:val="20"/>
                <w:szCs w:val="20"/>
                <w:color w:val="auto"/>
              </w:rPr>
            </w:pPr>
            <w:r>
              <w:rPr>
                <w:rFonts w:ascii="Arial" w:cs="Arial" w:eastAsia="Arial" w:hAnsi="Arial"/>
                <w:sz w:val="17"/>
                <w:szCs w:val="17"/>
                <w:color w:val="auto"/>
              </w:rPr>
              <w:t>Minority interests</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35,250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29,582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9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7"/>
                <w:szCs w:val="17"/>
                <w:color w:val="auto"/>
              </w:rPr>
              <w:t>Shareholders’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320" w:type="dxa"/>
            <w:vAlign w:val="bottom"/>
          </w:tcPr>
          <w:p>
            <w:pPr>
              <w:ind w:left="840"/>
              <w:spacing w:after="0"/>
              <w:rPr>
                <w:sz w:val="20"/>
                <w:szCs w:val="20"/>
                <w:color w:val="auto"/>
              </w:rPr>
            </w:pPr>
            <w:r>
              <w:rPr>
                <w:rFonts w:ascii="Arial" w:cs="Arial" w:eastAsia="Arial" w:hAnsi="Arial"/>
                <w:sz w:val="17"/>
                <w:szCs w:val="17"/>
                <w:color w:val="auto"/>
              </w:rPr>
              <w:t>Preferred stock</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135,000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3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Common shares and other shareholders’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654,763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9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7"/>
                <w:szCs w:val="17"/>
                <w:color w:val="auto"/>
              </w:rPr>
              <w:t>Total shareholders’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789,763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9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 AND SHAREHOLDERS’ EQUITY</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2,281,020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2,143,435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5933440</wp:posOffset>
            </wp:positionH>
            <wp:positionV relativeFrom="paragraph">
              <wp:posOffset>-2595245</wp:posOffset>
            </wp:positionV>
            <wp:extent cx="54800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48005" cy="29845"/>
                    </a:xfrm>
                    <a:prstGeom prst="rect">
                      <a:avLst/>
                    </a:prstGeom>
                    <a:noFill/>
                  </pic:spPr>
                </pic:pic>
              </a:graphicData>
            </a:graphic>
          </wp:anchor>
        </w:drawing>
        <w:drawing>
          <wp:anchor simplePos="0" relativeHeight="251657728" behindDoc="1" locked="0" layoutInCell="0" allowOverlap="1">
            <wp:simplePos x="0" y="0"/>
            <wp:positionH relativeFrom="column">
              <wp:posOffset>6706235</wp:posOffset>
            </wp:positionH>
            <wp:positionV relativeFrom="paragraph">
              <wp:posOffset>-2595245</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6757670</wp:posOffset>
            </wp:positionH>
            <wp:positionV relativeFrom="paragraph">
              <wp:posOffset>-2595245</wp:posOffset>
            </wp:positionV>
            <wp:extent cx="2095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7198995</wp:posOffset>
            </wp:positionH>
            <wp:positionV relativeFrom="paragraph">
              <wp:posOffset>-2595245</wp:posOffset>
            </wp:positionV>
            <wp:extent cx="381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5933440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-29210</wp:posOffset>
            </wp:positionV>
            <wp:extent cx="2095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-29210</wp:posOffset>
            </wp:positionV>
            <wp:extent cx="381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6706235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6757670</wp:posOffset>
            </wp:positionH>
            <wp:positionV relativeFrom="paragraph">
              <wp:posOffset>-29210</wp:posOffset>
            </wp:positionV>
            <wp:extent cx="2095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7198995</wp:posOffset>
            </wp:positionH>
            <wp:positionV relativeFrom="paragraph">
              <wp:posOffset>-29210</wp:posOffset>
            </wp:positionV>
            <wp:extent cx="381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100" cy="29845"/>
                    </a:xfrm>
                    <a:prstGeom prst="rect">
                      <a:avLst/>
                    </a:prstGeom>
                    <a:noFill/>
                  </pic:spPr>
                </pic:pic>
              </a:graphicData>
            </a:graphic>
          </wp:anchor>
        </w:drawing>
      </w:r>
    </w:p>
    <w:p>
      <w:pPr>
        <w:sectPr>
          <w:pgSz w:w="11900" w:h="16838" w:orient="portrait"/>
          <w:cols w:equalWidth="0" w:num="1">
            <w:col w:w="11420"/>
          </w:cols>
          <w:pgMar w:left="240" w:top="456"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Funds From Operations / Summary of Capital Expenditures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5" w:lineRule="exact"/>
        <w:rPr>
          <w:sz w:val="20"/>
          <w:szCs w:val="20"/>
          <w:color w:val="auto"/>
        </w:rPr>
      </w:pPr>
    </w:p>
    <w:p>
      <w:pPr>
        <w:ind w:left="9240"/>
        <w:spacing w:after="0"/>
        <w:rPr>
          <w:sz w:val="20"/>
          <w:szCs w:val="20"/>
          <w:color w:val="auto"/>
        </w:rPr>
      </w:pPr>
      <w:r>
        <w:rPr>
          <w:rFonts w:ascii="Arial" w:cs="Arial" w:eastAsia="Arial" w:hAnsi="Arial"/>
          <w:sz w:val="12"/>
          <w:szCs w:val="12"/>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5349240</wp:posOffset>
            </wp:positionH>
            <wp:positionV relativeFrom="paragraph">
              <wp:posOffset>81915</wp:posOffset>
            </wp:positionV>
            <wp:extent cx="180975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09750" cy="8255"/>
                    </a:xfrm>
                    <a:prstGeom prst="rect">
                      <a:avLst/>
                    </a:prstGeom>
                    <a:noFill/>
                  </pic:spPr>
                </pic:pic>
              </a:graphicData>
            </a:graphic>
          </wp:anchor>
        </w:drawing>
      </w:r>
    </w:p>
    <w:p>
      <w:pPr>
        <w:sectPr>
          <w:pgSz w:w="11900" w:h="16838" w:orient="portrait"/>
          <w:cols w:equalWidth="0" w:num="1">
            <w:col w:w="11420"/>
          </w:cols>
          <w:pgMar w:left="240" w:top="456" w:right="239" w:bottom="1440" w:gutter="0" w:footer="0" w:header="0"/>
        </w:sectPr>
      </w:pPr>
    </w:p>
    <w:p>
      <w:pPr>
        <w:spacing w:after="0" w:line="237" w:lineRule="exact"/>
        <w:rPr>
          <w:sz w:val="20"/>
          <w:szCs w:val="20"/>
          <w:color w:val="auto"/>
        </w:rPr>
      </w:pPr>
    </w:p>
    <w:p>
      <w:pPr>
        <w:jc w:val="center"/>
        <w:ind w:left="8120"/>
        <w:spacing w:after="0"/>
        <w:rPr>
          <w:sz w:val="20"/>
          <w:szCs w:val="20"/>
          <w:color w:val="auto"/>
        </w:rPr>
      </w:pPr>
      <w:r>
        <w:rPr>
          <w:rFonts w:ascii="Arial" w:cs="Arial" w:eastAsia="Arial" w:hAnsi="Arial"/>
          <w:sz w:val="11"/>
          <w:szCs w:val="11"/>
          <w:b w:val="1"/>
          <w:bCs w:val="1"/>
          <w:color w:val="auto"/>
        </w:rPr>
        <w:t>September 30,</w:t>
      </w:r>
    </w:p>
    <w:p>
      <w:pPr>
        <w:spacing w:after="0" w:line="35" w:lineRule="exact"/>
        <w:rPr>
          <w:sz w:val="20"/>
          <w:szCs w:val="20"/>
          <w:color w:val="auto"/>
        </w:rPr>
      </w:pPr>
    </w:p>
    <w:p>
      <w:pPr>
        <w:jc w:val="center"/>
        <w:ind w:left="8120"/>
        <w:spacing w:after="0"/>
        <w:rPr>
          <w:sz w:val="20"/>
          <w:szCs w:val="20"/>
          <w:color w:val="auto"/>
        </w:rPr>
      </w:pPr>
      <w:r>
        <w:rPr>
          <w:rFonts w:ascii="Arial" w:cs="Arial" w:eastAsia="Arial" w:hAnsi="Arial"/>
          <w:sz w:val="13"/>
          <w:szCs w:val="13"/>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5349240</wp:posOffset>
            </wp:positionH>
            <wp:positionV relativeFrom="paragraph">
              <wp:posOffset>66040</wp:posOffset>
            </wp:positionV>
            <wp:extent cx="5949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49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220"/>
        <w:spacing w:after="0"/>
        <w:rPr>
          <w:sz w:val="20"/>
          <w:szCs w:val="20"/>
          <w:color w:val="auto"/>
        </w:rPr>
      </w:pPr>
      <w:r>
        <w:rPr>
          <w:rFonts w:ascii="Arial" w:cs="Arial" w:eastAsia="Arial" w:hAnsi="Arial"/>
          <w:sz w:val="11"/>
          <w:szCs w:val="11"/>
          <w:b w:val="1"/>
          <w:bCs w:val="1"/>
          <w:color w:val="auto"/>
        </w:rPr>
        <w:t>September 30,</w:t>
      </w:r>
    </w:p>
    <w:p>
      <w:pPr>
        <w:spacing w:after="0" w:line="35" w:lineRule="exact"/>
        <w:rPr>
          <w:sz w:val="20"/>
          <w:szCs w:val="20"/>
          <w:color w:val="auto"/>
        </w:rPr>
      </w:pPr>
    </w:p>
    <w:p>
      <w:pPr>
        <w:jc w:val="center"/>
        <w:ind w:right="220"/>
        <w:spacing w:after="0"/>
        <w:rPr>
          <w:sz w:val="20"/>
          <w:szCs w:val="20"/>
          <w:color w:val="auto"/>
        </w:rPr>
      </w:pPr>
      <w:r>
        <w:rPr>
          <w:rFonts w:ascii="Arial" w:cs="Arial" w:eastAsia="Arial" w:hAnsi="Arial"/>
          <w:sz w:val="13"/>
          <w:szCs w:val="13"/>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66040</wp:posOffset>
            </wp:positionV>
            <wp:extent cx="6115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115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660" w:space="720"/>
            <w:col w:w="1040"/>
          </w:cols>
          <w:pgMar w:left="240" w:top="456" w:right="239" w:bottom="1440" w:gutter="0" w:footer="0" w:header="0"/>
          <w:type w:val="continuous"/>
        </w:sectPr>
      </w:pPr>
    </w:p>
    <w:p>
      <w:pPr>
        <w:spacing w:after="0" w:line="11" w:lineRule="exact"/>
        <w:rPr>
          <w:sz w:val="20"/>
          <w:szCs w:val="20"/>
          <w:color w:val="auto"/>
        </w:rPr>
      </w:pPr>
    </w:p>
    <w:p>
      <w:pPr>
        <w:ind w:left="8800"/>
        <w:spacing w:after="0"/>
        <w:rPr>
          <w:sz w:val="20"/>
          <w:szCs w:val="20"/>
          <w:color w:val="auto"/>
        </w:rPr>
      </w:pPr>
      <w:r>
        <w:rPr>
          <w:rFonts w:ascii="Arial" w:cs="Arial" w:eastAsia="Arial" w:hAnsi="Arial"/>
          <w:sz w:val="13"/>
          <w:szCs w:val="13"/>
          <w:b w:val="1"/>
          <w:bCs w:val="1"/>
          <w:color w:val="auto"/>
        </w:rPr>
        <w:t>(in thousands, except per share data)</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Funds from Operations available for common shareholders (FFO) (1)</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18,660</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24,595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gridSpan w:val="3"/>
          </w:tcPr>
          <w:p>
            <w:pPr>
              <w:ind w:left="420"/>
              <w:spacing w:after="0"/>
              <w:rPr>
                <w:sz w:val="20"/>
                <w:szCs w:val="20"/>
                <w:color w:val="auto"/>
              </w:rPr>
            </w:pPr>
            <w:r>
              <w:rPr>
                <w:rFonts w:ascii="Arial" w:cs="Arial" w:eastAsia="Arial" w:hAnsi="Arial"/>
                <w:sz w:val="17"/>
                <w:szCs w:val="17"/>
                <w:color w:val="auto"/>
              </w:rPr>
              <w:t>(Gain) on sale of real estate</w:t>
            </w:r>
          </w:p>
        </w:tc>
        <w:tc>
          <w:tcPr>
            <w:tcW w:w="140" w:type="dxa"/>
            <w:vAlign w:val="bottom"/>
          </w:tcPr>
          <w:p>
            <w:pPr>
              <w:spacing w:after="0"/>
              <w:rPr>
                <w:sz w:val="18"/>
                <w:szCs w:val="18"/>
                <w:color w:val="auto"/>
              </w:rPr>
            </w:pPr>
          </w:p>
        </w:tc>
        <w:tc>
          <w:tcPr>
            <w:tcW w:w="1740" w:type="dxa"/>
            <w:vAlign w:val="bottom"/>
            <w:gridSpan w:val="2"/>
          </w:tcPr>
          <w:p>
            <w:pPr>
              <w:jc w:val="right"/>
              <w:ind w:right="880"/>
              <w:spacing w:after="0"/>
              <w:rPr>
                <w:sz w:val="20"/>
                <w:szCs w:val="20"/>
                <w:color w:val="auto"/>
              </w:rPr>
            </w:pPr>
            <w:r>
              <w:rPr>
                <w:rFonts w:ascii="Arial" w:cs="Arial" w:eastAsia="Arial" w:hAnsi="Arial"/>
                <w:sz w:val="17"/>
                <w:szCs w:val="17"/>
                <w:color w:val="auto"/>
              </w:rPr>
              <w:t>(997)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(7,172)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Depreciation and amortization of real estate assets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21,376</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gridSpan w:val="3"/>
          </w:tcPr>
          <w:p>
            <w:pPr>
              <w:ind w:left="420"/>
              <w:spacing w:after="0"/>
              <w:rPr>
                <w:sz w:val="20"/>
                <w:szCs w:val="20"/>
                <w:color w:val="auto"/>
              </w:rPr>
            </w:pPr>
            <w:r>
              <w:rPr>
                <w:rFonts w:ascii="Arial" w:cs="Arial" w:eastAsia="Arial" w:hAnsi="Arial"/>
                <w:sz w:val="17"/>
                <w:szCs w:val="17"/>
                <w:color w:val="auto"/>
              </w:rPr>
              <w:t>Depreciation of joint venture real estate assets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50</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Amortization of initial direct costs of leases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1,882</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Funds from Operations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40,971</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gridSpan w:val="3"/>
          </w:tcPr>
          <w:p>
            <w:pPr>
              <w:ind w:left="420"/>
              <w:spacing w:after="0"/>
              <w:rPr>
                <w:sz w:val="20"/>
                <w:szCs w:val="20"/>
                <w:color w:val="auto"/>
              </w:rPr>
            </w:pPr>
            <w:r>
              <w:rPr>
                <w:rFonts w:ascii="Arial" w:cs="Arial" w:eastAsia="Arial" w:hAnsi="Arial"/>
                <w:sz w:val="17"/>
                <w:szCs w:val="17"/>
                <w:color w:val="auto"/>
              </w:rPr>
              <w:t>Dividends on preferred stock</w:t>
            </w:r>
          </w:p>
        </w:tc>
        <w:tc>
          <w:tcPr>
            <w:tcW w:w="140" w:type="dxa"/>
            <w:vAlign w:val="bottom"/>
          </w:tcPr>
          <w:p>
            <w:pPr>
              <w:spacing w:after="0"/>
              <w:rPr>
                <w:sz w:val="18"/>
                <w:szCs w:val="18"/>
                <w:color w:val="auto"/>
              </w:rPr>
            </w:pPr>
          </w:p>
        </w:tc>
        <w:tc>
          <w:tcPr>
            <w:tcW w:w="1740" w:type="dxa"/>
            <w:vAlign w:val="bottom"/>
            <w:gridSpan w:val="2"/>
          </w:tcPr>
          <w:p>
            <w:pPr>
              <w:jc w:val="right"/>
              <w:ind w:right="880"/>
              <w:spacing w:after="0"/>
              <w:rPr>
                <w:sz w:val="20"/>
                <w:szCs w:val="20"/>
                <w:color w:val="auto"/>
              </w:rPr>
            </w:pPr>
            <w:r>
              <w:rPr>
                <w:rFonts w:ascii="Arial" w:cs="Arial" w:eastAsia="Arial" w:hAnsi="Arial"/>
                <w:sz w:val="17"/>
                <w:szCs w:val="17"/>
                <w:color w:val="auto"/>
              </w:rPr>
              <w:t>(2,869)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(2,869)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Income attributable to operating partnership units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00" w:type="dxa"/>
            <w:vAlign w:val="bottom"/>
            <w:gridSpan w:val="3"/>
          </w:tcPr>
          <w:p>
            <w:pPr>
              <w:ind w:left="420"/>
              <w:spacing w:after="0"/>
              <w:rPr>
                <w:sz w:val="20"/>
                <w:szCs w:val="20"/>
                <w:color w:val="auto"/>
              </w:rPr>
            </w:pPr>
            <w:r>
              <w:rPr>
                <w:rFonts w:ascii="Arial" w:cs="Arial" w:eastAsia="Arial" w:hAnsi="Arial"/>
                <w:sz w:val="17"/>
                <w:szCs w:val="17"/>
                <w:color w:val="auto"/>
              </w:rPr>
              <w:t>Preferred stock redemption fee</w:t>
            </w:r>
          </w:p>
        </w:tc>
        <w:tc>
          <w:tcPr>
            <w:tcW w:w="140" w:type="dxa"/>
            <w:vAlign w:val="bottom"/>
          </w:tcPr>
          <w:p>
            <w:pPr>
              <w:spacing w:after="0"/>
              <w:rPr>
                <w:sz w:val="19"/>
                <w:szCs w:val="19"/>
                <w:color w:val="auto"/>
              </w:rPr>
            </w:pPr>
          </w:p>
        </w:tc>
        <w:tc>
          <w:tcPr>
            <w:tcW w:w="1760" w:type="dxa"/>
            <w:vAlign w:val="bottom"/>
            <w:gridSpan w:val="3"/>
          </w:tcPr>
          <w:p>
            <w:pPr>
              <w:ind w:left="5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2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Funds from operations available for common shareholders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38,344</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33,330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Weighted average number of common shares, diluted</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52,934</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420" w:type="dxa"/>
            <w:vAlign w:val="bottom"/>
            <w:gridSpan w:val="4"/>
          </w:tcPr>
          <w:p>
            <w:pPr>
              <w:spacing w:after="0"/>
              <w:rPr>
                <w:sz w:val="20"/>
                <w:szCs w:val="20"/>
                <w:color w:val="auto"/>
              </w:rPr>
            </w:pPr>
            <w:r>
              <w:rPr>
                <w:rFonts w:ascii="Arial" w:cs="Arial" w:eastAsia="Arial" w:hAnsi="Arial"/>
                <w:sz w:val="17"/>
                <w:szCs w:val="17"/>
                <w:b w:val="1"/>
                <w:bCs w:val="1"/>
                <w:color w:val="auto"/>
              </w:rPr>
              <w:t>Funds from operations per share, diluted</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0.72</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0.66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42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Summary of Capital Expenditures</w:t>
            </w: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8"/>
        </w:trPr>
        <w:tc>
          <w:tcPr>
            <w:tcW w:w="842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6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8420" w:type="dxa"/>
            <w:vAlign w:val="bottom"/>
            <w:gridSpan w:val="4"/>
          </w:tcPr>
          <w:p>
            <w:pPr>
              <w:spacing w:after="0"/>
              <w:rPr>
                <w:sz w:val="20"/>
                <w:szCs w:val="20"/>
                <w:color w:val="auto"/>
              </w:rPr>
            </w:pPr>
            <w:r>
              <w:rPr>
                <w:rFonts w:ascii="Arial" w:cs="Arial" w:eastAsia="Arial" w:hAnsi="Arial"/>
                <w:sz w:val="17"/>
                <w:szCs w:val="17"/>
                <w:color w:val="auto"/>
              </w:rPr>
              <w:t>Non-maintenance capital expenditures</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Acquisition related (2)</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1,747</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gridSpan w:val="3"/>
          </w:tcPr>
          <w:p>
            <w:pPr>
              <w:ind w:left="420"/>
              <w:spacing w:after="0"/>
              <w:rPr>
                <w:sz w:val="20"/>
                <w:szCs w:val="20"/>
                <w:color w:val="auto"/>
              </w:rPr>
            </w:pPr>
            <w:r>
              <w:rPr>
                <w:rFonts w:ascii="Arial" w:cs="Arial" w:eastAsia="Arial" w:hAnsi="Arial"/>
                <w:sz w:val="17"/>
                <w:szCs w:val="17"/>
                <w:color w:val="auto"/>
              </w:rPr>
              <w:t>Capital expenditures related to new square footage</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1,539</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Development, redevelopment and expansions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22,058</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00" w:type="dxa"/>
            <w:vAlign w:val="bottom"/>
            <w:gridSpan w:val="3"/>
          </w:tcPr>
          <w:p>
            <w:pPr>
              <w:ind w:left="420"/>
              <w:spacing w:after="0"/>
              <w:rPr>
                <w:sz w:val="20"/>
                <w:szCs w:val="20"/>
                <w:color w:val="auto"/>
              </w:rPr>
            </w:pPr>
            <w:r>
              <w:rPr>
                <w:rFonts w:ascii="Arial" w:cs="Arial" w:eastAsia="Arial" w:hAnsi="Arial"/>
                <w:sz w:val="17"/>
                <w:szCs w:val="17"/>
                <w:color w:val="auto"/>
              </w:rPr>
              <w:t>Tenant improvements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6,151</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4,745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2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non-maintenance capital expenditures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31,495</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00" w:type="dxa"/>
            <w:vAlign w:val="bottom"/>
            <w:gridSpan w:val="3"/>
          </w:tcPr>
          <w:p>
            <w:pPr>
              <w:spacing w:after="0"/>
              <w:rPr>
                <w:sz w:val="20"/>
                <w:szCs w:val="20"/>
                <w:color w:val="auto"/>
              </w:rPr>
            </w:pPr>
            <w:r>
              <w:rPr>
                <w:rFonts w:ascii="Arial" w:cs="Arial" w:eastAsia="Arial" w:hAnsi="Arial"/>
                <w:sz w:val="17"/>
                <w:szCs w:val="17"/>
                <w:color w:val="auto"/>
              </w:rPr>
              <w:t>Maintenance capital expenditures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2,007</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1,665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2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capital expenditures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33,502</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33,489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842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Dividends and Payout Ratios</w:t>
            </w: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8"/>
        </w:trPr>
        <w:tc>
          <w:tcPr>
            <w:tcW w:w="842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84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Common dividends declared</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26,151</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8400" w:type="dxa"/>
            <w:vAlign w:val="bottom"/>
            <w:gridSpan w:val="3"/>
          </w:tcPr>
          <w:p>
            <w:pPr>
              <w:ind w:left="420"/>
              <w:spacing w:after="0"/>
              <w:rPr>
                <w:sz w:val="20"/>
                <w:szCs w:val="20"/>
                <w:color w:val="auto"/>
              </w:rPr>
            </w:pPr>
            <w:r>
              <w:rPr>
                <w:rFonts w:ascii="Arial" w:cs="Arial" w:eastAsia="Arial" w:hAnsi="Arial"/>
                <w:sz w:val="17"/>
                <w:szCs w:val="17"/>
                <w:color w:val="auto"/>
              </w:rPr>
              <w:t>Dividend payout ratio % - FFO</w:t>
            </w:r>
          </w:p>
        </w:tc>
        <w:tc>
          <w:tcPr>
            <w:tcW w:w="140" w:type="dxa"/>
            <w:vAlign w:val="bottom"/>
          </w:tcPr>
          <w:p>
            <w:pPr>
              <w:spacing w:after="0"/>
              <w:rPr>
                <w:sz w:val="24"/>
                <w:szCs w:val="24"/>
                <w:color w:val="auto"/>
              </w:rPr>
            </w:pPr>
          </w:p>
        </w:tc>
        <w:tc>
          <w:tcPr>
            <w:tcW w:w="1740" w:type="dxa"/>
            <w:vAlign w:val="bottom"/>
            <w:gridSpan w:val="2"/>
          </w:tcPr>
          <w:p>
            <w:pPr>
              <w:jc w:val="right"/>
              <w:ind w:right="800"/>
              <w:spacing w:after="0"/>
              <w:rPr>
                <w:sz w:val="20"/>
                <w:szCs w:val="20"/>
                <w:color w:val="auto"/>
              </w:rPr>
            </w:pPr>
            <w:r>
              <w:rPr>
                <w:rFonts w:ascii="Arial" w:cs="Arial" w:eastAsia="Arial" w:hAnsi="Arial"/>
                <w:sz w:val="17"/>
                <w:szCs w:val="17"/>
                <w:color w:val="auto"/>
              </w:rPr>
              <w:t>68%</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5346700</wp:posOffset>
            </wp:positionH>
            <wp:positionV relativeFrom="paragraph">
              <wp:posOffset>-2813050</wp:posOffset>
            </wp:positionV>
            <wp:extent cx="62420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4205" cy="29845"/>
                    </a:xfrm>
                    <a:prstGeom prst="rect">
                      <a:avLst/>
                    </a:prstGeom>
                    <a:noFill/>
                  </pic:spPr>
                </pic:pic>
              </a:graphicData>
            </a:graphic>
          </wp:anchor>
        </w:drawing>
        <w:drawing>
          <wp:anchor simplePos="0" relativeHeight="251657728" behindDoc="1" locked="0" layoutInCell="0" allowOverlap="1">
            <wp:simplePos x="0" y="0"/>
            <wp:positionH relativeFrom="column">
              <wp:posOffset>6544945</wp:posOffset>
            </wp:positionH>
            <wp:positionV relativeFrom="paragraph">
              <wp:posOffset>-2813050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6621145</wp:posOffset>
            </wp:positionH>
            <wp:positionV relativeFrom="paragraph">
              <wp:posOffset>-2813050</wp:posOffset>
            </wp:positionV>
            <wp:extent cx="2095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7148195</wp:posOffset>
            </wp:positionH>
            <wp:positionV relativeFrom="paragraph">
              <wp:posOffset>-2813050</wp:posOffset>
            </wp:positionV>
            <wp:extent cx="381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5346700</wp:posOffset>
            </wp:positionH>
            <wp:positionV relativeFrom="paragraph">
              <wp:posOffset>-2311400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5423535</wp:posOffset>
            </wp:positionH>
            <wp:positionV relativeFrom="paragraph">
              <wp:posOffset>-2311400</wp:posOffset>
            </wp:positionV>
            <wp:extent cx="2095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5933440</wp:posOffset>
            </wp:positionH>
            <wp:positionV relativeFrom="paragraph">
              <wp:posOffset>-2311400</wp:posOffset>
            </wp:positionV>
            <wp:extent cx="381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6544945</wp:posOffset>
            </wp:positionH>
            <wp:positionV relativeFrom="paragraph">
              <wp:posOffset>-2311400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6621145</wp:posOffset>
            </wp:positionH>
            <wp:positionV relativeFrom="paragraph">
              <wp:posOffset>-2311400</wp:posOffset>
            </wp:positionV>
            <wp:extent cx="2095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7148195</wp:posOffset>
            </wp:positionH>
            <wp:positionV relativeFrom="paragraph">
              <wp:posOffset>-2311400</wp:posOffset>
            </wp:positionV>
            <wp:extent cx="381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5346700</wp:posOffset>
            </wp:positionH>
            <wp:positionV relativeFrom="paragraph">
              <wp:posOffset>-569595</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5423535</wp:posOffset>
            </wp:positionH>
            <wp:positionV relativeFrom="paragraph">
              <wp:posOffset>-569595</wp:posOffset>
            </wp:positionV>
            <wp:extent cx="2095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5933440</wp:posOffset>
            </wp:positionH>
            <wp:positionV relativeFrom="paragraph">
              <wp:posOffset>-569595</wp:posOffset>
            </wp:positionV>
            <wp:extent cx="381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6544945</wp:posOffset>
            </wp:positionH>
            <wp:positionV relativeFrom="paragraph">
              <wp:posOffset>-569595</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6621145</wp:posOffset>
            </wp:positionH>
            <wp:positionV relativeFrom="paragraph">
              <wp:posOffset>-569595</wp:posOffset>
            </wp:positionV>
            <wp:extent cx="2095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7148195</wp:posOffset>
            </wp:positionH>
            <wp:positionV relativeFrom="paragraph">
              <wp:posOffset>-569595</wp:posOffset>
            </wp:positionV>
            <wp:extent cx="381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69215</wp:posOffset>
            </wp:positionV>
            <wp:extent cx="5949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4995" cy="8255"/>
                    </a:xfrm>
                    <a:prstGeom prst="rect">
                      <a:avLst/>
                    </a:prstGeom>
                    <a:noFill/>
                  </pic:spPr>
                </pic:pic>
              </a:graphicData>
            </a:graphic>
          </wp:anchor>
        </w:drawing>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Notes:</w:t>
      </w:r>
    </w:p>
    <w:p>
      <w:pPr>
        <w:spacing w:after="0" w:line="26" w:lineRule="exact"/>
        <w:rPr>
          <w:sz w:val="20"/>
          <w:szCs w:val="20"/>
          <w:color w:val="auto"/>
        </w:rPr>
      </w:pPr>
    </w:p>
    <w:p>
      <w:pPr>
        <w:ind w:left="460" w:hanging="453"/>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18" w:lineRule="exact"/>
        <w:rPr>
          <w:rFonts w:ascii="Arial" w:cs="Arial" w:eastAsia="Arial" w:hAnsi="Arial"/>
          <w:sz w:val="17"/>
          <w:szCs w:val="17"/>
          <w:color w:val="auto"/>
        </w:rPr>
      </w:pPr>
    </w:p>
    <w:p>
      <w:pPr>
        <w:ind w:left="460" w:right="120" w:hanging="453"/>
        <w:spacing w:after="0" w:line="285"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Capital expenditures related to properties acquired in the last two years for which non-maintenance expenditures were planned at the time of the acquisition underwriting.</w:t>
      </w:r>
    </w:p>
    <w:p>
      <w:pPr>
        <w:sectPr>
          <w:pgSz w:w="11900" w:h="16838" w:orient="portrait"/>
          <w:cols w:equalWidth="0" w:num="1">
            <w:col w:w="11420"/>
          </w:cols>
          <w:pgMar w:left="240" w:top="456"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Data / Capital Availability</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40" w:type="dxa"/>
            <w:vAlign w:val="bottom"/>
          </w:tcPr>
          <w:p>
            <w:pPr>
              <w:spacing w:after="0"/>
              <w:rPr>
                <w:sz w:val="15"/>
                <w:szCs w:val="15"/>
                <w:color w:val="auto"/>
              </w:rPr>
            </w:pPr>
          </w:p>
        </w:tc>
        <w:tc>
          <w:tcPr>
            <w:tcW w:w="7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3"/>
          </w:tcPr>
          <w:p>
            <w:pPr>
              <w:jc w:val="right"/>
              <w:ind w:right="273"/>
              <w:spacing w:after="0"/>
              <w:rPr>
                <w:sz w:val="20"/>
                <w:szCs w:val="20"/>
                <w:color w:val="auto"/>
              </w:rPr>
            </w:pPr>
            <w:r>
              <w:rPr>
                <w:rFonts w:ascii="Arial" w:cs="Arial" w:eastAsia="Arial" w:hAnsi="Arial"/>
                <w:sz w:val="13"/>
                <w:szCs w:val="13"/>
                <w:b w:val="1"/>
                <w:bCs w:val="1"/>
                <w:color w:val="auto"/>
                <w:w w:val="98"/>
              </w:rPr>
              <w:t>As of</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940" w:type="dxa"/>
            <w:vAlign w:val="bottom"/>
          </w:tcPr>
          <w:p>
            <w:pPr>
              <w:spacing w:after="0"/>
              <w:rPr>
                <w:sz w:val="8"/>
                <w:szCs w:val="8"/>
                <w:color w:val="auto"/>
              </w:rPr>
            </w:pPr>
          </w:p>
        </w:tc>
        <w:tc>
          <w:tcPr>
            <w:tcW w:w="7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94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w w:val="96"/>
              </w:rPr>
              <w:t>September 30,</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96"/>
              </w:rPr>
              <w:t>September 30,</w:t>
            </w:r>
          </w:p>
        </w:tc>
        <w:tc>
          <w:tcPr>
            <w:tcW w:w="0" w:type="dxa"/>
            <w:vAlign w:val="bottom"/>
          </w:tcPr>
          <w:p>
            <w:pPr>
              <w:spacing w:after="0"/>
              <w:rPr>
                <w:sz w:val="1"/>
                <w:szCs w:val="1"/>
                <w:color w:val="auto"/>
              </w:rPr>
            </w:pPr>
          </w:p>
        </w:tc>
      </w:tr>
      <w:tr>
        <w:trPr>
          <w:trHeight w:val="173"/>
        </w:trPr>
        <w:tc>
          <w:tcPr>
            <w:tcW w:w="940" w:type="dxa"/>
            <w:vAlign w:val="bottom"/>
          </w:tcPr>
          <w:p>
            <w:pPr>
              <w:spacing w:after="0"/>
              <w:rPr>
                <w:sz w:val="15"/>
                <w:szCs w:val="15"/>
                <w:color w:val="auto"/>
              </w:rPr>
            </w:pPr>
          </w:p>
        </w:tc>
        <w:tc>
          <w:tcPr>
            <w:tcW w:w="7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256"/>
              <w:spacing w:after="0"/>
              <w:rPr>
                <w:sz w:val="20"/>
                <w:szCs w:val="20"/>
                <w:color w:val="auto"/>
              </w:rPr>
            </w:pPr>
            <w:r>
              <w:rPr>
                <w:rFonts w:ascii="Arial" w:cs="Arial" w:eastAsia="Arial" w:hAnsi="Arial"/>
                <w:sz w:val="13"/>
                <w:szCs w:val="13"/>
                <w:b w:val="1"/>
                <w:bCs w:val="1"/>
                <w:color w:val="auto"/>
              </w:rPr>
              <w:t>2004</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74"/>
              <w:spacing w:after="0"/>
              <w:rPr>
                <w:sz w:val="20"/>
                <w:szCs w:val="20"/>
                <w:color w:val="auto"/>
              </w:rPr>
            </w:pPr>
            <w:r>
              <w:rPr>
                <w:rFonts w:ascii="Arial" w:cs="Arial" w:eastAsia="Arial" w:hAnsi="Arial"/>
                <w:sz w:val="13"/>
                <w:szCs w:val="13"/>
                <w:b w:val="1"/>
                <w:bCs w:val="1"/>
                <w:color w:val="auto"/>
              </w:rPr>
              <w:t>2003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940" w:type="dxa"/>
            <w:vAlign w:val="bottom"/>
          </w:tcPr>
          <w:p>
            <w:pPr>
              <w:spacing w:after="0"/>
              <w:rPr>
                <w:sz w:val="8"/>
                <w:szCs w:val="8"/>
                <w:color w:val="auto"/>
              </w:rPr>
            </w:pPr>
          </w:p>
        </w:tc>
        <w:tc>
          <w:tcPr>
            <w:tcW w:w="7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7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86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Market data</w:t>
            </w:r>
          </w:p>
        </w:tc>
        <w:tc>
          <w:tcPr>
            <w:tcW w:w="100" w:type="dxa"/>
            <w:vAlign w:val="bottom"/>
          </w:tcPr>
          <w:p>
            <w:pPr>
              <w:spacing w:after="0"/>
              <w:rPr>
                <w:sz w:val="22"/>
                <w:szCs w:val="22"/>
                <w:color w:val="auto"/>
              </w:rPr>
            </w:pPr>
          </w:p>
        </w:tc>
        <w:tc>
          <w:tcPr>
            <w:tcW w:w="2720" w:type="dxa"/>
            <w:vAlign w:val="bottom"/>
            <w:gridSpan w:val="7"/>
          </w:tcPr>
          <w:p>
            <w:pPr>
              <w:jc w:val="right"/>
              <w:ind w:right="440"/>
              <w:spacing w:after="0"/>
              <w:rPr>
                <w:sz w:val="20"/>
                <w:szCs w:val="20"/>
                <w:color w:val="auto"/>
              </w:rPr>
            </w:pPr>
            <w:r>
              <w:rPr>
                <w:rFonts w:ascii="Arial" w:cs="Arial" w:eastAsia="Arial" w:hAnsi="Arial"/>
                <w:sz w:val="13"/>
                <w:szCs w:val="13"/>
                <w:b w:val="1"/>
                <w:bCs w:val="1"/>
                <w:color w:val="auto"/>
                <w:w w:val="98"/>
              </w:rPr>
              <w:t>(in thousands, except per share data)</w:t>
            </w:r>
          </w:p>
        </w:tc>
        <w:tc>
          <w:tcPr>
            <w:tcW w:w="0" w:type="dxa"/>
            <w:vAlign w:val="bottom"/>
          </w:tcPr>
          <w:p>
            <w:pPr>
              <w:spacing w:after="0"/>
              <w:rPr>
                <w:sz w:val="1"/>
                <w:szCs w:val="1"/>
                <w:color w:val="auto"/>
              </w:rPr>
            </w:pPr>
          </w:p>
        </w:tc>
      </w:tr>
      <w:tr>
        <w:trPr>
          <w:trHeight w:val="200"/>
        </w:trPr>
        <w:tc>
          <w:tcPr>
            <w:tcW w:w="86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6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Common shares outstanding (1)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51,908</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49,164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00" w:type="dxa"/>
            <w:vAlign w:val="bottom"/>
            <w:gridSpan w:val="2"/>
          </w:tcPr>
          <w:p>
            <w:pPr>
              <w:ind w:left="440"/>
              <w:spacing w:after="0"/>
              <w:rPr>
                <w:sz w:val="20"/>
                <w:szCs w:val="20"/>
                <w:color w:val="auto"/>
              </w:rPr>
            </w:pPr>
            <w:r>
              <w:rPr>
                <w:rFonts w:ascii="Arial" w:cs="Arial" w:eastAsia="Arial" w:hAnsi="Arial"/>
                <w:sz w:val="17"/>
                <w:szCs w:val="17"/>
                <w:color w:val="auto"/>
              </w:rPr>
              <w:t>Market price per common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44.00</w:t>
            </w:r>
          </w:p>
        </w:tc>
        <w:tc>
          <w:tcPr>
            <w:tcW w:w="2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36.86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940" w:type="dxa"/>
            <w:vAlign w:val="bottom"/>
          </w:tcPr>
          <w:p>
            <w:pPr>
              <w:spacing w:after="0"/>
              <w:rPr>
                <w:sz w:val="8"/>
                <w:szCs w:val="8"/>
                <w:color w:val="auto"/>
              </w:rPr>
            </w:pPr>
          </w:p>
        </w:tc>
        <w:tc>
          <w:tcPr>
            <w:tcW w:w="7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940" w:type="dxa"/>
            <w:vAlign w:val="bottom"/>
          </w:tcPr>
          <w:p>
            <w:pPr>
              <w:spacing w:after="0"/>
              <w:rPr>
                <w:sz w:val="8"/>
                <w:szCs w:val="8"/>
                <w:color w:val="auto"/>
              </w:rPr>
            </w:pPr>
          </w:p>
        </w:tc>
        <w:tc>
          <w:tcPr>
            <w:tcW w:w="7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860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Common equity market capitalization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2,283,952</w:t>
            </w: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1,812,185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600" w:type="dxa"/>
            <w:vAlign w:val="bottom"/>
            <w:gridSpan w:val="2"/>
          </w:tcPr>
          <w:p>
            <w:pPr>
              <w:ind w:left="440"/>
              <w:spacing w:after="0"/>
              <w:rPr>
                <w:sz w:val="20"/>
                <w:szCs w:val="20"/>
                <w:color w:val="auto"/>
              </w:rPr>
            </w:pPr>
            <w:r>
              <w:rPr>
                <w:rFonts w:ascii="Arial" w:cs="Arial" w:eastAsia="Arial" w:hAnsi="Arial"/>
                <w:sz w:val="17"/>
                <w:szCs w:val="17"/>
                <w:color w:val="auto"/>
              </w:rPr>
              <w:t>Series B preferred shares outstanding</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5,400</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5,400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86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Market price per Series B preferred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27.17</w:t>
            </w: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940" w:type="dxa"/>
            <w:vAlign w:val="bottom"/>
          </w:tcPr>
          <w:p>
            <w:pPr>
              <w:spacing w:after="0"/>
              <w:rPr>
                <w:sz w:val="9"/>
                <w:szCs w:val="9"/>
                <w:color w:val="auto"/>
              </w:rPr>
            </w:pPr>
          </w:p>
        </w:tc>
        <w:tc>
          <w:tcPr>
            <w:tcW w:w="7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940" w:type="dxa"/>
            <w:vAlign w:val="bottom"/>
          </w:tcPr>
          <w:p>
            <w:pPr>
              <w:spacing w:after="0"/>
              <w:rPr>
                <w:sz w:val="8"/>
                <w:szCs w:val="8"/>
                <w:color w:val="auto"/>
              </w:rPr>
            </w:pPr>
          </w:p>
        </w:tc>
        <w:tc>
          <w:tcPr>
            <w:tcW w:w="7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860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Preferred equity market capitalization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146,718</w:t>
            </w: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145,800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940" w:type="dxa"/>
            <w:vAlign w:val="bottom"/>
          </w:tcPr>
          <w:p>
            <w:pPr>
              <w:spacing w:after="0"/>
              <w:rPr>
                <w:sz w:val="9"/>
                <w:szCs w:val="9"/>
                <w:color w:val="auto"/>
              </w:rPr>
            </w:pPr>
          </w:p>
        </w:tc>
        <w:tc>
          <w:tcPr>
            <w:tcW w:w="7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940" w:type="dxa"/>
            <w:vAlign w:val="bottom"/>
          </w:tcPr>
          <w:p>
            <w:pPr>
              <w:spacing w:after="0"/>
              <w:rPr>
                <w:sz w:val="8"/>
                <w:szCs w:val="8"/>
                <w:color w:val="auto"/>
              </w:rPr>
            </w:pPr>
          </w:p>
        </w:tc>
        <w:tc>
          <w:tcPr>
            <w:tcW w:w="7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8600" w:type="dxa"/>
            <w:vAlign w:val="bottom"/>
            <w:gridSpan w:val="2"/>
            <w:shd w:val="clear" w:color="auto" w:fill="CCEEFF"/>
          </w:tcPr>
          <w:p>
            <w:pPr>
              <w:ind w:left="440"/>
              <w:spacing w:after="0"/>
              <w:rPr>
                <w:sz w:val="20"/>
                <w:szCs w:val="20"/>
                <w:color w:val="auto"/>
              </w:rPr>
            </w:pPr>
            <w:r>
              <w:rPr>
                <w:rFonts w:ascii="Arial" w:cs="Arial" w:eastAsia="Arial" w:hAnsi="Arial"/>
                <w:sz w:val="17"/>
                <w:szCs w:val="17"/>
                <w:b w:val="1"/>
                <w:bCs w:val="1"/>
                <w:color w:val="auto"/>
              </w:rPr>
              <w:t>Equity market capitalization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2,430,670</w:t>
            </w: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1,957,985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600" w:type="dxa"/>
            <w:vAlign w:val="bottom"/>
            <w:gridSpan w:val="2"/>
          </w:tcPr>
          <w:p>
            <w:pPr>
              <w:ind w:left="440"/>
              <w:spacing w:after="0"/>
              <w:rPr>
                <w:sz w:val="20"/>
                <w:szCs w:val="20"/>
                <w:color w:val="auto"/>
              </w:rPr>
            </w:pPr>
            <w:r>
              <w:rPr>
                <w:rFonts w:ascii="Arial" w:cs="Arial" w:eastAsia="Arial" w:hAnsi="Arial"/>
                <w:sz w:val="17"/>
                <w:szCs w:val="17"/>
                <w:color w:val="auto"/>
              </w:rPr>
              <w:t>Total debt (2)</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1,299,901</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1,120,317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940" w:type="dxa"/>
            <w:vAlign w:val="bottom"/>
          </w:tcPr>
          <w:p>
            <w:pPr>
              <w:spacing w:after="0"/>
              <w:rPr>
                <w:sz w:val="9"/>
                <w:szCs w:val="9"/>
                <w:color w:val="auto"/>
              </w:rPr>
            </w:pPr>
          </w:p>
        </w:tc>
        <w:tc>
          <w:tcPr>
            <w:tcW w:w="7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940" w:type="dxa"/>
            <w:vAlign w:val="bottom"/>
          </w:tcPr>
          <w:p>
            <w:pPr>
              <w:spacing w:after="0"/>
              <w:rPr>
                <w:sz w:val="8"/>
                <w:szCs w:val="8"/>
                <w:color w:val="auto"/>
              </w:rPr>
            </w:pPr>
          </w:p>
        </w:tc>
        <w:tc>
          <w:tcPr>
            <w:tcW w:w="7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8600" w:type="dxa"/>
            <w:vAlign w:val="bottom"/>
            <w:gridSpan w:val="2"/>
            <w:shd w:val="clear" w:color="auto" w:fill="CCEEFF"/>
          </w:tcPr>
          <w:p>
            <w:pPr>
              <w:ind w:left="440"/>
              <w:spacing w:after="0"/>
              <w:rPr>
                <w:sz w:val="20"/>
                <w:szCs w:val="20"/>
                <w:color w:val="auto"/>
              </w:rPr>
            </w:pPr>
            <w:r>
              <w:rPr>
                <w:rFonts w:ascii="Arial" w:cs="Arial" w:eastAsia="Arial" w:hAnsi="Arial"/>
                <w:sz w:val="17"/>
                <w:szCs w:val="17"/>
                <w:b w:val="1"/>
                <w:bCs w:val="1"/>
                <w:color w:val="auto"/>
              </w:rPr>
              <w:t>Total market capitalization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3,730,571</w:t>
            </w: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3,078,302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940" w:type="dxa"/>
            <w:vAlign w:val="bottom"/>
          </w:tcPr>
          <w:p>
            <w:pPr>
              <w:spacing w:after="0"/>
              <w:rPr>
                <w:sz w:val="11"/>
                <w:szCs w:val="11"/>
                <w:color w:val="auto"/>
              </w:rPr>
            </w:pPr>
          </w:p>
        </w:tc>
        <w:tc>
          <w:tcPr>
            <w:tcW w:w="7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940" w:type="dxa"/>
            <w:vAlign w:val="bottom"/>
          </w:tcPr>
          <w:p>
            <w:pPr>
              <w:spacing w:after="0"/>
              <w:rPr>
                <w:sz w:val="9"/>
                <w:szCs w:val="9"/>
                <w:color w:val="auto"/>
              </w:rPr>
            </w:pPr>
          </w:p>
        </w:tc>
        <w:tc>
          <w:tcPr>
            <w:tcW w:w="7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8600" w:type="dxa"/>
            <w:vAlign w:val="bottom"/>
            <w:gridSpan w:val="2"/>
            <w:shd w:val="clear" w:color="auto" w:fill="CCEEFF"/>
          </w:tcPr>
          <w:p>
            <w:pPr>
              <w:ind w:left="440"/>
              <w:spacing w:after="0"/>
              <w:rPr>
                <w:sz w:val="20"/>
                <w:szCs w:val="20"/>
                <w:color w:val="auto"/>
              </w:rPr>
            </w:pPr>
            <w:r>
              <w:rPr>
                <w:rFonts w:ascii="Arial" w:cs="Arial" w:eastAsia="Arial" w:hAnsi="Arial"/>
                <w:sz w:val="17"/>
                <w:szCs w:val="17"/>
                <w:b w:val="1"/>
                <w:bCs w:val="1"/>
                <w:color w:val="auto"/>
              </w:rPr>
              <w:t>Total debt to market capitalization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130"/>
        </w:trPr>
        <w:tc>
          <w:tcPr>
            <w:tcW w:w="940" w:type="dxa"/>
            <w:vAlign w:val="bottom"/>
          </w:tcPr>
          <w:p>
            <w:pPr>
              <w:spacing w:after="0"/>
              <w:rPr>
                <w:sz w:val="11"/>
                <w:szCs w:val="11"/>
                <w:color w:val="auto"/>
              </w:rPr>
            </w:pPr>
          </w:p>
        </w:tc>
        <w:tc>
          <w:tcPr>
            <w:tcW w:w="7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7"/>
        </w:trPr>
        <w:tc>
          <w:tcPr>
            <w:tcW w:w="8600" w:type="dxa"/>
            <w:vAlign w:val="bottom"/>
            <w:gridSpan w:val="2"/>
          </w:tcPr>
          <w:p>
            <w:pPr>
              <w:spacing w:after="0"/>
              <w:rPr>
                <w:sz w:val="20"/>
                <w:szCs w:val="20"/>
                <w:color w:val="auto"/>
              </w:rPr>
            </w:pPr>
            <w:r>
              <w:rPr>
                <w:rFonts w:ascii="Arial" w:cs="Arial" w:eastAsia="Arial" w:hAnsi="Arial"/>
                <w:sz w:val="17"/>
                <w:szCs w:val="17"/>
                <w:b w:val="1"/>
                <w:bCs w:val="1"/>
                <w:color w:val="auto"/>
              </w:rPr>
              <w:t>Capital availability:</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86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Cash on hand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23,437</w:t>
            </w: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600" w:type="dxa"/>
            <w:vAlign w:val="bottom"/>
            <w:gridSpan w:val="2"/>
          </w:tcPr>
          <w:p>
            <w:pPr>
              <w:ind w:left="440"/>
              <w:spacing w:after="0"/>
              <w:rPr>
                <w:sz w:val="20"/>
                <w:szCs w:val="20"/>
                <w:color w:val="auto"/>
              </w:rPr>
            </w:pPr>
            <w:r>
              <w:rPr>
                <w:rFonts w:ascii="Arial" w:cs="Arial" w:eastAsia="Arial" w:hAnsi="Arial"/>
                <w:sz w:val="17"/>
                <w:szCs w:val="17"/>
                <w:color w:val="auto"/>
              </w:rPr>
              <w:t>Available capacity under line of credit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250,000</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102,000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6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Available for issuance under shelf registration statement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225,000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940" w:type="dxa"/>
            <w:vAlign w:val="bottom"/>
          </w:tcPr>
          <w:p>
            <w:pPr>
              <w:spacing w:after="0"/>
              <w:rPr>
                <w:sz w:val="9"/>
                <w:szCs w:val="9"/>
                <w:color w:val="auto"/>
              </w:rPr>
            </w:pPr>
          </w:p>
        </w:tc>
        <w:tc>
          <w:tcPr>
            <w:tcW w:w="7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940" w:type="dxa"/>
            <w:vAlign w:val="bottom"/>
          </w:tcPr>
          <w:p>
            <w:pPr>
              <w:spacing w:after="0"/>
              <w:rPr>
                <w:sz w:val="8"/>
                <w:szCs w:val="8"/>
                <w:color w:val="auto"/>
              </w:rPr>
            </w:pPr>
          </w:p>
        </w:tc>
        <w:tc>
          <w:tcPr>
            <w:tcW w:w="7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94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498,437</w:t>
            </w: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535,656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940" w:type="dxa"/>
            <w:vAlign w:val="bottom"/>
          </w:tcPr>
          <w:p>
            <w:pPr>
              <w:spacing w:after="0"/>
              <w:rPr>
                <w:sz w:val="11"/>
                <w:szCs w:val="11"/>
                <w:color w:val="auto"/>
              </w:rPr>
            </w:pPr>
          </w:p>
        </w:tc>
        <w:tc>
          <w:tcPr>
            <w:tcW w:w="7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940" w:type="dxa"/>
            <w:vAlign w:val="bottom"/>
            <w:tcBorders>
              <w:bottom w:val="single" w:sz="8" w:color="auto"/>
            </w:tcBorders>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-1454150</wp:posOffset>
            </wp:positionV>
            <wp:extent cx="62420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4205" cy="29845"/>
                    </a:xfrm>
                    <a:prstGeom prst="rect">
                      <a:avLst/>
                    </a:prstGeom>
                    <a:noFill/>
                  </pic:spPr>
                </pic:pic>
              </a:graphicData>
            </a:graphic>
          </wp:anchor>
        </w:drawing>
        <w:drawing>
          <wp:anchor simplePos="0" relativeHeight="251657728" behindDoc="1" locked="0" layoutInCell="0" allowOverlap="1">
            <wp:simplePos x="0" y="0"/>
            <wp:positionH relativeFrom="column">
              <wp:posOffset>6544945</wp:posOffset>
            </wp:positionH>
            <wp:positionV relativeFrom="paragraph">
              <wp:posOffset>-1454150</wp:posOffset>
            </wp:positionV>
            <wp:extent cx="64135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4135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-1156970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-1156970</wp:posOffset>
            </wp:positionV>
            <wp:extent cx="2095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6043930</wp:posOffset>
            </wp:positionH>
            <wp:positionV relativeFrom="paragraph">
              <wp:posOffset>-1156970</wp:posOffset>
            </wp:positionV>
            <wp:extent cx="381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6544945</wp:posOffset>
            </wp:positionH>
            <wp:positionV relativeFrom="paragraph">
              <wp:posOffset>-1156970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6604635</wp:posOffset>
            </wp:positionH>
            <wp:positionV relativeFrom="paragraph">
              <wp:posOffset>-1156970</wp:posOffset>
            </wp:positionV>
            <wp:extent cx="2095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7148195</wp:posOffset>
            </wp:positionH>
            <wp:positionV relativeFrom="paragraph">
              <wp:posOffset>-1156970</wp:posOffset>
            </wp:positionV>
            <wp:extent cx="381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-171450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-171450</wp:posOffset>
            </wp:positionV>
            <wp:extent cx="2095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6043930</wp:posOffset>
            </wp:positionH>
            <wp:positionV relativeFrom="paragraph">
              <wp:posOffset>-171450</wp:posOffset>
            </wp:positionV>
            <wp:extent cx="381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6544945</wp:posOffset>
            </wp:positionH>
            <wp:positionV relativeFrom="paragraph">
              <wp:posOffset>-171450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6604635</wp:posOffset>
            </wp:positionH>
            <wp:positionV relativeFrom="paragraph">
              <wp:posOffset>-171450</wp:posOffset>
            </wp:positionV>
            <wp:extent cx="2095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7148195</wp:posOffset>
            </wp:positionH>
            <wp:positionV relativeFrom="paragraph">
              <wp:posOffset>-171450</wp:posOffset>
            </wp:positionV>
            <wp:extent cx="381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100" cy="29845"/>
                    </a:xfrm>
                    <a:prstGeom prst="rect">
                      <a:avLst/>
                    </a:prstGeom>
                    <a:noFill/>
                  </pic:spPr>
                </pic:pic>
              </a:graphicData>
            </a:graphic>
          </wp:anchor>
        </w:drawing>
      </w:r>
    </w:p>
    <w:p>
      <w:pPr>
        <w:spacing w:after="0" w:line="79"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Notes:</w:t>
      </w:r>
    </w:p>
    <w:p>
      <w:pPr>
        <w:spacing w:after="0" w:line="26" w:lineRule="exact"/>
        <w:rPr>
          <w:sz w:val="20"/>
          <w:szCs w:val="20"/>
          <w:color w:val="auto"/>
        </w:rPr>
      </w:pPr>
    </w:p>
    <w:p>
      <w:pPr>
        <w:ind w:left="460" w:right="20" w:hanging="453"/>
        <w:spacing w:after="0" w:line="262"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Consists of 53,387,604 shares issued net of 1,479,383 shares held in Treasury as of September 30, 2004. As of September 30, 2003, consists of 50,629,782 shares issued net of 1,466,013 shares held in Treasury. Amounts do not include 449,325 and 839,828 Operating Units outstanding at September 30, 2004 and September 30, 2003, respectively.</w:t>
      </w:r>
    </w:p>
    <w:p>
      <w:pPr>
        <w:spacing w:after="0" w:line="2" w:lineRule="exact"/>
        <w:rPr>
          <w:rFonts w:ascii="Arial" w:cs="Arial" w:eastAsia="Arial" w:hAnsi="Arial"/>
          <w:sz w:val="17"/>
          <w:szCs w:val="17"/>
          <w:color w:val="auto"/>
        </w:rPr>
      </w:pPr>
    </w:p>
    <w:p>
      <w:pPr>
        <w:ind w:left="460" w:right="300" w:hanging="453"/>
        <w:spacing w:after="0" w:line="285"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Total debt includes capital leases and mortgages payable, notes payable, and senior notes and debentures. It does not include the Trust’s 30% share of the $13.3 million debt of the partnership with Clarion Lion Properties Fund.</w:t>
      </w:r>
    </w:p>
    <w:p>
      <w:pPr>
        <w:sectPr>
          <w:pgSz w:w="11900" w:h="16838" w:orient="portrait"/>
          <w:cols w:equalWidth="0" w:num="1">
            <w:col w:w="11420"/>
          </w:cols>
          <w:pgMar w:left="240" w:top="456"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Rental Income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80" w:type="dxa"/>
            <w:vAlign w:val="bottom"/>
          </w:tcPr>
          <w:p>
            <w:pPr>
              <w:spacing w:after="0"/>
              <w:rPr>
                <w:sz w:val="13"/>
                <w:szCs w:val="13"/>
                <w:color w:val="auto"/>
              </w:rPr>
            </w:pPr>
          </w:p>
        </w:tc>
        <w:tc>
          <w:tcPr>
            <w:tcW w:w="156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rPr>
              <w:t>Nine months ended</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0"/>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1560" w:type="dxa"/>
            <w:vAlign w:val="bottom"/>
            <w:gridSpan w:val="4"/>
          </w:tcPr>
          <w:p>
            <w:pPr>
              <w:jc w:val="right"/>
              <w:ind w:right="360"/>
              <w:spacing w:after="0"/>
              <w:rPr>
                <w:sz w:val="20"/>
                <w:szCs w:val="20"/>
                <w:color w:val="auto"/>
              </w:rPr>
            </w:pPr>
            <w:r>
              <w:rPr>
                <w:rFonts w:ascii="Arial" w:cs="Arial" w:eastAsia="Arial" w:hAnsi="Arial"/>
                <w:sz w:val="13"/>
                <w:szCs w:val="13"/>
                <w:b w:val="1"/>
                <w:bCs w:val="1"/>
                <w:color w:val="auto"/>
              </w:rPr>
              <w:t>September 30,</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2"/>
              </w:rPr>
              <w:t>September 30,</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80" w:type="dxa"/>
            <w:vAlign w:val="bottom"/>
          </w:tcPr>
          <w:p>
            <w:pPr>
              <w:spacing w:after="0"/>
              <w:rPr>
                <w:sz w:val="22"/>
                <w:szCs w:val="22"/>
                <w:color w:val="auto"/>
              </w:rPr>
            </w:pPr>
          </w:p>
        </w:tc>
        <w:tc>
          <w:tcPr>
            <w:tcW w:w="680" w:type="dxa"/>
            <w:vAlign w:val="bottom"/>
          </w:tcPr>
          <w:p>
            <w:pPr>
              <w:jc w:val="right"/>
              <w:ind w:right="121"/>
              <w:spacing w:after="0"/>
              <w:rPr>
                <w:sz w:val="20"/>
                <w:szCs w:val="20"/>
                <w:color w:val="auto"/>
              </w:rPr>
            </w:pPr>
            <w:r>
              <w:rPr>
                <w:rFonts w:ascii="Arial" w:cs="Arial" w:eastAsia="Arial" w:hAnsi="Arial"/>
                <w:sz w:val="13"/>
                <w:szCs w:val="13"/>
                <w:b w:val="1"/>
                <w:bCs w:val="1"/>
                <w:color w:val="auto"/>
              </w:rPr>
              <w:t>2004</w:t>
            </w:r>
          </w:p>
        </w:tc>
        <w:tc>
          <w:tcPr>
            <w:tcW w:w="88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2003</w:t>
            </w:r>
          </w:p>
        </w:tc>
        <w:tc>
          <w:tcPr>
            <w:tcW w:w="820" w:type="dxa"/>
            <w:vAlign w:val="bottom"/>
            <w:gridSpan w:val="3"/>
          </w:tcPr>
          <w:p>
            <w:pPr>
              <w:jc w:val="right"/>
              <w:ind w:right="93"/>
              <w:spacing w:after="0"/>
              <w:rPr>
                <w:sz w:val="20"/>
                <w:szCs w:val="20"/>
                <w:color w:val="auto"/>
              </w:rPr>
            </w:pPr>
            <w:r>
              <w:rPr>
                <w:rFonts w:ascii="Arial" w:cs="Arial" w:eastAsia="Arial" w:hAnsi="Arial"/>
                <w:sz w:val="13"/>
                <w:szCs w:val="13"/>
                <w:b w:val="1"/>
                <w:bCs w:val="1"/>
                <w:color w:val="auto"/>
              </w:rPr>
              <w:t>2004</w:t>
            </w:r>
          </w:p>
        </w:tc>
        <w:tc>
          <w:tcPr>
            <w:tcW w:w="220" w:type="dxa"/>
            <w:vAlign w:val="bottom"/>
          </w:tcPr>
          <w:p>
            <w:pPr>
              <w:spacing w:after="0"/>
              <w:rPr>
                <w:sz w:val="22"/>
                <w:szCs w:val="22"/>
                <w:color w:val="auto"/>
              </w:rPr>
            </w:pPr>
          </w:p>
        </w:tc>
        <w:tc>
          <w:tcPr>
            <w:tcW w:w="600" w:type="dxa"/>
            <w:vAlign w:val="bottom"/>
          </w:tcPr>
          <w:p>
            <w:pPr>
              <w:jc w:val="right"/>
              <w:ind w:right="76"/>
              <w:spacing w:after="0"/>
              <w:rPr>
                <w:sz w:val="20"/>
                <w:szCs w:val="20"/>
                <w:color w:val="auto"/>
              </w:rPr>
            </w:pPr>
            <w:r>
              <w:rPr>
                <w:rFonts w:ascii="Arial" w:cs="Arial" w:eastAsia="Arial" w:hAnsi="Arial"/>
                <w:sz w:val="13"/>
                <w:szCs w:val="13"/>
                <w:b w:val="1"/>
                <w:bCs w:val="1"/>
                <w:color w:val="auto"/>
              </w:rPr>
              <w:t>2003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Components of Rental Income (1)</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8200" w:type="dxa"/>
            <w:vAlign w:val="bottom"/>
            <w:gridSpan w:val="2"/>
          </w:tcPr>
          <w:p>
            <w:pPr>
              <w:ind w:left="420"/>
              <w:spacing w:after="0"/>
              <w:rPr>
                <w:sz w:val="20"/>
                <w:szCs w:val="20"/>
                <w:color w:val="auto"/>
              </w:rPr>
            </w:pPr>
            <w:r>
              <w:rPr>
                <w:rFonts w:ascii="Arial" w:cs="Arial" w:eastAsia="Arial" w:hAnsi="Arial"/>
                <w:sz w:val="17"/>
                <w:szCs w:val="17"/>
                <w:color w:val="auto"/>
              </w:rPr>
              <w:t>Minimum Rents</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Retail and commercial properties</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$209,654</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$184,822</w:t>
            </w: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$71,086</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$ 63,082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00" w:type="dxa"/>
            <w:vAlign w:val="bottom"/>
            <w:gridSpan w:val="2"/>
          </w:tcPr>
          <w:p>
            <w:pPr>
              <w:ind w:left="840"/>
              <w:spacing w:after="0"/>
              <w:rPr>
                <w:sz w:val="20"/>
                <w:szCs w:val="20"/>
                <w:color w:val="auto"/>
              </w:rPr>
            </w:pPr>
            <w:r>
              <w:rPr>
                <w:rFonts w:ascii="Arial" w:cs="Arial" w:eastAsia="Arial" w:hAnsi="Arial"/>
                <w:sz w:val="17"/>
                <w:szCs w:val="17"/>
                <w:color w:val="auto"/>
              </w:rPr>
              <w:t>Residential</w:t>
            </w:r>
          </w:p>
        </w:tc>
        <w:tc>
          <w:tcPr>
            <w:tcW w:w="680" w:type="dxa"/>
            <w:vAlign w:val="bottom"/>
          </w:tcPr>
          <w:p>
            <w:pPr>
              <w:jc w:val="right"/>
              <w:spacing w:after="0"/>
              <w:rPr>
                <w:sz w:val="20"/>
                <w:szCs w:val="20"/>
                <w:color w:val="auto"/>
              </w:rPr>
            </w:pPr>
            <w:r>
              <w:rPr>
                <w:rFonts w:ascii="Arial" w:cs="Arial" w:eastAsia="Arial" w:hAnsi="Arial"/>
                <w:sz w:val="17"/>
                <w:szCs w:val="17"/>
                <w:color w:val="auto"/>
              </w:rPr>
              <w:t>9,295</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6,056</w:t>
            </w:r>
          </w:p>
        </w:tc>
        <w:tc>
          <w:tcPr>
            <w:tcW w:w="1040" w:type="dxa"/>
            <w:vAlign w:val="bottom"/>
            <w:gridSpan w:val="4"/>
          </w:tcPr>
          <w:p>
            <w:pPr>
              <w:jc w:val="right"/>
              <w:ind w:right="220"/>
              <w:spacing w:after="0"/>
              <w:rPr>
                <w:sz w:val="20"/>
                <w:szCs w:val="20"/>
                <w:color w:val="auto"/>
              </w:rPr>
            </w:pPr>
            <w:r>
              <w:rPr>
                <w:rFonts w:ascii="Arial" w:cs="Arial" w:eastAsia="Arial" w:hAnsi="Arial"/>
                <w:sz w:val="17"/>
                <w:szCs w:val="17"/>
                <w:color w:val="auto"/>
              </w:rPr>
              <w:t>3,149</w:t>
            </w:r>
          </w:p>
        </w:tc>
        <w:tc>
          <w:tcPr>
            <w:tcW w:w="600" w:type="dxa"/>
            <w:vAlign w:val="bottom"/>
          </w:tcPr>
          <w:p>
            <w:pPr>
              <w:jc w:val="right"/>
              <w:spacing w:after="0"/>
              <w:rPr>
                <w:sz w:val="20"/>
                <w:szCs w:val="20"/>
                <w:color w:val="auto"/>
              </w:rPr>
            </w:pPr>
            <w:r>
              <w:rPr>
                <w:rFonts w:ascii="Arial" w:cs="Arial" w:eastAsia="Arial" w:hAnsi="Arial"/>
                <w:sz w:val="17"/>
                <w:szCs w:val="17"/>
                <w:color w:val="auto"/>
              </w:rPr>
              <w:t>2,593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Cost Reimbursements</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49,190</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41,588</w:t>
            </w: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16,520</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00" w:type="dxa"/>
            <w:vAlign w:val="bottom"/>
            <w:gridSpan w:val="2"/>
          </w:tcPr>
          <w:p>
            <w:pPr>
              <w:ind w:left="420"/>
              <w:spacing w:after="0"/>
              <w:rPr>
                <w:sz w:val="20"/>
                <w:szCs w:val="20"/>
                <w:color w:val="auto"/>
              </w:rPr>
            </w:pPr>
            <w:r>
              <w:rPr>
                <w:rFonts w:ascii="Arial" w:cs="Arial" w:eastAsia="Arial" w:hAnsi="Arial"/>
                <w:sz w:val="17"/>
                <w:szCs w:val="17"/>
                <w:color w:val="auto"/>
              </w:rPr>
              <w:t>Percentage Rents</w:t>
            </w:r>
          </w:p>
        </w:tc>
        <w:tc>
          <w:tcPr>
            <w:tcW w:w="680" w:type="dxa"/>
            <w:vAlign w:val="bottom"/>
          </w:tcPr>
          <w:p>
            <w:pPr>
              <w:jc w:val="right"/>
              <w:spacing w:after="0"/>
              <w:rPr>
                <w:sz w:val="20"/>
                <w:szCs w:val="20"/>
                <w:color w:val="auto"/>
              </w:rPr>
            </w:pPr>
            <w:r>
              <w:rPr>
                <w:rFonts w:ascii="Arial" w:cs="Arial" w:eastAsia="Arial" w:hAnsi="Arial"/>
                <w:sz w:val="17"/>
                <w:szCs w:val="17"/>
                <w:color w:val="auto"/>
              </w:rPr>
              <w:t>3,836</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6,097</w:t>
            </w:r>
          </w:p>
        </w:tc>
        <w:tc>
          <w:tcPr>
            <w:tcW w:w="1040" w:type="dxa"/>
            <w:vAlign w:val="bottom"/>
            <w:gridSpan w:val="4"/>
          </w:tcPr>
          <w:p>
            <w:pPr>
              <w:jc w:val="right"/>
              <w:ind w:right="220"/>
              <w:spacing w:after="0"/>
              <w:rPr>
                <w:sz w:val="20"/>
                <w:szCs w:val="20"/>
                <w:color w:val="auto"/>
              </w:rPr>
            </w:pPr>
            <w:r>
              <w:rPr>
                <w:rFonts w:ascii="Arial" w:cs="Arial" w:eastAsia="Arial" w:hAnsi="Arial"/>
                <w:sz w:val="17"/>
                <w:szCs w:val="17"/>
                <w:color w:val="auto"/>
              </w:rPr>
              <w:t>844</w:t>
            </w:r>
          </w:p>
        </w:tc>
        <w:tc>
          <w:tcPr>
            <w:tcW w:w="600" w:type="dxa"/>
            <w:vAlign w:val="bottom"/>
          </w:tcPr>
          <w:p>
            <w:pPr>
              <w:jc w:val="right"/>
              <w:spacing w:after="0"/>
              <w:rPr>
                <w:sz w:val="20"/>
                <w:szCs w:val="20"/>
                <w:color w:val="auto"/>
              </w:rPr>
            </w:pPr>
            <w:r>
              <w:rPr>
                <w:rFonts w:ascii="Arial" w:cs="Arial" w:eastAsia="Arial" w:hAnsi="Arial"/>
                <w:sz w:val="17"/>
                <w:szCs w:val="17"/>
                <w:color w:val="auto"/>
              </w:rPr>
              <w:t>1,261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Rental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$271,975</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$238,563</w:t>
            </w: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$91,599</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$ 80,424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5219700</wp:posOffset>
            </wp:positionH>
            <wp:positionV relativeFrom="paragraph">
              <wp:posOffset>-171450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-171450</wp:posOffset>
            </wp:positionV>
            <wp:extent cx="198374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983740" cy="2984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6" w:lineRule="exact"/>
        <w:rPr>
          <w:sz w:val="20"/>
          <w:szCs w:val="20"/>
          <w:color w:val="auto"/>
        </w:rPr>
      </w:pPr>
    </w:p>
    <w:p>
      <w:pPr>
        <w:ind w:left="460" w:right="20" w:hanging="453"/>
        <w:spacing w:after="0" w:line="267"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For the nine months ended September 30, 2004 and September 30, 2003, minimum rents include $2.6 million and $1.0 million, respectively, to recognize rent on a straight-line basis and includes $1.1 million and $0.1 million, respectively, to recognize income for market lease adjustments on acquired properties in accordance with SFAS 141. For the three months ended September 30, 2004 and September 30, 2003, minimum rents include $0.7 million and $0.2 million, respectively, to recognize rent on a straight-line basis and includes $0.5 million and $0.1 million, respectively, to recognize income for market lease adjustments on acquired properties in accordance with SFAS 141. Residential minimum rents comprise the rents at Rollingwood Apartments, The Crest at Congressional Plaza Apartments and the residential rents at Santana Row.</w:t>
      </w:r>
    </w:p>
    <w:p>
      <w:pPr>
        <w:sectPr>
          <w:pgSz w:w="11900" w:h="16838" w:orient="portrait"/>
          <w:cols w:equalWidth="0" w:num="1">
            <w:col w:w="11420"/>
          </w:cols>
          <w:pgMar w:left="240" w:top="456"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Outstanding Debt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4"/>
              </w:rPr>
              <w:t>Interest Rate as of</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Maturity</w:t>
            </w:r>
          </w:p>
        </w:tc>
        <w:tc>
          <w:tcPr>
            <w:tcW w:w="13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0"/>
              </w:rPr>
              <w:t>September 30, 2004</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2"/>
          </w:tcPr>
          <w:p>
            <w:pPr>
              <w:jc w:val="right"/>
              <w:ind w:right="2140"/>
              <w:spacing w:after="0"/>
              <w:rPr>
                <w:sz w:val="20"/>
                <w:szCs w:val="20"/>
                <w:color w:val="auto"/>
              </w:rPr>
            </w:pPr>
            <w:r>
              <w:rPr>
                <w:rFonts w:ascii="Arial" w:cs="Arial" w:eastAsia="Arial" w:hAnsi="Arial"/>
                <w:sz w:val="13"/>
                <w:szCs w:val="13"/>
                <w:b w:val="1"/>
                <w:bCs w:val="1"/>
                <w:color w:val="auto"/>
              </w:rPr>
              <w:t>Balance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780" w:type="dxa"/>
            <w:vAlign w:val="bottom"/>
            <w:gridSpan w:val="3"/>
          </w:tcPr>
          <w:p>
            <w:pPr>
              <w:spacing w:after="0"/>
              <w:rPr>
                <w:sz w:val="20"/>
                <w:szCs w:val="20"/>
                <w:color w:val="auto"/>
              </w:rPr>
            </w:pPr>
            <w:r>
              <w:rPr>
                <w:rFonts w:ascii="Arial" w:cs="Arial" w:eastAsia="Arial" w:hAnsi="Arial"/>
                <w:sz w:val="13"/>
                <w:szCs w:val="13"/>
                <w:b w:val="1"/>
                <w:bCs w:val="1"/>
                <w:color w:val="auto"/>
              </w:rPr>
              <w:t>(in thousands)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60" w:type="dxa"/>
            <w:vAlign w:val="bottom"/>
            <w:gridSpan w:val="5"/>
            <w:shd w:val="clear" w:color="auto" w:fill="CCEEFF"/>
          </w:tcPr>
          <w:p>
            <w:pPr>
              <w:spacing w:after="0" w:line="174" w:lineRule="exact"/>
              <w:rPr>
                <w:sz w:val="20"/>
                <w:szCs w:val="20"/>
                <w:color w:val="auto"/>
              </w:rPr>
            </w:pPr>
            <w:r>
              <w:rPr>
                <w:rFonts w:ascii="Arial" w:cs="Arial" w:eastAsia="Arial" w:hAnsi="Arial"/>
                <w:sz w:val="17"/>
                <w:szCs w:val="17"/>
                <w:b w:val="1"/>
                <w:bCs w:val="1"/>
                <w:color w:val="auto"/>
              </w:rPr>
              <w:t>Mortgage Loans (a)</w:t>
            </w: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tcPr>
          <w:p>
            <w:pPr>
              <w:ind w:left="420"/>
              <w:spacing w:after="0"/>
              <w:rPr>
                <w:sz w:val="20"/>
                <w:szCs w:val="20"/>
                <w:color w:val="auto"/>
              </w:rPr>
            </w:pPr>
            <w:r>
              <w:rPr>
                <w:rFonts w:ascii="Arial" w:cs="Arial" w:eastAsia="Arial" w:hAnsi="Arial"/>
                <w:sz w:val="17"/>
                <w:szCs w:val="17"/>
                <w:i w:val="1"/>
                <w:iCs w:val="1"/>
                <w:color w:val="auto"/>
              </w:rPr>
              <w:t>Secured Fixed Rate</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Leesburg Plaza</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10/01/08</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6.510%</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9,900</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tcPr>
          <w:p>
            <w:pPr>
              <w:ind w:left="420"/>
              <w:spacing w:after="0"/>
              <w:rPr>
                <w:sz w:val="20"/>
                <w:szCs w:val="20"/>
                <w:color w:val="auto"/>
              </w:rPr>
            </w:pPr>
            <w:r>
              <w:rPr>
                <w:rFonts w:ascii="Arial" w:cs="Arial" w:eastAsia="Arial" w:hAnsi="Arial"/>
                <w:sz w:val="17"/>
                <w:szCs w:val="17"/>
                <w:color w:val="auto"/>
              </w:rPr>
              <w:t>164 E Houston Street</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10/06/08</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7.500%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200</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Mercer Mall</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09/01/09</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8.375%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4,653</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tcPr>
          <w:p>
            <w:pPr>
              <w:ind w:left="420"/>
              <w:spacing w:after="0"/>
              <w:rPr>
                <w:sz w:val="20"/>
                <w:szCs w:val="20"/>
                <w:color w:val="auto"/>
              </w:rPr>
            </w:pPr>
            <w:r>
              <w:rPr>
                <w:rFonts w:ascii="Arial" w:cs="Arial" w:eastAsia="Arial" w:hAnsi="Arial"/>
                <w:sz w:val="17"/>
                <w:szCs w:val="17"/>
                <w:color w:val="auto"/>
              </w:rPr>
              <w:t>Federal Plaza</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06/01/11</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6.750%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35,230</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Tyson’s Station</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09/01/11</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6,664</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tcPr>
          <w:p>
            <w:pPr>
              <w:ind w:left="420"/>
              <w:spacing w:after="0"/>
              <w:rPr>
                <w:sz w:val="20"/>
                <w:szCs w:val="20"/>
                <w:color w:val="auto"/>
              </w:rPr>
            </w:pPr>
            <w:r>
              <w:rPr>
                <w:rFonts w:ascii="Arial" w:cs="Arial" w:eastAsia="Arial" w:hAnsi="Arial"/>
                <w:sz w:val="17"/>
                <w:szCs w:val="17"/>
                <w:color w:val="auto"/>
              </w:rPr>
              <w:t>Barracks Road</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11/01/15</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7.950%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43,855</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Brick Plaza</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11/01/15</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7.415%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32,636</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tcPr>
          <w:p>
            <w:pPr>
              <w:ind w:left="420"/>
              <w:spacing w:after="0"/>
              <w:rPr>
                <w:sz w:val="20"/>
                <w:szCs w:val="20"/>
                <w:color w:val="auto"/>
              </w:rPr>
            </w:pPr>
            <w:r>
              <w:rPr>
                <w:rFonts w:ascii="Arial" w:cs="Arial" w:eastAsia="Arial" w:hAnsi="Arial"/>
                <w:sz w:val="17"/>
                <w:szCs w:val="17"/>
                <w:color w:val="auto"/>
              </w:rPr>
              <w:t>Hauppauge</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11/01/15</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7.950%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16,532</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Lawrence Park</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11/01/15</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7.950%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31,084</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tcPr>
          <w:p>
            <w:pPr>
              <w:ind w:left="420"/>
              <w:spacing w:after="0"/>
              <w:rPr>
                <w:sz w:val="20"/>
                <w:szCs w:val="20"/>
                <w:color w:val="auto"/>
              </w:rPr>
            </w:pPr>
            <w:r>
              <w:rPr>
                <w:rFonts w:ascii="Arial" w:cs="Arial" w:eastAsia="Arial" w:hAnsi="Arial"/>
                <w:sz w:val="17"/>
                <w:szCs w:val="17"/>
                <w:color w:val="auto"/>
              </w:rPr>
              <w:t>Wildwood</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11/01/15</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7.950%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27,323</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Wynnewood</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11/01/15</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7.950%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31,678</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60" w:type="dxa"/>
            <w:vAlign w:val="bottom"/>
            <w:gridSpan w:val="5"/>
          </w:tcPr>
          <w:p>
            <w:pPr>
              <w:ind w:left="420"/>
              <w:spacing w:after="0"/>
              <w:rPr>
                <w:sz w:val="20"/>
                <w:szCs w:val="20"/>
                <w:color w:val="auto"/>
              </w:rPr>
            </w:pPr>
            <w:r>
              <w:rPr>
                <w:rFonts w:ascii="Arial" w:cs="Arial" w:eastAsia="Arial" w:hAnsi="Arial"/>
                <w:sz w:val="17"/>
                <w:szCs w:val="17"/>
                <w:color w:val="auto"/>
              </w:rPr>
              <w:t>Mount Vernon</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04/15/28</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5.660%</w:t>
            </w:r>
          </w:p>
        </w:tc>
        <w:tc>
          <w:tcPr>
            <w:tcW w:w="640" w:type="dxa"/>
            <w:vAlign w:val="bottom"/>
            <w:gridSpan w:val="2"/>
          </w:tcPr>
          <w:p>
            <w:pPr>
              <w:ind w:left="100"/>
              <w:spacing w:after="0"/>
              <w:rPr>
                <w:sz w:val="20"/>
                <w:szCs w:val="20"/>
                <w:color w:val="auto"/>
              </w:rPr>
            </w:pPr>
            <w:r>
              <w:rPr>
                <w:rFonts w:ascii="Arial" w:cs="Arial" w:eastAsia="Arial" w:hAnsi="Arial"/>
                <w:sz w:val="17"/>
                <w:szCs w:val="17"/>
                <w:color w:val="auto"/>
              </w:rPr>
              <w:t>(b)</w:t>
            </w:r>
          </w:p>
        </w:tc>
        <w:tc>
          <w:tcPr>
            <w:tcW w:w="720" w:type="dxa"/>
            <w:vAlign w:val="bottom"/>
          </w:tcPr>
          <w:p>
            <w:pPr>
              <w:jc w:val="right"/>
              <w:spacing w:after="0"/>
              <w:rPr>
                <w:sz w:val="20"/>
                <w:szCs w:val="20"/>
                <w:color w:val="auto"/>
              </w:rPr>
            </w:pPr>
            <w:r>
              <w:rPr>
                <w:rFonts w:ascii="Arial" w:cs="Arial" w:eastAsia="Arial" w:hAnsi="Arial"/>
                <w:sz w:val="17"/>
                <w:szCs w:val="17"/>
                <w:color w:val="auto"/>
              </w:rPr>
              <w:t>12,894</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252,649</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5860" w:type="dxa"/>
            <w:vAlign w:val="bottom"/>
            <w:gridSpan w:val="5"/>
            <w:shd w:val="clear" w:color="auto" w:fill="CCEEFF"/>
          </w:tcPr>
          <w:p>
            <w:pPr>
              <w:spacing w:after="0" w:line="174" w:lineRule="exact"/>
              <w:rPr>
                <w:sz w:val="20"/>
                <w:szCs w:val="20"/>
                <w:color w:val="auto"/>
              </w:rPr>
            </w:pPr>
            <w:r>
              <w:rPr>
                <w:rFonts w:ascii="Arial" w:cs="Arial" w:eastAsia="Arial" w:hAnsi="Arial"/>
                <w:sz w:val="17"/>
                <w:szCs w:val="17"/>
                <w:b w:val="1"/>
                <w:bCs w:val="1"/>
                <w:color w:val="auto"/>
              </w:rPr>
              <w:t>Notes payable</w:t>
            </w: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tcPr>
          <w:p>
            <w:pPr>
              <w:ind w:left="420"/>
              <w:spacing w:after="0"/>
              <w:rPr>
                <w:sz w:val="20"/>
                <w:szCs w:val="20"/>
                <w:color w:val="auto"/>
              </w:rPr>
            </w:pPr>
            <w:r>
              <w:rPr>
                <w:rFonts w:ascii="Arial" w:cs="Arial" w:eastAsia="Arial" w:hAnsi="Arial"/>
                <w:sz w:val="17"/>
                <w:szCs w:val="17"/>
                <w:i w:val="1"/>
                <w:iCs w:val="1"/>
                <w:color w:val="auto"/>
              </w:rPr>
              <w:t>Unsecured Fixed Rate</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Perring Plaza Renovation</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01/31/13</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2,016</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tcPr>
          <w:p>
            <w:pPr>
              <w:ind w:left="420"/>
              <w:spacing w:after="0"/>
              <w:rPr>
                <w:sz w:val="20"/>
                <w:szCs w:val="20"/>
                <w:color w:val="auto"/>
              </w:rPr>
            </w:pPr>
            <w:r>
              <w:rPr>
                <w:rFonts w:ascii="Arial" w:cs="Arial" w:eastAsia="Arial" w:hAnsi="Arial"/>
                <w:sz w:val="17"/>
                <w:szCs w:val="17"/>
                <w:color w:val="auto"/>
              </w:rPr>
              <w:t>Other</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various</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various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45</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shd w:val="clear" w:color="auto" w:fill="CCEEFF"/>
          </w:tcPr>
          <w:p>
            <w:pPr>
              <w:ind w:left="420"/>
              <w:spacing w:after="0"/>
              <w:rPr>
                <w:sz w:val="20"/>
                <w:szCs w:val="20"/>
                <w:color w:val="auto"/>
              </w:rPr>
            </w:pPr>
            <w:r>
              <w:rPr>
                <w:rFonts w:ascii="Arial" w:cs="Arial" w:eastAsia="Arial" w:hAnsi="Arial"/>
                <w:sz w:val="17"/>
                <w:szCs w:val="17"/>
                <w:i w:val="1"/>
                <w:iCs w:val="1"/>
                <w:color w:val="auto"/>
              </w:rPr>
              <w:t>Unsecured Variable Rate</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tcPr>
          <w:p>
            <w:pPr>
              <w:ind w:left="420"/>
              <w:spacing w:after="0"/>
              <w:rPr>
                <w:sz w:val="20"/>
                <w:szCs w:val="20"/>
                <w:color w:val="auto"/>
              </w:rPr>
            </w:pPr>
            <w:r>
              <w:rPr>
                <w:rFonts w:ascii="Arial" w:cs="Arial" w:eastAsia="Arial" w:hAnsi="Arial"/>
                <w:sz w:val="17"/>
                <w:szCs w:val="17"/>
                <w:color w:val="auto"/>
              </w:rPr>
              <w:t>Revolving credit facility</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10/08/06</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LIBOR + .75%</w:t>
            </w:r>
          </w:p>
        </w:tc>
        <w:tc>
          <w:tcPr>
            <w:tcW w:w="640" w:type="dxa"/>
            <w:vAlign w:val="bottom"/>
            <w:gridSpan w:val="2"/>
          </w:tcPr>
          <w:p>
            <w:pPr>
              <w:ind w:left="140"/>
              <w:spacing w:after="0"/>
              <w:rPr>
                <w:sz w:val="20"/>
                <w:szCs w:val="20"/>
                <w:color w:val="auto"/>
              </w:rPr>
            </w:pPr>
            <w:r>
              <w:rPr>
                <w:rFonts w:ascii="Arial" w:cs="Arial" w:eastAsia="Arial" w:hAnsi="Arial"/>
                <w:sz w:val="17"/>
                <w:szCs w:val="17"/>
                <w:color w:val="auto"/>
              </w:rPr>
              <w:t>(c)</w:t>
            </w:r>
          </w:p>
        </w:tc>
        <w:tc>
          <w:tcPr>
            <w:tcW w:w="720" w:type="dxa"/>
            <w:vAlign w:val="bottom"/>
          </w:tcPr>
          <w:p>
            <w:pPr>
              <w:jc w:val="right"/>
              <w:spacing w:after="0"/>
              <w:rPr>
                <w:sz w:val="20"/>
                <w:szCs w:val="20"/>
                <w:color w:val="auto"/>
              </w:rPr>
            </w:pPr>
            <w:r>
              <w:rPr>
                <w:rFonts w:ascii="Arial" w:cs="Arial" w:eastAsia="Arial" w:hAnsi="Arial"/>
                <w:sz w:val="17"/>
                <w:szCs w:val="17"/>
                <w:color w:val="auto"/>
              </w:rPr>
              <w:t>50,000</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Term note with banks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10/08/06</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LIBOR + .95%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tcPr>
          <w:p>
            <w:pPr>
              <w:ind w:left="420"/>
              <w:spacing w:after="0"/>
              <w:rPr>
                <w:sz w:val="20"/>
                <w:szCs w:val="20"/>
                <w:color w:val="auto"/>
              </w:rPr>
            </w:pPr>
            <w:r>
              <w:rPr>
                <w:rFonts w:ascii="Arial" w:cs="Arial" w:eastAsia="Arial" w:hAnsi="Arial"/>
                <w:sz w:val="17"/>
                <w:szCs w:val="17"/>
                <w:color w:val="auto"/>
              </w:rPr>
              <w:t>Term note with banks</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10/08/08</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LIBOR + .95%</w:t>
            </w:r>
          </w:p>
        </w:tc>
        <w:tc>
          <w:tcPr>
            <w:tcW w:w="640" w:type="dxa"/>
            <w:vAlign w:val="bottom"/>
            <w:gridSpan w:val="2"/>
          </w:tcPr>
          <w:p>
            <w:pPr>
              <w:ind w:left="120"/>
              <w:spacing w:after="0"/>
              <w:rPr>
                <w:sz w:val="20"/>
                <w:szCs w:val="20"/>
                <w:color w:val="auto"/>
              </w:rPr>
            </w:pPr>
            <w:r>
              <w:rPr>
                <w:rFonts w:ascii="Arial" w:cs="Arial" w:eastAsia="Arial" w:hAnsi="Arial"/>
                <w:sz w:val="17"/>
                <w:szCs w:val="17"/>
                <w:color w:val="auto"/>
              </w:rPr>
              <w:t>(d)</w:t>
            </w:r>
          </w:p>
        </w:tc>
        <w:tc>
          <w:tcPr>
            <w:tcW w:w="720" w:type="dxa"/>
            <w:vAlign w:val="bottom"/>
          </w:tcPr>
          <w:p>
            <w:pPr>
              <w:jc w:val="right"/>
              <w:spacing w:after="0"/>
              <w:rPr>
                <w:sz w:val="20"/>
                <w:szCs w:val="20"/>
                <w:color w:val="auto"/>
              </w:rPr>
            </w:pPr>
            <w:r>
              <w:rPr>
                <w:rFonts w:ascii="Arial" w:cs="Arial" w:eastAsia="Arial" w:hAnsi="Arial"/>
                <w:sz w:val="17"/>
                <w:szCs w:val="17"/>
                <w:color w:val="auto"/>
              </w:rPr>
              <w:t>150,000</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Escondido (Municipal bonds)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10/01/16</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2.710%</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(e)</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9,400</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tcPr>
          <w:p>
            <w:pPr>
              <w:ind w:left="420"/>
              <w:spacing w:after="0"/>
              <w:rPr>
                <w:sz w:val="20"/>
                <w:szCs w:val="20"/>
                <w:color w:val="auto"/>
              </w:rPr>
            </w:pPr>
            <w:r>
              <w:rPr>
                <w:rFonts w:ascii="Arial" w:cs="Arial" w:eastAsia="Arial" w:hAnsi="Arial"/>
                <w:sz w:val="17"/>
                <w:szCs w:val="17"/>
                <w:i w:val="1"/>
                <w:iCs w:val="1"/>
                <w:color w:val="auto"/>
              </w:rPr>
              <w:t>Secured Fixed Rate</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Loehmann’s Redemption Note</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09/27/06</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2.34%</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(f)</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8,629</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320,090</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620" w:type="dxa"/>
            <w:vAlign w:val="bottom"/>
            <w:tcBorders>
              <w:bottom w:val="single" w:sz="8" w:color="auto"/>
            </w:tcBorders>
            <w:gridSpan w:val="3"/>
            <w:shd w:val="clear" w:color="auto" w:fill="CCEEFF"/>
          </w:tcPr>
          <w:p>
            <w:pPr>
              <w:spacing w:after="0" w:line="174" w:lineRule="exact"/>
              <w:rPr>
                <w:sz w:val="20"/>
                <w:szCs w:val="20"/>
                <w:color w:val="auto"/>
              </w:rPr>
            </w:pPr>
            <w:r>
              <w:rPr>
                <w:rFonts w:ascii="Arial" w:cs="Arial" w:eastAsia="Arial" w:hAnsi="Arial"/>
                <w:sz w:val="17"/>
                <w:szCs w:val="17"/>
                <w:b w:val="1"/>
                <w:bCs w:val="1"/>
                <w:color w:val="auto"/>
                <w:w w:val="88"/>
              </w:rPr>
              <w:t>Notes and Debentures</w:t>
            </w:r>
          </w:p>
        </w:tc>
        <w:tc>
          <w:tcPr>
            <w:tcW w:w="4240" w:type="dxa"/>
            <w:vAlign w:val="bottom"/>
            <w:tcBorders>
              <w:bottom w:val="single" w:sz="8" w:color="CCEEFF"/>
            </w:tcBorders>
            <w:gridSpan w:val="2"/>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tcPr>
          <w:p>
            <w:pPr>
              <w:ind w:left="420"/>
              <w:spacing w:after="0"/>
              <w:rPr>
                <w:sz w:val="20"/>
                <w:szCs w:val="20"/>
                <w:color w:val="auto"/>
              </w:rPr>
            </w:pPr>
            <w:r>
              <w:rPr>
                <w:rFonts w:ascii="Arial" w:cs="Arial" w:eastAsia="Arial" w:hAnsi="Arial"/>
                <w:sz w:val="17"/>
                <w:szCs w:val="17"/>
                <w:i w:val="1"/>
                <w:iCs w:val="1"/>
                <w:color w:val="auto"/>
              </w:rPr>
              <w:t>Unsecured Fixed Rate</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6.625% Notes (fixed)</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12/01/05</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6.625%</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tcPr>
          <w:p>
            <w:pPr>
              <w:ind w:left="420"/>
              <w:spacing w:after="0"/>
              <w:rPr>
                <w:sz w:val="20"/>
                <w:szCs w:val="20"/>
                <w:color w:val="auto"/>
              </w:rPr>
            </w:pPr>
            <w:r>
              <w:rPr>
                <w:rFonts w:ascii="Arial" w:cs="Arial" w:eastAsia="Arial" w:hAnsi="Arial"/>
                <w:sz w:val="17"/>
                <w:szCs w:val="17"/>
                <w:color w:val="auto"/>
              </w:rPr>
              <w:t>6.99% Medium Term Notes</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03/10/06</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6.894%</w:t>
            </w:r>
          </w:p>
        </w:tc>
        <w:tc>
          <w:tcPr>
            <w:tcW w:w="640" w:type="dxa"/>
            <w:vAlign w:val="bottom"/>
            <w:gridSpan w:val="2"/>
          </w:tcPr>
          <w:p>
            <w:pPr>
              <w:ind w:left="120"/>
              <w:spacing w:after="0"/>
              <w:rPr>
                <w:sz w:val="20"/>
                <w:szCs w:val="20"/>
                <w:color w:val="auto"/>
              </w:rPr>
            </w:pPr>
            <w:r>
              <w:rPr>
                <w:rFonts w:ascii="Arial" w:cs="Arial" w:eastAsia="Arial" w:hAnsi="Arial"/>
                <w:sz w:val="17"/>
                <w:szCs w:val="17"/>
                <w:color w:val="auto"/>
              </w:rPr>
              <w:t>(g)</w:t>
            </w:r>
          </w:p>
        </w:tc>
        <w:tc>
          <w:tcPr>
            <w:tcW w:w="720" w:type="dxa"/>
            <w:vAlign w:val="bottom"/>
          </w:tcPr>
          <w:p>
            <w:pPr>
              <w:jc w:val="right"/>
              <w:spacing w:after="0"/>
              <w:rPr>
                <w:sz w:val="20"/>
                <w:szCs w:val="20"/>
                <w:color w:val="auto"/>
              </w:rPr>
            </w:pPr>
            <w:r>
              <w:rPr>
                <w:rFonts w:ascii="Arial" w:cs="Arial" w:eastAsia="Arial" w:hAnsi="Arial"/>
                <w:sz w:val="17"/>
                <w:szCs w:val="17"/>
                <w:color w:val="auto"/>
              </w:rPr>
              <w:t>40,500</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6.125% Notes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11/15/07</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6.325%</w:t>
            </w: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(h)</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tcPr>
          <w:p>
            <w:pPr>
              <w:ind w:left="420"/>
              <w:spacing w:after="0"/>
              <w:rPr>
                <w:sz w:val="20"/>
                <w:szCs w:val="20"/>
                <w:color w:val="auto"/>
              </w:rPr>
            </w:pPr>
            <w:r>
              <w:rPr>
                <w:rFonts w:ascii="Arial" w:cs="Arial" w:eastAsia="Arial" w:hAnsi="Arial"/>
                <w:sz w:val="17"/>
                <w:szCs w:val="17"/>
                <w:color w:val="auto"/>
              </w:rPr>
              <w:t>8.75% Notes</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12/01/09</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8.750%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175,000</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4.50% Notes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02/15/11</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tcPr>
          <w:p>
            <w:pPr>
              <w:ind w:left="420"/>
              <w:spacing w:after="0"/>
              <w:rPr>
                <w:sz w:val="20"/>
                <w:szCs w:val="20"/>
                <w:color w:val="auto"/>
              </w:rPr>
            </w:pPr>
            <w:r>
              <w:rPr>
                <w:rFonts w:ascii="Arial" w:cs="Arial" w:eastAsia="Arial" w:hAnsi="Arial"/>
                <w:sz w:val="17"/>
                <w:szCs w:val="17"/>
                <w:color w:val="auto"/>
              </w:rPr>
              <w:t>7.48% Debentures</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08/15/26</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7.480%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50,000</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6.82% Medium Term Notes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3"/>
              </w:rPr>
              <w:t>08/01/27</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6.820%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Subtotal</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570,500</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860" w:type="dxa"/>
            <w:vAlign w:val="bottom"/>
            <w:gridSpan w:val="5"/>
          </w:tcPr>
          <w:p>
            <w:pPr>
              <w:ind w:left="420"/>
              <w:spacing w:after="0"/>
              <w:rPr>
                <w:sz w:val="20"/>
                <w:szCs w:val="20"/>
                <w:color w:val="auto"/>
              </w:rPr>
            </w:pPr>
            <w:r>
              <w:rPr>
                <w:rFonts w:ascii="Arial" w:cs="Arial" w:eastAsia="Arial" w:hAnsi="Arial"/>
                <w:sz w:val="17"/>
                <w:szCs w:val="17"/>
                <w:color w:val="auto"/>
              </w:rPr>
              <w:t>Less: Unamortized Discount</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2"/>
          </w:tcPr>
          <w:p>
            <w:pPr>
              <w:jc w:val="right"/>
              <w:ind w:right="1900"/>
              <w:spacing w:after="0"/>
              <w:rPr>
                <w:sz w:val="20"/>
                <w:szCs w:val="20"/>
                <w:color w:val="auto"/>
              </w:rPr>
            </w:pPr>
            <w:r>
              <w:rPr>
                <w:rFonts w:ascii="Arial" w:cs="Arial" w:eastAsia="Arial" w:hAnsi="Arial"/>
                <w:sz w:val="17"/>
                <w:szCs w:val="17"/>
                <w:color w:val="auto"/>
              </w:rPr>
              <w:t>(2,520)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567,980</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860" w:type="dxa"/>
            <w:vAlign w:val="bottom"/>
            <w:gridSpan w:val="5"/>
            <w:shd w:val="clear" w:color="auto" w:fill="CCEEFF"/>
          </w:tcPr>
          <w:p>
            <w:pPr>
              <w:spacing w:after="0" w:line="174" w:lineRule="exact"/>
              <w:rPr>
                <w:sz w:val="20"/>
                <w:szCs w:val="20"/>
                <w:color w:val="auto"/>
              </w:rPr>
            </w:pPr>
            <w:r>
              <w:rPr>
                <w:rFonts w:ascii="Arial" w:cs="Arial" w:eastAsia="Arial" w:hAnsi="Arial"/>
                <w:sz w:val="17"/>
                <w:szCs w:val="17"/>
                <w:b w:val="1"/>
                <w:bCs w:val="1"/>
                <w:color w:val="auto"/>
              </w:rPr>
              <w:t>Capital lease obligations</w:t>
            </w: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60" w:type="dxa"/>
            <w:vAlign w:val="bottom"/>
            <w:tcBorders>
              <w:top w:val="single" w:sz="8" w:color="CCEEFF"/>
            </w:tcBorders>
          </w:tcPr>
          <w:p>
            <w:pPr>
              <w:jc w:val="center"/>
              <w:ind w:right="1933"/>
              <w:spacing w:after="0"/>
              <w:rPr>
                <w:sz w:val="20"/>
                <w:szCs w:val="20"/>
                <w:color w:val="auto"/>
              </w:rPr>
            </w:pPr>
            <w:r>
              <w:rPr>
                <w:rFonts w:ascii="Arial" w:cs="Arial" w:eastAsia="Arial" w:hAnsi="Arial"/>
                <w:sz w:val="17"/>
                <w:szCs w:val="17"/>
                <w:color w:val="auto"/>
                <w:w w:val="94"/>
              </w:rPr>
              <w:t>Various through 2077 (i)</w:t>
            </w:r>
          </w:p>
        </w:tc>
        <w:tc>
          <w:tcPr>
            <w:tcW w:w="6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40" w:type="dxa"/>
            <w:vAlign w:val="bottom"/>
            <w:tcBorders>
              <w:top w:val="single" w:sz="8" w:color="CCEEFF"/>
            </w:tcBorders>
            <w:gridSpan w:val="2"/>
          </w:tcPr>
          <w:p>
            <w:pPr>
              <w:ind w:left="540"/>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159,182</w:t>
            </w:r>
          </w:p>
        </w:tc>
        <w:tc>
          <w:tcPr>
            <w:tcW w:w="19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60" w:type="dxa"/>
            <w:vAlign w:val="bottom"/>
            <w:gridSpan w:val="3"/>
            <w:shd w:val="clear" w:color="auto" w:fill="CCEEFF"/>
          </w:tcPr>
          <w:p>
            <w:pPr>
              <w:jc w:val="center"/>
              <w:ind w:right="1333"/>
              <w:spacing w:after="0"/>
              <w:rPr>
                <w:sz w:val="20"/>
                <w:szCs w:val="20"/>
                <w:color w:val="auto"/>
              </w:rPr>
            </w:pPr>
            <w:r>
              <w:rPr>
                <w:rFonts w:ascii="Arial" w:cs="Arial" w:eastAsia="Arial" w:hAnsi="Arial"/>
                <w:sz w:val="17"/>
                <w:szCs w:val="17"/>
                <w:b w:val="1"/>
                <w:bCs w:val="1"/>
                <w:color w:val="auto"/>
                <w:w w:val="94"/>
              </w:rPr>
              <w:t>Total Fixed and Variable Rate Debt</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2"/>
              </w:rPr>
              <w:t>1,299,901</w:t>
            </w: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-4617085</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-4617085</wp:posOffset>
            </wp:positionV>
            <wp:extent cx="2095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5992495</wp:posOffset>
            </wp:positionH>
            <wp:positionV relativeFrom="paragraph">
              <wp:posOffset>-4617085</wp:posOffset>
            </wp:positionV>
            <wp:extent cx="381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-2680335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-2680335</wp:posOffset>
            </wp:positionV>
            <wp:extent cx="2095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5992495</wp:posOffset>
            </wp:positionH>
            <wp:positionV relativeFrom="paragraph">
              <wp:posOffset>-2680335</wp:posOffset>
            </wp:positionV>
            <wp:extent cx="381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-742950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-742950</wp:posOffset>
            </wp:positionV>
            <wp:extent cx="2095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5992495</wp:posOffset>
            </wp:positionH>
            <wp:positionV relativeFrom="paragraph">
              <wp:posOffset>-742950</wp:posOffset>
            </wp:positionV>
            <wp:extent cx="381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-29210</wp:posOffset>
            </wp:positionV>
            <wp:extent cx="2095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5992495</wp:posOffset>
            </wp:positionH>
            <wp:positionV relativeFrom="paragraph">
              <wp:posOffset>-29210</wp:posOffset>
            </wp:positionV>
            <wp:extent cx="381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1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Average</w:t>
            </w:r>
          </w:p>
        </w:tc>
      </w:tr>
      <w:tr>
        <w:trPr>
          <w:trHeight w:val="147"/>
        </w:trPr>
        <w:tc>
          <w:tcPr>
            <w:tcW w:w="8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2"/>
              </w:rPr>
              <w:t>annualized</w:t>
            </w:r>
          </w:p>
        </w:tc>
      </w:tr>
      <w:tr>
        <w:trPr>
          <w:trHeight w:val="173"/>
        </w:trPr>
        <w:tc>
          <w:tcPr>
            <w:tcW w:w="8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interest rate</w:t>
            </w:r>
          </w:p>
        </w:tc>
      </w:tr>
      <w:tr>
        <w:trPr>
          <w:trHeight w:val="94"/>
        </w:trPr>
        <w:tc>
          <w:tcPr>
            <w:tcW w:w="8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0"/>
        </w:trPr>
        <w:tc>
          <w:tcPr>
            <w:tcW w:w="8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4"/>
        </w:trPr>
        <w:tc>
          <w:tcPr>
            <w:tcW w:w="8640" w:type="dxa"/>
            <w:vAlign w:val="bottom"/>
            <w:shd w:val="clear" w:color="auto" w:fill="CCEEFF"/>
          </w:tcPr>
          <w:p>
            <w:pPr>
              <w:jc w:val="center"/>
              <w:ind w:right="2873"/>
              <w:spacing w:after="0"/>
              <w:rPr>
                <w:sz w:val="20"/>
                <w:szCs w:val="20"/>
                <w:color w:val="auto"/>
              </w:rPr>
            </w:pPr>
            <w:r>
              <w:rPr>
                <w:rFonts w:ascii="Arial" w:cs="Arial" w:eastAsia="Arial" w:hAnsi="Arial"/>
                <w:sz w:val="17"/>
                <w:szCs w:val="17"/>
                <w:color w:val="auto"/>
                <w:w w:val="93"/>
              </w:rPr>
              <w:t>Total fixed rate debt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$ 1,140,501</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87.74%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6.89%</w:t>
            </w:r>
          </w:p>
        </w:tc>
      </w:tr>
      <w:tr>
        <w:trPr>
          <w:trHeight w:val="221"/>
        </w:trPr>
        <w:tc>
          <w:tcPr>
            <w:tcW w:w="8640" w:type="dxa"/>
            <w:vAlign w:val="bottom"/>
          </w:tcPr>
          <w:p>
            <w:pPr>
              <w:jc w:val="center"/>
              <w:ind w:right="2873"/>
              <w:spacing w:after="0"/>
              <w:rPr>
                <w:sz w:val="20"/>
                <w:szCs w:val="20"/>
                <w:color w:val="auto"/>
              </w:rPr>
            </w:pPr>
            <w:r>
              <w:rPr>
                <w:rFonts w:ascii="Arial" w:cs="Arial" w:eastAsia="Arial" w:hAnsi="Arial"/>
                <w:sz w:val="17"/>
                <w:szCs w:val="17"/>
                <w:color w:val="auto"/>
                <w:w w:val="92"/>
              </w:rPr>
              <w:t>Total variable rate debt (j)</w:t>
            </w:r>
          </w:p>
        </w:tc>
        <w:tc>
          <w:tcPr>
            <w:tcW w:w="820" w:type="dxa"/>
            <w:vAlign w:val="bottom"/>
          </w:tcPr>
          <w:p>
            <w:pPr>
              <w:jc w:val="right"/>
              <w:spacing w:after="0"/>
              <w:rPr>
                <w:sz w:val="20"/>
                <w:szCs w:val="20"/>
                <w:color w:val="auto"/>
              </w:rPr>
            </w:pPr>
            <w:r>
              <w:rPr>
                <w:rFonts w:ascii="Arial" w:cs="Arial" w:eastAsia="Arial" w:hAnsi="Arial"/>
                <w:sz w:val="17"/>
                <w:szCs w:val="17"/>
                <w:color w:val="auto"/>
              </w:rPr>
              <w:t>159,400</w:t>
            </w:r>
          </w:p>
        </w:tc>
        <w:tc>
          <w:tcPr>
            <w:tcW w:w="2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12.26%</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2.23%</w:t>
            </w:r>
          </w:p>
        </w:tc>
      </w:tr>
      <w:tr>
        <w:trPr>
          <w:trHeight w:val="100"/>
        </w:trPr>
        <w:tc>
          <w:tcPr>
            <w:tcW w:w="86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0"/>
        </w:trPr>
        <w:tc>
          <w:tcPr>
            <w:tcW w:w="8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4"/>
        </w:trPr>
        <w:tc>
          <w:tcPr>
            <w:tcW w:w="8640" w:type="dxa"/>
            <w:vAlign w:val="bottom"/>
            <w:shd w:val="clear" w:color="auto" w:fill="CCEEFF"/>
          </w:tcPr>
          <w:p>
            <w:pPr>
              <w:jc w:val="center"/>
              <w:ind w:right="2873"/>
              <w:spacing w:after="0"/>
              <w:rPr>
                <w:sz w:val="20"/>
                <w:szCs w:val="20"/>
                <w:color w:val="auto"/>
              </w:rPr>
            </w:pPr>
            <w:r>
              <w:rPr>
                <w:rFonts w:ascii="Arial" w:cs="Arial" w:eastAsia="Arial" w:hAnsi="Arial"/>
                <w:sz w:val="17"/>
                <w:szCs w:val="17"/>
                <w:color w:val="auto"/>
              </w:rPr>
              <w:t>TOTAL DEBT AND CAPITAL LEASES</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$ 1,299,901</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100.00%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6.31%</w:t>
            </w:r>
          </w:p>
        </w:tc>
      </w:tr>
      <w:tr>
        <w:trPr>
          <w:trHeight w:val="130"/>
        </w:trPr>
        <w:tc>
          <w:tcPr>
            <w:tcW w:w="864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-29210</wp:posOffset>
            </wp:positionV>
            <wp:extent cx="2095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5992495</wp:posOffset>
            </wp:positionH>
            <wp:positionV relativeFrom="paragraph">
              <wp:posOffset>-29210</wp:posOffset>
            </wp:positionV>
            <wp:extent cx="381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-29210</wp:posOffset>
            </wp:positionV>
            <wp:extent cx="381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6715125</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7148195</wp:posOffset>
            </wp:positionH>
            <wp:positionV relativeFrom="paragraph">
              <wp:posOffset>-29210</wp:posOffset>
            </wp:positionV>
            <wp:extent cx="381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100" cy="29845"/>
                    </a:xfrm>
                    <a:prstGeom prst="rect">
                      <a:avLst/>
                    </a:prstGeom>
                    <a:noFill/>
                  </pic:spPr>
                </pic:pic>
              </a:graphicData>
            </a:graphic>
          </wp:anchor>
        </w:drawing>
      </w:r>
    </w:p>
    <w:p>
      <w:pPr>
        <w:sectPr>
          <w:pgSz w:w="11900" w:h="16838" w:orient="portrait"/>
          <w:cols w:equalWidth="0" w:num="1">
            <w:col w:w="11420"/>
          </w:cols>
          <w:pgMar w:left="240" w:top="456" w:right="239" w:bottom="0" w:gutter="0" w:footer="0" w:header="0"/>
        </w:sectPr>
      </w:pPr>
    </w:p>
    <w:p>
      <w:pPr>
        <w:spacing w:after="0" w:line="385" w:lineRule="exact"/>
        <w:rPr>
          <w:sz w:val="20"/>
          <w:szCs w:val="20"/>
          <w:color w:val="auto"/>
        </w:rPr>
      </w:pPr>
    </w:p>
    <w:p>
      <w:pPr>
        <w:ind w:left="9000"/>
        <w:spacing w:after="0"/>
        <w:tabs>
          <w:tab w:leader="none" w:pos="10220" w:val="left"/>
        </w:tabs>
        <w:rPr>
          <w:sz w:val="20"/>
          <w:szCs w:val="20"/>
          <w:color w:val="auto"/>
        </w:rPr>
      </w:pPr>
      <w:r>
        <w:rPr>
          <w:rFonts w:ascii="Arial" w:cs="Arial" w:eastAsia="Arial" w:hAnsi="Arial"/>
          <w:sz w:val="13"/>
          <w:szCs w:val="13"/>
          <w:b w:val="1"/>
          <w:bCs w:val="1"/>
          <w:color w:val="auto"/>
        </w:rPr>
        <w:t>Nine months ended</w:t>
      </w:r>
      <w:r>
        <w:rPr>
          <w:sz w:val="20"/>
          <w:szCs w:val="20"/>
          <w:color w:val="auto"/>
        </w:rPr>
        <w:tab/>
      </w:r>
      <w:r>
        <w:rPr>
          <w:rFonts w:ascii="Arial" w:cs="Arial" w:eastAsia="Arial" w:hAnsi="Arial"/>
          <w:sz w:val="11"/>
          <w:szCs w:val="11"/>
          <w:b w:val="1"/>
          <w:bCs w:val="1"/>
          <w:color w:val="auto"/>
        </w:rPr>
        <w:t>Three months ended</w:t>
      </w:r>
    </w:p>
    <w:p>
      <w:pPr>
        <w:spacing w:after="0" w:line="12" w:lineRule="exact"/>
        <w:rPr>
          <w:sz w:val="20"/>
          <w:szCs w:val="20"/>
          <w:color w:val="auto"/>
        </w:rPr>
      </w:pPr>
    </w:p>
    <w:p>
      <w:pPr>
        <w:ind w:left="9140"/>
        <w:spacing w:after="0"/>
        <w:tabs>
          <w:tab w:leader="none" w:pos="10400" w:val="left"/>
        </w:tabs>
        <w:rPr>
          <w:sz w:val="20"/>
          <w:szCs w:val="20"/>
          <w:color w:val="auto"/>
        </w:rPr>
      </w:pPr>
      <w:r>
        <w:rPr>
          <w:rFonts w:ascii="Arial" w:cs="Arial" w:eastAsia="Arial" w:hAnsi="Arial"/>
          <w:sz w:val="13"/>
          <w:szCs w:val="13"/>
          <w:b w:val="1"/>
          <w:bCs w:val="1"/>
          <w:color w:val="auto"/>
        </w:rPr>
        <w:t>September 30,</w:t>
      </w:r>
      <w:r>
        <w:rPr>
          <w:sz w:val="20"/>
          <w:szCs w:val="20"/>
          <w:color w:val="auto"/>
        </w:rPr>
        <w:tab/>
      </w:r>
      <w:r>
        <w:rPr>
          <w:rFonts w:ascii="Arial" w:cs="Arial" w:eastAsia="Arial" w:hAnsi="Arial"/>
          <w:sz w:val="11"/>
          <w:szCs w:val="11"/>
          <w:b w:val="1"/>
          <w:bCs w:val="1"/>
          <w:color w:val="auto"/>
        </w:rPr>
        <w:t>September 30,</w:t>
      </w:r>
    </w:p>
    <w:p>
      <w:pPr>
        <w:sectPr>
          <w:pgSz w:w="11900" w:h="16838" w:orient="portrait"/>
          <w:cols w:equalWidth="0" w:num="1">
            <w:col w:w="11420"/>
          </w:cols>
          <w:pgMar w:left="240" w:top="456" w:right="239" w:bottom="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173"/>
        </w:trPr>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500" w:type="dxa"/>
            <w:vAlign w:val="bottom"/>
          </w:tcPr>
          <w:p>
            <w:pPr>
              <w:ind w:left="120"/>
              <w:spacing w:after="0"/>
              <w:rPr>
                <w:sz w:val="20"/>
                <w:szCs w:val="20"/>
                <w:color w:val="auto"/>
              </w:rPr>
            </w:pPr>
            <w:r>
              <w:rPr>
                <w:rFonts w:ascii="Arial" w:cs="Arial" w:eastAsia="Arial" w:hAnsi="Arial"/>
                <w:sz w:val="13"/>
                <w:szCs w:val="13"/>
                <w:b w:val="1"/>
                <w:bCs w:val="1"/>
                <w:color w:val="auto"/>
              </w:rPr>
              <w:t>2004</w:t>
            </w:r>
          </w:p>
        </w:tc>
        <w:tc>
          <w:tcPr>
            <w:tcW w:w="10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3"/>
                <w:szCs w:val="13"/>
                <w:b w:val="1"/>
                <w:bCs w:val="1"/>
                <w:color w:val="auto"/>
              </w:rPr>
              <w:t>2003</w:t>
            </w:r>
          </w:p>
        </w:tc>
        <w:tc>
          <w:tcPr>
            <w:tcW w:w="660" w:type="dxa"/>
            <w:vAlign w:val="bottom"/>
            <w:gridSpan w:val="2"/>
          </w:tcPr>
          <w:p>
            <w:pPr>
              <w:ind w:left="260"/>
              <w:spacing w:after="0"/>
              <w:rPr>
                <w:sz w:val="20"/>
                <w:szCs w:val="20"/>
                <w:color w:val="auto"/>
              </w:rPr>
            </w:pPr>
            <w:r>
              <w:rPr>
                <w:rFonts w:ascii="Arial" w:cs="Arial" w:eastAsia="Arial" w:hAnsi="Arial"/>
                <w:sz w:val="13"/>
                <w:szCs w:val="13"/>
                <w:b w:val="1"/>
                <w:bCs w:val="1"/>
                <w:color w:val="auto"/>
              </w:rPr>
              <w:t>2004</w:t>
            </w:r>
          </w:p>
        </w:tc>
        <w:tc>
          <w:tcPr>
            <w:tcW w:w="100" w:type="dxa"/>
            <w:vAlign w:val="bottom"/>
          </w:tcPr>
          <w:p>
            <w:pPr>
              <w:spacing w:after="0"/>
              <w:rPr>
                <w:sz w:val="15"/>
                <w:szCs w:val="15"/>
                <w:color w:val="auto"/>
              </w:rPr>
            </w:pPr>
          </w:p>
        </w:tc>
        <w:tc>
          <w:tcPr>
            <w:tcW w:w="560" w:type="dxa"/>
            <w:vAlign w:val="bottom"/>
          </w:tcPr>
          <w:p>
            <w:pPr>
              <w:jc w:val="right"/>
              <w:ind w:right="63"/>
              <w:spacing w:after="0"/>
              <w:rPr>
                <w:sz w:val="20"/>
                <w:szCs w:val="20"/>
                <w:color w:val="auto"/>
              </w:rPr>
            </w:pPr>
            <w:r>
              <w:rPr>
                <w:rFonts w:ascii="Arial" w:cs="Arial" w:eastAsia="Arial" w:hAnsi="Arial"/>
                <w:sz w:val="13"/>
                <w:szCs w:val="13"/>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898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Operational statistics</w:t>
            </w: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8980" w:type="dxa"/>
            <w:vAlign w:val="bottom"/>
            <w:gridSpan w:val="3"/>
            <w:vMerge w:val="continue"/>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98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rPr>
              <w:t>Ratio of EBITDA to combined fixed charges and preferred share dividends (k)</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2.37x</w:t>
            </w:r>
          </w:p>
        </w:tc>
        <w:tc>
          <w:tcPr>
            <w:tcW w:w="520" w:type="dxa"/>
            <w:vAlign w:val="bottom"/>
            <w:shd w:val="clear" w:color="auto" w:fill="CCEEFF"/>
          </w:tcPr>
          <w:p>
            <w:pPr>
              <w:ind w:left="140"/>
              <w:spacing w:after="0"/>
              <w:rPr>
                <w:sz w:val="20"/>
                <w:szCs w:val="20"/>
                <w:color w:val="auto"/>
              </w:rPr>
            </w:pPr>
            <w:r>
              <w:rPr>
                <w:rFonts w:ascii="Arial" w:cs="Arial" w:eastAsia="Arial" w:hAnsi="Arial"/>
                <w:sz w:val="17"/>
                <w:szCs w:val="17"/>
                <w:color w:val="auto"/>
                <w:w w:val="86"/>
              </w:rPr>
              <w:t>2.01x</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2.43x</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2.24x</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9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7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5849620</wp:posOffset>
            </wp:positionH>
            <wp:positionV relativeFrom="page">
              <wp:posOffset>88900</wp:posOffset>
            </wp:positionV>
            <wp:extent cx="15551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55511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u w:val="single" w:color="auto"/>
          <w:color w:val="auto"/>
        </w:rPr>
        <w:t>Notes:</w:t>
      </w:r>
    </w:p>
    <w:p>
      <w:pPr>
        <w:spacing w:after="0" w:line="26" w:lineRule="exact"/>
        <w:rPr>
          <w:sz w:val="20"/>
          <w:szCs w:val="20"/>
          <w:color w:val="auto"/>
        </w:rPr>
      </w:pPr>
    </w:p>
    <w:p>
      <w:pPr>
        <w:ind w:left="460" w:hanging="453"/>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Mortgage loans do not include the Trust’s 30% share of the $13.3 million debt of the partnership with Clarion Lion Properties Fund.</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lender has the option to call the loan on April 15, 2013 or anytime thereafter.</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$300 million three-year revolving credit facility, with a one-year extension option.</w:t>
      </w:r>
    </w:p>
    <w:p>
      <w:pPr>
        <w:spacing w:after="0" w:line="18" w:lineRule="exact"/>
        <w:rPr>
          <w:rFonts w:ascii="Arial" w:cs="Arial" w:eastAsia="Arial" w:hAnsi="Arial"/>
          <w:sz w:val="17"/>
          <w:szCs w:val="17"/>
          <w:color w:val="auto"/>
        </w:rPr>
      </w:pPr>
    </w:p>
    <w:p>
      <w:pPr>
        <w:ind w:left="460" w:right="120" w:hanging="453"/>
        <w:spacing w:after="0" w:line="262"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January, 2004, the Trust purchased an interest rate swap on this note thereby locking in the LIBOR portion of the interest rate at 2.401% through October 2006.</w:t>
      </w:r>
    </w:p>
    <w:p>
      <w:pPr>
        <w:spacing w:after="0" w:line="1" w:lineRule="exact"/>
        <w:rPr>
          <w:rFonts w:ascii="Arial" w:cs="Arial" w:eastAsia="Arial" w:hAnsi="Arial"/>
          <w:sz w:val="17"/>
          <w:szCs w:val="17"/>
          <w:color w:val="auto"/>
        </w:rPr>
      </w:pPr>
    </w:p>
    <w:p>
      <w:pPr>
        <w:ind w:left="460" w:right="60" w:hanging="453"/>
        <w:spacing w:after="0" w:line="262"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bonds bear interest at a variable rate determined weekly to be the interest rate which would enable the bonds to be remarketed at 100% of their principal amount. The weighted average interest rate for the nine months ended September 30, 2004 was 2.71</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 w:lineRule="exact"/>
        <w:rPr>
          <w:rFonts w:ascii="Arial" w:cs="Arial" w:eastAsia="Arial" w:hAnsi="Arial"/>
          <w:sz w:val="17"/>
          <w:szCs w:val="17"/>
          <w:color w:val="auto"/>
        </w:rPr>
      </w:pPr>
    </w:p>
    <w:p>
      <w:pPr>
        <w:ind w:left="460" w:right="740" w:hanging="453"/>
        <w:spacing w:after="0" w:line="262"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note bears interest at the Applicable Federal Rate established by the Internal Revenue Service for short-term debt instruments for the month of September, 2004.</w:t>
      </w:r>
    </w:p>
    <w:p>
      <w:pPr>
        <w:spacing w:after="0" w:line="1" w:lineRule="exact"/>
        <w:rPr>
          <w:rFonts w:ascii="Arial" w:cs="Arial" w:eastAsia="Arial" w:hAnsi="Arial"/>
          <w:sz w:val="17"/>
          <w:szCs w:val="17"/>
          <w:color w:val="auto"/>
        </w:rPr>
      </w:pPr>
    </w:p>
    <w:p>
      <w:pPr>
        <w:ind w:left="460" w:hanging="453"/>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Trust purchased interest rate swaps at issuance, thereby reducing the effective interest on these notes.</w:t>
      </w:r>
    </w:p>
    <w:p>
      <w:pPr>
        <w:spacing w:after="0" w:line="18" w:lineRule="exact"/>
        <w:rPr>
          <w:rFonts w:ascii="Arial" w:cs="Arial" w:eastAsia="Arial" w:hAnsi="Arial"/>
          <w:sz w:val="17"/>
          <w:szCs w:val="17"/>
          <w:color w:val="auto"/>
        </w:rPr>
      </w:pPr>
    </w:p>
    <w:p>
      <w:pPr>
        <w:ind w:left="460" w:right="540" w:hanging="453"/>
        <w:spacing w:after="0" w:line="262"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Trust purchased an interest rate lock to hedge this note offering. A loss of $1.5 million associated with this hedge is being amortized into the note offering thereby increasing the effective interest rate on these notes to 6.325%.</w:t>
      </w:r>
    </w:p>
    <w:p>
      <w:pPr>
        <w:spacing w:after="0" w:line="1" w:lineRule="exact"/>
        <w:rPr>
          <w:rFonts w:ascii="Arial" w:cs="Arial" w:eastAsia="Arial" w:hAnsi="Arial"/>
          <w:sz w:val="17"/>
          <w:szCs w:val="17"/>
          <w:color w:val="auto"/>
        </w:rPr>
      </w:pPr>
    </w:p>
    <w:p>
      <w:pPr>
        <w:ind w:left="460" w:right="520" w:hanging="453"/>
        <w:spacing w:after="0" w:line="262"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average annualized interest rate on capital lease obligations as of September 30, 2004 is 8.74% on a basis of minimum rent and 11.24% including performance based participation rent paid by the Trust.</w:t>
      </w:r>
    </w:p>
    <w:p>
      <w:pPr>
        <w:spacing w:after="0" w:line="1" w:lineRule="exact"/>
        <w:rPr>
          <w:rFonts w:ascii="Arial" w:cs="Arial" w:eastAsia="Arial" w:hAnsi="Arial"/>
          <w:sz w:val="17"/>
          <w:szCs w:val="17"/>
          <w:color w:val="auto"/>
        </w:rPr>
      </w:pPr>
    </w:p>
    <w:p>
      <w:pPr>
        <w:ind w:left="460" w:hanging="453"/>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Average annualized interest rate on variable rate debt as of September 30, 2004.</w:t>
      </w:r>
    </w:p>
    <w:p>
      <w:pPr>
        <w:spacing w:after="0" w:line="18" w:lineRule="exact"/>
        <w:rPr>
          <w:rFonts w:ascii="Arial" w:cs="Arial" w:eastAsia="Arial" w:hAnsi="Arial"/>
          <w:sz w:val="17"/>
          <w:szCs w:val="17"/>
          <w:color w:val="auto"/>
        </w:rPr>
      </w:pPr>
    </w:p>
    <w:p>
      <w:pPr>
        <w:ind w:left="460" w:right="380" w:hanging="453"/>
        <w:spacing w:after="0" w:line="326"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Earnings consist of income before gain (loss) on sale of real estate and fixed charges. Fixed charges consist of interest on borrowed funds (including capitalized interest). amortization of debt discount and expense and the portion of rent expense representing an interest factor. Preferred share dividends consist of dividends paid on outstanding Series A preferred shares (during the period ended September 30, 2003) and Series B preferred shares.</w:t>
      </w:r>
    </w:p>
    <w:p>
      <w:pPr>
        <w:sectPr>
          <w:pgSz w:w="11900" w:h="16838" w:orient="portrait"/>
          <w:cols w:equalWidth="0" w:num="1">
            <w:col w:w="11420"/>
          </w:cols>
          <w:pgMar w:left="240" w:top="247"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Debt Maturities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MATURITIES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Cumulative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5"/>
              <w:spacing w:after="0" w:line="148" w:lineRule="exact"/>
              <w:rPr>
                <w:sz w:val="20"/>
                <w:szCs w:val="20"/>
                <w:color w:val="auto"/>
              </w:rPr>
            </w:pPr>
            <w:r>
              <w:rPr>
                <w:rFonts w:ascii="Arial" w:cs="Arial" w:eastAsia="Arial" w:hAnsi="Arial"/>
                <w:sz w:val="13"/>
                <w:szCs w:val="13"/>
                <w:b w:val="1"/>
                <w:bCs w:val="1"/>
                <w:color w:val="auto"/>
                <w:w w:val="85"/>
              </w:rPr>
              <w:t>Scheduled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gridSpan w:val="2"/>
          </w:tcPr>
          <w:p>
            <w:pPr>
              <w:jc w:val="right"/>
              <w:ind w:right="640"/>
              <w:spacing w:after="0" w:line="148" w:lineRule="exact"/>
              <w:rPr>
                <w:sz w:val="20"/>
                <w:szCs w:val="20"/>
                <w:color w:val="auto"/>
              </w:rPr>
            </w:pPr>
            <w:r>
              <w:rPr>
                <w:rFonts w:ascii="Arial" w:cs="Arial" w:eastAsia="Arial" w:hAnsi="Arial"/>
                <w:sz w:val="13"/>
                <w:szCs w:val="13"/>
                <w:b w:val="1"/>
                <w:bCs w:val="1"/>
                <w:color w:val="auto"/>
              </w:rPr>
              <w:t>Percent of</w:t>
            </w:r>
          </w:p>
        </w:tc>
        <w:tc>
          <w:tcPr>
            <w:tcW w:w="96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1"/>
              </w:rPr>
              <w:t>Percent of</w:t>
            </w:r>
          </w:p>
        </w:tc>
        <w:tc>
          <w:tcPr>
            <w:tcW w:w="0" w:type="dxa"/>
            <w:vAlign w:val="bottom"/>
          </w:tcPr>
          <w:p>
            <w:pPr>
              <w:spacing w:after="0"/>
              <w:rPr>
                <w:sz w:val="1"/>
                <w:szCs w:val="1"/>
                <w:color w:val="auto"/>
              </w:rPr>
            </w:pPr>
          </w:p>
        </w:tc>
      </w:tr>
      <w:tr>
        <w:trPr>
          <w:trHeight w:val="173"/>
        </w:trPr>
        <w:tc>
          <w:tcPr>
            <w:tcW w:w="5420" w:type="dxa"/>
            <w:vAlign w:val="bottom"/>
            <w:gridSpan w:val="4"/>
          </w:tcPr>
          <w:p>
            <w:pPr>
              <w:spacing w:after="0"/>
              <w:rPr>
                <w:sz w:val="20"/>
                <w:szCs w:val="20"/>
                <w:color w:val="auto"/>
              </w:rPr>
            </w:pPr>
            <w:r>
              <w:rPr>
                <w:rFonts w:ascii="Arial" w:cs="Arial" w:eastAsia="Arial" w:hAnsi="Arial"/>
                <w:sz w:val="13"/>
                <w:szCs w:val="13"/>
                <w:b w:val="1"/>
                <w:bCs w:val="1"/>
                <w:color w:val="auto"/>
              </w:rPr>
              <w:t>Year</w:t>
            </w: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w w:val="93"/>
              </w:rPr>
              <w:t>Amortization</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4"/>
              </w:rPr>
              <w:t>Maturities</w:t>
            </w:r>
          </w:p>
        </w:tc>
        <w:tc>
          <w:tcPr>
            <w:tcW w:w="100" w:type="dxa"/>
            <w:vAlign w:val="bottom"/>
          </w:tcPr>
          <w:p>
            <w:pPr>
              <w:spacing w:after="0"/>
              <w:rPr>
                <w:sz w:val="15"/>
                <w:szCs w:val="15"/>
                <w:color w:val="auto"/>
              </w:rPr>
            </w:pPr>
          </w:p>
        </w:tc>
        <w:tc>
          <w:tcPr>
            <w:tcW w:w="1280" w:type="dxa"/>
            <w:vAlign w:val="bottom"/>
            <w:gridSpan w:val="2"/>
          </w:tcPr>
          <w:p>
            <w:pPr>
              <w:jc w:val="right"/>
              <w:ind w:right="840"/>
              <w:spacing w:after="0"/>
              <w:rPr>
                <w:sz w:val="20"/>
                <w:szCs w:val="20"/>
                <w:color w:val="auto"/>
              </w:rPr>
            </w:pPr>
            <w:r>
              <w:rPr>
                <w:rFonts w:ascii="Arial" w:cs="Arial" w:eastAsia="Arial" w:hAnsi="Arial"/>
                <w:sz w:val="13"/>
                <w:szCs w:val="13"/>
                <w:b w:val="1"/>
                <w:bCs w:val="1"/>
                <w:color w:val="auto"/>
              </w:rPr>
              <w:t>Total</w:t>
            </w:r>
          </w:p>
        </w:tc>
        <w:tc>
          <w:tcPr>
            <w:tcW w:w="13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94"/>
              </w:rPr>
              <w:t>Debt Expiring</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Debt Expiring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2004</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0.1%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7"/>
                <w:szCs w:val="17"/>
                <w:color w:val="auto"/>
              </w:rPr>
              <w:t>2005</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4,539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7"/>
                <w:szCs w:val="17"/>
                <w:color w:val="auto"/>
              </w:rPr>
              <w:t>40,000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44,539</w:t>
            </w:r>
          </w:p>
        </w:tc>
        <w:tc>
          <w:tcPr>
            <w:tcW w:w="5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7"/>
                <w:szCs w:val="17"/>
                <w:color w:val="auto"/>
              </w:rPr>
              <w:t>3.4%</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2006</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199,129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204,166(1)</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15.7%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7"/>
                <w:szCs w:val="17"/>
                <w:color w:val="auto"/>
              </w:rPr>
              <w:t>2007</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5,436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7"/>
                <w:szCs w:val="17"/>
                <w:color w:val="auto"/>
              </w:rPr>
              <w:t>149,216</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154,652</w:t>
            </w:r>
          </w:p>
        </w:tc>
        <w:tc>
          <w:tcPr>
            <w:tcW w:w="5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7"/>
                <w:szCs w:val="17"/>
                <w:color w:val="auto"/>
              </w:rPr>
              <w:t>11.9%</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31.1%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2008</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159,542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165,370</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12.7%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7"/>
                <w:szCs w:val="17"/>
                <w:color w:val="auto"/>
              </w:rPr>
              <w:t>2009</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6,164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7"/>
                <w:szCs w:val="17"/>
                <w:color w:val="auto"/>
              </w:rPr>
              <w:t>178,278</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184,442</w:t>
            </w:r>
          </w:p>
        </w:tc>
        <w:tc>
          <w:tcPr>
            <w:tcW w:w="5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7"/>
                <w:szCs w:val="17"/>
                <w:color w:val="auto"/>
              </w:rPr>
              <w:t>14.2%</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58.0%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2010</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6,639</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0.5%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7"/>
                <w:szCs w:val="17"/>
                <w:color w:val="auto"/>
              </w:rPr>
              <w:t>2011</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6,670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7"/>
                <w:szCs w:val="17"/>
                <w:color w:val="auto"/>
              </w:rPr>
              <w:t>111,606</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118,276</w:t>
            </w:r>
          </w:p>
        </w:tc>
        <w:tc>
          <w:tcPr>
            <w:tcW w:w="5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7"/>
                <w:szCs w:val="17"/>
                <w:color w:val="auto"/>
              </w:rPr>
              <w:t>9.1%</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67.6%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2012</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6,178</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0.5%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7"/>
                <w:szCs w:val="17"/>
                <w:color w:val="auto"/>
              </w:rPr>
              <w:t>2013</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4,672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4,672</w:t>
            </w:r>
          </w:p>
        </w:tc>
        <w:tc>
          <w:tcPr>
            <w:tcW w:w="5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7"/>
                <w:szCs w:val="17"/>
                <w:color w:val="auto"/>
              </w:rPr>
              <w:t>0.4%</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68.5%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Thereafter</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164,959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245,206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410,165</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31.5%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216,924</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87"/>
              </w:rPr>
              <w:t>1,082,977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1,299,901</w:t>
            </w: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100.00%</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3928110</wp:posOffset>
            </wp:positionH>
            <wp:positionV relativeFrom="paragraph">
              <wp:posOffset>-171450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3503295</wp:posOffset>
            </wp:positionH>
            <wp:positionV relativeFrom="paragraph">
              <wp:posOffset>-171450</wp:posOffset>
            </wp:positionV>
            <wp:extent cx="2095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-171450</wp:posOffset>
            </wp:positionV>
            <wp:extent cx="50546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05460" cy="29845"/>
                    </a:xfrm>
                    <a:prstGeom prst="rect">
                      <a:avLst/>
                    </a:prstGeom>
                    <a:noFill/>
                  </pic:spPr>
                </pic:pic>
              </a:graphicData>
            </a:graphic>
          </wp:anchor>
        </w:drawing>
        <w:drawing>
          <wp:anchor simplePos="0" relativeHeight="251657728" behindDoc="1" locked="0" layoutInCell="0" allowOverlap="1">
            <wp:simplePos x="0" y="0"/>
            <wp:positionH relativeFrom="column">
              <wp:posOffset>4913630</wp:posOffset>
            </wp:positionH>
            <wp:positionV relativeFrom="paragraph">
              <wp:posOffset>-171450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4964430</wp:posOffset>
            </wp:positionH>
            <wp:positionV relativeFrom="paragraph">
              <wp:posOffset>-171450</wp:posOffset>
            </wp:positionV>
            <wp:extent cx="2095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5406390</wp:posOffset>
            </wp:positionH>
            <wp:positionV relativeFrom="paragraph">
              <wp:posOffset>-171450</wp:posOffset>
            </wp:positionV>
            <wp:extent cx="381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5788660</wp:posOffset>
            </wp:positionH>
            <wp:positionV relativeFrom="paragraph">
              <wp:posOffset>-171450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-171450</wp:posOffset>
            </wp:positionV>
            <wp:extent cx="381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8100" cy="29845"/>
                    </a:xfrm>
                    <a:prstGeom prst="rect">
                      <a:avLst/>
                    </a:prstGeom>
                    <a:noFill/>
                  </pic:spPr>
                </pic:pic>
              </a:graphicData>
            </a:graphic>
          </wp:anchor>
        </w:drawing>
      </w:r>
    </w:p>
    <w:p>
      <w:pPr>
        <w:spacing w:after="0" w:line="79"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Note:</w:t>
      </w:r>
    </w:p>
    <w:p>
      <w:pPr>
        <w:spacing w:after="0" w:line="26" w:lineRule="exact"/>
        <w:rPr>
          <w:sz w:val="20"/>
          <w:szCs w:val="20"/>
          <w:color w:val="auto"/>
        </w:rPr>
      </w:pPr>
    </w:p>
    <w:p>
      <w:pPr>
        <w:ind w:left="460" w:hanging="453"/>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a $100 million term loan and $50 million drawn under the Trust’s $300 million three year revolving credit facility.</w:t>
      </w:r>
    </w:p>
    <w:p>
      <w:pPr>
        <w:sectPr>
          <w:pgSz w:w="11900" w:h="16838" w:orient="portrait"/>
          <w:cols w:equalWidth="0" w:num="1">
            <w:col w:w="11420"/>
          </w:cols>
          <w:pgMar w:left="240" w:top="456"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Redevelopment Opportunities and Santana Row</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7"/>
          <w:szCs w:val="17"/>
          <w:color w:val="auto"/>
        </w:rPr>
        <w:t>Current Redevelopment Opportunities (1) ($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160" w:type="dxa"/>
            <w:vAlign w:val="bottom"/>
            <w:gridSpan w:val="3"/>
          </w:tcPr>
          <w:p>
            <w:pPr>
              <w:ind w:left="120"/>
              <w:spacing w:after="0"/>
              <w:rPr>
                <w:sz w:val="20"/>
                <w:szCs w:val="20"/>
                <w:color w:val="auto"/>
              </w:rPr>
            </w:pPr>
            <w:r>
              <w:rPr>
                <w:rFonts w:ascii="Arial" w:cs="Arial" w:eastAsia="Arial" w:hAnsi="Arial"/>
                <w:sz w:val="13"/>
                <w:szCs w:val="13"/>
                <w:b w:val="1"/>
                <w:bCs w:val="1"/>
                <w:color w:val="auto"/>
              </w:rPr>
              <w:t>Location</w:t>
            </w:r>
          </w:p>
        </w:tc>
        <w:tc>
          <w:tcPr>
            <w:tcW w:w="9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87"/>
              </w:rPr>
              <w:t>Projected</w:t>
            </w:r>
          </w:p>
        </w:tc>
        <w:tc>
          <w:tcPr>
            <w:tcW w:w="560" w:type="dxa"/>
            <w:vAlign w:val="bottom"/>
            <w:gridSpan w:val="2"/>
          </w:tcPr>
          <w:p>
            <w:pPr>
              <w:spacing w:after="0"/>
              <w:rPr>
                <w:sz w:val="20"/>
                <w:szCs w:val="20"/>
                <w:color w:val="auto"/>
              </w:rPr>
            </w:pPr>
            <w:r>
              <w:rPr>
                <w:rFonts w:ascii="Arial" w:cs="Arial" w:eastAsia="Arial" w:hAnsi="Arial"/>
                <w:sz w:val="13"/>
                <w:szCs w:val="13"/>
                <w:b w:val="1"/>
                <w:bCs w:val="1"/>
                <w:color w:val="auto"/>
                <w:w w:val="91"/>
              </w:rPr>
              <w:t>Projected</w:t>
            </w:r>
          </w:p>
        </w:tc>
        <w:tc>
          <w:tcPr>
            <w:tcW w:w="200" w:type="dxa"/>
            <w:vAlign w:val="bottom"/>
          </w:tcPr>
          <w:p>
            <w:pPr>
              <w:spacing w:after="0"/>
              <w:rPr>
                <w:sz w:val="13"/>
                <w:szCs w:val="13"/>
                <w:color w:val="auto"/>
              </w:rPr>
            </w:pPr>
          </w:p>
        </w:tc>
        <w:tc>
          <w:tcPr>
            <w:tcW w:w="440" w:type="dxa"/>
            <w:vAlign w:val="bottom"/>
            <w:gridSpan w:val="3"/>
          </w:tcPr>
          <w:p>
            <w:pPr>
              <w:ind w:left="20"/>
              <w:spacing w:after="0"/>
              <w:rPr>
                <w:sz w:val="20"/>
                <w:szCs w:val="20"/>
                <w:color w:val="auto"/>
              </w:rPr>
            </w:pPr>
            <w:r>
              <w:rPr>
                <w:rFonts w:ascii="Arial" w:cs="Arial" w:eastAsia="Arial" w:hAnsi="Arial"/>
                <w:sz w:val="13"/>
                <w:szCs w:val="13"/>
                <w:b w:val="1"/>
                <w:bCs w:val="1"/>
                <w:color w:val="auto"/>
                <w:w w:val="89"/>
              </w:rPr>
              <w:t>Cost to</w:t>
            </w:r>
          </w:p>
        </w:tc>
        <w:tc>
          <w:tcPr>
            <w:tcW w:w="0" w:type="dxa"/>
            <w:vAlign w:val="bottom"/>
          </w:tcPr>
          <w:p>
            <w:pPr>
              <w:spacing w:after="0"/>
              <w:rPr>
                <w:sz w:val="1"/>
                <w:szCs w:val="1"/>
                <w:color w:val="auto"/>
              </w:rPr>
            </w:pPr>
          </w:p>
        </w:tc>
      </w:tr>
      <w:tr>
        <w:trPr>
          <w:trHeight w:val="120"/>
        </w:trPr>
        <w:tc>
          <w:tcPr>
            <w:tcW w:w="3220" w:type="dxa"/>
            <w:vAlign w:val="bottom"/>
            <w:gridSpan w:val="3"/>
          </w:tcPr>
          <w:p>
            <w:pPr>
              <w:spacing w:after="0" w:line="113" w:lineRule="exact"/>
              <w:rPr>
                <w:sz w:val="20"/>
                <w:szCs w:val="20"/>
                <w:color w:val="auto"/>
              </w:rPr>
            </w:pPr>
            <w:r>
              <w:rPr>
                <w:rFonts w:ascii="Arial" w:cs="Arial" w:eastAsia="Arial" w:hAnsi="Arial"/>
                <w:sz w:val="13"/>
                <w:szCs w:val="13"/>
                <w:b w:val="1"/>
                <w:bCs w:val="1"/>
                <w:color w:val="auto"/>
              </w:rPr>
              <w:t>Property</w:t>
            </w:r>
          </w:p>
        </w:tc>
        <w:tc>
          <w:tcPr>
            <w:tcW w:w="12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400" w:type="dxa"/>
            <w:vAlign w:val="bottom"/>
          </w:tcPr>
          <w:p>
            <w:pPr>
              <w:spacing w:after="0"/>
              <w:rPr>
                <w:sz w:val="10"/>
                <w:szCs w:val="10"/>
                <w:color w:val="auto"/>
              </w:rPr>
            </w:pPr>
          </w:p>
        </w:tc>
        <w:tc>
          <w:tcPr>
            <w:tcW w:w="2960" w:type="dxa"/>
            <w:vAlign w:val="bottom"/>
            <w:gridSpan w:val="2"/>
          </w:tcPr>
          <w:p>
            <w:pPr>
              <w:spacing w:after="0" w:line="113" w:lineRule="exact"/>
              <w:rPr>
                <w:sz w:val="20"/>
                <w:szCs w:val="20"/>
                <w:color w:val="auto"/>
              </w:rPr>
            </w:pPr>
            <w:r>
              <w:rPr>
                <w:rFonts w:ascii="Arial" w:cs="Arial" w:eastAsia="Arial" w:hAnsi="Arial"/>
                <w:sz w:val="13"/>
                <w:szCs w:val="13"/>
                <w:b w:val="1"/>
                <w:bCs w:val="1"/>
                <w:color w:val="auto"/>
              </w:rPr>
              <w:t>Opportunity</w:t>
            </w:r>
          </w:p>
        </w:tc>
        <w:tc>
          <w:tcPr>
            <w:tcW w:w="900" w:type="dxa"/>
            <w:vAlign w:val="bottom"/>
            <w:gridSpan w:val="2"/>
          </w:tcPr>
          <w:p>
            <w:pPr>
              <w:jc w:val="right"/>
              <w:ind w:right="420"/>
              <w:spacing w:after="0" w:line="113" w:lineRule="exact"/>
              <w:rPr>
                <w:sz w:val="20"/>
                <w:szCs w:val="20"/>
                <w:color w:val="auto"/>
              </w:rPr>
            </w:pPr>
            <w:r>
              <w:rPr>
                <w:rFonts w:ascii="Arial" w:cs="Arial" w:eastAsia="Arial" w:hAnsi="Arial"/>
                <w:sz w:val="13"/>
                <w:szCs w:val="13"/>
                <w:b w:val="1"/>
                <w:bCs w:val="1"/>
                <w:color w:val="auto"/>
              </w:rPr>
              <w:t>ROI (2)</w:t>
            </w:r>
          </w:p>
        </w:tc>
        <w:tc>
          <w:tcPr>
            <w:tcW w:w="560" w:type="dxa"/>
            <w:vAlign w:val="bottom"/>
            <w:gridSpan w:val="2"/>
          </w:tcPr>
          <w:p>
            <w:pPr>
              <w:ind w:left="60"/>
              <w:spacing w:after="0" w:line="113" w:lineRule="exact"/>
              <w:rPr>
                <w:sz w:val="20"/>
                <w:szCs w:val="20"/>
                <w:color w:val="auto"/>
              </w:rPr>
            </w:pPr>
            <w:r>
              <w:rPr>
                <w:rFonts w:ascii="Arial" w:cs="Arial" w:eastAsia="Arial" w:hAnsi="Arial"/>
                <w:sz w:val="13"/>
                <w:szCs w:val="13"/>
                <w:b w:val="1"/>
                <w:bCs w:val="1"/>
                <w:color w:val="auto"/>
                <w:w w:val="99"/>
              </w:rPr>
              <w:t>Cost (1)</w:t>
            </w:r>
          </w:p>
        </w:tc>
        <w:tc>
          <w:tcPr>
            <w:tcW w:w="200" w:type="dxa"/>
            <w:vAlign w:val="bottom"/>
          </w:tcPr>
          <w:p>
            <w:pPr>
              <w:spacing w:after="0"/>
              <w:rPr>
                <w:sz w:val="10"/>
                <w:szCs w:val="10"/>
                <w:color w:val="auto"/>
              </w:rPr>
            </w:pPr>
          </w:p>
        </w:tc>
        <w:tc>
          <w:tcPr>
            <w:tcW w:w="440" w:type="dxa"/>
            <w:vAlign w:val="bottom"/>
            <w:gridSpan w:val="3"/>
          </w:tcPr>
          <w:p>
            <w:pPr>
              <w:jc w:val="right"/>
              <w:ind w:right="100"/>
              <w:spacing w:after="0" w:line="113" w:lineRule="exact"/>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w w:val="91"/>
              </w:rPr>
              <w:t>Projects Anticipated to Stabilize in 2004 (3)</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Arial" w:cs="Arial" w:eastAsia="Arial" w:hAnsi="Arial"/>
                <w:sz w:val="17"/>
                <w:szCs w:val="17"/>
                <w:color w:val="auto"/>
              </w:rPr>
              <w:t>Santana Row Phase II</w:t>
            </w:r>
          </w:p>
        </w:tc>
        <w:tc>
          <w:tcPr>
            <w:tcW w:w="3160" w:type="dxa"/>
            <w:vAlign w:val="bottom"/>
            <w:gridSpan w:val="3"/>
          </w:tcPr>
          <w:p>
            <w:pPr>
              <w:ind w:left="120"/>
              <w:spacing w:after="0"/>
              <w:rPr>
                <w:sz w:val="20"/>
                <w:szCs w:val="20"/>
                <w:color w:val="auto"/>
              </w:rPr>
            </w:pPr>
            <w:r>
              <w:rPr>
                <w:rFonts w:ascii="Arial" w:cs="Arial" w:eastAsia="Arial" w:hAnsi="Arial"/>
                <w:sz w:val="17"/>
                <w:szCs w:val="17"/>
                <w:color w:val="auto"/>
              </w:rPr>
              <w:t>San Jose, CA</w:t>
            </w:r>
          </w:p>
        </w:tc>
        <w:tc>
          <w:tcPr>
            <w:tcW w:w="2960" w:type="dxa"/>
            <w:vAlign w:val="bottom"/>
            <w:gridSpan w:val="2"/>
          </w:tcPr>
          <w:p>
            <w:pPr>
              <w:spacing w:after="0"/>
              <w:rPr>
                <w:sz w:val="20"/>
                <w:szCs w:val="20"/>
                <w:color w:val="auto"/>
              </w:rPr>
            </w:pPr>
            <w:r>
              <w:rPr>
                <w:rFonts w:ascii="Arial" w:cs="Arial" w:eastAsia="Arial" w:hAnsi="Arial"/>
                <w:sz w:val="17"/>
                <w:szCs w:val="17"/>
                <w:color w:val="auto"/>
              </w:rPr>
              <w:t>Two new pad sites (Best Buy and The</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7"/>
                <w:szCs w:val="17"/>
                <w:color w:val="auto"/>
              </w:rPr>
              <w:t>Container Store) and additional</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17"/>
                <w:szCs w:val="17"/>
                <w:color w:val="auto"/>
              </w:rPr>
              <w:t>parking</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17%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26.6</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w w:val="90"/>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Santana Row Phase III</w:t>
            </w:r>
          </w:p>
        </w:tc>
        <w:tc>
          <w:tcPr>
            <w:tcW w:w="316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San Jose, CA</w:t>
            </w:r>
          </w:p>
        </w:tc>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Pad site (theater building)</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Arial" w:cs="Arial" w:eastAsia="Arial" w:hAnsi="Arial"/>
                <w:sz w:val="17"/>
                <w:szCs w:val="17"/>
                <w:color w:val="auto"/>
              </w:rPr>
              <w:t>Garden Market</w:t>
            </w:r>
          </w:p>
        </w:tc>
        <w:tc>
          <w:tcPr>
            <w:tcW w:w="3160" w:type="dxa"/>
            <w:vAlign w:val="bottom"/>
            <w:gridSpan w:val="3"/>
          </w:tcPr>
          <w:p>
            <w:pPr>
              <w:ind w:left="120"/>
              <w:spacing w:after="0"/>
              <w:rPr>
                <w:sz w:val="20"/>
                <w:szCs w:val="20"/>
                <w:color w:val="auto"/>
              </w:rPr>
            </w:pPr>
            <w:r>
              <w:rPr>
                <w:rFonts w:ascii="Arial" w:cs="Arial" w:eastAsia="Arial" w:hAnsi="Arial"/>
                <w:sz w:val="17"/>
                <w:szCs w:val="17"/>
                <w:color w:val="auto"/>
              </w:rPr>
              <w:t>Western Springs, IL</w:t>
            </w:r>
          </w:p>
        </w:tc>
        <w:tc>
          <w:tcPr>
            <w:tcW w:w="2960" w:type="dxa"/>
            <w:vAlign w:val="bottom"/>
            <w:gridSpan w:val="2"/>
          </w:tcPr>
          <w:p>
            <w:pPr>
              <w:spacing w:after="0"/>
              <w:rPr>
                <w:sz w:val="20"/>
                <w:szCs w:val="20"/>
                <w:color w:val="auto"/>
              </w:rPr>
            </w:pPr>
            <w:r>
              <w:rPr>
                <w:rFonts w:ascii="Arial" w:cs="Arial" w:eastAsia="Arial" w:hAnsi="Arial"/>
                <w:sz w:val="17"/>
                <w:szCs w:val="17"/>
                <w:color w:val="auto"/>
              </w:rPr>
              <w:t>Expansion, re-tenanting (new grocer)</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17"/>
                <w:szCs w:val="17"/>
                <w:color w:val="auto"/>
              </w:rPr>
              <w:t>and new pad site (existing drug store)</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2.6</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Bethesda Row</w:t>
            </w:r>
          </w:p>
        </w:tc>
        <w:tc>
          <w:tcPr>
            <w:tcW w:w="316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Bethesda, MD</w:t>
            </w:r>
          </w:p>
        </w:tc>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New pad site (fitness equipment)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Arial" w:cs="Arial" w:eastAsia="Arial" w:hAnsi="Arial"/>
                <w:sz w:val="17"/>
                <w:szCs w:val="17"/>
                <w:color w:val="auto"/>
              </w:rPr>
              <w:t>Old Town Center</w:t>
            </w:r>
          </w:p>
        </w:tc>
        <w:tc>
          <w:tcPr>
            <w:tcW w:w="3160" w:type="dxa"/>
            <w:vAlign w:val="bottom"/>
            <w:gridSpan w:val="3"/>
          </w:tcPr>
          <w:p>
            <w:pPr>
              <w:ind w:left="120"/>
              <w:spacing w:after="0"/>
              <w:rPr>
                <w:sz w:val="20"/>
                <w:szCs w:val="20"/>
                <w:color w:val="auto"/>
              </w:rPr>
            </w:pPr>
            <w:r>
              <w:rPr>
                <w:rFonts w:ascii="Arial" w:cs="Arial" w:eastAsia="Arial" w:hAnsi="Arial"/>
                <w:sz w:val="17"/>
                <w:szCs w:val="17"/>
                <w:color w:val="auto"/>
              </w:rPr>
              <w:t>Los Gatos, CA</w:t>
            </w:r>
          </w:p>
        </w:tc>
        <w:tc>
          <w:tcPr>
            <w:tcW w:w="2960" w:type="dxa"/>
            <w:vAlign w:val="bottom"/>
            <w:gridSpan w:val="2"/>
          </w:tcPr>
          <w:p>
            <w:pPr>
              <w:spacing w:after="0"/>
              <w:rPr>
                <w:sz w:val="20"/>
                <w:szCs w:val="20"/>
                <w:color w:val="auto"/>
              </w:rPr>
            </w:pPr>
            <w:r>
              <w:rPr>
                <w:rFonts w:ascii="Arial" w:cs="Arial" w:eastAsia="Arial" w:hAnsi="Arial"/>
                <w:sz w:val="17"/>
                <w:szCs w:val="17"/>
                <w:color w:val="auto"/>
              </w:rPr>
              <w:t>Re-tenanting (office) and site</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17"/>
                <w:szCs w:val="17"/>
                <w:color w:val="auto"/>
              </w:rPr>
              <w:t>improvements</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0.8</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Shops at Willow Lawn</w:t>
            </w:r>
          </w:p>
        </w:tc>
        <w:tc>
          <w:tcPr>
            <w:tcW w:w="316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Richmond, VA</w:t>
            </w:r>
          </w:p>
        </w:tc>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Grocer expansion</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7"/>
                <w:szCs w:val="17"/>
                <w:color w:val="auto"/>
              </w:rPr>
              <w:t>Laurel</w:t>
            </w:r>
          </w:p>
        </w:tc>
        <w:tc>
          <w:tcPr>
            <w:tcW w:w="3160" w:type="dxa"/>
            <w:vAlign w:val="bottom"/>
            <w:gridSpan w:val="3"/>
          </w:tcPr>
          <w:p>
            <w:pPr>
              <w:ind w:left="120"/>
              <w:spacing w:after="0"/>
              <w:rPr>
                <w:sz w:val="20"/>
                <w:szCs w:val="20"/>
                <w:color w:val="auto"/>
              </w:rPr>
            </w:pPr>
            <w:r>
              <w:rPr>
                <w:rFonts w:ascii="Arial" w:cs="Arial" w:eastAsia="Arial" w:hAnsi="Arial"/>
                <w:sz w:val="17"/>
                <w:szCs w:val="17"/>
                <w:color w:val="auto"/>
              </w:rPr>
              <w:t>Laurel, MD</w:t>
            </w:r>
          </w:p>
        </w:tc>
        <w:tc>
          <w:tcPr>
            <w:tcW w:w="2960" w:type="dxa"/>
            <w:vAlign w:val="bottom"/>
            <w:gridSpan w:val="2"/>
          </w:tcPr>
          <w:p>
            <w:pPr>
              <w:spacing w:after="0"/>
              <w:rPr>
                <w:sz w:val="20"/>
                <w:szCs w:val="20"/>
                <w:color w:val="auto"/>
              </w:rPr>
            </w:pPr>
            <w:r>
              <w:rPr>
                <w:rFonts w:ascii="Arial" w:cs="Arial" w:eastAsia="Arial" w:hAnsi="Arial"/>
                <w:sz w:val="17"/>
                <w:szCs w:val="17"/>
                <w:color w:val="auto"/>
              </w:rPr>
              <w:t>Grocer expansion</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&gt;20%</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0.4</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Wildwood</w:t>
            </w:r>
          </w:p>
        </w:tc>
        <w:tc>
          <w:tcPr>
            <w:tcW w:w="316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Bethesda, MD</w:t>
            </w:r>
          </w:p>
        </w:tc>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Pad expansion and re-tenanting (bank)</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&gt;20%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00" w:type="dxa"/>
            <w:vAlign w:val="bottom"/>
            <w:gridSpan w:val="2"/>
          </w:tcPr>
          <w:p>
            <w:pPr>
              <w:spacing w:after="0"/>
              <w:rPr>
                <w:sz w:val="20"/>
                <w:szCs w:val="20"/>
                <w:color w:val="auto"/>
              </w:rPr>
            </w:pPr>
            <w:r>
              <w:rPr>
                <w:rFonts w:ascii="Arial" w:cs="Arial" w:eastAsia="Arial" w:hAnsi="Arial"/>
                <w:sz w:val="17"/>
                <w:szCs w:val="17"/>
                <w:color w:val="auto"/>
              </w:rPr>
              <w:t>Lawrence Park</w:t>
            </w:r>
          </w:p>
        </w:tc>
        <w:tc>
          <w:tcPr>
            <w:tcW w:w="3160" w:type="dxa"/>
            <w:vAlign w:val="bottom"/>
            <w:gridSpan w:val="3"/>
          </w:tcPr>
          <w:p>
            <w:pPr>
              <w:ind w:left="120"/>
              <w:spacing w:after="0"/>
              <w:rPr>
                <w:sz w:val="20"/>
                <w:szCs w:val="20"/>
                <w:color w:val="auto"/>
              </w:rPr>
            </w:pPr>
            <w:r>
              <w:rPr>
                <w:rFonts w:ascii="Arial" w:cs="Arial" w:eastAsia="Arial" w:hAnsi="Arial"/>
                <w:sz w:val="17"/>
                <w:szCs w:val="17"/>
                <w:color w:val="auto"/>
              </w:rPr>
              <w:t>Broomall, PA</w:t>
            </w:r>
          </w:p>
        </w:tc>
        <w:tc>
          <w:tcPr>
            <w:tcW w:w="2960" w:type="dxa"/>
            <w:vAlign w:val="bottom"/>
            <w:gridSpan w:val="2"/>
          </w:tcPr>
          <w:p>
            <w:pPr>
              <w:spacing w:after="0"/>
              <w:rPr>
                <w:sz w:val="20"/>
                <w:szCs w:val="20"/>
                <w:color w:val="auto"/>
              </w:rPr>
            </w:pPr>
            <w:r>
              <w:rPr>
                <w:rFonts w:ascii="Arial" w:cs="Arial" w:eastAsia="Arial" w:hAnsi="Arial"/>
                <w:sz w:val="17"/>
                <w:szCs w:val="17"/>
                <w:color w:val="auto"/>
              </w:rPr>
              <w:t>Grocer expansion</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0.3</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00" w:type="dxa"/>
            <w:vAlign w:val="bottom"/>
            <w:gridSpan w:val="2"/>
          </w:tcPr>
          <w:p>
            <w:pPr>
              <w:spacing w:after="0"/>
              <w:rPr>
                <w:sz w:val="8"/>
                <w:szCs w:val="8"/>
                <w:color w:val="auto"/>
              </w:rPr>
            </w:pPr>
          </w:p>
        </w:tc>
        <w:tc>
          <w:tcPr>
            <w:tcW w:w="6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gridSpan w:val="5"/>
            <w:shd w:val="clear" w:color="auto" w:fill="CCEEFF"/>
          </w:tcPr>
          <w:p>
            <w:pPr>
              <w:ind w:left="420"/>
              <w:spacing w:after="0"/>
              <w:rPr>
                <w:sz w:val="20"/>
                <w:szCs w:val="20"/>
                <w:color w:val="auto"/>
              </w:rPr>
            </w:pPr>
            <w:r>
              <w:rPr>
                <w:rFonts w:ascii="Arial" w:cs="Arial" w:eastAsia="Arial" w:hAnsi="Arial"/>
                <w:sz w:val="17"/>
                <w:szCs w:val="17"/>
                <w:b w:val="1"/>
                <w:bCs w:val="1"/>
                <w:i w:val="1"/>
                <w:iCs w:val="1"/>
                <w:color w:val="auto"/>
              </w:rPr>
              <w:t>Subtotal: Projects Anticipated to Stabilize in 2004 (3) (4)</w:t>
            </w:r>
          </w:p>
        </w:tc>
        <w:tc>
          <w:tcPr>
            <w:tcW w:w="9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33.3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w w:val="91"/>
              </w:rPr>
              <w:t>Projects Anticipated to Stabilize in 2005 (3)</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Arial" w:cs="Arial" w:eastAsia="Arial" w:hAnsi="Arial"/>
                <w:sz w:val="17"/>
                <w:szCs w:val="17"/>
                <w:color w:val="auto"/>
              </w:rPr>
              <w:t>Houston Street</w:t>
            </w:r>
          </w:p>
        </w:tc>
        <w:tc>
          <w:tcPr>
            <w:tcW w:w="3160" w:type="dxa"/>
            <w:vAlign w:val="bottom"/>
            <w:gridSpan w:val="3"/>
          </w:tcPr>
          <w:p>
            <w:pPr>
              <w:ind w:left="120"/>
              <w:spacing w:after="0"/>
              <w:rPr>
                <w:sz w:val="20"/>
                <w:szCs w:val="20"/>
                <w:color w:val="auto"/>
              </w:rPr>
            </w:pPr>
            <w:r>
              <w:rPr>
                <w:rFonts w:ascii="Arial" w:cs="Arial" w:eastAsia="Arial" w:hAnsi="Arial"/>
                <w:sz w:val="17"/>
                <w:szCs w:val="17"/>
                <w:color w:val="auto"/>
              </w:rPr>
              <w:t>San Antonio, TX</w:t>
            </w:r>
          </w:p>
        </w:tc>
        <w:tc>
          <w:tcPr>
            <w:tcW w:w="2960" w:type="dxa"/>
            <w:vAlign w:val="bottom"/>
            <w:gridSpan w:val="2"/>
          </w:tcPr>
          <w:p>
            <w:pPr>
              <w:spacing w:after="0"/>
              <w:rPr>
                <w:sz w:val="20"/>
                <w:szCs w:val="20"/>
                <w:color w:val="auto"/>
              </w:rPr>
            </w:pPr>
            <w:r>
              <w:rPr>
                <w:rFonts w:ascii="Arial" w:cs="Arial" w:eastAsia="Arial" w:hAnsi="Arial"/>
                <w:sz w:val="17"/>
                <w:szCs w:val="17"/>
                <w:color w:val="auto"/>
              </w:rPr>
              <w:t>Retail and ground lease to Hotel</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17"/>
                <w:szCs w:val="17"/>
                <w:color w:val="auto"/>
              </w:rPr>
              <w:t>Valencia</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11.5</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w w:val="90"/>
              </w:rPr>
              <w:t>12.0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 Cynwyd</w:t>
            </w:r>
          </w:p>
        </w:tc>
        <w:tc>
          <w:tcPr>
            <w:tcW w:w="316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Philadelphia, PA</w:t>
            </w:r>
          </w:p>
        </w:tc>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Grocer re-location and expansion and</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re-tenanting (new health club)</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&gt;20%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7"/>
                <w:szCs w:val="17"/>
                <w:color w:val="auto"/>
              </w:rPr>
              <w:t>Andorra</w:t>
            </w:r>
          </w:p>
        </w:tc>
        <w:tc>
          <w:tcPr>
            <w:tcW w:w="3160" w:type="dxa"/>
            <w:vAlign w:val="bottom"/>
            <w:gridSpan w:val="3"/>
          </w:tcPr>
          <w:p>
            <w:pPr>
              <w:ind w:left="120"/>
              <w:spacing w:after="0"/>
              <w:rPr>
                <w:sz w:val="20"/>
                <w:szCs w:val="20"/>
                <w:color w:val="auto"/>
              </w:rPr>
            </w:pPr>
            <w:r>
              <w:rPr>
                <w:rFonts w:ascii="Arial" w:cs="Arial" w:eastAsia="Arial" w:hAnsi="Arial"/>
                <w:sz w:val="17"/>
                <w:szCs w:val="17"/>
                <w:color w:val="auto"/>
              </w:rPr>
              <w:t>Philadelphia, PA</w:t>
            </w:r>
          </w:p>
        </w:tc>
        <w:tc>
          <w:tcPr>
            <w:tcW w:w="2960" w:type="dxa"/>
            <w:vAlign w:val="bottom"/>
            <w:gridSpan w:val="2"/>
          </w:tcPr>
          <w:p>
            <w:pPr>
              <w:spacing w:after="0"/>
              <w:rPr>
                <w:sz w:val="20"/>
                <w:szCs w:val="20"/>
                <w:color w:val="auto"/>
              </w:rPr>
            </w:pPr>
            <w:r>
              <w:rPr>
                <w:rFonts w:ascii="Arial" w:cs="Arial" w:eastAsia="Arial" w:hAnsi="Arial"/>
                <w:sz w:val="17"/>
                <w:szCs w:val="17"/>
                <w:color w:val="auto"/>
              </w:rPr>
              <w:t>Re-tenanting (new health club)</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4.5</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Leesburg Plaza - Peebles</w:t>
            </w:r>
          </w:p>
        </w:tc>
        <w:tc>
          <w:tcPr>
            <w:tcW w:w="316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Leesburg, VA</w:t>
            </w:r>
          </w:p>
        </w:tc>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Re-tenanting (office supply &amp; auto</w:t>
            </w: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supply)</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Arial" w:cs="Arial" w:eastAsia="Arial" w:hAnsi="Arial"/>
                <w:sz w:val="17"/>
                <w:szCs w:val="17"/>
                <w:color w:val="auto"/>
              </w:rPr>
              <w:t>Pan Am</w:t>
            </w:r>
          </w:p>
        </w:tc>
        <w:tc>
          <w:tcPr>
            <w:tcW w:w="3160" w:type="dxa"/>
            <w:vAlign w:val="bottom"/>
            <w:gridSpan w:val="3"/>
          </w:tcPr>
          <w:p>
            <w:pPr>
              <w:ind w:left="120"/>
              <w:spacing w:after="0"/>
              <w:rPr>
                <w:sz w:val="20"/>
                <w:szCs w:val="20"/>
                <w:color w:val="auto"/>
              </w:rPr>
            </w:pPr>
            <w:r>
              <w:rPr>
                <w:rFonts w:ascii="Arial" w:cs="Arial" w:eastAsia="Arial" w:hAnsi="Arial"/>
                <w:sz w:val="17"/>
                <w:szCs w:val="17"/>
                <w:color w:val="auto"/>
              </w:rPr>
              <w:t>Fairfax, VA</w:t>
            </w:r>
          </w:p>
        </w:tc>
        <w:tc>
          <w:tcPr>
            <w:tcW w:w="2960" w:type="dxa"/>
            <w:vAlign w:val="bottom"/>
            <w:gridSpan w:val="2"/>
          </w:tcPr>
          <w:p>
            <w:pPr>
              <w:spacing w:after="0"/>
              <w:rPr>
                <w:sz w:val="20"/>
                <w:szCs w:val="20"/>
                <w:color w:val="auto"/>
              </w:rPr>
            </w:pPr>
            <w:r>
              <w:rPr>
                <w:rFonts w:ascii="Arial" w:cs="Arial" w:eastAsia="Arial" w:hAnsi="Arial"/>
                <w:sz w:val="17"/>
                <w:szCs w:val="17"/>
                <w:color w:val="auto"/>
              </w:rPr>
              <w:t>Grocer expansion, small shop re-</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17"/>
                <w:szCs w:val="17"/>
                <w:color w:val="auto"/>
              </w:rPr>
              <w:t>tenanting and site improvements</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2.3</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Brick Plaza</w:t>
            </w:r>
          </w:p>
        </w:tc>
        <w:tc>
          <w:tcPr>
            <w:tcW w:w="316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Brick, NJ</w:t>
            </w:r>
          </w:p>
        </w:tc>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Re-tenanting (electronics)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Arial" w:cs="Arial" w:eastAsia="Arial" w:hAnsi="Arial"/>
                <w:sz w:val="17"/>
                <w:szCs w:val="17"/>
                <w:color w:val="auto"/>
              </w:rPr>
              <w:t>Greenlawn Plaza</w:t>
            </w:r>
          </w:p>
        </w:tc>
        <w:tc>
          <w:tcPr>
            <w:tcW w:w="3160" w:type="dxa"/>
            <w:vAlign w:val="bottom"/>
            <w:gridSpan w:val="3"/>
          </w:tcPr>
          <w:p>
            <w:pPr>
              <w:ind w:left="120"/>
              <w:spacing w:after="0"/>
              <w:rPr>
                <w:sz w:val="20"/>
                <w:szCs w:val="20"/>
                <w:color w:val="auto"/>
              </w:rPr>
            </w:pPr>
            <w:r>
              <w:rPr>
                <w:rFonts w:ascii="Arial" w:cs="Arial" w:eastAsia="Arial" w:hAnsi="Arial"/>
                <w:sz w:val="17"/>
                <w:szCs w:val="17"/>
                <w:color w:val="auto"/>
              </w:rPr>
              <w:t>Greenlawn, NY</w:t>
            </w:r>
          </w:p>
        </w:tc>
        <w:tc>
          <w:tcPr>
            <w:tcW w:w="2960" w:type="dxa"/>
            <w:vAlign w:val="bottom"/>
            <w:gridSpan w:val="2"/>
          </w:tcPr>
          <w:p>
            <w:pPr>
              <w:spacing w:after="0"/>
              <w:rPr>
                <w:sz w:val="20"/>
                <w:szCs w:val="20"/>
                <w:color w:val="auto"/>
              </w:rPr>
            </w:pPr>
            <w:r>
              <w:rPr>
                <w:rFonts w:ascii="Arial" w:cs="Arial" w:eastAsia="Arial" w:hAnsi="Arial"/>
                <w:sz w:val="17"/>
                <w:szCs w:val="17"/>
                <w:color w:val="auto"/>
              </w:rPr>
              <w:t>Re-tenanting and new pad site (child</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17"/>
                <w:szCs w:val="17"/>
                <w:color w:val="auto"/>
              </w:rPr>
              <w:t>care)</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&gt;20%</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2.2</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Bristol Plaza</w:t>
            </w:r>
          </w:p>
        </w:tc>
        <w:tc>
          <w:tcPr>
            <w:tcW w:w="316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Bristol, CT</w:t>
            </w:r>
          </w:p>
        </w:tc>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Grocer relocation, canopy and façade</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renovation</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7"/>
                <w:szCs w:val="17"/>
                <w:color w:val="auto"/>
              </w:rPr>
              <w:t>Brunswick</w:t>
            </w:r>
          </w:p>
        </w:tc>
        <w:tc>
          <w:tcPr>
            <w:tcW w:w="3160" w:type="dxa"/>
            <w:vAlign w:val="bottom"/>
            <w:gridSpan w:val="3"/>
          </w:tcPr>
          <w:p>
            <w:pPr>
              <w:ind w:left="120"/>
              <w:spacing w:after="0"/>
              <w:rPr>
                <w:sz w:val="20"/>
                <w:szCs w:val="20"/>
                <w:color w:val="auto"/>
              </w:rPr>
            </w:pPr>
            <w:r>
              <w:rPr>
                <w:rFonts w:ascii="Arial" w:cs="Arial" w:eastAsia="Arial" w:hAnsi="Arial"/>
                <w:sz w:val="17"/>
                <w:szCs w:val="17"/>
                <w:color w:val="auto"/>
              </w:rPr>
              <w:t>North Brunswick, NJ</w:t>
            </w:r>
          </w:p>
        </w:tc>
        <w:tc>
          <w:tcPr>
            <w:tcW w:w="2960" w:type="dxa"/>
            <w:vAlign w:val="bottom"/>
            <w:gridSpan w:val="2"/>
          </w:tcPr>
          <w:p>
            <w:pPr>
              <w:spacing w:after="0"/>
              <w:rPr>
                <w:sz w:val="20"/>
                <w:szCs w:val="20"/>
                <w:color w:val="auto"/>
              </w:rPr>
            </w:pPr>
            <w:r>
              <w:rPr>
                <w:rFonts w:ascii="Arial" w:cs="Arial" w:eastAsia="Arial" w:hAnsi="Arial"/>
                <w:sz w:val="17"/>
                <w:szCs w:val="17"/>
                <w:color w:val="auto"/>
              </w:rPr>
              <w:t>Re-tenanting (new health club)</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1.5</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Rutgers Plaza</w:t>
            </w:r>
          </w:p>
        </w:tc>
        <w:tc>
          <w:tcPr>
            <w:tcW w:w="316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Franklin, NJ</w:t>
            </w:r>
          </w:p>
        </w:tc>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Grocer re-location and expansion and</w:t>
            </w: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backfill of existing grocer space</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Arial" w:cs="Arial" w:eastAsia="Arial" w:hAnsi="Arial"/>
                <w:sz w:val="17"/>
                <w:szCs w:val="17"/>
                <w:color w:val="auto"/>
              </w:rPr>
              <w:t>Perring Plaza</w:t>
            </w:r>
          </w:p>
        </w:tc>
        <w:tc>
          <w:tcPr>
            <w:tcW w:w="3160" w:type="dxa"/>
            <w:vAlign w:val="bottom"/>
            <w:gridSpan w:val="3"/>
          </w:tcPr>
          <w:p>
            <w:pPr>
              <w:ind w:left="120"/>
              <w:spacing w:after="0"/>
              <w:rPr>
                <w:sz w:val="20"/>
                <w:szCs w:val="20"/>
                <w:color w:val="auto"/>
              </w:rPr>
            </w:pPr>
            <w:r>
              <w:rPr>
                <w:rFonts w:ascii="Arial" w:cs="Arial" w:eastAsia="Arial" w:hAnsi="Arial"/>
                <w:sz w:val="17"/>
                <w:szCs w:val="17"/>
                <w:color w:val="auto"/>
              </w:rPr>
              <w:t>Baltimore, MD</w:t>
            </w:r>
          </w:p>
        </w:tc>
        <w:tc>
          <w:tcPr>
            <w:tcW w:w="2960" w:type="dxa"/>
            <w:vAlign w:val="bottom"/>
            <w:gridSpan w:val="2"/>
          </w:tcPr>
          <w:p>
            <w:pPr>
              <w:spacing w:after="0"/>
              <w:rPr>
                <w:sz w:val="20"/>
                <w:szCs w:val="20"/>
                <w:color w:val="auto"/>
              </w:rPr>
            </w:pPr>
            <w:r>
              <w:rPr>
                <w:rFonts w:ascii="Arial" w:cs="Arial" w:eastAsia="Arial" w:hAnsi="Arial"/>
                <w:sz w:val="17"/>
                <w:szCs w:val="17"/>
                <w:color w:val="auto"/>
              </w:rPr>
              <w:t>Re-tenanting (sporting goods and</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17"/>
                <w:szCs w:val="17"/>
                <w:color w:val="auto"/>
              </w:rPr>
              <w:t>small shops)</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1.3</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Hauppauge Shopping Center</w:t>
            </w:r>
          </w:p>
        </w:tc>
        <w:tc>
          <w:tcPr>
            <w:tcW w:w="316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Hauppauge, NY</w:t>
            </w:r>
          </w:p>
        </w:tc>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Pad site re-tenanting (restaurant)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00" w:type="dxa"/>
            <w:vAlign w:val="bottom"/>
            <w:gridSpan w:val="2"/>
          </w:tcPr>
          <w:p>
            <w:pPr>
              <w:spacing w:after="0"/>
              <w:rPr>
                <w:sz w:val="9"/>
                <w:szCs w:val="9"/>
                <w:color w:val="auto"/>
              </w:rPr>
            </w:pPr>
          </w:p>
        </w:tc>
        <w:tc>
          <w:tcPr>
            <w:tcW w:w="6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60" w:type="dxa"/>
            <w:vAlign w:val="bottom"/>
            <w:gridSpan w:val="5"/>
            <w:shd w:val="clear" w:color="auto" w:fill="CCEEFF"/>
          </w:tcPr>
          <w:p>
            <w:pPr>
              <w:ind w:left="420"/>
              <w:spacing w:after="0"/>
              <w:rPr>
                <w:sz w:val="20"/>
                <w:szCs w:val="20"/>
                <w:color w:val="auto"/>
              </w:rPr>
            </w:pPr>
            <w:r>
              <w:rPr>
                <w:rFonts w:ascii="Arial" w:cs="Arial" w:eastAsia="Arial" w:hAnsi="Arial"/>
                <w:sz w:val="17"/>
                <w:szCs w:val="17"/>
                <w:b w:val="1"/>
                <w:bCs w:val="1"/>
                <w:i w:val="1"/>
                <w:iCs w:val="1"/>
                <w:color w:val="auto"/>
              </w:rPr>
              <w:t>Subtotal: Projects Anticipated to Stabilize in 2005 (3) (4)</w:t>
            </w:r>
          </w:p>
        </w:tc>
        <w:tc>
          <w:tcPr>
            <w:tcW w:w="9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26.6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700" w:type="dxa"/>
            <w:vAlign w:val="bottom"/>
            <w:gridSpan w:val="2"/>
          </w:tcPr>
          <w:p>
            <w:pPr>
              <w:spacing w:after="0"/>
              <w:rPr>
                <w:sz w:val="11"/>
                <w:szCs w:val="11"/>
                <w:color w:val="auto"/>
              </w:rPr>
            </w:pPr>
          </w:p>
        </w:tc>
        <w:tc>
          <w:tcPr>
            <w:tcW w:w="6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360" w:type="dxa"/>
            <w:vAlign w:val="bottom"/>
            <w:gridSpan w:val="5"/>
            <w:shd w:val="clear" w:color="auto" w:fill="CCEEFF"/>
          </w:tcPr>
          <w:p>
            <w:pPr>
              <w:spacing w:after="0"/>
              <w:rPr>
                <w:sz w:val="20"/>
                <w:szCs w:val="20"/>
                <w:color w:val="auto"/>
              </w:rPr>
            </w:pPr>
            <w:r>
              <w:rPr>
                <w:rFonts w:ascii="Arial" w:cs="Arial" w:eastAsia="Arial" w:hAnsi="Arial"/>
                <w:sz w:val="17"/>
                <w:szCs w:val="17"/>
                <w:b w:val="1"/>
                <w:bCs w:val="1"/>
                <w:i w:val="1"/>
                <w:iCs w:val="1"/>
                <w:color w:val="auto"/>
              </w:rPr>
              <w:t>Total: Projects Anticipated to Stabilize in 2004 and 2005 (3) (4)</w:t>
            </w:r>
          </w:p>
        </w:tc>
        <w:tc>
          <w:tcPr>
            <w:tcW w:w="9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59.9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5924550</wp:posOffset>
            </wp:positionH>
            <wp:positionV relativeFrom="paragraph">
              <wp:posOffset>-3623310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-3623310</wp:posOffset>
            </wp:positionV>
            <wp:extent cx="381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6502400</wp:posOffset>
            </wp:positionH>
            <wp:positionV relativeFrom="paragraph">
              <wp:posOffset>-3623310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-3623310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6570345</wp:posOffset>
            </wp:positionH>
            <wp:positionV relativeFrom="paragraph">
              <wp:posOffset>-3623310</wp:posOffset>
            </wp:positionV>
            <wp:extent cx="2095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6986905</wp:posOffset>
            </wp:positionH>
            <wp:positionV relativeFrom="paragraph">
              <wp:posOffset>-3623310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-3623310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7037705</wp:posOffset>
            </wp:positionH>
            <wp:positionV relativeFrom="paragraph">
              <wp:posOffset>-3623310</wp:posOffset>
            </wp:positionV>
            <wp:extent cx="2095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-326390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-326390</wp:posOffset>
            </wp:positionV>
            <wp:extent cx="381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6502400</wp:posOffset>
            </wp:positionH>
            <wp:positionV relativeFrom="paragraph">
              <wp:posOffset>-326390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-326390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6570345</wp:posOffset>
            </wp:positionH>
            <wp:positionV relativeFrom="paragraph">
              <wp:posOffset>-326390</wp:posOffset>
            </wp:positionV>
            <wp:extent cx="2095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6986905</wp:posOffset>
            </wp:positionH>
            <wp:positionV relativeFrom="paragraph">
              <wp:posOffset>-326390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-326390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7037705</wp:posOffset>
            </wp:positionH>
            <wp:positionV relativeFrom="paragraph">
              <wp:posOffset>-326390</wp:posOffset>
            </wp:positionV>
            <wp:extent cx="2095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-29210</wp:posOffset>
            </wp:positionV>
            <wp:extent cx="381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6502400</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6842125</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6570345</wp:posOffset>
            </wp:positionH>
            <wp:positionV relativeFrom="paragraph">
              <wp:posOffset>-29210</wp:posOffset>
            </wp:positionV>
            <wp:extent cx="2095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6986905</wp:posOffset>
            </wp:positionH>
            <wp:positionV relativeFrom="paragraph">
              <wp:posOffset>-29210</wp:posOffset>
            </wp:positionV>
            <wp:extent cx="26733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7335" cy="29845"/>
                    </a:xfrm>
                    <a:prstGeom prst="rect">
                      <a:avLst/>
                    </a:prstGeom>
                    <a:noFill/>
                  </pic:spPr>
                </pic:pic>
              </a:graphicData>
            </a:graphic>
          </wp:anchor>
        </w:drawing>
      </w:r>
    </w:p>
    <w:p>
      <w:pPr>
        <w:spacing w:after="0" w:line="217"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b w:val="1"/>
          <w:bCs w:val="1"/>
          <w:color w:val="auto"/>
        </w:rPr>
        <w:t>Anticipated future redevelopments stabilizing after 2005 include Bethesda Row (final phase), Mercer Mall, Fresh Meadows, Mount Vernon/South Valley, Leesburg Plaza (Kmart), Hollywood Boulevard, Houston Street, Rockville Town Square, Santana Row Phase IV and future phases, the Village at Shirlington and Shops at Willow Lawn. (3) (5)</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Santana Row Summary (as of Sept 30, 2004)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5"/>
              </w:rPr>
              <w:t>Retail Summary</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00" w:type="dxa"/>
            <w:vAlign w:val="bottom"/>
            <w:gridSpan w:val="6"/>
          </w:tcPr>
          <w:p>
            <w:pPr>
              <w:jc w:val="right"/>
              <w:ind w:right="620"/>
              <w:spacing w:after="0"/>
              <w:rPr>
                <w:sz w:val="20"/>
                <w:szCs w:val="20"/>
                <w:color w:val="auto"/>
              </w:rPr>
            </w:pPr>
            <w:r>
              <w:rPr>
                <w:rFonts w:ascii="Arial" w:cs="Arial" w:eastAsia="Arial" w:hAnsi="Arial"/>
                <w:sz w:val="13"/>
                <w:szCs w:val="13"/>
                <w:b w:val="1"/>
                <w:bCs w:val="1"/>
                <w:color w:val="auto"/>
                <w:w w:val="95"/>
              </w:rPr>
              <w:t>Residential Summary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60" w:type="dxa"/>
            <w:vAlign w:val="bottom"/>
            <w:gridSpan w:val="8"/>
          </w:tcPr>
          <w:p>
            <w:pPr>
              <w:jc w:val="right"/>
              <w:ind w:right="620"/>
              <w:spacing w:after="0"/>
              <w:rPr>
                <w:sz w:val="20"/>
                <w:szCs w:val="20"/>
                <w:color w:val="auto"/>
              </w:rPr>
            </w:pPr>
            <w:r>
              <w:rPr>
                <w:rFonts w:ascii="Arial" w:cs="Arial" w:eastAsia="Arial" w:hAnsi="Arial"/>
                <w:sz w:val="13"/>
                <w:szCs w:val="13"/>
                <w:b w:val="1"/>
                <w:bCs w:val="1"/>
                <w:color w:val="auto"/>
                <w:w w:val="95"/>
              </w:rPr>
              <w:t>Financial Summary ($ millions)</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Cost</w:t>
            </w:r>
          </w:p>
        </w:tc>
        <w:tc>
          <w:tcPr>
            <w:tcW w:w="18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Anticipated</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95"/>
              </w:rPr>
              <w:t>Anticipated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20" w:type="dxa"/>
            <w:vAlign w:val="bottom"/>
            <w:gridSpan w:val="2"/>
          </w:tcPr>
          <w:p>
            <w:pPr>
              <w:jc w:val="center"/>
              <w:ind w:right="40"/>
              <w:spacing w:after="0" w:line="148" w:lineRule="exact"/>
              <w:rPr>
                <w:sz w:val="20"/>
                <w:szCs w:val="20"/>
                <w:color w:val="auto"/>
              </w:rPr>
            </w:pPr>
            <w:r>
              <w:rPr>
                <w:rFonts w:ascii="Arial" w:cs="Arial" w:eastAsia="Arial" w:hAnsi="Arial"/>
                <w:sz w:val="13"/>
                <w:szCs w:val="13"/>
                <w:b w:val="1"/>
                <w:bCs w:val="1"/>
                <w:color w:val="auto"/>
                <w:w w:val="96"/>
              </w:rPr>
              <w:t>Total</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jc w:val="right"/>
              <w:ind w:right="53"/>
              <w:spacing w:after="0" w:line="148"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2"/>
                <w:szCs w:val="12"/>
                <w:color w:val="auto"/>
              </w:rPr>
            </w:pPr>
          </w:p>
        </w:tc>
        <w:tc>
          <w:tcPr>
            <w:tcW w:w="360" w:type="dxa"/>
            <w:vAlign w:val="bottom"/>
            <w:gridSpan w:val="2"/>
          </w:tcPr>
          <w:p>
            <w:pPr>
              <w:jc w:val="right"/>
              <w:ind w:right="60"/>
              <w:spacing w:after="0" w:line="148" w:lineRule="exact"/>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53"/>
              <w:spacing w:after="0" w:line="148"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w w:val="91"/>
              </w:rPr>
              <w:t>Projected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jc w:val="center"/>
              <w:ind w:right="16"/>
              <w:spacing w:after="0" w:line="148" w:lineRule="exact"/>
              <w:rPr>
                <w:sz w:val="20"/>
                <w:szCs w:val="20"/>
                <w:color w:val="auto"/>
              </w:rPr>
            </w:pPr>
            <w:r>
              <w:rPr>
                <w:rFonts w:ascii="Arial" w:cs="Arial" w:eastAsia="Arial" w:hAnsi="Arial"/>
                <w:sz w:val="13"/>
                <w:szCs w:val="13"/>
                <w:b w:val="1"/>
                <w:bCs w:val="1"/>
                <w:color w:val="auto"/>
                <w:w w:val="97"/>
              </w:rPr>
              <w:t>to</w:t>
            </w:r>
          </w:p>
        </w:tc>
        <w:tc>
          <w:tcPr>
            <w:tcW w:w="180" w:type="dxa"/>
            <w:vAlign w:val="bottom"/>
          </w:tcPr>
          <w:p>
            <w:pPr>
              <w:spacing w:after="0"/>
              <w:rPr>
                <w:sz w:val="12"/>
                <w:szCs w:val="12"/>
                <w:color w:val="auto"/>
              </w:rPr>
            </w:pPr>
          </w:p>
        </w:tc>
        <w:tc>
          <w:tcPr>
            <w:tcW w:w="1000" w:type="dxa"/>
            <w:vAlign w:val="bottom"/>
            <w:gridSpan w:val="2"/>
          </w:tcPr>
          <w:p>
            <w:pPr>
              <w:jc w:val="center"/>
              <w:ind w:right="320"/>
              <w:spacing w:after="0" w:line="148" w:lineRule="exact"/>
              <w:rPr>
                <w:sz w:val="20"/>
                <w:szCs w:val="20"/>
                <w:color w:val="auto"/>
              </w:rPr>
            </w:pPr>
            <w:r>
              <w:rPr>
                <w:rFonts w:ascii="Arial" w:cs="Arial" w:eastAsia="Arial" w:hAnsi="Arial"/>
                <w:sz w:val="13"/>
                <w:szCs w:val="13"/>
                <w:b w:val="1"/>
                <w:bCs w:val="1"/>
                <w:color w:val="auto"/>
                <w:w w:val="92"/>
              </w:rPr>
              <w:t>Stabilized</w:t>
            </w:r>
          </w:p>
        </w:tc>
        <w:tc>
          <w:tcPr>
            <w:tcW w:w="740" w:type="dxa"/>
            <w:vAlign w:val="bottom"/>
            <w:gridSpan w:val="2"/>
          </w:tcPr>
          <w:p>
            <w:pPr>
              <w:jc w:val="right"/>
              <w:ind w:right="20"/>
              <w:spacing w:after="0" w:line="148" w:lineRule="exact"/>
              <w:rPr>
                <w:sz w:val="20"/>
                <w:szCs w:val="20"/>
                <w:color w:val="auto"/>
              </w:rPr>
            </w:pPr>
            <w:r>
              <w:rPr>
                <w:rFonts w:ascii="Arial" w:cs="Arial" w:eastAsia="Arial" w:hAnsi="Arial"/>
                <w:sz w:val="13"/>
                <w:szCs w:val="13"/>
                <w:b w:val="1"/>
                <w:bCs w:val="1"/>
                <w:color w:val="auto"/>
                <w:w w:val="91"/>
              </w:rPr>
              <w:t>Stabilization</w:t>
            </w:r>
          </w:p>
        </w:tc>
        <w:tc>
          <w:tcPr>
            <w:tcW w:w="0" w:type="dxa"/>
            <w:vAlign w:val="bottom"/>
          </w:tcPr>
          <w:p>
            <w:pPr>
              <w:spacing w:after="0"/>
              <w:rPr>
                <w:sz w:val="1"/>
                <w:szCs w:val="1"/>
                <w:color w:val="auto"/>
              </w:rPr>
            </w:pPr>
          </w:p>
        </w:tc>
      </w:tr>
      <w:tr>
        <w:trPr>
          <w:trHeight w:val="173"/>
        </w:trPr>
        <w:tc>
          <w:tcPr>
            <w:tcW w:w="3920" w:type="dxa"/>
            <w:vAlign w:val="bottom"/>
            <w:gridSpan w:val="4"/>
          </w:tcPr>
          <w:p>
            <w:pPr>
              <w:spacing w:after="0"/>
              <w:rPr>
                <w:sz w:val="20"/>
                <w:szCs w:val="20"/>
                <w:color w:val="auto"/>
              </w:rPr>
            </w:pPr>
            <w:r>
              <w:rPr>
                <w:rFonts w:ascii="Arial" w:cs="Arial" w:eastAsia="Arial" w:hAnsi="Arial"/>
                <w:sz w:val="13"/>
                <w:szCs w:val="13"/>
                <w:b w:val="1"/>
                <w:bCs w:val="1"/>
                <w:color w:val="auto"/>
              </w:rPr>
              <w:t>Description</w:t>
            </w:r>
          </w:p>
        </w:tc>
        <w:tc>
          <w:tcPr>
            <w:tcW w:w="4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3"/>
              </w:rPr>
              <w:t>Stores</w:t>
            </w:r>
          </w:p>
        </w:tc>
        <w:tc>
          <w:tcPr>
            <w:tcW w:w="14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Square Feet</w:t>
            </w:r>
          </w:p>
        </w:tc>
        <w:tc>
          <w:tcPr>
            <w:tcW w:w="74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w w:val="89"/>
              </w:rPr>
              <w:t>Leased</w:t>
            </w:r>
          </w:p>
        </w:tc>
        <w:tc>
          <w:tcPr>
            <w:tcW w:w="3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86"/>
              </w:rPr>
              <w:t>Units</w:t>
            </w:r>
          </w:p>
        </w:tc>
        <w:tc>
          <w:tcPr>
            <w:tcW w:w="140" w:type="dxa"/>
            <w:vAlign w:val="bottom"/>
          </w:tcPr>
          <w:p>
            <w:pPr>
              <w:spacing w:after="0"/>
              <w:rPr>
                <w:sz w:val="15"/>
                <w:szCs w:val="15"/>
                <w:color w:val="auto"/>
              </w:rPr>
            </w:pPr>
          </w:p>
        </w:tc>
        <w:tc>
          <w:tcPr>
            <w:tcW w:w="1020" w:type="dxa"/>
            <w:vAlign w:val="bottom"/>
            <w:gridSpan w:val="2"/>
          </w:tcPr>
          <w:p>
            <w:pPr>
              <w:ind w:left="240"/>
              <w:spacing w:after="0"/>
              <w:rPr>
                <w:sz w:val="20"/>
                <w:szCs w:val="20"/>
                <w:color w:val="auto"/>
              </w:rPr>
            </w:pPr>
            <w:r>
              <w:rPr>
                <w:rFonts w:ascii="Arial" w:cs="Arial" w:eastAsia="Arial" w:hAnsi="Arial"/>
                <w:sz w:val="13"/>
                <w:szCs w:val="13"/>
                <w:b w:val="1"/>
                <w:bCs w:val="1"/>
                <w:color w:val="auto"/>
              </w:rPr>
              <w:t>Rent (6)</w:t>
            </w:r>
          </w:p>
        </w:tc>
        <w:tc>
          <w:tcPr>
            <w:tcW w:w="74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Leased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ind w:right="76"/>
              <w:spacing w:after="0"/>
              <w:rPr>
                <w:sz w:val="20"/>
                <w:szCs w:val="20"/>
                <w:color w:val="auto"/>
              </w:rPr>
            </w:pPr>
            <w:r>
              <w:rPr>
                <w:rFonts w:ascii="Arial" w:cs="Arial" w:eastAsia="Arial" w:hAnsi="Arial"/>
                <w:sz w:val="13"/>
                <w:szCs w:val="13"/>
                <w:b w:val="1"/>
                <w:bCs w:val="1"/>
                <w:color w:val="auto"/>
                <w:w w:val="89"/>
              </w:rPr>
              <w:t>Cost</w:t>
            </w:r>
          </w:p>
        </w:tc>
        <w:tc>
          <w:tcPr>
            <w:tcW w:w="180" w:type="dxa"/>
            <w:vAlign w:val="bottom"/>
          </w:tcPr>
          <w:p>
            <w:pPr>
              <w:spacing w:after="0"/>
              <w:rPr>
                <w:sz w:val="15"/>
                <w:szCs w:val="15"/>
                <w:color w:val="auto"/>
              </w:rPr>
            </w:pPr>
          </w:p>
        </w:tc>
        <w:tc>
          <w:tcPr>
            <w:tcW w:w="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Date</w:t>
            </w:r>
          </w:p>
        </w:tc>
        <w:tc>
          <w:tcPr>
            <w:tcW w:w="18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Yield (8)</w:t>
            </w:r>
          </w:p>
        </w:tc>
        <w:tc>
          <w:tcPr>
            <w:tcW w:w="720" w:type="dxa"/>
            <w:vAlign w:val="bottom"/>
          </w:tcPr>
          <w:p>
            <w:pPr>
              <w:jc w:val="right"/>
              <w:ind w:right="202"/>
              <w:spacing w:after="0"/>
              <w:rPr>
                <w:sz w:val="20"/>
                <w:szCs w:val="20"/>
                <w:color w:val="auto"/>
              </w:rPr>
            </w:pPr>
            <w:r>
              <w:rPr>
                <w:rFonts w:ascii="Arial" w:cs="Arial" w:eastAsia="Arial" w:hAnsi="Arial"/>
                <w:sz w:val="13"/>
                <w:szCs w:val="13"/>
                <w:b w:val="1"/>
                <w:bCs w:val="1"/>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Phase I – Retail, residential and Hotel Valencia(7)</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445,212</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90%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255</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$1.67 - $2.96</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98%</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435</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5%</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7"/>
                <w:szCs w:val="17"/>
                <w:color w:val="auto"/>
              </w:rPr>
              <w:t>Phase II – Best Buy and The Container Store</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3</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83,991</w:t>
            </w:r>
          </w:p>
        </w:tc>
        <w:tc>
          <w:tcPr>
            <w:tcW w:w="16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7"/>
                <w:szCs w:val="17"/>
                <w:color w:val="auto"/>
              </w:rPr>
              <w:t>100%</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n/a</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rPr>
              <w:t>n/a</w:t>
            </w:r>
          </w:p>
        </w:tc>
        <w:tc>
          <w:tcPr>
            <w:tcW w:w="2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27</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25</w:t>
            </w:r>
          </w:p>
        </w:tc>
        <w:tc>
          <w:tcPr>
            <w:tcW w:w="1180" w:type="dxa"/>
            <w:vAlign w:val="bottom"/>
            <w:gridSpan w:val="3"/>
          </w:tcPr>
          <w:p>
            <w:pPr>
              <w:jc w:val="right"/>
              <w:ind w:right="180"/>
              <w:spacing w:after="0"/>
              <w:rPr>
                <w:sz w:val="20"/>
                <w:szCs w:val="20"/>
                <w:color w:val="auto"/>
              </w:rPr>
            </w:pPr>
            <w:r>
              <w:rPr>
                <w:rFonts w:ascii="Arial" w:cs="Arial" w:eastAsia="Arial" w:hAnsi="Arial"/>
                <w:sz w:val="17"/>
                <w:szCs w:val="17"/>
                <w:color w:val="auto"/>
              </w:rPr>
              <w:t>17%</w:t>
            </w:r>
          </w:p>
        </w:tc>
        <w:tc>
          <w:tcPr>
            <w:tcW w:w="720" w:type="dxa"/>
            <w:vAlign w:val="bottom"/>
          </w:tcPr>
          <w:p>
            <w:pPr>
              <w:jc w:val="right"/>
              <w:spacing w:after="0"/>
              <w:rPr>
                <w:sz w:val="20"/>
                <w:szCs w:val="20"/>
                <w:color w:val="auto"/>
              </w:rPr>
            </w:pPr>
            <w:r>
              <w:rPr>
                <w:rFonts w:ascii="Arial" w:cs="Arial" w:eastAsia="Arial" w:hAnsi="Arial"/>
                <w:sz w:val="17"/>
                <w:szCs w:val="17"/>
                <w:color w:val="auto"/>
              </w:rPr>
              <w:t>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Phase III – CineArts theater building &amp; restaurant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28,525</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100%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n/a</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n/a</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10%</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00" w:type="dxa"/>
            <w:vAlign w:val="bottom"/>
            <w:gridSpan w:val="3"/>
          </w:tcPr>
          <w:p>
            <w:pPr>
              <w:spacing w:after="0"/>
              <w:rPr>
                <w:sz w:val="20"/>
                <w:szCs w:val="20"/>
                <w:color w:val="auto"/>
              </w:rPr>
            </w:pPr>
            <w:r>
              <w:rPr>
                <w:rFonts w:ascii="Arial" w:cs="Arial" w:eastAsia="Arial" w:hAnsi="Arial"/>
                <w:sz w:val="17"/>
                <w:szCs w:val="17"/>
                <w:color w:val="auto"/>
              </w:rPr>
              <w:t>Phase IV – Building 7 residential re-build</w:t>
            </w:r>
          </w:p>
        </w:tc>
        <w:tc>
          <w:tcPr>
            <w:tcW w:w="420" w:type="dxa"/>
            <w:vAlign w:val="bottom"/>
            <w:gridSpan w:val="2"/>
          </w:tcPr>
          <w:p>
            <w:pPr>
              <w:jc w:val="center"/>
              <w:ind w:right="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6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7"/>
                <w:szCs w:val="17"/>
                <w:color w:val="auto"/>
              </w:rPr>
              <w:t>n/a</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256</w:t>
            </w:r>
          </w:p>
        </w:tc>
        <w:tc>
          <w:tcPr>
            <w:tcW w:w="1160" w:type="dxa"/>
            <w:vAlign w:val="bottom"/>
            <w:gridSpan w:val="3"/>
          </w:tcPr>
          <w:p>
            <w:pPr>
              <w:jc w:val="right"/>
              <w:ind w:right="80"/>
              <w:spacing w:after="0"/>
              <w:rPr>
                <w:sz w:val="20"/>
                <w:szCs w:val="20"/>
                <w:color w:val="auto"/>
              </w:rPr>
            </w:pPr>
            <w:r>
              <w:rPr>
                <w:rFonts w:ascii="Arial" w:cs="Arial" w:eastAsia="Arial" w:hAnsi="Arial"/>
                <w:sz w:val="17"/>
                <w:szCs w:val="17"/>
                <w:color w:val="auto"/>
              </w:rPr>
              <w:t>$ 1.94 – 2.47</w:t>
            </w:r>
          </w:p>
        </w:tc>
        <w:tc>
          <w:tcPr>
            <w:tcW w:w="10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rPr>
              <w:t>n/a</w:t>
            </w:r>
          </w:p>
        </w:tc>
        <w:tc>
          <w:tcPr>
            <w:tcW w:w="2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58</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21</w:t>
            </w:r>
          </w:p>
        </w:tc>
        <w:tc>
          <w:tcPr>
            <w:tcW w:w="1180" w:type="dxa"/>
            <w:vAlign w:val="bottom"/>
            <w:gridSpan w:val="3"/>
          </w:tcPr>
          <w:p>
            <w:pPr>
              <w:jc w:val="right"/>
              <w:ind w:right="180"/>
              <w:spacing w:after="0"/>
              <w:rPr>
                <w:sz w:val="20"/>
                <w:szCs w:val="20"/>
                <w:color w:val="auto"/>
              </w:rPr>
            </w:pPr>
            <w:r>
              <w:rPr>
                <w:rFonts w:ascii="Arial" w:cs="Arial" w:eastAsia="Arial" w:hAnsi="Arial"/>
                <w:sz w:val="17"/>
                <w:szCs w:val="17"/>
                <w:color w:val="auto"/>
              </w:rPr>
              <w:t>11%</w:t>
            </w:r>
          </w:p>
        </w:tc>
        <w:tc>
          <w:tcPr>
            <w:tcW w:w="720" w:type="dxa"/>
            <w:vAlign w:val="bottom"/>
          </w:tcPr>
          <w:p>
            <w:pPr>
              <w:jc w:val="right"/>
              <w:spacing w:after="0"/>
              <w:rPr>
                <w:sz w:val="20"/>
                <w:szCs w:val="20"/>
                <w:color w:val="auto"/>
              </w:rPr>
            </w:pPr>
            <w:r>
              <w:rPr>
                <w:rFonts w:ascii="Arial" w:cs="Arial" w:eastAsia="Arial" w:hAnsi="Arial"/>
                <w:sz w:val="17"/>
                <w:szCs w:val="17"/>
                <w:color w:val="auto"/>
              </w:rPr>
              <w:t>2006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557,728</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92%</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511</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98%</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484</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6.2%</w:t>
            </w: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ectPr>
          <w:pgSz w:w="11900" w:h="16838" w:orient="portrait"/>
          <w:cols w:equalWidth="0" w:num="1">
            <w:col w:w="11420"/>
          </w:cols>
          <w:pgMar w:left="240" w:top="456" w:right="239" w:bottom="0" w:gutter="0" w:footer="0" w:header="0"/>
        </w:sectPr>
      </w:pPr>
    </w:p>
    <w:p>
      <w:pPr>
        <w:spacing w:after="0"/>
        <w:rPr>
          <w:sz w:val="20"/>
          <w:szCs w:val="20"/>
          <w:color w:val="auto"/>
        </w:rPr>
      </w:pPr>
      <w:r>
        <w:rPr>
          <w:rFonts w:ascii="Arial" w:cs="Arial" w:eastAsia="Arial" w:hAnsi="Arial"/>
          <w:sz w:val="17"/>
          <w:szCs w:val="17"/>
          <w:b w:val="1"/>
          <w:bCs w:val="1"/>
          <w:i w:val="1"/>
          <w:iCs w:val="1"/>
          <w:color w:val="auto"/>
        </w:rPr>
        <w:t>Notes:</w:t>
      </w:r>
    </w:p>
    <w:p>
      <w:pPr>
        <w:spacing w:after="0" w:line="26" w:lineRule="exact"/>
        <w:rPr>
          <w:sz w:val="20"/>
          <w:szCs w:val="20"/>
          <w:color w:val="auto"/>
        </w:rPr>
      </w:pPr>
    </w:p>
    <w:p>
      <w:pPr>
        <w:ind w:left="460" w:right="320" w:hanging="453"/>
        <w:spacing w:after="0" w:line="355" w:lineRule="auto"/>
        <w:tabs>
          <w:tab w:leader="none" w:pos="460" w:val="left"/>
        </w:tabs>
        <w:numPr>
          <w:ilvl w:val="0"/>
          <w:numId w:val="1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There is no guaranty that the Trust will ultimately complete any or all of these redevelopment opportunities, that the Projected Return on Investment (ROI) or Projected Costs will be the amounts shown or that stabilization will occur as anticipated. The projected ROI and Projected Cost are</w:t>
      </w:r>
    </w:p>
    <w:p>
      <w:pPr>
        <w:sectPr>
          <w:pgSz w:w="11900" w:h="16838" w:orient="portrait"/>
          <w:cols w:equalWidth="0" w:num="1">
            <w:col w:w="11420"/>
          </w:cols>
          <w:pgMar w:left="240" w:top="456" w:right="239" w:bottom="0" w:gutter="0" w:footer="0" w:header="0"/>
          <w:type w:val="continuous"/>
        </w:sectPr>
      </w:pPr>
    </w:p>
    <w:bookmarkStart w:id="20" w:name="page21"/>
    <w:bookmarkEnd w:id="20"/>
    <w:p>
      <w:pPr>
        <w:ind w:left="453"/>
        <w:spacing w:after="0"/>
        <w:rPr>
          <w:sz w:val="20"/>
          <w:szCs w:val="20"/>
          <w:color w:val="auto"/>
        </w:rPr>
      </w:pPr>
      <w:r>
        <w:rPr>
          <w:rFonts w:ascii="Arial" w:cs="Arial" w:eastAsia="Arial" w:hAnsi="Arial"/>
          <w:sz w:val="17"/>
          <w:szCs w:val="17"/>
          <w:b w:val="1"/>
          <w:bCs w:val="1"/>
          <w:i w:val="1"/>
          <w:iCs w:val="1"/>
          <w:color w:val="auto"/>
        </w:rPr>
        <w:t>management’s best estimate based on current information and may change over time.</w:t>
      </w:r>
    </w:p>
    <w:p>
      <w:pPr>
        <w:spacing w:after="0" w:line="26" w:lineRule="exact"/>
        <w:rPr>
          <w:sz w:val="20"/>
          <w:szCs w:val="20"/>
          <w:color w:val="auto"/>
        </w:rPr>
      </w:pPr>
    </w:p>
    <w:p>
      <w:pPr>
        <w:ind w:left="453" w:right="40" w:hanging="453"/>
        <w:spacing w:after="0" w:line="279" w:lineRule="auto"/>
        <w:tabs>
          <w:tab w:leader="none" w:pos="453" w:val="left"/>
        </w:tabs>
        <w:numPr>
          <w:ilvl w:val="0"/>
          <w:numId w:val="1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Projected ROI reflects only the deal specific cash, unleveraged Incremental Property Operating Income (POI) generated by the redevelopment and is calculated as Incremental POI divided by cost. Incremental POI is the POI generated by the redevelopment after deducting rent previously being paid for the redevelopment space or space taken out of service as a result of the redevelopment. Projected ROI does NOT include peripheral impacts, such as the impact on future lease rollovers at the property or the impact on the long-term value of the property.</w:t>
      </w:r>
    </w:p>
    <w:p>
      <w:pPr>
        <w:ind w:left="453" w:hanging="453"/>
        <w:spacing w:after="0"/>
        <w:tabs>
          <w:tab w:leader="none" w:pos="453" w:val="left"/>
        </w:tabs>
        <w:numPr>
          <w:ilvl w:val="0"/>
          <w:numId w:val="1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Anticipated Stabilization is the year in which 95% occupancy of the redeveloped space is anticipated to be achieved.</w:t>
      </w:r>
    </w:p>
    <w:p>
      <w:pPr>
        <w:spacing w:after="0" w:line="18" w:lineRule="exact"/>
        <w:rPr>
          <w:rFonts w:ascii="Arial" w:cs="Arial" w:eastAsia="Arial" w:hAnsi="Arial"/>
          <w:sz w:val="17"/>
          <w:szCs w:val="17"/>
          <w:b w:val="1"/>
          <w:bCs w:val="1"/>
          <w:i w:val="1"/>
          <w:iCs w:val="1"/>
          <w:color w:val="auto"/>
        </w:rPr>
      </w:pPr>
    </w:p>
    <w:p>
      <w:pPr>
        <w:ind w:left="453" w:hanging="453"/>
        <w:spacing w:after="0"/>
        <w:tabs>
          <w:tab w:leader="none" w:pos="453" w:val="left"/>
        </w:tabs>
        <w:numPr>
          <w:ilvl w:val="0"/>
          <w:numId w:val="1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All subtotals and totals reflect cost weighted-average ROIs.</w:t>
      </w:r>
    </w:p>
    <w:p>
      <w:pPr>
        <w:spacing w:after="0" w:line="18" w:lineRule="exact"/>
        <w:rPr>
          <w:rFonts w:ascii="Arial" w:cs="Arial" w:eastAsia="Arial" w:hAnsi="Arial"/>
          <w:sz w:val="17"/>
          <w:szCs w:val="17"/>
          <w:b w:val="1"/>
          <w:bCs w:val="1"/>
          <w:i w:val="1"/>
          <w:iCs w:val="1"/>
          <w:color w:val="auto"/>
        </w:rPr>
      </w:pPr>
    </w:p>
    <w:p>
      <w:pPr>
        <w:ind w:left="453" w:right="40" w:hanging="453"/>
        <w:spacing w:after="0" w:line="262" w:lineRule="auto"/>
        <w:tabs>
          <w:tab w:leader="none" w:pos="453" w:val="left"/>
        </w:tabs>
        <w:numPr>
          <w:ilvl w:val="0"/>
          <w:numId w:val="1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These future redevelopment opportunities are being explored by the Trust. There is no guaranty that the Trust will ultimately pursue or complete any or all of these opportunities.</w:t>
      </w:r>
    </w:p>
    <w:p>
      <w:pPr>
        <w:spacing w:after="0" w:line="1" w:lineRule="exact"/>
        <w:rPr>
          <w:rFonts w:ascii="Arial" w:cs="Arial" w:eastAsia="Arial" w:hAnsi="Arial"/>
          <w:sz w:val="17"/>
          <w:szCs w:val="17"/>
          <w:b w:val="1"/>
          <w:bCs w:val="1"/>
          <w:i w:val="1"/>
          <w:iCs w:val="1"/>
          <w:color w:val="auto"/>
        </w:rPr>
      </w:pPr>
    </w:p>
    <w:p>
      <w:pPr>
        <w:jc w:val="both"/>
        <w:ind w:left="453" w:hanging="453"/>
        <w:spacing w:after="0" w:line="262" w:lineRule="auto"/>
        <w:tabs>
          <w:tab w:leader="none" w:pos="453" w:val="left"/>
        </w:tabs>
        <w:numPr>
          <w:ilvl w:val="0"/>
          <w:numId w:val="1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Range of gross rents. Market conditions have generally not required concessions on renewals, but have required concessions of up to one month on new 12 month leases. Overall average gross rent for Phase I is $2.03 per square foot per month and $2.28 per square foot per month for Phase IV. The range of rents above reflect the size and type of residential offerings for each phase.</w:t>
      </w:r>
    </w:p>
    <w:p>
      <w:pPr>
        <w:spacing w:after="0" w:line="2" w:lineRule="exact"/>
        <w:rPr>
          <w:rFonts w:ascii="Arial" w:cs="Arial" w:eastAsia="Arial" w:hAnsi="Arial"/>
          <w:sz w:val="17"/>
          <w:szCs w:val="17"/>
          <w:b w:val="1"/>
          <w:bCs w:val="1"/>
          <w:i w:val="1"/>
          <w:iCs w:val="1"/>
          <w:color w:val="auto"/>
        </w:rPr>
      </w:pPr>
    </w:p>
    <w:p>
      <w:pPr>
        <w:ind w:left="453" w:right="640" w:hanging="453"/>
        <w:spacing w:after="0" w:line="262" w:lineRule="auto"/>
        <w:tabs>
          <w:tab w:leader="none" w:pos="453" w:val="left"/>
        </w:tabs>
        <w:numPr>
          <w:ilvl w:val="0"/>
          <w:numId w:val="1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Santana Row Phase I and Total Projected Cost and Cost to Date are net of $129 million of insurance proceeds, $11 million has been, or will be, recognized as income in 2003 and 2004.</w:t>
      </w:r>
    </w:p>
    <w:p>
      <w:pPr>
        <w:spacing w:after="0" w:line="1" w:lineRule="exact"/>
        <w:rPr>
          <w:rFonts w:ascii="Arial" w:cs="Arial" w:eastAsia="Arial" w:hAnsi="Arial"/>
          <w:sz w:val="17"/>
          <w:szCs w:val="17"/>
          <w:b w:val="1"/>
          <w:bCs w:val="1"/>
          <w:i w:val="1"/>
          <w:iCs w:val="1"/>
          <w:color w:val="auto"/>
        </w:rPr>
      </w:pPr>
    </w:p>
    <w:p>
      <w:pPr>
        <w:ind w:left="453" w:hanging="453"/>
        <w:spacing w:after="0"/>
        <w:tabs>
          <w:tab w:leader="none" w:pos="453" w:val="left"/>
        </w:tabs>
        <w:numPr>
          <w:ilvl w:val="0"/>
          <w:numId w:val="1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Calculated as stabilized Property Operating Income (POI) divided by cost.</w:t>
      </w:r>
    </w:p>
    <w:p>
      <w:pPr>
        <w:sectPr>
          <w:pgSz w:w="11900" w:h="16838" w:orient="portrait"/>
          <w:cols w:equalWidth="0" w:num="1">
            <w:col w:w="11353"/>
          </w:cols>
          <w:pgMar w:left="247" w:top="131"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2004 Acquisitions and Dispositions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Through September 30, 2004</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Acquisitions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80" w:type="dxa"/>
            <w:vAlign w:val="bottom"/>
            <w:gridSpan w:val="5"/>
          </w:tcPr>
          <w:p>
            <w:pPr>
              <w:spacing w:after="0"/>
              <w:rPr>
                <w:sz w:val="20"/>
                <w:szCs w:val="20"/>
                <w:color w:val="auto"/>
              </w:rPr>
            </w:pPr>
            <w:r>
              <w:rPr>
                <w:rFonts w:ascii="Arial" w:cs="Arial" w:eastAsia="Arial" w:hAnsi="Arial"/>
                <w:sz w:val="13"/>
                <w:szCs w:val="13"/>
                <w:b w:val="1"/>
                <w:bCs w:val="1"/>
                <w:color w:val="auto"/>
              </w:rPr>
              <w:t>Date</w:t>
            </w:r>
          </w:p>
        </w:tc>
        <w:tc>
          <w:tcPr>
            <w:tcW w:w="3040" w:type="dxa"/>
            <w:vAlign w:val="bottom"/>
            <w:gridSpan w:val="2"/>
          </w:tcPr>
          <w:p>
            <w:pPr>
              <w:spacing w:after="0"/>
              <w:rPr>
                <w:sz w:val="20"/>
                <w:szCs w:val="20"/>
                <w:color w:val="auto"/>
              </w:rPr>
            </w:pPr>
            <w:r>
              <w:rPr>
                <w:rFonts w:ascii="Arial" w:cs="Arial" w:eastAsia="Arial" w:hAnsi="Arial"/>
                <w:sz w:val="13"/>
                <w:szCs w:val="13"/>
                <w:b w:val="1"/>
                <w:bCs w:val="1"/>
                <w:color w:val="auto"/>
              </w:rPr>
              <w:t>Property</w:t>
            </w:r>
          </w:p>
        </w:tc>
        <w:tc>
          <w:tcPr>
            <w:tcW w:w="1680" w:type="dxa"/>
            <w:vAlign w:val="bottom"/>
            <w:gridSpan w:val="2"/>
          </w:tcPr>
          <w:p>
            <w:pPr>
              <w:ind w:left="420"/>
              <w:spacing w:after="0"/>
              <w:rPr>
                <w:sz w:val="20"/>
                <w:szCs w:val="20"/>
                <w:color w:val="auto"/>
              </w:rPr>
            </w:pPr>
            <w:r>
              <w:rPr>
                <w:rFonts w:ascii="Arial" w:cs="Arial" w:eastAsia="Arial" w:hAnsi="Arial"/>
                <w:sz w:val="13"/>
                <w:szCs w:val="13"/>
                <w:b w:val="1"/>
                <w:bCs w:val="1"/>
                <w:color w:val="auto"/>
              </w:rPr>
              <w:t>City / State</w:t>
            </w:r>
          </w:p>
        </w:tc>
        <w:tc>
          <w:tcPr>
            <w:tcW w:w="580" w:type="dxa"/>
            <w:vAlign w:val="bottom"/>
          </w:tcPr>
          <w:p>
            <w:pPr>
              <w:jc w:val="right"/>
              <w:ind w:right="78"/>
              <w:spacing w:after="0"/>
              <w:rPr>
                <w:sz w:val="20"/>
                <w:szCs w:val="20"/>
                <w:color w:val="auto"/>
              </w:rPr>
            </w:pPr>
            <w:r>
              <w:rPr>
                <w:rFonts w:ascii="Arial" w:cs="Arial" w:eastAsia="Arial" w:hAnsi="Arial"/>
                <w:sz w:val="13"/>
                <w:szCs w:val="13"/>
                <w:b w:val="1"/>
                <w:bCs w:val="1"/>
                <w:color w:val="auto"/>
              </w:rPr>
              <w:t>GLA</w:t>
            </w:r>
          </w:p>
        </w:tc>
        <w:tc>
          <w:tcPr>
            <w:tcW w:w="20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b w:val="1"/>
                <w:bCs w:val="1"/>
                <w:color w:val="auto"/>
              </w:rPr>
              <w:t>Purchase price</w:t>
            </w:r>
          </w:p>
        </w:tc>
        <w:tc>
          <w:tcPr>
            <w:tcW w:w="120" w:type="dxa"/>
            <w:vAlign w:val="bottom"/>
          </w:tcPr>
          <w:p>
            <w:pPr>
              <w:spacing w:after="0"/>
              <w:rPr>
                <w:sz w:val="15"/>
                <w:szCs w:val="15"/>
                <w:color w:val="auto"/>
              </w:rPr>
            </w:pPr>
          </w:p>
        </w:tc>
        <w:tc>
          <w:tcPr>
            <w:tcW w:w="2840" w:type="dxa"/>
            <w:vAlign w:val="bottom"/>
          </w:tcPr>
          <w:p>
            <w:pPr>
              <w:ind w:left="980"/>
              <w:spacing w:after="0"/>
              <w:rPr>
                <w:sz w:val="20"/>
                <w:szCs w:val="20"/>
                <w:color w:val="auto"/>
              </w:rPr>
            </w:pPr>
            <w:r>
              <w:rPr>
                <w:rFonts w:ascii="Arial" w:cs="Arial" w:eastAsia="Arial" w:hAnsi="Arial"/>
                <w:sz w:val="13"/>
                <w:szCs w:val="13"/>
                <w:b w:val="1"/>
                <w:bCs w:val="1"/>
                <w:color w:val="auto"/>
              </w:rPr>
              <w:t>Anchor tenants</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42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9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Target, Safeway, Burlington Coat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91"/>
              </w:rPr>
              <w:t>Factory, Ross Dress for Less, Nordstrom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March 31, 2004</w:t>
            </w:r>
          </w:p>
        </w:tc>
        <w:tc>
          <w:tcPr>
            <w:tcW w:w="3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Westgate Mall</w:t>
            </w:r>
          </w:p>
        </w:tc>
        <w:tc>
          <w:tcPr>
            <w:tcW w:w="168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San Jose, CA</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637,211</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97,000</w:t>
            </w:r>
          </w:p>
        </w:tc>
        <w:tc>
          <w:tcPr>
            <w:tcW w:w="32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Rack</w:t>
            </w:r>
          </w:p>
        </w:tc>
        <w:tc>
          <w:tcPr>
            <w:tcW w:w="0" w:type="dxa"/>
            <w:vAlign w:val="bottom"/>
          </w:tcPr>
          <w:p>
            <w:pPr>
              <w:spacing w:after="0"/>
              <w:rPr>
                <w:sz w:val="1"/>
                <w:szCs w:val="1"/>
                <w:color w:val="auto"/>
              </w:rPr>
            </w:pPr>
          </w:p>
        </w:tc>
      </w:tr>
      <w:tr>
        <w:trPr>
          <w:trHeight w:val="388"/>
        </w:trPr>
        <w:tc>
          <w:tcPr>
            <w:tcW w:w="1780" w:type="dxa"/>
            <w:vAlign w:val="bottom"/>
            <w:gridSpan w:val="5"/>
          </w:tcPr>
          <w:p>
            <w:pPr>
              <w:spacing w:after="0"/>
              <w:rPr>
                <w:sz w:val="20"/>
                <w:szCs w:val="20"/>
                <w:color w:val="auto"/>
              </w:rPr>
            </w:pPr>
            <w:r>
              <w:rPr>
                <w:rFonts w:ascii="Arial" w:cs="Arial" w:eastAsia="Arial" w:hAnsi="Arial"/>
                <w:sz w:val="17"/>
                <w:szCs w:val="17"/>
                <w:b w:val="1"/>
                <w:bCs w:val="1"/>
                <w:color w:val="auto"/>
              </w:rPr>
              <w:t>Dispositions</w:t>
            </w:r>
          </w:p>
        </w:tc>
        <w:tc>
          <w:tcPr>
            <w:tcW w:w="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900" w:type="dxa"/>
            <w:vAlign w:val="bottom"/>
            <w:tcBorders>
              <w:top w:val="single" w:sz="8" w:color="auto"/>
            </w:tcBorders>
            <w:gridSpan w:val="3"/>
          </w:tcPr>
          <w:p>
            <w:pPr>
              <w:spacing w:after="0"/>
              <w:rPr>
                <w:sz w:val="20"/>
                <w:szCs w:val="20"/>
                <w:color w:val="auto"/>
              </w:rPr>
            </w:pPr>
            <w:r>
              <w:rPr>
                <w:rFonts w:ascii="Arial" w:cs="Arial" w:eastAsia="Arial" w:hAnsi="Arial"/>
                <w:sz w:val="13"/>
                <w:szCs w:val="13"/>
                <w:b w:val="1"/>
                <w:bCs w:val="1"/>
                <w:color w:val="auto"/>
              </w:rPr>
              <w:t>Date</w:t>
            </w:r>
          </w:p>
        </w:tc>
        <w:tc>
          <w:tcPr>
            <w:tcW w:w="880" w:type="dxa"/>
            <w:vAlign w:val="bottom"/>
            <w:gridSpan w:val="2"/>
          </w:tcPr>
          <w:p>
            <w:pPr>
              <w:spacing w:after="0"/>
              <w:rPr>
                <w:sz w:val="24"/>
                <w:szCs w:val="24"/>
                <w:color w:val="auto"/>
              </w:rPr>
            </w:pPr>
          </w:p>
        </w:tc>
        <w:tc>
          <w:tcPr>
            <w:tcW w:w="3040" w:type="dxa"/>
            <w:vAlign w:val="bottom"/>
            <w:gridSpan w:val="2"/>
          </w:tcPr>
          <w:p>
            <w:pPr>
              <w:spacing w:after="0"/>
              <w:rPr>
                <w:sz w:val="20"/>
                <w:szCs w:val="20"/>
                <w:color w:val="auto"/>
              </w:rPr>
            </w:pPr>
            <w:r>
              <w:rPr>
                <w:rFonts w:ascii="Arial" w:cs="Arial" w:eastAsia="Arial" w:hAnsi="Arial"/>
                <w:sz w:val="13"/>
                <w:szCs w:val="13"/>
                <w:b w:val="1"/>
                <w:bCs w:val="1"/>
                <w:color w:val="auto"/>
              </w:rPr>
              <w:t>Property</w:t>
            </w:r>
          </w:p>
        </w:tc>
        <w:tc>
          <w:tcPr>
            <w:tcW w:w="1680" w:type="dxa"/>
            <w:vAlign w:val="bottom"/>
            <w:gridSpan w:val="2"/>
          </w:tcPr>
          <w:p>
            <w:pPr>
              <w:ind w:left="420"/>
              <w:spacing w:after="0"/>
              <w:rPr>
                <w:sz w:val="20"/>
                <w:szCs w:val="20"/>
                <w:color w:val="auto"/>
              </w:rPr>
            </w:pPr>
            <w:r>
              <w:rPr>
                <w:rFonts w:ascii="Arial" w:cs="Arial" w:eastAsia="Arial" w:hAnsi="Arial"/>
                <w:sz w:val="13"/>
                <w:szCs w:val="13"/>
                <w:b w:val="1"/>
                <w:bCs w:val="1"/>
                <w:color w:val="auto"/>
              </w:rPr>
              <w:t>City / State</w:t>
            </w:r>
          </w:p>
        </w:tc>
        <w:tc>
          <w:tcPr>
            <w:tcW w:w="580" w:type="dxa"/>
            <w:vAlign w:val="bottom"/>
          </w:tcPr>
          <w:p>
            <w:pPr>
              <w:jc w:val="right"/>
              <w:ind w:right="78"/>
              <w:spacing w:after="0"/>
              <w:rPr>
                <w:sz w:val="20"/>
                <w:szCs w:val="20"/>
                <w:color w:val="auto"/>
              </w:rPr>
            </w:pPr>
            <w:r>
              <w:rPr>
                <w:rFonts w:ascii="Arial" w:cs="Arial" w:eastAsia="Arial" w:hAnsi="Arial"/>
                <w:sz w:val="13"/>
                <w:szCs w:val="13"/>
                <w:b w:val="1"/>
                <w:bCs w:val="1"/>
                <w:color w:val="auto"/>
              </w:rPr>
              <w:t>GLA</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87"/>
              </w:rPr>
              <w:t>Sales price</w:t>
            </w: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42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7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June 3, 2004</w:t>
            </w:r>
          </w:p>
        </w:tc>
        <w:tc>
          <w:tcPr>
            <w:tcW w:w="3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Village at Shirlington (land parcel)</w:t>
            </w:r>
          </w:p>
        </w:tc>
        <w:tc>
          <w:tcPr>
            <w:tcW w:w="1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Arlington, VA</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1780" w:type="dxa"/>
            <w:vAlign w:val="bottom"/>
            <w:gridSpan w:val="5"/>
          </w:tcPr>
          <w:p>
            <w:pPr>
              <w:spacing w:after="0"/>
              <w:rPr>
                <w:sz w:val="20"/>
                <w:szCs w:val="20"/>
                <w:color w:val="auto"/>
              </w:rPr>
            </w:pPr>
            <w:r>
              <w:rPr>
                <w:rFonts w:ascii="Arial" w:cs="Arial" w:eastAsia="Arial" w:hAnsi="Arial"/>
                <w:sz w:val="17"/>
                <w:szCs w:val="17"/>
                <w:color w:val="auto"/>
              </w:rPr>
              <w:t>June 14, 2004</w:t>
            </w:r>
          </w:p>
        </w:tc>
        <w:tc>
          <w:tcPr>
            <w:tcW w:w="3040" w:type="dxa"/>
            <w:vAlign w:val="bottom"/>
            <w:gridSpan w:val="2"/>
          </w:tcPr>
          <w:p>
            <w:pPr>
              <w:spacing w:after="0"/>
              <w:rPr>
                <w:sz w:val="20"/>
                <w:szCs w:val="20"/>
                <w:color w:val="auto"/>
              </w:rPr>
            </w:pPr>
            <w:r>
              <w:rPr>
                <w:rFonts w:ascii="Arial" w:cs="Arial" w:eastAsia="Arial" w:hAnsi="Arial"/>
                <w:sz w:val="17"/>
                <w:szCs w:val="17"/>
                <w:color w:val="auto"/>
              </w:rPr>
              <w:t>Magruder’s Center</w:t>
            </w:r>
          </w:p>
        </w:tc>
        <w:tc>
          <w:tcPr>
            <w:tcW w:w="1680" w:type="dxa"/>
            <w:vAlign w:val="bottom"/>
            <w:gridSpan w:val="2"/>
          </w:tcPr>
          <w:p>
            <w:pPr>
              <w:spacing w:after="0"/>
              <w:rPr>
                <w:sz w:val="20"/>
                <w:szCs w:val="20"/>
                <w:color w:val="auto"/>
              </w:rPr>
            </w:pPr>
            <w:r>
              <w:rPr>
                <w:rFonts w:ascii="Arial" w:cs="Arial" w:eastAsia="Arial" w:hAnsi="Arial"/>
                <w:sz w:val="17"/>
                <w:szCs w:val="17"/>
                <w:color w:val="auto"/>
              </w:rPr>
              <w:t>Rockville, MD</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109,000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14,350(1)</w:t>
            </w: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7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July 1, 2004</w:t>
            </w:r>
          </w:p>
        </w:tc>
        <w:tc>
          <w:tcPr>
            <w:tcW w:w="3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Plaza del Mercado (contribution to joint</w:t>
            </w: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venture)</w:t>
            </w:r>
          </w:p>
        </w:tc>
        <w:tc>
          <w:tcPr>
            <w:tcW w:w="1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Silver Spring, MD</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96,000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20,578(2)</w:t>
            </w:r>
          </w:p>
        </w:tc>
        <w:tc>
          <w:tcPr>
            <w:tcW w:w="12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1780" w:type="dxa"/>
            <w:vAlign w:val="bottom"/>
            <w:gridSpan w:val="5"/>
          </w:tcPr>
          <w:p>
            <w:pPr>
              <w:spacing w:after="0"/>
              <w:rPr>
                <w:sz w:val="20"/>
                <w:szCs w:val="20"/>
                <w:color w:val="auto"/>
              </w:rPr>
            </w:pPr>
            <w:r>
              <w:rPr>
                <w:rFonts w:ascii="Arial" w:cs="Arial" w:eastAsia="Arial" w:hAnsi="Arial"/>
                <w:sz w:val="17"/>
                <w:szCs w:val="17"/>
                <w:color w:val="auto"/>
              </w:rPr>
              <w:t>September 16, 2004</w:t>
            </w:r>
          </w:p>
        </w:tc>
        <w:tc>
          <w:tcPr>
            <w:tcW w:w="3040" w:type="dxa"/>
            <w:vAlign w:val="bottom"/>
            <w:gridSpan w:val="2"/>
          </w:tcPr>
          <w:p>
            <w:pPr>
              <w:spacing w:after="0"/>
              <w:rPr>
                <w:sz w:val="20"/>
                <w:szCs w:val="20"/>
                <w:color w:val="auto"/>
              </w:rPr>
            </w:pPr>
            <w:r>
              <w:rPr>
                <w:rFonts w:ascii="Arial" w:cs="Arial" w:eastAsia="Arial" w:hAnsi="Arial"/>
                <w:sz w:val="17"/>
                <w:szCs w:val="17"/>
                <w:color w:val="auto"/>
              </w:rPr>
              <w:t>Village at Shirlington (land parcels)</w:t>
            </w:r>
          </w:p>
        </w:tc>
        <w:tc>
          <w:tcPr>
            <w:tcW w:w="1680" w:type="dxa"/>
            <w:vAlign w:val="bottom"/>
            <w:gridSpan w:val="2"/>
          </w:tcPr>
          <w:p>
            <w:pPr>
              <w:spacing w:after="0"/>
              <w:rPr>
                <w:sz w:val="20"/>
                <w:szCs w:val="20"/>
                <w:color w:val="auto"/>
              </w:rPr>
            </w:pPr>
            <w:r>
              <w:rPr>
                <w:rFonts w:ascii="Arial" w:cs="Arial" w:eastAsia="Arial" w:hAnsi="Arial"/>
                <w:sz w:val="17"/>
                <w:szCs w:val="17"/>
                <w:color w:val="auto"/>
              </w:rPr>
              <w:t>Arlington, VA</w:t>
            </w:r>
          </w:p>
        </w:tc>
        <w:tc>
          <w:tcPr>
            <w:tcW w:w="580" w:type="dxa"/>
            <w:vAlign w:val="bottom"/>
          </w:tcPr>
          <w:p>
            <w:pPr>
              <w:jc w:val="right"/>
              <w:spacing w:after="0"/>
              <w:rPr>
                <w:sz w:val="20"/>
                <w:szCs w:val="20"/>
                <w:color w:val="auto"/>
              </w:rPr>
            </w:pPr>
            <w:r>
              <w:rPr>
                <w:rFonts w:ascii="Arial" w:cs="Arial" w:eastAsia="Arial" w:hAnsi="Arial"/>
                <w:sz w:val="17"/>
                <w:szCs w:val="17"/>
                <w:color w:val="auto"/>
              </w:rPr>
              <w:t>n/a</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2,796(3)</w:t>
            </w: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205,000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42,658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4123055</wp:posOffset>
            </wp:positionH>
            <wp:positionV relativeFrom="paragraph">
              <wp:posOffset>-171450</wp:posOffset>
            </wp:positionV>
            <wp:extent cx="107505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075055" cy="2984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6" w:lineRule="exact"/>
        <w:rPr>
          <w:sz w:val="20"/>
          <w:szCs w:val="20"/>
          <w:color w:val="auto"/>
        </w:rPr>
      </w:pPr>
    </w:p>
    <w:p>
      <w:pPr>
        <w:ind w:left="460" w:right="100" w:hanging="453"/>
        <w:spacing w:after="0" w:line="262"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On June 14, 2004 the Magruders Center was conveyed to the City of Rockville in lieu of condemnation in order to facilitate the redevelopment of Rockville Town Center.</w:t>
      </w:r>
    </w:p>
    <w:p>
      <w:pPr>
        <w:spacing w:after="0" w:line="1" w:lineRule="exact"/>
        <w:rPr>
          <w:rFonts w:ascii="Arial" w:cs="Arial" w:eastAsia="Arial" w:hAnsi="Arial"/>
          <w:sz w:val="17"/>
          <w:szCs w:val="17"/>
          <w:color w:val="auto"/>
        </w:rPr>
      </w:pPr>
    </w:p>
    <w:p>
      <w:pPr>
        <w:ind w:left="460" w:hanging="453"/>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On July 1, 2004, we contributed Plaza del Mercado to a newly formed joint venture in which we own 30% of the equity.</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 September 16, 2004, we sold two unimproved parcels of land at the Village at Shirlington in conjunction with the redevelopment of the property.</w:t>
      </w:r>
    </w:p>
    <w:p>
      <w:pPr>
        <w:sectPr>
          <w:pgSz w:w="11900" w:h="16838" w:orient="portrait"/>
          <w:cols w:equalWidth="0" w:num="1">
            <w:col w:w="11420"/>
          </w:cols>
          <w:pgMar w:left="240" w:top="456" w:right="239" w:bottom="1440" w:gutter="0" w:footer="0" w:header="0"/>
        </w:sectPr>
      </w:pPr>
    </w:p>
    <w:bookmarkStart w:id="22" w:name="page23"/>
    <w:bookmarkEnd w:id="22"/>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Mortgage or</w:t>
            </w:r>
          </w:p>
        </w:tc>
        <w:tc>
          <w:tcPr>
            <w:tcW w:w="1700" w:type="dxa"/>
            <w:vAlign w:val="bottom"/>
            <w:gridSpan w:val="3"/>
          </w:tcPr>
          <w:p>
            <w:pPr>
              <w:ind w:left="20"/>
              <w:spacing w:after="0"/>
              <w:rPr>
                <w:sz w:val="20"/>
                <w:szCs w:val="20"/>
                <w:color w:val="auto"/>
              </w:rPr>
            </w:pPr>
            <w:r>
              <w:rPr>
                <w:rFonts w:ascii="Arial" w:cs="Arial" w:eastAsia="Arial" w:hAnsi="Arial"/>
                <w:sz w:val="13"/>
                <w:szCs w:val="13"/>
                <w:b w:val="1"/>
                <w:bCs w:val="1"/>
                <w:color w:val="auto"/>
              </w:rPr>
              <w:t>Grocery</w:t>
            </w:r>
          </w:p>
        </w:tc>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80"/>
              <w:spacing w:after="0" w:line="148" w:lineRule="exact"/>
              <w:rPr>
                <w:sz w:val="20"/>
                <w:szCs w:val="20"/>
                <w:color w:val="auto"/>
              </w:rPr>
            </w:pPr>
            <w:r>
              <w:rPr>
                <w:rFonts w:ascii="Arial" w:cs="Arial" w:eastAsia="Arial" w:hAnsi="Arial"/>
                <w:sz w:val="13"/>
                <w:szCs w:val="13"/>
                <w:b w:val="1"/>
                <w:bCs w:val="1"/>
                <w:color w:val="auto"/>
                <w:w w:val="92"/>
              </w:rPr>
              <w:t>Year</w:t>
            </w:r>
          </w:p>
        </w:tc>
        <w:tc>
          <w:tcPr>
            <w:tcW w:w="1100" w:type="dxa"/>
            <w:vAlign w:val="bottom"/>
            <w:gridSpan w:val="2"/>
          </w:tcPr>
          <w:p>
            <w:pPr>
              <w:jc w:val="center"/>
              <w:ind w:right="280"/>
              <w:spacing w:after="0" w:line="148" w:lineRule="exact"/>
              <w:rPr>
                <w:sz w:val="20"/>
                <w:szCs w:val="20"/>
                <w:color w:val="auto"/>
              </w:rPr>
            </w:pPr>
            <w:r>
              <w:rPr>
                <w:rFonts w:ascii="Arial" w:cs="Arial" w:eastAsia="Arial" w:hAnsi="Arial"/>
                <w:sz w:val="13"/>
                <w:szCs w:val="13"/>
                <w:b w:val="1"/>
                <w:bCs w:val="1"/>
                <w:color w:val="auto"/>
                <w:w w:val="96"/>
              </w:rPr>
              <w:t>Total</w:t>
            </w:r>
          </w:p>
        </w:tc>
        <w:tc>
          <w:tcPr>
            <w:tcW w:w="900" w:type="dxa"/>
            <w:vAlign w:val="bottom"/>
            <w:gridSpan w:val="2"/>
          </w:tcPr>
          <w:p>
            <w:pPr>
              <w:jc w:val="right"/>
              <w:ind w:right="280"/>
              <w:spacing w:after="0" w:line="148" w:lineRule="exact"/>
              <w:rPr>
                <w:sz w:val="20"/>
                <w:szCs w:val="20"/>
                <w:color w:val="auto"/>
              </w:rPr>
            </w:pPr>
            <w:r>
              <w:rPr>
                <w:rFonts w:ascii="Arial" w:cs="Arial" w:eastAsia="Arial" w:hAnsi="Arial"/>
                <w:sz w:val="13"/>
                <w:szCs w:val="13"/>
                <w:b w:val="1"/>
                <w:bCs w:val="1"/>
                <w:color w:val="auto"/>
                <w:w w:val="89"/>
              </w:rPr>
              <w:t>Ownership</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80"/>
              <w:spacing w:after="0" w:line="148" w:lineRule="exact"/>
              <w:rPr>
                <w:sz w:val="20"/>
                <w:szCs w:val="20"/>
                <w:color w:val="auto"/>
              </w:rPr>
            </w:pPr>
            <w:r>
              <w:rPr>
                <w:rFonts w:ascii="Arial" w:cs="Arial" w:eastAsia="Arial" w:hAnsi="Arial"/>
                <w:sz w:val="13"/>
                <w:szCs w:val="13"/>
                <w:b w:val="1"/>
                <w:bCs w:val="1"/>
                <w:color w:val="auto"/>
                <w:w w:val="95"/>
              </w:rPr>
              <w:t>Capital Lease</w:t>
            </w:r>
          </w:p>
        </w:tc>
        <w:tc>
          <w:tcPr>
            <w:tcW w:w="1700" w:type="dxa"/>
            <w:vAlign w:val="bottom"/>
            <w:gridSpan w:val="3"/>
          </w:tcPr>
          <w:p>
            <w:pPr>
              <w:ind w:left="40"/>
              <w:spacing w:after="0" w:line="148" w:lineRule="exact"/>
              <w:rPr>
                <w:sz w:val="20"/>
                <w:szCs w:val="20"/>
                <w:color w:val="auto"/>
              </w:rPr>
            </w:pPr>
            <w:r>
              <w:rPr>
                <w:rFonts w:ascii="Arial" w:cs="Arial" w:eastAsia="Arial" w:hAnsi="Arial"/>
                <w:sz w:val="13"/>
                <w:szCs w:val="13"/>
                <w:b w:val="1"/>
                <w:bCs w:val="1"/>
                <w:color w:val="auto"/>
              </w:rPr>
              <w:t>Anchor</w:t>
            </w:r>
          </w:p>
        </w:tc>
        <w:tc>
          <w:tcPr>
            <w:tcW w:w="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460" w:type="dxa"/>
            <w:vAlign w:val="bottom"/>
            <w:gridSpan w:val="9"/>
          </w:tcPr>
          <w:p>
            <w:pPr>
              <w:spacing w:after="0"/>
              <w:rPr>
                <w:sz w:val="20"/>
                <w:szCs w:val="20"/>
                <w:color w:val="auto"/>
              </w:rPr>
            </w:pPr>
            <w:r>
              <w:rPr>
                <w:rFonts w:ascii="Arial" w:cs="Arial" w:eastAsia="Arial" w:hAnsi="Arial"/>
                <w:sz w:val="13"/>
                <w:szCs w:val="13"/>
                <w:b w:val="1"/>
                <w:bCs w:val="1"/>
                <w:color w:val="auto"/>
              </w:rPr>
              <w:t>Property Name</w:t>
            </w:r>
          </w:p>
        </w:tc>
        <w:tc>
          <w:tcPr>
            <w:tcW w:w="460" w:type="dxa"/>
            <w:vAlign w:val="bottom"/>
          </w:tcPr>
          <w:p>
            <w:pPr>
              <w:ind w:left="20"/>
              <w:spacing w:after="0"/>
              <w:rPr>
                <w:sz w:val="20"/>
                <w:szCs w:val="20"/>
                <w:color w:val="auto"/>
              </w:rPr>
            </w:pPr>
            <w:r>
              <w:rPr>
                <w:rFonts w:ascii="Arial" w:cs="Arial" w:eastAsia="Arial" w:hAnsi="Arial"/>
                <w:sz w:val="13"/>
                <w:szCs w:val="13"/>
                <w:b w:val="1"/>
                <w:bCs w:val="1"/>
                <w:color w:val="auto"/>
                <w:w w:val="90"/>
              </w:rPr>
              <w:t>Type(1)</w:t>
            </w:r>
          </w:p>
        </w:tc>
        <w:tc>
          <w:tcPr>
            <w:tcW w:w="80" w:type="dxa"/>
            <w:vAlign w:val="bottom"/>
          </w:tcPr>
          <w:p>
            <w:pPr>
              <w:spacing w:after="0"/>
              <w:rPr>
                <w:sz w:val="15"/>
                <w:szCs w:val="15"/>
                <w:color w:val="auto"/>
              </w:rPr>
            </w:pPr>
          </w:p>
        </w:tc>
        <w:tc>
          <w:tcPr>
            <w:tcW w:w="1100" w:type="dxa"/>
            <w:vAlign w:val="bottom"/>
          </w:tcPr>
          <w:p>
            <w:pPr>
              <w:ind w:left="60"/>
              <w:spacing w:after="0"/>
              <w:rPr>
                <w:sz w:val="20"/>
                <w:szCs w:val="20"/>
                <w:color w:val="auto"/>
              </w:rPr>
            </w:pPr>
            <w:r>
              <w:rPr>
                <w:rFonts w:ascii="Arial" w:cs="Arial" w:eastAsia="Arial" w:hAnsi="Arial"/>
                <w:sz w:val="13"/>
                <w:szCs w:val="13"/>
                <w:b w:val="1"/>
                <w:bCs w:val="1"/>
                <w:color w:val="auto"/>
                <w:w w:val="98"/>
              </w:rPr>
              <w:t>MSA Description</w:t>
            </w:r>
          </w:p>
        </w:tc>
        <w:tc>
          <w:tcPr>
            <w:tcW w:w="80" w:type="dxa"/>
            <w:vAlign w:val="bottom"/>
          </w:tcPr>
          <w:p>
            <w:pPr>
              <w:spacing w:after="0"/>
              <w:rPr>
                <w:sz w:val="15"/>
                <w:szCs w:val="15"/>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Acquired</w:t>
            </w: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Investment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5"/>
              </w:rPr>
              <w:t>Percentage</w:t>
            </w:r>
          </w:p>
        </w:tc>
        <w:tc>
          <w:tcPr>
            <w:tcW w:w="780" w:type="dxa"/>
            <w:vAlign w:val="bottom"/>
            <w:gridSpan w:val="2"/>
          </w:tcPr>
          <w:p>
            <w:pPr>
              <w:ind w:left="100"/>
              <w:spacing w:after="0"/>
              <w:rPr>
                <w:sz w:val="20"/>
                <w:szCs w:val="20"/>
                <w:color w:val="auto"/>
              </w:rPr>
            </w:pPr>
            <w:r>
              <w:rPr>
                <w:rFonts w:ascii="Arial" w:cs="Arial" w:eastAsia="Arial" w:hAnsi="Arial"/>
                <w:sz w:val="13"/>
                <w:szCs w:val="13"/>
                <w:b w:val="1"/>
                <w:bCs w:val="1"/>
                <w:color w:val="auto"/>
              </w:rPr>
              <w:t>GLA (2)</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9"/>
              </w:rPr>
              <w:t>% Leased</w:t>
            </w: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Obligation</w:t>
            </w:r>
          </w:p>
        </w:tc>
        <w:tc>
          <w:tcPr>
            <w:tcW w:w="3140" w:type="dxa"/>
            <w:vAlign w:val="bottom"/>
            <w:gridSpan w:val="5"/>
          </w:tcPr>
          <w:p>
            <w:pPr>
              <w:ind w:left="20"/>
              <w:spacing w:after="0"/>
              <w:rPr>
                <w:sz w:val="20"/>
                <w:szCs w:val="20"/>
                <w:color w:val="auto"/>
              </w:rPr>
            </w:pPr>
            <w:r>
              <w:rPr>
                <w:rFonts w:ascii="Arial" w:cs="Arial" w:eastAsia="Arial" w:hAnsi="Arial"/>
                <w:sz w:val="13"/>
                <w:szCs w:val="13"/>
                <w:b w:val="1"/>
                <w:bCs w:val="1"/>
                <w:color w:val="auto"/>
                <w:w w:val="97"/>
              </w:rPr>
              <w:t>GLA (3) Grocery Anchor (3) Other Principal Tenants</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(in thousands)</w:t>
            </w: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(in thousands)</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0" w:type="dxa"/>
            <w:vAlign w:val="bottom"/>
            <w:tcBorders>
              <w:bottom w:val="single" w:sz="8" w:color="auto"/>
            </w:tcBorders>
            <w:gridSpan w:val="5"/>
            <w:shd w:val="clear" w:color="auto" w:fill="CCEEFF"/>
          </w:tcPr>
          <w:p>
            <w:pPr>
              <w:spacing w:after="0" w:line="174" w:lineRule="exact"/>
              <w:rPr>
                <w:sz w:val="20"/>
                <w:szCs w:val="20"/>
                <w:color w:val="auto"/>
              </w:rPr>
            </w:pPr>
            <w:r>
              <w:rPr>
                <w:rFonts w:ascii="Arial" w:cs="Arial" w:eastAsia="Arial" w:hAnsi="Arial"/>
                <w:sz w:val="17"/>
                <w:szCs w:val="17"/>
                <w:color w:val="auto"/>
                <w:w w:val="99"/>
              </w:rPr>
              <w:t>Mid-Atlantic</w:t>
            </w:r>
          </w:p>
        </w:tc>
        <w:tc>
          <w:tcPr>
            <w:tcW w:w="540" w:type="dxa"/>
            <w:vAlign w:val="bottom"/>
            <w:tcBorders>
              <w:bottom w:val="single" w:sz="8" w:color="CCEEFF"/>
            </w:tcBorders>
            <w:gridSpan w:val="3"/>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gridSpan w:val="7"/>
            <w:shd w:val="clear" w:color="auto" w:fill="CCEEFF"/>
          </w:tcPr>
          <w:p>
            <w:pPr>
              <w:spacing w:after="0" w:line="194" w:lineRule="exact"/>
              <w:rPr>
                <w:sz w:val="20"/>
                <w:szCs w:val="20"/>
                <w:color w:val="auto"/>
              </w:rPr>
            </w:pPr>
            <w:r>
              <w:rPr>
                <w:rFonts w:ascii="Arial" w:cs="Arial" w:eastAsia="Arial" w:hAnsi="Arial"/>
                <w:sz w:val="17"/>
                <w:szCs w:val="17"/>
                <w:color w:val="auto"/>
              </w:rPr>
              <w:t>Region</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1460" w:type="dxa"/>
            <w:vAlign w:val="bottom"/>
            <w:gridSpan w:val="9"/>
          </w:tcPr>
          <w:p>
            <w:pPr>
              <w:spacing w:after="0"/>
              <w:rPr>
                <w:sz w:val="20"/>
                <w:szCs w:val="20"/>
                <w:color w:val="auto"/>
              </w:rPr>
            </w:pPr>
            <w:r>
              <w:rPr>
                <w:rFonts w:ascii="Arial" w:cs="Arial" w:eastAsia="Arial" w:hAnsi="Arial"/>
                <w:sz w:val="17"/>
                <w:szCs w:val="17"/>
                <w:color w:val="auto"/>
              </w:rPr>
              <w:t>Washington</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7"/>
          </w:tcPr>
          <w:p>
            <w:pPr>
              <w:spacing w:after="0" w:line="194" w:lineRule="exact"/>
              <w:rPr>
                <w:sz w:val="20"/>
                <w:szCs w:val="20"/>
                <w:color w:val="auto"/>
              </w:rPr>
            </w:pPr>
            <w:r>
              <w:rPr>
                <w:rFonts w:ascii="Arial" w:cs="Arial" w:eastAsia="Arial" w:hAnsi="Arial"/>
                <w:sz w:val="17"/>
                <w:szCs w:val="17"/>
                <w:color w:val="auto"/>
              </w:rPr>
              <w:t>Metropolitan</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Borders>
              <w:top w:val="single" w:sz="8" w:color="auto"/>
            </w:tcBorders>
            <w:gridSpan w:val="6"/>
          </w:tcPr>
          <w:p>
            <w:pPr>
              <w:spacing w:after="0" w:line="194" w:lineRule="exact"/>
              <w:rPr>
                <w:sz w:val="20"/>
                <w:szCs w:val="20"/>
                <w:color w:val="auto"/>
              </w:rPr>
            </w:pPr>
            <w:r>
              <w:rPr>
                <w:rFonts w:ascii="Arial" w:cs="Arial" w:eastAsia="Arial" w:hAnsi="Arial"/>
                <w:sz w:val="17"/>
                <w:szCs w:val="17"/>
                <w:color w:val="auto"/>
              </w:rPr>
              <w:t>Area</w:t>
            </w: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144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Bethesda Row</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SR</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1993-98</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80,743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440,000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98%</w:t>
            </w:r>
          </w:p>
        </w:tc>
        <w:tc>
          <w:tcPr>
            <w:tcW w:w="2580" w:type="dxa"/>
            <w:vAlign w:val="bottom"/>
            <w:gridSpan w:val="5"/>
            <w:shd w:val="clear" w:color="auto" w:fill="CCEEFF"/>
          </w:tcPr>
          <w:p>
            <w:pPr>
              <w:ind w:left="340"/>
              <w:spacing w:after="0"/>
              <w:rPr>
                <w:sz w:val="20"/>
                <w:szCs w:val="20"/>
                <w:color w:val="auto"/>
              </w:rPr>
            </w:pPr>
            <w:r>
              <w:rPr>
                <w:rFonts w:ascii="Arial" w:cs="Arial" w:eastAsia="Arial" w:hAnsi="Arial"/>
                <w:sz w:val="17"/>
                <w:szCs w:val="17"/>
                <w:color w:val="auto"/>
              </w:rPr>
              <w:t>12,576 40,000 Giant Food</w:t>
            </w:r>
          </w:p>
        </w:tc>
        <w:tc>
          <w:tcPr>
            <w:tcW w:w="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Barnes &amp;</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DC-MD-VA</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Noble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Landmark</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Theater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40" w:type="dxa"/>
            <w:vAlign w:val="bottom"/>
            <w:gridSpan w:val="8"/>
          </w:tcPr>
          <w:p>
            <w:pPr>
              <w:spacing w:after="0"/>
              <w:rPr>
                <w:sz w:val="20"/>
                <w:szCs w:val="20"/>
                <w:color w:val="auto"/>
              </w:rPr>
            </w:pPr>
            <w:r>
              <w:rPr>
                <w:rFonts w:ascii="Arial" w:cs="Arial" w:eastAsia="Arial" w:hAnsi="Arial"/>
                <w:sz w:val="17"/>
                <w:szCs w:val="17"/>
                <w:color w:val="auto"/>
              </w:rPr>
              <w:t>Congressional</w:t>
            </w: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1965</w:t>
            </w:r>
          </w:p>
        </w:tc>
        <w:tc>
          <w:tcPr>
            <w:tcW w:w="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66,967(5)</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64.1%</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337,000</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3"/>
          </w:tcPr>
          <w:p>
            <w:pPr>
              <w:ind w:left="20"/>
              <w:spacing w:after="0"/>
              <w:rPr>
                <w:sz w:val="20"/>
                <w:szCs w:val="20"/>
                <w:color w:val="auto"/>
              </w:rPr>
            </w:pPr>
            <w:r>
              <w:rPr>
                <w:rFonts w:ascii="Arial" w:cs="Arial" w:eastAsia="Arial" w:hAnsi="Arial"/>
                <w:sz w:val="17"/>
                <w:szCs w:val="17"/>
                <w:color w:val="auto"/>
              </w:rPr>
              <w:t>28,000 Whole Foods</w:t>
            </w:r>
          </w:p>
        </w:tc>
        <w:tc>
          <w:tcPr>
            <w:tcW w:w="4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Buy Buy Baby</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7"/>
          </w:tcPr>
          <w:p>
            <w:pPr>
              <w:spacing w:after="0"/>
              <w:rPr>
                <w:sz w:val="20"/>
                <w:szCs w:val="20"/>
                <w:color w:val="auto"/>
              </w:rPr>
            </w:pPr>
            <w:r>
              <w:rPr>
                <w:rFonts w:ascii="Arial" w:cs="Arial" w:eastAsia="Arial" w:hAnsi="Arial"/>
                <w:sz w:val="17"/>
                <w:szCs w:val="17"/>
                <w:color w:val="auto"/>
              </w:rPr>
              <w:t>Plaza</w:t>
            </w:r>
          </w:p>
        </w:tc>
        <w:tc>
          <w:tcPr>
            <w:tcW w:w="4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DC-MD-VA</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 Container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Store / Tower</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Records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40" w:type="dxa"/>
            <w:vAlign w:val="bottom"/>
            <w:gridSpan w:val="8"/>
            <w:shd w:val="clear" w:color="auto" w:fill="CCEEFF"/>
          </w:tcPr>
          <w:p>
            <w:pPr>
              <w:spacing w:after="0"/>
              <w:rPr>
                <w:sz w:val="20"/>
                <w:szCs w:val="20"/>
                <w:color w:val="auto"/>
              </w:rPr>
            </w:pPr>
            <w:r>
              <w:rPr>
                <w:rFonts w:ascii="Arial" w:cs="Arial" w:eastAsia="Arial" w:hAnsi="Arial"/>
                <w:sz w:val="17"/>
                <w:szCs w:val="17"/>
                <w:color w:val="auto"/>
                <w:w w:val="98"/>
              </w:rPr>
              <w:t>Courthouse Center</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1997</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7,564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DC-MD-VA</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40" w:type="dxa"/>
            <w:vAlign w:val="bottom"/>
            <w:gridSpan w:val="8"/>
          </w:tcPr>
          <w:p>
            <w:pPr>
              <w:spacing w:after="0"/>
              <w:rPr>
                <w:sz w:val="20"/>
                <w:szCs w:val="20"/>
                <w:color w:val="auto"/>
              </w:rPr>
            </w:pPr>
            <w:r>
              <w:rPr>
                <w:rFonts w:ascii="Arial" w:cs="Arial" w:eastAsia="Arial" w:hAnsi="Arial"/>
                <w:sz w:val="17"/>
                <w:szCs w:val="17"/>
                <w:color w:val="auto"/>
              </w:rPr>
              <w:t>Falls Plaza</w:t>
            </w: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1967</w:t>
            </w:r>
          </w:p>
        </w:tc>
        <w:tc>
          <w:tcPr>
            <w:tcW w:w="8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8,154</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100.0%</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73,000</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3"/>
          </w:tcPr>
          <w:p>
            <w:pPr>
              <w:ind w:left="20"/>
              <w:spacing w:after="0"/>
              <w:rPr>
                <w:sz w:val="20"/>
                <w:szCs w:val="20"/>
                <w:color w:val="auto"/>
              </w:rPr>
            </w:pPr>
            <w:r>
              <w:rPr>
                <w:rFonts w:ascii="Arial" w:cs="Arial" w:eastAsia="Arial" w:hAnsi="Arial"/>
                <w:sz w:val="17"/>
                <w:szCs w:val="17"/>
                <w:color w:val="auto"/>
              </w:rPr>
              <w:t>51,000 Giant Food</w:t>
            </w: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DC-MD-VA</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4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Falls Plaza-East</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1972</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3,333</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71,000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96%</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CVS / Staples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DC-MD-VA</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40" w:type="dxa"/>
            <w:vAlign w:val="bottom"/>
            <w:gridSpan w:val="8"/>
          </w:tcPr>
          <w:p>
            <w:pPr>
              <w:spacing w:after="0"/>
              <w:rPr>
                <w:sz w:val="20"/>
                <w:szCs w:val="20"/>
                <w:color w:val="auto"/>
              </w:rPr>
            </w:pPr>
            <w:r>
              <w:rPr>
                <w:rFonts w:ascii="Arial" w:cs="Arial" w:eastAsia="Arial" w:hAnsi="Arial"/>
                <w:sz w:val="17"/>
                <w:szCs w:val="17"/>
                <w:color w:val="auto"/>
              </w:rPr>
              <w:t>Federal Plaza</w:t>
            </w: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1989</w:t>
            </w:r>
          </w:p>
        </w:tc>
        <w:tc>
          <w:tcPr>
            <w:tcW w:w="8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62,078</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100.0%</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247,000</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98%</w:t>
            </w:r>
          </w:p>
        </w:tc>
        <w:tc>
          <w:tcPr>
            <w:tcW w:w="880" w:type="dxa"/>
            <w:vAlign w:val="bottom"/>
            <w:gridSpan w:val="2"/>
          </w:tcPr>
          <w:p>
            <w:pPr>
              <w:ind w:left="340"/>
              <w:spacing w:after="0"/>
              <w:rPr>
                <w:sz w:val="20"/>
                <w:szCs w:val="20"/>
                <w:color w:val="auto"/>
              </w:rPr>
            </w:pPr>
            <w:r>
              <w:rPr>
                <w:rFonts w:ascii="Arial" w:cs="Arial" w:eastAsia="Arial" w:hAnsi="Arial"/>
                <w:sz w:val="17"/>
                <w:szCs w:val="17"/>
                <w:color w:val="auto"/>
                <w:w w:val="99"/>
              </w:rPr>
              <w:t>35,230</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TJ Maxx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DC-MD-VA</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CompUSA /</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Ross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4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Friendship Center</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SR</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2001</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33,314</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119,000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Borders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DC-MD-VA</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Linens ‘n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Things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Maggiano’s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40" w:type="dxa"/>
            <w:vAlign w:val="bottom"/>
            <w:gridSpan w:val="8"/>
          </w:tcPr>
          <w:p>
            <w:pPr>
              <w:spacing w:after="0"/>
              <w:rPr>
                <w:sz w:val="20"/>
                <w:szCs w:val="20"/>
                <w:color w:val="auto"/>
              </w:rPr>
            </w:pPr>
            <w:r>
              <w:rPr>
                <w:rFonts w:ascii="Arial" w:cs="Arial" w:eastAsia="Arial" w:hAnsi="Arial"/>
                <w:sz w:val="17"/>
                <w:szCs w:val="17"/>
                <w:color w:val="auto"/>
              </w:rPr>
              <w:t>Gaithersburg</w:t>
            </w: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1993</w:t>
            </w:r>
          </w:p>
        </w:tc>
        <w:tc>
          <w:tcPr>
            <w:tcW w:w="8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23,947</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100.0%</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215,000</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90%</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Bed, Bath &amp;</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7"/>
          </w:tcPr>
          <w:p>
            <w:pPr>
              <w:spacing w:after="0"/>
              <w:rPr>
                <w:sz w:val="20"/>
                <w:szCs w:val="20"/>
                <w:color w:val="auto"/>
              </w:rPr>
            </w:pPr>
            <w:r>
              <w:rPr>
                <w:rFonts w:ascii="Arial" w:cs="Arial" w:eastAsia="Arial" w:hAnsi="Arial"/>
                <w:sz w:val="17"/>
                <w:szCs w:val="17"/>
                <w:color w:val="auto"/>
              </w:rPr>
              <w:t>Square</w:t>
            </w:r>
          </w:p>
        </w:tc>
        <w:tc>
          <w:tcPr>
            <w:tcW w:w="4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DC-MD-VA</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Beyond /</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Borders / Ross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4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Idylwood Plaza</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1994</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15,023</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30,000 Whole Foods</w:t>
            </w: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DC-MD-VA</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40" w:type="dxa"/>
            <w:vAlign w:val="bottom"/>
            <w:gridSpan w:val="8"/>
          </w:tcPr>
          <w:p>
            <w:pPr>
              <w:spacing w:after="0"/>
              <w:rPr>
                <w:sz w:val="20"/>
                <w:szCs w:val="20"/>
                <w:color w:val="auto"/>
              </w:rPr>
            </w:pPr>
            <w:r>
              <w:rPr>
                <w:rFonts w:ascii="Arial" w:cs="Arial" w:eastAsia="Arial" w:hAnsi="Arial"/>
                <w:sz w:val="17"/>
                <w:szCs w:val="17"/>
                <w:color w:val="auto"/>
              </w:rPr>
              <w:t>Laurel</w:t>
            </w: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1986</w:t>
            </w:r>
          </w:p>
        </w:tc>
        <w:tc>
          <w:tcPr>
            <w:tcW w:w="8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45,863</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99.9%</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383,000</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98%</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3"/>
          </w:tcPr>
          <w:p>
            <w:pPr>
              <w:ind w:left="20"/>
              <w:spacing w:after="0"/>
              <w:rPr>
                <w:sz w:val="20"/>
                <w:szCs w:val="20"/>
                <w:color w:val="auto"/>
              </w:rPr>
            </w:pPr>
            <w:r>
              <w:rPr>
                <w:rFonts w:ascii="Arial" w:cs="Arial" w:eastAsia="Arial" w:hAnsi="Arial"/>
                <w:sz w:val="17"/>
                <w:szCs w:val="17"/>
                <w:color w:val="auto"/>
              </w:rPr>
              <w:t>61,000 Giant Food</w:t>
            </w:r>
          </w:p>
        </w:tc>
        <w:tc>
          <w:tcPr>
            <w:tcW w:w="4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Marshalls /</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DC-MD-VA</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Toys R Us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4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Leesburg Plaza</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1998</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24,245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247,000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77%</w:t>
            </w:r>
          </w:p>
        </w:tc>
        <w:tc>
          <w:tcPr>
            <w:tcW w:w="258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9,900 55,000 Giant Food</w:t>
            </w: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Pier One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DC-MD-VA</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40" w:type="dxa"/>
            <w:vAlign w:val="bottom"/>
            <w:gridSpan w:val="8"/>
          </w:tcPr>
          <w:p>
            <w:pPr>
              <w:spacing w:after="0"/>
              <w:rPr>
                <w:sz w:val="20"/>
                <w:szCs w:val="20"/>
                <w:color w:val="auto"/>
              </w:rPr>
            </w:pPr>
            <w:r>
              <w:rPr>
                <w:rFonts w:ascii="Arial" w:cs="Arial" w:eastAsia="Arial" w:hAnsi="Arial"/>
                <w:sz w:val="17"/>
                <w:szCs w:val="17"/>
                <w:color w:val="auto"/>
              </w:rPr>
              <w:t>Loehmann’s Plaza</w:t>
            </w: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1983</w:t>
            </w:r>
          </w:p>
        </w:tc>
        <w:tc>
          <w:tcPr>
            <w:tcW w:w="8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45,540</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100.0%</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250,000</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Bally’s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DC-MD-VA</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Linens ‘n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Things /</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Loehmann’s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4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Mid-Pike Plaza</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1982</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17,210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304,000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w w:val="99"/>
              </w:rPr>
              <w:t>10,041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Linens ‘n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DC-MD-VA</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Things / Toys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R Us / Bally’s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 AC Moore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40" w:type="dxa"/>
            <w:vAlign w:val="bottom"/>
            <w:gridSpan w:val="8"/>
          </w:tcPr>
          <w:p>
            <w:pPr>
              <w:spacing w:after="0"/>
              <w:rPr>
                <w:sz w:val="20"/>
                <w:szCs w:val="20"/>
                <w:color w:val="auto"/>
              </w:rPr>
            </w:pPr>
            <w:r>
              <w:rPr>
                <w:rFonts w:ascii="Arial" w:cs="Arial" w:eastAsia="Arial" w:hAnsi="Arial"/>
                <w:sz w:val="17"/>
                <w:szCs w:val="17"/>
                <w:color w:val="auto"/>
              </w:rPr>
              <w:t>Mount Vernon</w:t>
            </w: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2003</w:t>
            </w:r>
          </w:p>
        </w:tc>
        <w:tc>
          <w:tcPr>
            <w:tcW w:w="8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21,528</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(6)</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254,000</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76%</w:t>
            </w:r>
          </w:p>
        </w:tc>
        <w:tc>
          <w:tcPr>
            <w:tcW w:w="2580" w:type="dxa"/>
            <w:vAlign w:val="bottom"/>
            <w:gridSpan w:val="5"/>
          </w:tcPr>
          <w:p>
            <w:pPr>
              <w:ind w:left="340"/>
              <w:spacing w:after="0"/>
              <w:rPr>
                <w:sz w:val="20"/>
                <w:szCs w:val="20"/>
                <w:color w:val="auto"/>
              </w:rPr>
            </w:pPr>
            <w:r>
              <w:rPr>
                <w:rFonts w:ascii="Arial" w:cs="Arial" w:eastAsia="Arial" w:hAnsi="Arial"/>
                <w:sz w:val="17"/>
                <w:szCs w:val="17"/>
                <w:color w:val="auto"/>
                <w:w w:val="96"/>
              </w:rPr>
              <w:t>12,894 54,000 Shoppers Food</w:t>
            </w: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DC-MD-VA</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7"/>
                <w:szCs w:val="17"/>
                <w:color w:val="auto"/>
              </w:rPr>
              <w:t>Warehouse</w:t>
            </w: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4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Old Keene Mill</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1976</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5,158</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92,000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24,000 Whole Foods</w:t>
            </w: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DC-MD-VA</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40" w:type="dxa"/>
            <w:vAlign w:val="bottom"/>
            <w:gridSpan w:val="8"/>
          </w:tcPr>
          <w:p>
            <w:pPr>
              <w:spacing w:after="0"/>
              <w:rPr>
                <w:sz w:val="20"/>
                <w:szCs w:val="20"/>
                <w:color w:val="auto"/>
              </w:rPr>
            </w:pPr>
            <w:r>
              <w:rPr>
                <w:rFonts w:ascii="Arial" w:cs="Arial" w:eastAsia="Arial" w:hAnsi="Arial"/>
                <w:sz w:val="17"/>
                <w:szCs w:val="17"/>
                <w:color w:val="auto"/>
              </w:rPr>
              <w:t>Pan Am</w:t>
            </w: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1993</w:t>
            </w:r>
          </w:p>
        </w:tc>
        <w:tc>
          <w:tcPr>
            <w:tcW w:w="8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25,542</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100.0%</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218,000</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99%</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3"/>
          </w:tcPr>
          <w:p>
            <w:pPr>
              <w:ind w:left="20"/>
              <w:spacing w:after="0"/>
              <w:rPr>
                <w:sz w:val="20"/>
                <w:szCs w:val="20"/>
                <w:color w:val="auto"/>
              </w:rPr>
            </w:pPr>
            <w:r>
              <w:rPr>
                <w:rFonts w:ascii="Arial" w:cs="Arial" w:eastAsia="Arial" w:hAnsi="Arial"/>
                <w:sz w:val="17"/>
                <w:szCs w:val="17"/>
                <w:color w:val="auto"/>
              </w:rPr>
              <w:t>33,000 Safeway</w:t>
            </w:r>
          </w:p>
        </w:tc>
        <w:tc>
          <w:tcPr>
            <w:tcW w:w="4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Micro Center /</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DC-MD-VA</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Michaels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4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Pentagon Row</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SR</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1999</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87,248</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296,000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99%</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45,000 Harris Teeter</w:t>
            </w: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Bally’s / Bed,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DC-MD-VA</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Bath &amp;</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Beyond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DSW / Cost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Plus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40" w:type="dxa"/>
            <w:vAlign w:val="bottom"/>
            <w:gridSpan w:val="8"/>
          </w:tcPr>
          <w:p>
            <w:pPr>
              <w:spacing w:after="0"/>
              <w:rPr>
                <w:sz w:val="20"/>
                <w:szCs w:val="20"/>
                <w:color w:val="auto"/>
              </w:rPr>
            </w:pPr>
            <w:r>
              <w:rPr>
                <w:rFonts w:ascii="Arial" w:cs="Arial" w:eastAsia="Arial" w:hAnsi="Arial"/>
                <w:sz w:val="17"/>
                <w:szCs w:val="17"/>
                <w:color w:val="auto"/>
              </w:rPr>
              <w:t>Pike 7</w:t>
            </w: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1997</w:t>
            </w:r>
          </w:p>
        </w:tc>
        <w:tc>
          <w:tcPr>
            <w:tcW w:w="8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33,461</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100.0%</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164,000</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97%</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Staples / TJ</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DC-MD-VA</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Maxx / Tower</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Records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4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Quince Orchard</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1993</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19,759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252,000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24,000 Magruders</w:t>
            </w: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Circuit City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DC-MD-VA</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Staples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40" w:type="dxa"/>
            <w:vAlign w:val="bottom"/>
            <w:gridSpan w:val="8"/>
          </w:tcPr>
          <w:p>
            <w:pPr>
              <w:spacing w:after="0"/>
              <w:rPr>
                <w:sz w:val="20"/>
                <w:szCs w:val="20"/>
                <w:color w:val="auto"/>
              </w:rPr>
            </w:pPr>
            <w:r>
              <w:rPr>
                <w:rFonts w:ascii="Arial" w:cs="Arial" w:eastAsia="Arial" w:hAnsi="Arial"/>
                <w:sz w:val="17"/>
                <w:szCs w:val="17"/>
                <w:color w:val="auto"/>
              </w:rPr>
              <w:t>Rockville Town</w:t>
            </w:r>
          </w:p>
        </w:tc>
        <w:tc>
          <w:tcPr>
            <w:tcW w:w="460" w:type="dxa"/>
            <w:vAlign w:val="bottom"/>
          </w:tcPr>
          <w:p>
            <w:pPr>
              <w:spacing w:after="0"/>
              <w:rPr>
                <w:sz w:val="20"/>
                <w:szCs w:val="20"/>
                <w:color w:val="auto"/>
              </w:rPr>
            </w:pPr>
            <w:r>
              <w:rPr>
                <w:rFonts w:ascii="Arial" w:cs="Arial" w:eastAsia="Arial" w:hAnsi="Arial"/>
                <w:sz w:val="17"/>
                <w:szCs w:val="17"/>
                <w:color w:val="auto"/>
              </w:rPr>
              <w:t>SR</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Washington,</w:t>
            </w:r>
          </w:p>
        </w:tc>
        <w:tc>
          <w:tcPr>
            <w:tcW w:w="80" w:type="dxa"/>
            <w:vAlign w:val="bottom"/>
          </w:tcPr>
          <w:p>
            <w:pPr>
              <w:spacing w:after="0"/>
              <w:rPr>
                <w:sz w:val="17"/>
                <w:szCs w:val="17"/>
                <w:color w:val="auto"/>
              </w:rPr>
            </w:pPr>
          </w:p>
        </w:tc>
        <w:tc>
          <w:tcPr>
            <w:tcW w:w="660" w:type="dxa"/>
            <w:vAlign w:val="bottom"/>
            <w:gridSpan w:val="2"/>
          </w:tcPr>
          <w:p>
            <w:pPr>
              <w:ind w:left="280"/>
              <w:spacing w:after="0"/>
              <w:rPr>
                <w:sz w:val="20"/>
                <w:szCs w:val="20"/>
                <w:color w:val="auto"/>
              </w:rPr>
            </w:pPr>
            <w:r>
              <w:rPr>
                <w:rFonts w:ascii="Arial" w:cs="Arial" w:eastAsia="Arial" w:hAnsi="Arial"/>
                <w:sz w:val="17"/>
                <w:szCs w:val="17"/>
                <w:color w:val="auto"/>
              </w:rPr>
              <w:t>N/A</w:t>
            </w: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2,584</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(8)</w:t>
            </w:r>
          </w:p>
        </w:tc>
        <w:tc>
          <w:tcPr>
            <w:tcW w:w="780" w:type="dxa"/>
            <w:vAlign w:val="bottom"/>
            <w:gridSpan w:val="2"/>
          </w:tcPr>
          <w:p>
            <w:pPr>
              <w:ind w:left="400"/>
              <w:spacing w:after="0"/>
              <w:rPr>
                <w:sz w:val="20"/>
                <w:szCs w:val="20"/>
                <w:color w:val="auto"/>
              </w:rPr>
            </w:pPr>
            <w:r>
              <w:rPr>
                <w:rFonts w:ascii="Arial" w:cs="Arial" w:eastAsia="Arial" w:hAnsi="Arial"/>
                <w:sz w:val="17"/>
                <w:szCs w:val="17"/>
                <w:color w:val="auto"/>
              </w:rPr>
              <w:t>N/A</w:t>
            </w: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N/A</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Arial" w:cs="Arial" w:eastAsia="Arial" w:hAnsi="Arial"/>
                <w:sz w:val="17"/>
                <w:szCs w:val="17"/>
                <w:color w:val="auto"/>
              </w:rPr>
              <w:t>Magruders</w:t>
            </w: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7"/>
          </w:tcPr>
          <w:p>
            <w:pPr>
              <w:spacing w:after="0"/>
              <w:rPr>
                <w:sz w:val="20"/>
                <w:szCs w:val="20"/>
                <w:color w:val="auto"/>
              </w:rPr>
            </w:pPr>
            <w:r>
              <w:rPr>
                <w:rFonts w:ascii="Arial" w:cs="Arial" w:eastAsia="Arial" w:hAnsi="Arial"/>
                <w:sz w:val="17"/>
                <w:szCs w:val="17"/>
                <w:color w:val="auto"/>
              </w:rPr>
              <w:t>Square</w:t>
            </w:r>
          </w:p>
        </w:tc>
        <w:tc>
          <w:tcPr>
            <w:tcW w:w="46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DC-MD-VA</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7"/>
                <w:szCs w:val="17"/>
                <w:color w:val="auto"/>
              </w:rPr>
              <w:t>(signed)</w:t>
            </w: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4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Rollingwood</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SR</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1971</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6,706</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N/A</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93%</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Apartments</w:t>
            </w:r>
          </w:p>
        </w:tc>
        <w:tc>
          <w:tcPr>
            <w:tcW w:w="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DC-MD-VA</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900" w:type="dxa"/>
            <w:vAlign w:val="bottom"/>
            <w:gridSpan w:val="9"/>
          </w:tcPr>
          <w:p>
            <w:pPr>
              <w:spacing w:after="0"/>
              <w:rPr>
                <w:sz w:val="20"/>
                <w:szCs w:val="20"/>
                <w:color w:val="auto"/>
              </w:rPr>
            </w:pPr>
            <w:r>
              <w:rPr>
                <w:rFonts w:ascii="Arial" w:cs="Arial" w:eastAsia="Arial" w:hAnsi="Arial"/>
                <w:sz w:val="17"/>
                <w:szCs w:val="17"/>
                <w:color w:val="auto"/>
              </w:rPr>
              <w:t>Sam’s Park &amp; Shop SR</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1995</w:t>
            </w:r>
          </w:p>
        </w:tc>
        <w:tc>
          <w:tcPr>
            <w:tcW w:w="8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12,098</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100.0%</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51,000</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Petco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DC-MD-VA</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56" w:right="239" w:bottom="0" w:gutter="0" w:footer="0" w:header="0"/>
        </w:sectPr>
      </w:pPr>
    </w:p>
    <w:bookmarkStart w:id="23" w:name="page24"/>
    <w:bookmarkEnd w:id="23"/>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140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South Valley</w:t>
            </w: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7"/>
                <w:szCs w:val="17"/>
                <w:color w:val="auto"/>
              </w:rPr>
              <w:t>Washington,</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2003</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14,741</w:t>
            </w: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218,000</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8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spacing w:after="0"/>
              <w:rPr>
                <w:sz w:val="17"/>
                <w:szCs w:val="17"/>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Home Depot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7"/>
                <w:szCs w:val="17"/>
                <w:color w:val="auto"/>
              </w:rPr>
              <w:t>DC-MD-VA</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TJ Maxx</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400" w:type="dxa"/>
            <w:vAlign w:val="bottom"/>
            <w:gridSpan w:val="7"/>
            <w:vMerge w:val="restart"/>
          </w:tcPr>
          <w:p>
            <w:pPr>
              <w:spacing w:after="0"/>
              <w:rPr>
                <w:sz w:val="20"/>
                <w:szCs w:val="20"/>
                <w:color w:val="auto"/>
              </w:rPr>
            </w:pPr>
            <w:r>
              <w:rPr>
                <w:rFonts w:ascii="Arial" w:cs="Arial" w:eastAsia="Arial" w:hAnsi="Arial"/>
                <w:sz w:val="17"/>
                <w:szCs w:val="17"/>
                <w:color w:val="auto"/>
              </w:rPr>
              <w:t>Tower</w:t>
            </w:r>
          </w:p>
        </w:tc>
        <w:tc>
          <w:tcPr>
            <w:tcW w:w="40" w:type="dxa"/>
            <w:vAlign w:val="bottom"/>
            <w:shd w:val="clear" w:color="auto" w:fill="CCEEFF"/>
          </w:tcPr>
          <w:p>
            <w:pPr>
              <w:spacing w:after="0"/>
              <w:rPr>
                <w:sz w:val="8"/>
                <w:szCs w:val="8"/>
                <w:color w:val="auto"/>
              </w:rPr>
            </w:pPr>
          </w:p>
        </w:tc>
        <w:tc>
          <w:tcPr>
            <w:tcW w:w="460" w:type="dxa"/>
            <w:vAlign w:val="bottom"/>
            <w:vMerge w:val="restart"/>
          </w:tcPr>
          <w:p>
            <w:pPr>
              <w:spacing w:after="0"/>
              <w:rPr>
                <w:sz w:val="20"/>
                <w:szCs w:val="20"/>
                <w:color w:val="auto"/>
              </w:rPr>
            </w:pPr>
            <w:r>
              <w:rPr>
                <w:rFonts w:ascii="Arial" w:cs="Arial" w:eastAsia="Arial" w:hAnsi="Arial"/>
                <w:sz w:val="17"/>
                <w:szCs w:val="17"/>
                <w:color w:val="auto"/>
              </w:rPr>
              <w:t>SC</w:t>
            </w:r>
          </w:p>
        </w:tc>
        <w:tc>
          <w:tcPr>
            <w:tcW w:w="80" w:type="dxa"/>
            <w:vAlign w:val="bottom"/>
            <w:shd w:val="clear" w:color="auto" w:fill="CCEEFF"/>
          </w:tcPr>
          <w:p>
            <w:pPr>
              <w:spacing w:after="0"/>
              <w:rPr>
                <w:sz w:val="8"/>
                <w:szCs w:val="8"/>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auto"/>
              </w:rPr>
              <w:t>Washington,</w:t>
            </w:r>
          </w:p>
        </w:tc>
        <w:tc>
          <w:tcPr>
            <w:tcW w:w="80" w:type="dxa"/>
            <w:vAlign w:val="bottom"/>
            <w:shd w:val="clear" w:color="auto" w:fill="CCEEFF"/>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1998</w:t>
            </w:r>
          </w:p>
        </w:tc>
        <w:tc>
          <w:tcPr>
            <w:tcW w:w="80" w:type="dxa"/>
            <w:vAlign w:val="bottom"/>
            <w:shd w:val="clear" w:color="auto" w:fill="CCEEFF"/>
          </w:tcPr>
          <w:p>
            <w:pPr>
              <w:spacing w:after="0"/>
              <w:rPr>
                <w:sz w:val="8"/>
                <w:szCs w:val="8"/>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18,775</w:t>
            </w:r>
          </w:p>
        </w:tc>
        <w:tc>
          <w:tcPr>
            <w:tcW w:w="60" w:type="dxa"/>
            <w:vAlign w:val="bottom"/>
            <w:shd w:val="clear" w:color="auto" w:fill="CCEEFF"/>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100.0%</w:t>
            </w:r>
          </w:p>
        </w:tc>
        <w:tc>
          <w:tcPr>
            <w:tcW w:w="60" w:type="dxa"/>
            <w:vAlign w:val="bottom"/>
            <w:shd w:val="clear" w:color="auto" w:fill="CCEEFF"/>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109,000</w:t>
            </w:r>
          </w:p>
        </w:tc>
        <w:tc>
          <w:tcPr>
            <w:tcW w:w="80" w:type="dxa"/>
            <w:vAlign w:val="bottom"/>
            <w:shd w:val="clear" w:color="auto" w:fill="CCEEFF"/>
          </w:tcPr>
          <w:p>
            <w:pPr>
              <w:spacing w:after="0"/>
              <w:rPr>
                <w:sz w:val="8"/>
                <w:szCs w:val="8"/>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7"/>
                <w:szCs w:val="17"/>
                <w:color w:val="auto"/>
              </w:rPr>
              <w:t>100%</w:t>
            </w:r>
          </w:p>
        </w:tc>
        <w:tc>
          <w:tcPr>
            <w:tcW w:w="860" w:type="dxa"/>
            <w:vAlign w:val="bottom"/>
            <w:tcBorders>
              <w:left w:val="single" w:sz="8" w:color="CCEEFF"/>
            </w:tcBorders>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60" w:type="dxa"/>
            <w:vAlign w:val="bottom"/>
            <w:tcBorders>
              <w:right w:val="single" w:sz="8" w:color="CCEEFF"/>
            </w:tcBorders>
          </w:tcPr>
          <w:p>
            <w:pPr>
              <w:spacing w:after="0"/>
              <w:rPr>
                <w:sz w:val="8"/>
                <w:szCs w:val="8"/>
                <w:color w:val="auto"/>
              </w:rPr>
            </w:pPr>
          </w:p>
        </w:tc>
        <w:tc>
          <w:tcPr>
            <w:tcW w:w="1400" w:type="dxa"/>
            <w:vAlign w:val="bottom"/>
            <w:vMerge w:val="restart"/>
          </w:tcPr>
          <w:p>
            <w:pPr>
              <w:spacing w:after="0"/>
              <w:rPr>
                <w:sz w:val="20"/>
                <w:szCs w:val="20"/>
                <w:color w:val="auto"/>
              </w:rPr>
            </w:pPr>
            <w:r>
              <w:rPr>
                <w:rFonts w:ascii="Arial" w:cs="Arial" w:eastAsia="Arial" w:hAnsi="Arial"/>
                <w:sz w:val="17"/>
                <w:szCs w:val="17"/>
                <w:color w:val="auto"/>
              </w:rPr>
              <w:t>Virginia Fine</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00" w:type="dxa"/>
            <w:vAlign w:val="bottom"/>
            <w:gridSpan w:val="7"/>
            <w:vMerge w:val="continue"/>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DC-MD-VA</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Wine / Talbots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0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Tyson’s Station</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1978</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3,356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940" w:type="dxa"/>
            <w:vAlign w:val="bottom"/>
            <w:tcBorders>
              <w:left w:val="single" w:sz="8" w:color="CCEEFF"/>
            </w:tcBorders>
            <w:gridSpan w:val="2"/>
            <w:shd w:val="clear" w:color="auto" w:fill="CCEEFF"/>
          </w:tcPr>
          <w:p>
            <w:pPr>
              <w:ind w:left="480"/>
              <w:spacing w:after="0"/>
              <w:rPr>
                <w:sz w:val="20"/>
                <w:szCs w:val="20"/>
                <w:color w:val="auto"/>
              </w:rPr>
            </w:pPr>
            <w:r>
              <w:rPr>
                <w:rFonts w:ascii="Arial" w:cs="Arial" w:eastAsia="Arial" w:hAnsi="Arial"/>
                <w:sz w:val="17"/>
                <w:szCs w:val="17"/>
                <w:color w:val="auto"/>
              </w:rPr>
              <w:t>6,664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Trader Joes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DC-MD-VA</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00" w:type="dxa"/>
            <w:vAlign w:val="bottom"/>
            <w:gridSpan w:val="7"/>
          </w:tcPr>
          <w:p>
            <w:pPr>
              <w:spacing w:after="0"/>
              <w:rPr>
                <w:sz w:val="20"/>
                <w:szCs w:val="20"/>
                <w:color w:val="auto"/>
              </w:rPr>
            </w:pPr>
            <w:r>
              <w:rPr>
                <w:rFonts w:ascii="Arial" w:cs="Arial" w:eastAsia="Arial" w:hAnsi="Arial"/>
                <w:sz w:val="17"/>
                <w:szCs w:val="17"/>
                <w:color w:val="auto"/>
              </w:rPr>
              <w:t>Village at</w:t>
            </w:r>
          </w:p>
        </w:tc>
        <w:tc>
          <w:tcPr>
            <w:tcW w:w="4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Arial" w:cs="Arial" w:eastAsia="Arial" w:hAnsi="Arial"/>
                <w:sz w:val="17"/>
                <w:szCs w:val="17"/>
                <w:color w:val="auto"/>
              </w:rPr>
              <w:t>SR</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1995</w:t>
            </w:r>
          </w:p>
        </w:tc>
        <w:tc>
          <w:tcPr>
            <w:tcW w:w="1120" w:type="dxa"/>
            <w:vAlign w:val="bottom"/>
            <w:gridSpan w:val="3"/>
          </w:tcPr>
          <w:p>
            <w:pPr>
              <w:jc w:val="right"/>
              <w:ind w:right="220"/>
              <w:spacing w:after="0"/>
              <w:rPr>
                <w:sz w:val="20"/>
                <w:szCs w:val="20"/>
                <w:color w:val="auto"/>
              </w:rPr>
            </w:pPr>
            <w:r>
              <w:rPr>
                <w:rFonts w:ascii="Arial" w:cs="Arial" w:eastAsia="Arial" w:hAnsi="Arial"/>
                <w:sz w:val="17"/>
                <w:szCs w:val="17"/>
                <w:color w:val="auto"/>
              </w:rPr>
              <w:t>33,533</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840" w:type="dxa"/>
            <w:vAlign w:val="bottom"/>
            <w:gridSpan w:val="3"/>
          </w:tcPr>
          <w:p>
            <w:pPr>
              <w:jc w:val="right"/>
              <w:ind w:right="80"/>
              <w:spacing w:after="0"/>
              <w:rPr>
                <w:sz w:val="20"/>
                <w:szCs w:val="20"/>
                <w:color w:val="auto"/>
              </w:rPr>
            </w:pPr>
            <w:r>
              <w:rPr>
                <w:rFonts w:ascii="Arial" w:cs="Arial" w:eastAsia="Arial" w:hAnsi="Arial"/>
                <w:sz w:val="17"/>
                <w:szCs w:val="17"/>
                <w:color w:val="auto"/>
              </w:rPr>
              <w:t>204,000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98%</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Cineplex</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6"/>
          </w:tcPr>
          <w:p>
            <w:pPr>
              <w:spacing w:after="0"/>
              <w:rPr>
                <w:sz w:val="20"/>
                <w:szCs w:val="20"/>
                <w:color w:val="auto"/>
              </w:rPr>
            </w:pPr>
            <w:r>
              <w:rPr>
                <w:rFonts w:ascii="Arial" w:cs="Arial" w:eastAsia="Arial" w:hAnsi="Arial"/>
                <w:sz w:val="17"/>
                <w:szCs w:val="17"/>
                <w:color w:val="auto"/>
              </w:rPr>
              <w:t>Shirlington</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DC-MD-VA</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Odeon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Carlyle Grand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Café</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0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Wildwood</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Washington,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1969</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17,498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86,000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680" w:type="dxa"/>
            <w:vAlign w:val="bottom"/>
            <w:tcBorders>
              <w:left w:val="single" w:sz="8" w:color="CCEEFF"/>
              <w:right w:val="single" w:sz="8" w:color="CCEEFF"/>
            </w:tcBorders>
            <w:gridSpan w:val="5"/>
            <w:shd w:val="clear" w:color="auto" w:fill="CCEEFF"/>
          </w:tcPr>
          <w:p>
            <w:pPr>
              <w:ind w:left="400"/>
              <w:spacing w:after="0"/>
              <w:rPr>
                <w:sz w:val="20"/>
                <w:szCs w:val="20"/>
                <w:color w:val="auto"/>
              </w:rPr>
            </w:pPr>
            <w:r>
              <w:rPr>
                <w:rFonts w:ascii="Arial" w:cs="Arial" w:eastAsia="Arial" w:hAnsi="Arial"/>
                <w:sz w:val="17"/>
                <w:szCs w:val="17"/>
                <w:color w:val="auto"/>
              </w:rPr>
              <w:t>27,323 20,000 Balducci’s</w:t>
            </w: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CVS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DC-MD-VA</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gridSpan w:val="3"/>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735,968</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7"/>
              </w:rPr>
              <w:t>4,791,000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8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1420" w:type="dxa"/>
            <w:vAlign w:val="bottom"/>
            <w:gridSpan w:val="8"/>
          </w:tcPr>
          <w:p>
            <w:pPr>
              <w:spacing w:after="0"/>
              <w:rPr>
                <w:sz w:val="20"/>
                <w:szCs w:val="20"/>
                <w:color w:val="auto"/>
              </w:rPr>
            </w:pPr>
            <w:r>
              <w:rPr>
                <w:rFonts w:ascii="Arial" w:cs="Arial" w:eastAsia="Arial" w:hAnsi="Arial"/>
                <w:sz w:val="17"/>
                <w:szCs w:val="17"/>
                <w:color w:val="auto"/>
              </w:rPr>
              <w:t>Mid-Atlantic</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6"/>
          </w:tcPr>
          <w:p>
            <w:pPr>
              <w:spacing w:after="0" w:line="194" w:lineRule="exact"/>
              <w:rPr>
                <w:sz w:val="20"/>
                <w:szCs w:val="20"/>
                <w:color w:val="auto"/>
              </w:rPr>
            </w:pPr>
            <w:r>
              <w:rPr>
                <w:rFonts w:ascii="Arial" w:cs="Arial" w:eastAsia="Arial" w:hAnsi="Arial"/>
                <w:sz w:val="17"/>
                <w:szCs w:val="17"/>
                <w:color w:val="auto"/>
              </w:rPr>
              <w:t>Region - Other</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140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Governor Plaza</w:t>
            </w: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Baltimore, MD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1985</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18,876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99.9%</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269,000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8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spacing w:after="0"/>
              <w:rPr>
                <w:sz w:val="17"/>
                <w:szCs w:val="17"/>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Bally’s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Comp USA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Office Depot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00" w:type="dxa"/>
            <w:vAlign w:val="bottom"/>
            <w:gridSpan w:val="7"/>
          </w:tcPr>
          <w:p>
            <w:pPr>
              <w:spacing w:after="0"/>
              <w:rPr>
                <w:sz w:val="20"/>
                <w:szCs w:val="20"/>
                <w:color w:val="auto"/>
              </w:rPr>
            </w:pPr>
            <w:r>
              <w:rPr>
                <w:rFonts w:ascii="Arial" w:cs="Arial" w:eastAsia="Arial" w:hAnsi="Arial"/>
                <w:sz w:val="17"/>
                <w:szCs w:val="17"/>
                <w:color w:val="auto"/>
              </w:rPr>
              <w:t>Perring Plaza</w:t>
            </w:r>
          </w:p>
        </w:tc>
        <w:tc>
          <w:tcPr>
            <w:tcW w:w="4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Baltimore, MD</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1985</w:t>
            </w:r>
          </w:p>
        </w:tc>
        <w:tc>
          <w:tcPr>
            <w:tcW w:w="1120" w:type="dxa"/>
            <w:vAlign w:val="bottom"/>
            <w:gridSpan w:val="3"/>
          </w:tcPr>
          <w:p>
            <w:pPr>
              <w:jc w:val="right"/>
              <w:ind w:right="220"/>
              <w:spacing w:after="0"/>
              <w:rPr>
                <w:sz w:val="20"/>
                <w:szCs w:val="20"/>
                <w:color w:val="auto"/>
              </w:rPr>
            </w:pPr>
            <w:r>
              <w:rPr>
                <w:rFonts w:ascii="Arial" w:cs="Arial" w:eastAsia="Arial" w:hAnsi="Arial"/>
                <w:sz w:val="17"/>
                <w:szCs w:val="17"/>
                <w:color w:val="auto"/>
              </w:rPr>
              <w:t>25,020</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99.9%</w:t>
            </w:r>
          </w:p>
        </w:tc>
        <w:tc>
          <w:tcPr>
            <w:tcW w:w="840" w:type="dxa"/>
            <w:vAlign w:val="bottom"/>
            <w:gridSpan w:val="3"/>
          </w:tcPr>
          <w:p>
            <w:pPr>
              <w:jc w:val="right"/>
              <w:ind w:right="80"/>
              <w:spacing w:after="0"/>
              <w:rPr>
                <w:sz w:val="20"/>
                <w:szCs w:val="20"/>
                <w:color w:val="auto"/>
              </w:rPr>
            </w:pPr>
            <w:r>
              <w:rPr>
                <w:rFonts w:ascii="Arial" w:cs="Arial" w:eastAsia="Arial" w:hAnsi="Arial"/>
                <w:sz w:val="17"/>
                <w:szCs w:val="17"/>
                <w:color w:val="auto"/>
              </w:rPr>
              <w:t>401,000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96%</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gridSpan w:val="3"/>
          </w:tcPr>
          <w:p>
            <w:pPr>
              <w:ind w:left="20"/>
              <w:spacing w:after="0"/>
              <w:rPr>
                <w:sz w:val="20"/>
                <w:szCs w:val="20"/>
                <w:color w:val="auto"/>
              </w:rPr>
            </w:pPr>
            <w:r>
              <w:rPr>
                <w:rFonts w:ascii="Arial" w:cs="Arial" w:eastAsia="Arial" w:hAnsi="Arial"/>
                <w:sz w:val="17"/>
                <w:szCs w:val="17"/>
                <w:color w:val="auto"/>
                <w:w w:val="97"/>
              </w:rPr>
              <w:t>58,000 Shoppers Food</w:t>
            </w:r>
          </w:p>
        </w:tc>
        <w:tc>
          <w:tcPr>
            <w:tcW w:w="1400" w:type="dxa"/>
            <w:vAlign w:val="bottom"/>
          </w:tcPr>
          <w:p>
            <w:pPr>
              <w:spacing w:after="0"/>
              <w:rPr>
                <w:sz w:val="20"/>
                <w:szCs w:val="20"/>
                <w:color w:val="auto"/>
              </w:rPr>
            </w:pPr>
            <w:r>
              <w:rPr>
                <w:rFonts w:ascii="Arial" w:cs="Arial" w:eastAsia="Arial" w:hAnsi="Arial"/>
                <w:sz w:val="17"/>
                <w:szCs w:val="17"/>
                <w:color w:val="auto"/>
              </w:rPr>
              <w:t>Home Depot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7"/>
                <w:szCs w:val="17"/>
                <w:color w:val="auto"/>
              </w:rPr>
              <w:t>Warehouse</w:t>
            </w:r>
          </w:p>
        </w:tc>
        <w:tc>
          <w:tcPr>
            <w:tcW w:w="1400" w:type="dxa"/>
            <w:vAlign w:val="bottom"/>
          </w:tcPr>
          <w:p>
            <w:pPr>
              <w:spacing w:after="0"/>
              <w:rPr>
                <w:sz w:val="20"/>
                <w:szCs w:val="20"/>
                <w:color w:val="auto"/>
              </w:rPr>
            </w:pPr>
            <w:r>
              <w:rPr>
                <w:rFonts w:ascii="Arial" w:cs="Arial" w:eastAsia="Arial" w:hAnsi="Arial"/>
                <w:sz w:val="17"/>
                <w:szCs w:val="17"/>
                <w:color w:val="auto"/>
              </w:rPr>
              <w:t>Burlington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Coat Factory /</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Jo-Ann Stores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0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Barracks Road</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96"/>
              </w:rPr>
              <w:t>Charlottesville,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1985</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39,837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483,000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2680" w:type="dxa"/>
            <w:vAlign w:val="bottom"/>
            <w:tcBorders>
              <w:left w:val="single" w:sz="8" w:color="CCEEFF"/>
              <w:right w:val="single" w:sz="8" w:color="CCEEFF"/>
            </w:tcBorders>
            <w:gridSpan w:val="5"/>
            <w:shd w:val="clear" w:color="auto" w:fill="CCEEFF"/>
          </w:tcPr>
          <w:p>
            <w:pPr>
              <w:ind w:left="400"/>
              <w:spacing w:after="0"/>
              <w:rPr>
                <w:sz w:val="20"/>
                <w:szCs w:val="20"/>
                <w:color w:val="auto"/>
              </w:rPr>
            </w:pPr>
            <w:r>
              <w:rPr>
                <w:rFonts w:ascii="Arial" w:cs="Arial" w:eastAsia="Arial" w:hAnsi="Arial"/>
                <w:sz w:val="17"/>
                <w:szCs w:val="17"/>
                <w:color w:val="auto"/>
              </w:rPr>
              <w:t>43,855 91,000 Harris Teeter /</w:t>
            </w: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Bed, Bath &amp;</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VA</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color w:val="auto"/>
              </w:rPr>
              <w:t>Kroger</w:t>
            </w: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Beyond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Barnes &amp;</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Noble / Old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Navy</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400" w:type="dxa"/>
            <w:vAlign w:val="bottom"/>
            <w:gridSpan w:val="7"/>
          </w:tcPr>
          <w:p>
            <w:pPr>
              <w:spacing w:after="0"/>
              <w:rPr>
                <w:sz w:val="20"/>
                <w:szCs w:val="20"/>
                <w:color w:val="auto"/>
              </w:rPr>
            </w:pPr>
            <w:r>
              <w:rPr>
                <w:rFonts w:ascii="Arial" w:cs="Arial" w:eastAsia="Arial" w:hAnsi="Arial"/>
                <w:sz w:val="17"/>
                <w:szCs w:val="17"/>
                <w:color w:val="auto"/>
              </w:rPr>
              <w:t>Winter Park</w:t>
            </w:r>
          </w:p>
        </w:tc>
        <w:tc>
          <w:tcPr>
            <w:tcW w:w="4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7"/>
                <w:szCs w:val="17"/>
                <w:color w:val="auto"/>
              </w:rPr>
              <w:t>SR</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Orlando, FL</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1996</w:t>
            </w:r>
          </w:p>
        </w:tc>
        <w:tc>
          <w:tcPr>
            <w:tcW w:w="1120" w:type="dxa"/>
            <w:vAlign w:val="bottom"/>
            <w:gridSpan w:val="3"/>
          </w:tcPr>
          <w:p>
            <w:pPr>
              <w:jc w:val="right"/>
              <w:ind w:right="220"/>
              <w:spacing w:after="0"/>
              <w:rPr>
                <w:sz w:val="20"/>
                <w:szCs w:val="20"/>
                <w:color w:val="auto"/>
              </w:rPr>
            </w:pPr>
            <w:r>
              <w:rPr>
                <w:rFonts w:ascii="Arial" w:cs="Arial" w:eastAsia="Arial" w:hAnsi="Arial"/>
                <w:sz w:val="17"/>
                <w:szCs w:val="17"/>
                <w:color w:val="auto"/>
              </w:rPr>
              <w:t>6,972</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840" w:type="dxa"/>
            <w:vAlign w:val="bottom"/>
            <w:gridSpan w:val="3"/>
          </w:tcPr>
          <w:p>
            <w:pPr>
              <w:jc w:val="right"/>
              <w:ind w:right="80"/>
              <w:spacing w:after="0"/>
              <w:rPr>
                <w:sz w:val="20"/>
                <w:szCs w:val="20"/>
                <w:color w:val="auto"/>
              </w:rPr>
            </w:pPr>
            <w:r>
              <w:rPr>
                <w:rFonts w:ascii="Arial" w:cs="Arial" w:eastAsia="Arial" w:hAnsi="Arial"/>
                <w:sz w:val="17"/>
                <w:szCs w:val="17"/>
                <w:color w:val="auto"/>
              </w:rPr>
              <w:t>28,000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0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Eastgate</w:t>
            </w: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Raleigh-</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1986</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16,466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159,000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8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4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23,000 Earth Fare</w:t>
            </w: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Stein Mart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Durham-</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Chapel Hill,</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NC</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00" w:type="dxa"/>
            <w:vAlign w:val="bottom"/>
            <w:gridSpan w:val="7"/>
          </w:tcPr>
          <w:p>
            <w:pPr>
              <w:spacing w:after="0"/>
              <w:rPr>
                <w:sz w:val="20"/>
                <w:szCs w:val="20"/>
                <w:color w:val="auto"/>
              </w:rPr>
            </w:pPr>
            <w:r>
              <w:rPr>
                <w:rFonts w:ascii="Arial" w:cs="Arial" w:eastAsia="Arial" w:hAnsi="Arial"/>
                <w:sz w:val="17"/>
                <w:szCs w:val="17"/>
                <w:color w:val="auto"/>
              </w:rPr>
              <w:t>Shops at Willow</w:t>
            </w:r>
          </w:p>
        </w:tc>
        <w:tc>
          <w:tcPr>
            <w:tcW w:w="4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Richmond-</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1983</w:t>
            </w:r>
          </w:p>
        </w:tc>
        <w:tc>
          <w:tcPr>
            <w:tcW w:w="1120" w:type="dxa"/>
            <w:vAlign w:val="bottom"/>
            <w:gridSpan w:val="3"/>
          </w:tcPr>
          <w:p>
            <w:pPr>
              <w:jc w:val="right"/>
              <w:ind w:right="220"/>
              <w:spacing w:after="0"/>
              <w:rPr>
                <w:sz w:val="20"/>
                <w:szCs w:val="20"/>
                <w:color w:val="auto"/>
              </w:rPr>
            </w:pPr>
            <w:r>
              <w:rPr>
                <w:rFonts w:ascii="Arial" w:cs="Arial" w:eastAsia="Arial" w:hAnsi="Arial"/>
                <w:sz w:val="17"/>
                <w:szCs w:val="17"/>
                <w:color w:val="auto"/>
              </w:rPr>
              <w:t>61,093</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99.9%</w:t>
            </w:r>
          </w:p>
        </w:tc>
        <w:tc>
          <w:tcPr>
            <w:tcW w:w="840" w:type="dxa"/>
            <w:vAlign w:val="bottom"/>
            <w:gridSpan w:val="3"/>
          </w:tcPr>
          <w:p>
            <w:pPr>
              <w:jc w:val="right"/>
              <w:ind w:right="80"/>
              <w:spacing w:after="0"/>
              <w:rPr>
                <w:sz w:val="20"/>
                <w:szCs w:val="20"/>
                <w:color w:val="auto"/>
              </w:rPr>
            </w:pPr>
            <w:r>
              <w:rPr>
                <w:rFonts w:ascii="Arial" w:cs="Arial" w:eastAsia="Arial" w:hAnsi="Arial"/>
                <w:sz w:val="17"/>
                <w:szCs w:val="17"/>
                <w:color w:val="auto"/>
              </w:rPr>
              <w:t>488,000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71%</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gridSpan w:val="3"/>
          </w:tcPr>
          <w:p>
            <w:pPr>
              <w:ind w:left="20"/>
              <w:spacing w:after="0"/>
              <w:rPr>
                <w:sz w:val="20"/>
                <w:szCs w:val="20"/>
                <w:color w:val="auto"/>
              </w:rPr>
            </w:pPr>
            <w:r>
              <w:rPr>
                <w:rFonts w:ascii="Arial" w:cs="Arial" w:eastAsia="Arial" w:hAnsi="Arial"/>
                <w:sz w:val="17"/>
                <w:szCs w:val="17"/>
                <w:color w:val="auto"/>
              </w:rPr>
              <w:t>60,000 Kroger</w:t>
            </w:r>
          </w:p>
        </w:tc>
        <w:tc>
          <w:tcPr>
            <w:tcW w:w="1400" w:type="dxa"/>
            <w:vAlign w:val="bottom"/>
          </w:tcPr>
          <w:p>
            <w:pPr>
              <w:spacing w:after="0"/>
              <w:rPr>
                <w:sz w:val="20"/>
                <w:szCs w:val="20"/>
                <w:color w:val="auto"/>
              </w:rPr>
            </w:pPr>
            <w:r>
              <w:rPr>
                <w:rFonts w:ascii="Arial" w:cs="Arial" w:eastAsia="Arial" w:hAnsi="Arial"/>
                <w:sz w:val="17"/>
                <w:szCs w:val="17"/>
                <w:color w:val="auto"/>
              </w:rPr>
              <w:t>Old Navy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6"/>
          </w:tcPr>
          <w:p>
            <w:pPr>
              <w:spacing w:after="0"/>
              <w:rPr>
                <w:sz w:val="20"/>
                <w:szCs w:val="20"/>
                <w:color w:val="auto"/>
              </w:rPr>
            </w:pPr>
            <w:r>
              <w:rPr>
                <w:rFonts w:ascii="Arial" w:cs="Arial" w:eastAsia="Arial" w:hAnsi="Arial"/>
                <w:sz w:val="17"/>
                <w:szCs w:val="17"/>
                <w:color w:val="auto"/>
              </w:rPr>
              <w:t>Lawn</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w w:val="93"/>
              </w:rPr>
              <w:t>Petersburg, VA</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Tower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Records /</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Staples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gridSpan w:val="3"/>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168,264</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7"/>
              </w:rPr>
              <w:t>1,828,000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8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Total Mid-</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7"/>
                <w:szCs w:val="17"/>
                <w:color w:val="auto"/>
              </w:rPr>
              <w:t>904,232</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7"/>
                <w:szCs w:val="17"/>
                <w:color w:val="auto"/>
                <w:w w:val="97"/>
              </w:rPr>
              <w:t>6,619,000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93%</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Atlantic</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Region</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00" w:type="dxa"/>
            <w:vAlign w:val="bottom"/>
            <w:gridSpan w:val="7"/>
            <w:shd w:val="clear" w:color="auto" w:fill="CCEEFF"/>
          </w:tcPr>
          <w:p>
            <w:pPr>
              <w:spacing w:after="0" w:line="176" w:lineRule="exact"/>
              <w:rPr>
                <w:sz w:val="20"/>
                <w:szCs w:val="20"/>
                <w:color w:val="auto"/>
              </w:rPr>
            </w:pPr>
            <w:r>
              <w:rPr>
                <w:rFonts w:ascii="Arial" w:cs="Arial" w:eastAsia="Arial" w:hAnsi="Arial"/>
                <w:sz w:val="17"/>
                <w:szCs w:val="17"/>
                <w:color w:val="auto"/>
              </w:rPr>
              <w:t>Northeast Region</w:t>
            </w: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tcBorders>
              <w:right w:val="single" w:sz="8" w:color="CCEEFF"/>
            </w:tcBorders>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1420" w:type="dxa"/>
            <w:vAlign w:val="bottom"/>
            <w:gridSpan w:val="8"/>
          </w:tcPr>
          <w:p>
            <w:pPr>
              <w:spacing w:after="0"/>
              <w:rPr>
                <w:sz w:val="20"/>
                <w:szCs w:val="20"/>
                <w:color w:val="auto"/>
              </w:rPr>
            </w:pPr>
            <w:r>
              <w:rPr>
                <w:rFonts w:ascii="Arial" w:cs="Arial" w:eastAsia="Arial" w:hAnsi="Arial"/>
                <w:sz w:val="17"/>
                <w:szCs w:val="17"/>
                <w:color w:val="auto"/>
              </w:rPr>
              <w:t>Philadelphia</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6"/>
          </w:tcPr>
          <w:p>
            <w:pPr>
              <w:spacing w:after="0" w:line="194" w:lineRule="exact"/>
              <w:rPr>
                <w:sz w:val="20"/>
                <w:szCs w:val="20"/>
                <w:color w:val="auto"/>
              </w:rPr>
            </w:pPr>
            <w:r>
              <w:rPr>
                <w:rFonts w:ascii="Arial" w:cs="Arial" w:eastAsia="Arial" w:hAnsi="Arial"/>
                <w:sz w:val="17"/>
                <w:szCs w:val="17"/>
                <w:color w:val="auto"/>
              </w:rPr>
              <w:t>Metropolitan</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Borders>
              <w:top w:val="single" w:sz="8" w:color="auto"/>
            </w:tcBorders>
            <w:gridSpan w:val="3"/>
          </w:tcPr>
          <w:p>
            <w:pPr>
              <w:spacing w:after="0" w:line="194" w:lineRule="exact"/>
              <w:rPr>
                <w:sz w:val="20"/>
                <w:szCs w:val="20"/>
                <w:color w:val="auto"/>
              </w:rPr>
            </w:pPr>
            <w:r>
              <w:rPr>
                <w:rFonts w:ascii="Arial" w:cs="Arial" w:eastAsia="Arial" w:hAnsi="Arial"/>
                <w:sz w:val="17"/>
                <w:szCs w:val="17"/>
                <w:color w:val="auto"/>
              </w:rPr>
              <w:t>Area</w:t>
            </w:r>
          </w:p>
        </w:tc>
        <w:tc>
          <w:tcPr>
            <w:tcW w:w="30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140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Andorra</w:t>
            </w: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Philadelphia,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1988</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21,734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99.9%</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259,000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8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4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24,000 Acme Markets</w:t>
            </w: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Kohl’s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PA-NJ</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Staples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00" w:type="dxa"/>
            <w:vAlign w:val="bottom"/>
            <w:gridSpan w:val="7"/>
          </w:tcPr>
          <w:p>
            <w:pPr>
              <w:spacing w:after="0"/>
              <w:rPr>
                <w:sz w:val="20"/>
                <w:szCs w:val="20"/>
                <w:color w:val="auto"/>
              </w:rPr>
            </w:pPr>
            <w:r>
              <w:rPr>
                <w:rFonts w:ascii="Arial" w:cs="Arial" w:eastAsia="Arial" w:hAnsi="Arial"/>
                <w:sz w:val="17"/>
                <w:szCs w:val="17"/>
                <w:color w:val="auto"/>
              </w:rPr>
              <w:t>Bala Cynwyd</w:t>
            </w:r>
          </w:p>
        </w:tc>
        <w:tc>
          <w:tcPr>
            <w:tcW w:w="4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Philadelphia,</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1993</w:t>
            </w:r>
          </w:p>
        </w:tc>
        <w:tc>
          <w:tcPr>
            <w:tcW w:w="1120" w:type="dxa"/>
            <w:vAlign w:val="bottom"/>
            <w:gridSpan w:val="3"/>
          </w:tcPr>
          <w:p>
            <w:pPr>
              <w:jc w:val="right"/>
              <w:ind w:right="220"/>
              <w:spacing w:after="0"/>
              <w:rPr>
                <w:sz w:val="20"/>
                <w:szCs w:val="20"/>
                <w:color w:val="auto"/>
              </w:rPr>
            </w:pPr>
            <w:r>
              <w:rPr>
                <w:rFonts w:ascii="Arial" w:cs="Arial" w:eastAsia="Arial" w:hAnsi="Arial"/>
                <w:sz w:val="17"/>
                <w:szCs w:val="17"/>
                <w:color w:val="auto"/>
              </w:rPr>
              <w:t>24,933</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840" w:type="dxa"/>
            <w:vAlign w:val="bottom"/>
            <w:gridSpan w:val="3"/>
          </w:tcPr>
          <w:p>
            <w:pPr>
              <w:jc w:val="right"/>
              <w:ind w:right="80"/>
              <w:spacing w:after="0"/>
              <w:rPr>
                <w:sz w:val="20"/>
                <w:szCs w:val="20"/>
                <w:color w:val="auto"/>
              </w:rPr>
            </w:pPr>
            <w:r>
              <w:rPr>
                <w:rFonts w:ascii="Arial" w:cs="Arial" w:eastAsia="Arial" w:hAnsi="Arial"/>
                <w:sz w:val="17"/>
                <w:szCs w:val="17"/>
                <w:color w:val="auto"/>
              </w:rPr>
              <w:t>281,000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gridSpan w:val="3"/>
          </w:tcPr>
          <w:p>
            <w:pPr>
              <w:ind w:left="20"/>
              <w:spacing w:after="0"/>
              <w:rPr>
                <w:sz w:val="20"/>
                <w:szCs w:val="20"/>
                <w:color w:val="auto"/>
              </w:rPr>
            </w:pPr>
            <w:r>
              <w:rPr>
                <w:rFonts w:ascii="Arial" w:cs="Arial" w:eastAsia="Arial" w:hAnsi="Arial"/>
                <w:sz w:val="17"/>
                <w:szCs w:val="17"/>
                <w:color w:val="auto"/>
              </w:rPr>
              <w:t>45,000 Acme Markets</w:t>
            </w:r>
          </w:p>
        </w:tc>
        <w:tc>
          <w:tcPr>
            <w:tcW w:w="1400" w:type="dxa"/>
            <w:vAlign w:val="bottom"/>
          </w:tcPr>
          <w:p>
            <w:pPr>
              <w:spacing w:after="0"/>
              <w:rPr>
                <w:sz w:val="20"/>
                <w:szCs w:val="20"/>
                <w:color w:val="auto"/>
              </w:rPr>
            </w:pPr>
            <w:r>
              <w:rPr>
                <w:rFonts w:ascii="Arial" w:cs="Arial" w:eastAsia="Arial" w:hAnsi="Arial"/>
                <w:sz w:val="17"/>
                <w:szCs w:val="17"/>
                <w:color w:val="auto"/>
              </w:rPr>
              <w:t>Lord &amp; Taylor</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PA-NJ</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0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Ellisburg Circle</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Philadelphia,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1992</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28,946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268,000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8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47,000 Genuardi’s</w:t>
            </w: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Bed, Bath &amp;</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PA-NJ</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Beyond / Stein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Mart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00" w:type="dxa"/>
            <w:vAlign w:val="bottom"/>
            <w:gridSpan w:val="7"/>
          </w:tcPr>
          <w:p>
            <w:pPr>
              <w:spacing w:after="0"/>
              <w:rPr>
                <w:sz w:val="20"/>
                <w:szCs w:val="20"/>
                <w:color w:val="auto"/>
              </w:rPr>
            </w:pPr>
            <w:r>
              <w:rPr>
                <w:rFonts w:ascii="Arial" w:cs="Arial" w:eastAsia="Arial" w:hAnsi="Arial"/>
                <w:sz w:val="17"/>
                <w:szCs w:val="17"/>
                <w:color w:val="auto"/>
              </w:rPr>
              <w:t>Feasterville</w:t>
            </w:r>
          </w:p>
        </w:tc>
        <w:tc>
          <w:tcPr>
            <w:tcW w:w="4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Philadelphia,</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1980</w:t>
            </w:r>
          </w:p>
        </w:tc>
        <w:tc>
          <w:tcPr>
            <w:tcW w:w="1120" w:type="dxa"/>
            <w:vAlign w:val="bottom"/>
            <w:gridSpan w:val="3"/>
          </w:tcPr>
          <w:p>
            <w:pPr>
              <w:jc w:val="right"/>
              <w:ind w:right="220"/>
              <w:spacing w:after="0"/>
              <w:rPr>
                <w:sz w:val="20"/>
                <w:szCs w:val="20"/>
                <w:color w:val="auto"/>
              </w:rPr>
            </w:pPr>
            <w:r>
              <w:rPr>
                <w:rFonts w:ascii="Arial" w:cs="Arial" w:eastAsia="Arial" w:hAnsi="Arial"/>
                <w:sz w:val="17"/>
                <w:szCs w:val="17"/>
                <w:color w:val="auto"/>
              </w:rPr>
              <w:t>11,653</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840" w:type="dxa"/>
            <w:vAlign w:val="bottom"/>
            <w:gridSpan w:val="3"/>
          </w:tcPr>
          <w:p>
            <w:pPr>
              <w:jc w:val="right"/>
              <w:ind w:right="80"/>
              <w:spacing w:after="0"/>
              <w:rPr>
                <w:sz w:val="20"/>
                <w:szCs w:val="20"/>
                <w:color w:val="auto"/>
              </w:rPr>
            </w:pPr>
            <w:r>
              <w:rPr>
                <w:rFonts w:ascii="Arial" w:cs="Arial" w:eastAsia="Arial" w:hAnsi="Arial"/>
                <w:sz w:val="17"/>
                <w:szCs w:val="17"/>
                <w:color w:val="auto"/>
              </w:rPr>
              <w:t>111,000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91%</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gridSpan w:val="3"/>
          </w:tcPr>
          <w:p>
            <w:pPr>
              <w:ind w:left="20"/>
              <w:spacing w:after="0"/>
              <w:rPr>
                <w:sz w:val="20"/>
                <w:szCs w:val="20"/>
                <w:color w:val="auto"/>
              </w:rPr>
            </w:pPr>
            <w:r>
              <w:rPr>
                <w:rFonts w:ascii="Arial" w:cs="Arial" w:eastAsia="Arial" w:hAnsi="Arial"/>
                <w:sz w:val="17"/>
                <w:szCs w:val="17"/>
                <w:color w:val="auto"/>
              </w:rPr>
              <w:t>53,000 Genuardi’s</w:t>
            </w:r>
          </w:p>
        </w:tc>
        <w:tc>
          <w:tcPr>
            <w:tcW w:w="1400" w:type="dxa"/>
            <w:vAlign w:val="bottom"/>
          </w:tcPr>
          <w:p>
            <w:pPr>
              <w:spacing w:after="0"/>
              <w:rPr>
                <w:sz w:val="20"/>
                <w:szCs w:val="20"/>
                <w:color w:val="auto"/>
              </w:rPr>
            </w:pPr>
            <w:r>
              <w:rPr>
                <w:rFonts w:ascii="Arial" w:cs="Arial" w:eastAsia="Arial" w:hAnsi="Arial"/>
                <w:sz w:val="17"/>
                <w:szCs w:val="17"/>
                <w:color w:val="auto"/>
              </w:rPr>
              <w:t>OfficeMax</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PA-NJ</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0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Flourtown</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Philadelphia,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1980</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9,025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187,000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8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42,000 Genuardi’s</w:t>
            </w: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PA-NJ</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00" w:type="dxa"/>
            <w:vAlign w:val="bottom"/>
            <w:gridSpan w:val="7"/>
          </w:tcPr>
          <w:p>
            <w:pPr>
              <w:spacing w:after="0"/>
              <w:rPr>
                <w:sz w:val="20"/>
                <w:szCs w:val="20"/>
                <w:color w:val="auto"/>
              </w:rPr>
            </w:pPr>
            <w:r>
              <w:rPr>
                <w:rFonts w:ascii="Arial" w:cs="Arial" w:eastAsia="Arial" w:hAnsi="Arial"/>
                <w:sz w:val="17"/>
                <w:szCs w:val="17"/>
                <w:color w:val="auto"/>
                <w:w w:val="97"/>
              </w:rPr>
              <w:t>Langhorne Square</w:t>
            </w:r>
          </w:p>
        </w:tc>
        <w:tc>
          <w:tcPr>
            <w:tcW w:w="4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Philadelphia,</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1985</w:t>
            </w:r>
          </w:p>
        </w:tc>
        <w:tc>
          <w:tcPr>
            <w:tcW w:w="1120" w:type="dxa"/>
            <w:vAlign w:val="bottom"/>
            <w:gridSpan w:val="3"/>
          </w:tcPr>
          <w:p>
            <w:pPr>
              <w:jc w:val="right"/>
              <w:ind w:right="220"/>
              <w:spacing w:after="0"/>
              <w:rPr>
                <w:sz w:val="20"/>
                <w:szCs w:val="20"/>
                <w:color w:val="auto"/>
              </w:rPr>
            </w:pPr>
            <w:r>
              <w:rPr>
                <w:rFonts w:ascii="Arial" w:cs="Arial" w:eastAsia="Arial" w:hAnsi="Arial"/>
                <w:sz w:val="17"/>
                <w:szCs w:val="17"/>
                <w:color w:val="auto"/>
              </w:rPr>
              <w:t>17,793</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840" w:type="dxa"/>
            <w:vAlign w:val="bottom"/>
            <w:gridSpan w:val="3"/>
          </w:tcPr>
          <w:p>
            <w:pPr>
              <w:jc w:val="right"/>
              <w:ind w:right="80"/>
              <w:spacing w:after="0"/>
              <w:rPr>
                <w:sz w:val="20"/>
                <w:szCs w:val="20"/>
                <w:color w:val="auto"/>
              </w:rPr>
            </w:pPr>
            <w:r>
              <w:rPr>
                <w:rFonts w:ascii="Arial" w:cs="Arial" w:eastAsia="Arial" w:hAnsi="Arial"/>
                <w:sz w:val="17"/>
                <w:szCs w:val="17"/>
                <w:color w:val="auto"/>
              </w:rPr>
              <w:t>216,000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88%</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gridSpan w:val="3"/>
          </w:tcPr>
          <w:p>
            <w:pPr>
              <w:ind w:left="20"/>
              <w:spacing w:after="0"/>
              <w:rPr>
                <w:sz w:val="20"/>
                <w:szCs w:val="20"/>
                <w:color w:val="auto"/>
              </w:rPr>
            </w:pPr>
            <w:r>
              <w:rPr>
                <w:rFonts w:ascii="Arial" w:cs="Arial" w:eastAsia="Arial" w:hAnsi="Arial"/>
                <w:sz w:val="17"/>
                <w:szCs w:val="17"/>
                <w:color w:val="auto"/>
              </w:rPr>
              <w:t>55,000 Redner’s</w:t>
            </w:r>
          </w:p>
        </w:tc>
        <w:tc>
          <w:tcPr>
            <w:tcW w:w="1400" w:type="dxa"/>
            <w:vAlign w:val="bottom"/>
          </w:tcPr>
          <w:p>
            <w:pPr>
              <w:spacing w:after="0"/>
              <w:rPr>
                <w:sz w:val="20"/>
                <w:szCs w:val="20"/>
                <w:color w:val="auto"/>
              </w:rPr>
            </w:pPr>
            <w:r>
              <w:rPr>
                <w:rFonts w:ascii="Arial" w:cs="Arial" w:eastAsia="Arial" w:hAnsi="Arial"/>
                <w:sz w:val="17"/>
                <w:szCs w:val="17"/>
                <w:color w:val="auto"/>
              </w:rPr>
              <w:t>Marshalls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PA-NJ</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7"/>
                <w:szCs w:val="17"/>
                <w:color w:val="auto"/>
              </w:rPr>
              <w:t>Warehouse</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gridSpan w:val="2"/>
          </w:tcPr>
          <w:p>
            <w:pPr>
              <w:ind w:left="80"/>
              <w:spacing w:after="0"/>
              <w:rPr>
                <w:sz w:val="20"/>
                <w:szCs w:val="20"/>
                <w:color w:val="auto"/>
              </w:rPr>
            </w:pPr>
            <w:r>
              <w:rPr>
                <w:rFonts w:ascii="Arial" w:cs="Arial" w:eastAsia="Arial" w:hAnsi="Arial"/>
                <w:sz w:val="17"/>
                <w:szCs w:val="17"/>
                <w:color w:val="auto"/>
              </w:rPr>
              <w:t>Mkts.</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0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Lawrence Park</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Philadelphia,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1980</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25,886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348,000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680" w:type="dxa"/>
            <w:vAlign w:val="bottom"/>
            <w:tcBorders>
              <w:left w:val="single" w:sz="8" w:color="CCEEFF"/>
              <w:right w:val="single" w:sz="8" w:color="CCEEFF"/>
            </w:tcBorders>
            <w:gridSpan w:val="5"/>
            <w:shd w:val="clear" w:color="auto" w:fill="CCEEFF"/>
          </w:tcPr>
          <w:p>
            <w:pPr>
              <w:ind w:left="400"/>
              <w:spacing w:after="0"/>
              <w:rPr>
                <w:sz w:val="20"/>
                <w:szCs w:val="20"/>
                <w:color w:val="auto"/>
              </w:rPr>
            </w:pPr>
            <w:r>
              <w:rPr>
                <w:rFonts w:ascii="Arial" w:cs="Arial" w:eastAsia="Arial" w:hAnsi="Arial"/>
                <w:sz w:val="17"/>
                <w:szCs w:val="17"/>
                <w:color w:val="auto"/>
              </w:rPr>
              <w:t>31,084 53,000 Acme Markets</w:t>
            </w: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CHI / TJ</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PA-NJ</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Maxx / CVS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00" w:type="dxa"/>
            <w:vAlign w:val="bottom"/>
            <w:gridSpan w:val="7"/>
          </w:tcPr>
          <w:p>
            <w:pPr>
              <w:spacing w:after="0"/>
              <w:rPr>
                <w:sz w:val="20"/>
                <w:szCs w:val="20"/>
                <w:color w:val="auto"/>
              </w:rPr>
            </w:pPr>
            <w:r>
              <w:rPr>
                <w:rFonts w:ascii="Arial" w:cs="Arial" w:eastAsia="Arial" w:hAnsi="Arial"/>
                <w:sz w:val="17"/>
                <w:szCs w:val="17"/>
                <w:color w:val="auto"/>
              </w:rPr>
              <w:t>Northeast</w:t>
            </w:r>
          </w:p>
        </w:tc>
        <w:tc>
          <w:tcPr>
            <w:tcW w:w="4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Philadelphia,</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1983</w:t>
            </w:r>
          </w:p>
        </w:tc>
        <w:tc>
          <w:tcPr>
            <w:tcW w:w="1120" w:type="dxa"/>
            <w:vAlign w:val="bottom"/>
            <w:gridSpan w:val="3"/>
          </w:tcPr>
          <w:p>
            <w:pPr>
              <w:jc w:val="right"/>
              <w:ind w:right="220"/>
              <w:spacing w:after="0"/>
              <w:rPr>
                <w:sz w:val="20"/>
                <w:szCs w:val="20"/>
                <w:color w:val="auto"/>
              </w:rPr>
            </w:pPr>
            <w:r>
              <w:rPr>
                <w:rFonts w:ascii="Arial" w:cs="Arial" w:eastAsia="Arial" w:hAnsi="Arial"/>
                <w:sz w:val="17"/>
                <w:szCs w:val="17"/>
                <w:color w:val="auto"/>
              </w:rPr>
              <w:t>22,014</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840" w:type="dxa"/>
            <w:vAlign w:val="bottom"/>
            <w:gridSpan w:val="3"/>
          </w:tcPr>
          <w:p>
            <w:pPr>
              <w:jc w:val="right"/>
              <w:ind w:right="80"/>
              <w:spacing w:after="0"/>
              <w:rPr>
                <w:sz w:val="20"/>
                <w:szCs w:val="20"/>
                <w:color w:val="auto"/>
              </w:rPr>
            </w:pPr>
            <w:r>
              <w:rPr>
                <w:rFonts w:ascii="Arial" w:cs="Arial" w:eastAsia="Arial" w:hAnsi="Arial"/>
                <w:sz w:val="17"/>
                <w:szCs w:val="17"/>
                <w:color w:val="auto"/>
              </w:rPr>
              <w:t>292,000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92%</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Burlington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PA-NJ</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Coat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Marshalls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Tower</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Records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40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Willow Grove</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Philadelphia,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1984</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26,308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215,000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8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Barnes &amp;</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PA-NJ</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Noble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Marshalls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tcBorders>
              <w:right w:val="single" w:sz="8" w:color="CCEEFF"/>
            </w:tcBorders>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Toys R Us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00" w:type="dxa"/>
            <w:vAlign w:val="bottom"/>
            <w:gridSpan w:val="7"/>
          </w:tcPr>
          <w:p>
            <w:pPr>
              <w:spacing w:after="0"/>
              <w:rPr>
                <w:sz w:val="20"/>
                <w:szCs w:val="20"/>
                <w:color w:val="auto"/>
              </w:rPr>
            </w:pPr>
            <w:r>
              <w:rPr>
                <w:rFonts w:ascii="Arial" w:cs="Arial" w:eastAsia="Arial" w:hAnsi="Arial"/>
                <w:sz w:val="17"/>
                <w:szCs w:val="17"/>
                <w:color w:val="auto"/>
              </w:rPr>
              <w:t>Wynnewood</w:t>
            </w:r>
          </w:p>
        </w:tc>
        <w:tc>
          <w:tcPr>
            <w:tcW w:w="4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Philadelphia,</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1996</w:t>
            </w:r>
          </w:p>
        </w:tc>
        <w:tc>
          <w:tcPr>
            <w:tcW w:w="1120" w:type="dxa"/>
            <w:vAlign w:val="bottom"/>
            <w:gridSpan w:val="3"/>
          </w:tcPr>
          <w:p>
            <w:pPr>
              <w:jc w:val="right"/>
              <w:ind w:right="220"/>
              <w:spacing w:after="0"/>
              <w:rPr>
                <w:sz w:val="20"/>
                <w:szCs w:val="20"/>
                <w:color w:val="auto"/>
              </w:rPr>
            </w:pPr>
            <w:r>
              <w:rPr>
                <w:rFonts w:ascii="Arial" w:cs="Arial" w:eastAsia="Arial" w:hAnsi="Arial"/>
                <w:sz w:val="17"/>
                <w:szCs w:val="17"/>
                <w:color w:val="auto"/>
              </w:rPr>
              <w:t>35,292</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840" w:type="dxa"/>
            <w:vAlign w:val="bottom"/>
            <w:gridSpan w:val="3"/>
          </w:tcPr>
          <w:p>
            <w:pPr>
              <w:jc w:val="right"/>
              <w:ind w:right="80"/>
              <w:spacing w:after="0"/>
              <w:rPr>
                <w:sz w:val="20"/>
                <w:szCs w:val="20"/>
                <w:color w:val="auto"/>
              </w:rPr>
            </w:pPr>
            <w:r>
              <w:rPr>
                <w:rFonts w:ascii="Arial" w:cs="Arial" w:eastAsia="Arial" w:hAnsi="Arial"/>
                <w:sz w:val="17"/>
                <w:szCs w:val="17"/>
                <w:color w:val="auto"/>
              </w:rPr>
              <w:t>255,000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99%</w:t>
            </w:r>
          </w:p>
        </w:tc>
        <w:tc>
          <w:tcPr>
            <w:tcW w:w="2680" w:type="dxa"/>
            <w:vAlign w:val="bottom"/>
            <w:gridSpan w:val="5"/>
          </w:tcPr>
          <w:p>
            <w:pPr>
              <w:ind w:left="400"/>
              <w:spacing w:after="0"/>
              <w:rPr>
                <w:sz w:val="20"/>
                <w:szCs w:val="20"/>
                <w:color w:val="auto"/>
              </w:rPr>
            </w:pPr>
            <w:r>
              <w:rPr>
                <w:rFonts w:ascii="Arial" w:cs="Arial" w:eastAsia="Arial" w:hAnsi="Arial"/>
                <w:sz w:val="17"/>
                <w:szCs w:val="17"/>
                <w:color w:val="auto"/>
              </w:rPr>
              <w:t>31,678 98,000 Genuardi’s</w:t>
            </w:r>
          </w:p>
        </w:tc>
        <w:tc>
          <w:tcPr>
            <w:tcW w:w="1400" w:type="dxa"/>
            <w:vAlign w:val="bottom"/>
          </w:tcPr>
          <w:p>
            <w:pPr>
              <w:spacing w:after="0"/>
              <w:rPr>
                <w:sz w:val="20"/>
                <w:szCs w:val="20"/>
                <w:color w:val="auto"/>
              </w:rPr>
            </w:pPr>
            <w:r>
              <w:rPr>
                <w:rFonts w:ascii="Arial" w:cs="Arial" w:eastAsia="Arial" w:hAnsi="Arial"/>
                <w:sz w:val="17"/>
                <w:szCs w:val="17"/>
                <w:color w:val="auto"/>
              </w:rPr>
              <w:t>Bed, Bath &amp;</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color w:val="auto"/>
              </w:rPr>
              <w:t>PA-NJ</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Beyond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Borders / Old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Navy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223,584</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7"/>
              </w:rPr>
              <w:t>2,432,000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8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52" w:orient="portrait"/>
          <w:cols w:equalWidth="0" w:num="1">
            <w:col w:w="11420"/>
          </w:cols>
          <w:pgMar w:left="240" w:top="140" w:right="239" w:bottom="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auto"/>
        </w:rPr>
        <w:t>New York / New</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7"/>
          <w:szCs w:val="17"/>
          <w:u w:val="single" w:color="auto"/>
          <w:color w:val="auto"/>
        </w:rPr>
        <w:t>Jersey</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Allwood</w:t>
            </w:r>
          </w:p>
        </w:tc>
        <w:tc>
          <w:tcPr>
            <w:tcW w:w="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SC</w:t>
            </w:r>
          </w:p>
        </w:tc>
        <w:tc>
          <w:tcPr>
            <w:tcW w:w="1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Bergen-</w:t>
            </w: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1988</w:t>
            </w:r>
          </w:p>
        </w:tc>
        <w:tc>
          <w:tcPr>
            <w:tcW w:w="94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4,295</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(7)</w:t>
            </w:r>
          </w:p>
        </w:tc>
        <w:tc>
          <w:tcPr>
            <w:tcW w:w="8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52,000</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100%</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3,492</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25,000</w:t>
            </w:r>
          </w:p>
        </w:tc>
        <w:tc>
          <w:tcPr>
            <w:tcW w:w="1080" w:type="dxa"/>
            <w:vAlign w:val="bottom"/>
            <w:shd w:val="clear" w:color="auto" w:fill="CCEEFF"/>
          </w:tcPr>
          <w:p>
            <w:pPr>
              <w:ind w:left="40"/>
              <w:spacing w:after="0"/>
              <w:rPr>
                <w:sz w:val="20"/>
                <w:szCs w:val="20"/>
                <w:color w:val="auto"/>
              </w:rPr>
            </w:pPr>
            <w:r>
              <w:rPr>
                <w:rFonts w:ascii="Arial" w:cs="Arial" w:eastAsia="Arial" w:hAnsi="Arial"/>
                <w:sz w:val="17"/>
                <w:szCs w:val="17"/>
                <w:color w:val="auto"/>
              </w:rPr>
              <w:t>Stop &amp; Shop</w:t>
            </w:r>
          </w:p>
        </w:tc>
        <w:tc>
          <w:tcPr>
            <w:tcW w:w="1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Mandee Shop</w:t>
            </w:r>
          </w:p>
        </w:tc>
      </w:tr>
      <w:tr>
        <w:trPr>
          <w:trHeight w:val="223"/>
        </w:trPr>
        <w:tc>
          <w:tcPr>
            <w:tcW w:w="1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Passaic, NJ</w:t>
            </w:r>
          </w:p>
        </w:tc>
        <w:tc>
          <w:tcPr>
            <w:tcW w:w="7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06"/>
        </w:trPr>
        <w:tc>
          <w:tcPr>
            <w:tcW w:w="1320" w:type="dxa"/>
            <w:vAlign w:val="bottom"/>
          </w:tcPr>
          <w:p>
            <w:pPr>
              <w:spacing w:after="0"/>
              <w:rPr>
                <w:sz w:val="20"/>
                <w:szCs w:val="20"/>
                <w:color w:val="auto"/>
              </w:rPr>
            </w:pPr>
            <w:r>
              <w:rPr>
                <w:rFonts w:ascii="Arial" w:cs="Arial" w:eastAsia="Arial" w:hAnsi="Arial"/>
                <w:sz w:val="17"/>
                <w:szCs w:val="17"/>
                <w:color w:val="auto"/>
              </w:rPr>
              <w:t>Clifton</w:t>
            </w:r>
          </w:p>
        </w:tc>
        <w:tc>
          <w:tcPr>
            <w:tcW w:w="520" w:type="dxa"/>
            <w:vAlign w:val="bottom"/>
          </w:tcPr>
          <w:p>
            <w:pPr>
              <w:ind w:left="140"/>
              <w:spacing w:after="0"/>
              <w:rPr>
                <w:sz w:val="20"/>
                <w:szCs w:val="20"/>
                <w:color w:val="auto"/>
              </w:rPr>
            </w:pPr>
            <w:r>
              <w:rPr>
                <w:rFonts w:ascii="Arial" w:cs="Arial" w:eastAsia="Arial" w:hAnsi="Arial"/>
                <w:sz w:val="17"/>
                <w:szCs w:val="17"/>
                <w:color w:val="auto"/>
              </w:rPr>
              <w:t>SC</w:t>
            </w:r>
          </w:p>
        </w:tc>
        <w:tc>
          <w:tcPr>
            <w:tcW w:w="1380" w:type="dxa"/>
            <w:vAlign w:val="bottom"/>
          </w:tcPr>
          <w:p>
            <w:pPr>
              <w:ind w:left="160"/>
              <w:spacing w:after="0"/>
              <w:rPr>
                <w:sz w:val="20"/>
                <w:szCs w:val="20"/>
                <w:color w:val="auto"/>
              </w:rPr>
            </w:pPr>
            <w:r>
              <w:rPr>
                <w:rFonts w:ascii="Arial" w:cs="Arial" w:eastAsia="Arial" w:hAnsi="Arial"/>
                <w:sz w:val="17"/>
                <w:szCs w:val="17"/>
                <w:color w:val="auto"/>
              </w:rPr>
              <w:t>Bergen-</w:t>
            </w:r>
          </w:p>
        </w:tc>
        <w:tc>
          <w:tcPr>
            <w:tcW w:w="760" w:type="dxa"/>
            <w:vAlign w:val="bottom"/>
          </w:tcPr>
          <w:p>
            <w:pPr>
              <w:jc w:val="right"/>
              <w:ind w:right="133"/>
              <w:spacing w:after="0"/>
              <w:rPr>
                <w:sz w:val="20"/>
                <w:szCs w:val="20"/>
                <w:color w:val="auto"/>
              </w:rPr>
            </w:pPr>
            <w:r>
              <w:rPr>
                <w:rFonts w:ascii="Arial" w:cs="Arial" w:eastAsia="Arial" w:hAnsi="Arial"/>
                <w:sz w:val="17"/>
                <w:szCs w:val="17"/>
                <w:color w:val="auto"/>
              </w:rPr>
              <w:t>1988</w:t>
            </w:r>
          </w:p>
        </w:tc>
        <w:tc>
          <w:tcPr>
            <w:tcW w:w="940" w:type="dxa"/>
            <w:vAlign w:val="bottom"/>
          </w:tcPr>
          <w:p>
            <w:pPr>
              <w:jc w:val="right"/>
              <w:ind w:right="173"/>
              <w:spacing w:after="0"/>
              <w:rPr>
                <w:sz w:val="20"/>
                <w:szCs w:val="20"/>
                <w:color w:val="auto"/>
              </w:rPr>
            </w:pPr>
            <w:r>
              <w:rPr>
                <w:rFonts w:ascii="Arial" w:cs="Arial" w:eastAsia="Arial" w:hAnsi="Arial"/>
                <w:sz w:val="17"/>
                <w:szCs w:val="17"/>
                <w:color w:val="auto"/>
              </w:rPr>
              <w:t>5,034</w:t>
            </w:r>
          </w:p>
        </w:tc>
        <w:tc>
          <w:tcPr>
            <w:tcW w:w="960" w:type="dxa"/>
            <w:vAlign w:val="bottom"/>
          </w:tcPr>
          <w:p>
            <w:pPr>
              <w:jc w:val="right"/>
              <w:ind w:right="13"/>
              <w:spacing w:after="0"/>
              <w:rPr>
                <w:sz w:val="20"/>
                <w:szCs w:val="20"/>
                <w:color w:val="auto"/>
              </w:rPr>
            </w:pPr>
            <w:r>
              <w:rPr>
                <w:rFonts w:ascii="Arial" w:cs="Arial" w:eastAsia="Arial" w:hAnsi="Arial"/>
                <w:sz w:val="17"/>
                <w:szCs w:val="17"/>
                <w:color w:val="auto"/>
              </w:rPr>
              <w:t>(7)</w:t>
            </w:r>
          </w:p>
        </w:tc>
        <w:tc>
          <w:tcPr>
            <w:tcW w:w="860" w:type="dxa"/>
            <w:vAlign w:val="bottom"/>
          </w:tcPr>
          <w:p>
            <w:pPr>
              <w:jc w:val="right"/>
              <w:ind w:right="113"/>
              <w:spacing w:after="0"/>
              <w:rPr>
                <w:sz w:val="20"/>
                <w:szCs w:val="20"/>
                <w:color w:val="auto"/>
              </w:rPr>
            </w:pPr>
            <w:r>
              <w:rPr>
                <w:rFonts w:ascii="Arial" w:cs="Arial" w:eastAsia="Arial" w:hAnsi="Arial"/>
                <w:sz w:val="17"/>
                <w:szCs w:val="17"/>
                <w:color w:val="auto"/>
              </w:rPr>
              <w:t>80,000</w:t>
            </w:r>
          </w:p>
        </w:tc>
        <w:tc>
          <w:tcPr>
            <w:tcW w:w="800" w:type="dxa"/>
            <w:vAlign w:val="bottom"/>
          </w:tcPr>
          <w:p>
            <w:pPr>
              <w:jc w:val="right"/>
              <w:ind w:right="113"/>
              <w:spacing w:after="0"/>
              <w:rPr>
                <w:sz w:val="20"/>
                <w:szCs w:val="20"/>
                <w:color w:val="auto"/>
              </w:rPr>
            </w:pPr>
            <w:r>
              <w:rPr>
                <w:rFonts w:ascii="Arial" w:cs="Arial" w:eastAsia="Arial" w:hAnsi="Arial"/>
                <w:sz w:val="17"/>
                <w:szCs w:val="17"/>
                <w:color w:val="auto"/>
              </w:rPr>
              <w:t>66%</w:t>
            </w:r>
          </w:p>
        </w:tc>
        <w:tc>
          <w:tcPr>
            <w:tcW w:w="720" w:type="dxa"/>
            <w:vAlign w:val="bottom"/>
          </w:tcPr>
          <w:p>
            <w:pPr>
              <w:jc w:val="right"/>
              <w:spacing w:after="0"/>
              <w:rPr>
                <w:sz w:val="20"/>
                <w:szCs w:val="20"/>
                <w:color w:val="auto"/>
              </w:rPr>
            </w:pPr>
            <w:r>
              <w:rPr>
                <w:rFonts w:ascii="Arial" w:cs="Arial" w:eastAsia="Arial" w:hAnsi="Arial"/>
                <w:sz w:val="17"/>
                <w:szCs w:val="17"/>
                <w:color w:val="auto"/>
              </w:rPr>
              <w:t>3,247</w:t>
            </w: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20" w:type="dxa"/>
            <w:vAlign w:val="bottom"/>
          </w:tcPr>
          <w:p>
            <w:pPr>
              <w:ind w:left="120"/>
              <w:spacing w:after="0"/>
              <w:rPr>
                <w:sz w:val="20"/>
                <w:szCs w:val="20"/>
                <w:color w:val="auto"/>
              </w:rPr>
            </w:pPr>
            <w:r>
              <w:rPr>
                <w:rFonts w:ascii="Arial" w:cs="Arial" w:eastAsia="Arial" w:hAnsi="Arial"/>
                <w:sz w:val="17"/>
                <w:szCs w:val="17"/>
                <w:color w:val="auto"/>
              </w:rPr>
              <w:t>Drug Fair /</w:t>
            </w:r>
          </w:p>
        </w:tc>
      </w:tr>
      <w:tr>
        <w:trPr>
          <w:trHeight w:val="221"/>
        </w:trPr>
        <w:tc>
          <w:tcPr>
            <w:tcW w:w="1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tcPr>
          <w:p>
            <w:pPr>
              <w:ind w:left="160"/>
              <w:spacing w:after="0"/>
              <w:rPr>
                <w:sz w:val="20"/>
                <w:szCs w:val="20"/>
                <w:color w:val="auto"/>
              </w:rPr>
            </w:pPr>
            <w:r>
              <w:rPr>
                <w:rFonts w:ascii="Arial" w:cs="Arial" w:eastAsia="Arial" w:hAnsi="Arial"/>
                <w:sz w:val="17"/>
                <w:szCs w:val="17"/>
                <w:color w:val="auto"/>
              </w:rPr>
              <w:t>Passaic, NJ</w:t>
            </w: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tcPr>
          <w:p>
            <w:pPr>
              <w:ind w:left="120"/>
              <w:spacing w:after="0"/>
              <w:rPr>
                <w:sz w:val="20"/>
                <w:szCs w:val="20"/>
                <w:color w:val="auto"/>
              </w:rPr>
            </w:pPr>
            <w:r>
              <w:rPr>
                <w:rFonts w:ascii="Arial" w:cs="Arial" w:eastAsia="Arial" w:hAnsi="Arial"/>
                <w:sz w:val="17"/>
                <w:szCs w:val="17"/>
                <w:color w:val="auto"/>
              </w:rPr>
              <w:t>Dollar Express</w:t>
            </w:r>
          </w:p>
        </w:tc>
      </w:tr>
      <w:tr>
        <w:trPr>
          <w:trHeight w:val="207"/>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Blue Star</w:t>
            </w:r>
          </w:p>
        </w:tc>
        <w:tc>
          <w:tcPr>
            <w:tcW w:w="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SC</w:t>
            </w:r>
          </w:p>
        </w:tc>
        <w:tc>
          <w:tcPr>
            <w:tcW w:w="1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Middlesex-</w:t>
            </w: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1988</w:t>
            </w:r>
          </w:p>
        </w:tc>
        <w:tc>
          <w:tcPr>
            <w:tcW w:w="94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39,561</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(7)</w:t>
            </w:r>
          </w:p>
        </w:tc>
        <w:tc>
          <w:tcPr>
            <w:tcW w:w="8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407,000</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97%</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26,651</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43,000</w:t>
            </w:r>
          </w:p>
        </w:tc>
        <w:tc>
          <w:tcPr>
            <w:tcW w:w="1080" w:type="dxa"/>
            <w:vAlign w:val="bottom"/>
            <w:shd w:val="clear" w:color="auto" w:fill="CCEEFF"/>
          </w:tcPr>
          <w:p>
            <w:pPr>
              <w:ind w:left="40"/>
              <w:spacing w:after="0"/>
              <w:rPr>
                <w:sz w:val="20"/>
                <w:szCs w:val="20"/>
                <w:color w:val="auto"/>
              </w:rPr>
            </w:pPr>
            <w:r>
              <w:rPr>
                <w:rFonts w:ascii="Arial" w:cs="Arial" w:eastAsia="Arial" w:hAnsi="Arial"/>
                <w:sz w:val="17"/>
                <w:szCs w:val="17"/>
                <w:color w:val="auto"/>
              </w:rPr>
              <w:t>Shop Rite</w:t>
            </w:r>
          </w:p>
        </w:tc>
        <w:tc>
          <w:tcPr>
            <w:tcW w:w="1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Kohl’s /</w:t>
            </w:r>
          </w:p>
        </w:tc>
      </w:tr>
      <w:tr>
        <w:trPr>
          <w:trHeight w:val="214"/>
        </w:trPr>
        <w:tc>
          <w:tcPr>
            <w:tcW w:w="1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Somerset-</w:t>
            </w: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Michaels /</w:t>
            </w:r>
          </w:p>
        </w:tc>
      </w:tr>
      <w:tr>
        <w:trPr>
          <w:trHeight w:val="214"/>
        </w:trPr>
        <w:tc>
          <w:tcPr>
            <w:tcW w:w="1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Hunterdon, NJ</w:t>
            </w: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Toys R Us /</w:t>
            </w:r>
          </w:p>
        </w:tc>
      </w:tr>
      <w:tr>
        <w:trPr>
          <w:trHeight w:val="223"/>
        </w:trPr>
        <w:tc>
          <w:tcPr>
            <w:tcW w:w="1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Marshalls</w:t>
            </w:r>
          </w:p>
        </w:tc>
      </w:tr>
      <w:tr>
        <w:trPr>
          <w:trHeight w:val="206"/>
        </w:trPr>
        <w:tc>
          <w:tcPr>
            <w:tcW w:w="1320" w:type="dxa"/>
            <w:vAlign w:val="bottom"/>
          </w:tcPr>
          <w:p>
            <w:pPr>
              <w:spacing w:after="0"/>
              <w:rPr>
                <w:sz w:val="20"/>
                <w:szCs w:val="20"/>
                <w:color w:val="auto"/>
              </w:rPr>
            </w:pPr>
            <w:r>
              <w:rPr>
                <w:rFonts w:ascii="Arial" w:cs="Arial" w:eastAsia="Arial" w:hAnsi="Arial"/>
                <w:sz w:val="17"/>
                <w:szCs w:val="17"/>
                <w:color w:val="auto"/>
              </w:rPr>
              <w:t>Brunswick</w:t>
            </w:r>
          </w:p>
        </w:tc>
        <w:tc>
          <w:tcPr>
            <w:tcW w:w="520" w:type="dxa"/>
            <w:vAlign w:val="bottom"/>
          </w:tcPr>
          <w:p>
            <w:pPr>
              <w:ind w:left="140"/>
              <w:spacing w:after="0"/>
              <w:rPr>
                <w:sz w:val="20"/>
                <w:szCs w:val="20"/>
                <w:color w:val="auto"/>
              </w:rPr>
            </w:pPr>
            <w:r>
              <w:rPr>
                <w:rFonts w:ascii="Arial" w:cs="Arial" w:eastAsia="Arial" w:hAnsi="Arial"/>
                <w:sz w:val="17"/>
                <w:szCs w:val="17"/>
                <w:color w:val="auto"/>
              </w:rPr>
              <w:t>SC</w:t>
            </w:r>
          </w:p>
        </w:tc>
        <w:tc>
          <w:tcPr>
            <w:tcW w:w="1380" w:type="dxa"/>
            <w:vAlign w:val="bottom"/>
          </w:tcPr>
          <w:p>
            <w:pPr>
              <w:ind w:left="160"/>
              <w:spacing w:after="0"/>
              <w:rPr>
                <w:sz w:val="20"/>
                <w:szCs w:val="20"/>
                <w:color w:val="auto"/>
              </w:rPr>
            </w:pPr>
            <w:r>
              <w:rPr>
                <w:rFonts w:ascii="Arial" w:cs="Arial" w:eastAsia="Arial" w:hAnsi="Arial"/>
                <w:sz w:val="17"/>
                <w:szCs w:val="17"/>
                <w:color w:val="auto"/>
              </w:rPr>
              <w:t>Middlesex-</w:t>
            </w:r>
          </w:p>
        </w:tc>
        <w:tc>
          <w:tcPr>
            <w:tcW w:w="760" w:type="dxa"/>
            <w:vAlign w:val="bottom"/>
          </w:tcPr>
          <w:p>
            <w:pPr>
              <w:jc w:val="right"/>
              <w:ind w:right="133"/>
              <w:spacing w:after="0"/>
              <w:rPr>
                <w:sz w:val="20"/>
                <w:szCs w:val="20"/>
                <w:color w:val="auto"/>
              </w:rPr>
            </w:pPr>
            <w:r>
              <w:rPr>
                <w:rFonts w:ascii="Arial" w:cs="Arial" w:eastAsia="Arial" w:hAnsi="Arial"/>
                <w:sz w:val="17"/>
                <w:szCs w:val="17"/>
                <w:color w:val="auto"/>
              </w:rPr>
              <w:t>1988</w:t>
            </w:r>
          </w:p>
        </w:tc>
        <w:tc>
          <w:tcPr>
            <w:tcW w:w="940" w:type="dxa"/>
            <w:vAlign w:val="bottom"/>
          </w:tcPr>
          <w:p>
            <w:pPr>
              <w:jc w:val="right"/>
              <w:ind w:right="173"/>
              <w:spacing w:after="0"/>
              <w:rPr>
                <w:sz w:val="20"/>
                <w:szCs w:val="20"/>
                <w:color w:val="auto"/>
              </w:rPr>
            </w:pPr>
            <w:r>
              <w:rPr>
                <w:rFonts w:ascii="Arial" w:cs="Arial" w:eastAsia="Arial" w:hAnsi="Arial"/>
                <w:sz w:val="17"/>
                <w:szCs w:val="17"/>
                <w:color w:val="auto"/>
              </w:rPr>
              <w:t>24,010</w:t>
            </w:r>
          </w:p>
        </w:tc>
        <w:tc>
          <w:tcPr>
            <w:tcW w:w="960" w:type="dxa"/>
            <w:vAlign w:val="bottom"/>
          </w:tcPr>
          <w:p>
            <w:pPr>
              <w:jc w:val="right"/>
              <w:ind w:right="13"/>
              <w:spacing w:after="0"/>
              <w:rPr>
                <w:sz w:val="20"/>
                <w:szCs w:val="20"/>
                <w:color w:val="auto"/>
              </w:rPr>
            </w:pPr>
            <w:r>
              <w:rPr>
                <w:rFonts w:ascii="Arial" w:cs="Arial" w:eastAsia="Arial" w:hAnsi="Arial"/>
                <w:sz w:val="17"/>
                <w:szCs w:val="17"/>
                <w:color w:val="auto"/>
              </w:rPr>
              <w:t>(7)</w:t>
            </w:r>
          </w:p>
        </w:tc>
        <w:tc>
          <w:tcPr>
            <w:tcW w:w="860" w:type="dxa"/>
            <w:vAlign w:val="bottom"/>
          </w:tcPr>
          <w:p>
            <w:pPr>
              <w:jc w:val="right"/>
              <w:ind w:right="113"/>
              <w:spacing w:after="0"/>
              <w:rPr>
                <w:sz w:val="20"/>
                <w:szCs w:val="20"/>
                <w:color w:val="auto"/>
              </w:rPr>
            </w:pPr>
            <w:r>
              <w:rPr>
                <w:rFonts w:ascii="Arial" w:cs="Arial" w:eastAsia="Arial" w:hAnsi="Arial"/>
                <w:sz w:val="17"/>
                <w:szCs w:val="17"/>
                <w:color w:val="auto"/>
              </w:rPr>
              <w:t>303,000</w:t>
            </w:r>
          </w:p>
        </w:tc>
        <w:tc>
          <w:tcPr>
            <w:tcW w:w="800" w:type="dxa"/>
            <w:vAlign w:val="bottom"/>
          </w:tcPr>
          <w:p>
            <w:pPr>
              <w:jc w:val="right"/>
              <w:ind w:right="113"/>
              <w:spacing w:after="0"/>
              <w:rPr>
                <w:sz w:val="20"/>
                <w:szCs w:val="20"/>
                <w:color w:val="auto"/>
              </w:rPr>
            </w:pPr>
            <w:r>
              <w:rPr>
                <w:rFonts w:ascii="Arial" w:cs="Arial" w:eastAsia="Arial" w:hAnsi="Arial"/>
                <w:sz w:val="17"/>
                <w:szCs w:val="17"/>
                <w:color w:val="auto"/>
              </w:rPr>
              <w:t>97%</w:t>
            </w:r>
          </w:p>
        </w:tc>
        <w:tc>
          <w:tcPr>
            <w:tcW w:w="720" w:type="dxa"/>
            <w:vAlign w:val="bottom"/>
          </w:tcPr>
          <w:p>
            <w:pPr>
              <w:jc w:val="right"/>
              <w:spacing w:after="0"/>
              <w:rPr>
                <w:sz w:val="20"/>
                <w:szCs w:val="20"/>
                <w:color w:val="auto"/>
              </w:rPr>
            </w:pPr>
            <w:r>
              <w:rPr>
                <w:rFonts w:ascii="Arial" w:cs="Arial" w:eastAsia="Arial" w:hAnsi="Arial"/>
                <w:sz w:val="17"/>
                <w:szCs w:val="17"/>
                <w:color w:val="auto"/>
              </w:rPr>
              <w:t>11,095</w:t>
            </w:r>
          </w:p>
        </w:tc>
        <w:tc>
          <w:tcPr>
            <w:tcW w:w="560" w:type="dxa"/>
            <w:vAlign w:val="bottom"/>
          </w:tcPr>
          <w:p>
            <w:pPr>
              <w:jc w:val="right"/>
              <w:spacing w:after="0"/>
              <w:rPr>
                <w:sz w:val="20"/>
                <w:szCs w:val="20"/>
                <w:color w:val="auto"/>
              </w:rPr>
            </w:pPr>
            <w:r>
              <w:rPr>
                <w:rFonts w:ascii="Arial" w:cs="Arial" w:eastAsia="Arial" w:hAnsi="Arial"/>
                <w:sz w:val="17"/>
                <w:szCs w:val="17"/>
                <w:color w:val="auto"/>
                <w:w w:val="96"/>
              </w:rPr>
              <w:t>55,000</w:t>
            </w:r>
          </w:p>
        </w:tc>
        <w:tc>
          <w:tcPr>
            <w:tcW w:w="1080" w:type="dxa"/>
            <w:vAlign w:val="bottom"/>
          </w:tcPr>
          <w:p>
            <w:pPr>
              <w:ind w:left="40"/>
              <w:spacing w:after="0"/>
              <w:rPr>
                <w:sz w:val="20"/>
                <w:szCs w:val="20"/>
                <w:color w:val="auto"/>
              </w:rPr>
            </w:pPr>
            <w:r>
              <w:rPr>
                <w:rFonts w:ascii="Arial" w:cs="Arial" w:eastAsia="Arial" w:hAnsi="Arial"/>
                <w:sz w:val="17"/>
                <w:szCs w:val="17"/>
                <w:color w:val="auto"/>
              </w:rPr>
              <w:t>A&amp;P</w:t>
            </w:r>
          </w:p>
        </w:tc>
        <w:tc>
          <w:tcPr>
            <w:tcW w:w="1520" w:type="dxa"/>
            <w:vAlign w:val="bottom"/>
          </w:tcPr>
          <w:p>
            <w:pPr>
              <w:ind w:left="120"/>
              <w:spacing w:after="0"/>
              <w:rPr>
                <w:sz w:val="20"/>
                <w:szCs w:val="20"/>
                <w:color w:val="auto"/>
              </w:rPr>
            </w:pPr>
            <w:r>
              <w:rPr>
                <w:rFonts w:ascii="Arial" w:cs="Arial" w:eastAsia="Arial" w:hAnsi="Arial"/>
                <w:sz w:val="17"/>
                <w:szCs w:val="17"/>
                <w:color w:val="auto"/>
              </w:rPr>
              <w:t>A.J. Wright /</w:t>
            </w:r>
          </w:p>
        </w:tc>
      </w:tr>
      <w:tr>
        <w:trPr>
          <w:trHeight w:val="214"/>
        </w:trPr>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7"/>
                <w:szCs w:val="17"/>
                <w:color w:val="auto"/>
              </w:rPr>
              <w:t>Somerset-</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ind w:left="120"/>
              <w:spacing w:after="0"/>
              <w:rPr>
                <w:sz w:val="20"/>
                <w:szCs w:val="20"/>
                <w:color w:val="auto"/>
              </w:rPr>
            </w:pPr>
            <w:r>
              <w:rPr>
                <w:rFonts w:ascii="Arial" w:cs="Arial" w:eastAsia="Arial" w:hAnsi="Arial"/>
                <w:sz w:val="17"/>
                <w:szCs w:val="17"/>
                <w:color w:val="auto"/>
              </w:rPr>
              <w:t>L.A. Fitness</w:t>
            </w:r>
          </w:p>
        </w:tc>
      </w:tr>
      <w:tr>
        <w:trPr>
          <w:trHeight w:val="221"/>
        </w:trPr>
        <w:tc>
          <w:tcPr>
            <w:tcW w:w="1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tcPr>
          <w:p>
            <w:pPr>
              <w:ind w:left="160"/>
              <w:spacing w:after="0"/>
              <w:rPr>
                <w:sz w:val="20"/>
                <w:szCs w:val="20"/>
                <w:color w:val="auto"/>
              </w:rPr>
            </w:pPr>
            <w:r>
              <w:rPr>
                <w:rFonts w:ascii="Arial" w:cs="Arial" w:eastAsia="Arial" w:hAnsi="Arial"/>
                <w:sz w:val="17"/>
                <w:szCs w:val="17"/>
                <w:color w:val="auto"/>
              </w:rPr>
              <w:t>Hunterdon, NJ</w:t>
            </w: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07"/>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Rutgers</w:t>
            </w:r>
          </w:p>
        </w:tc>
        <w:tc>
          <w:tcPr>
            <w:tcW w:w="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SC</w:t>
            </w:r>
          </w:p>
        </w:tc>
        <w:tc>
          <w:tcPr>
            <w:tcW w:w="1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Middlesex-</w:t>
            </w: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1988</w:t>
            </w:r>
          </w:p>
        </w:tc>
        <w:tc>
          <w:tcPr>
            <w:tcW w:w="94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15,944</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(7)</w:t>
            </w:r>
          </w:p>
        </w:tc>
        <w:tc>
          <w:tcPr>
            <w:tcW w:w="8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217,000</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99%</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12,852</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44,000</w:t>
            </w:r>
          </w:p>
        </w:tc>
        <w:tc>
          <w:tcPr>
            <w:tcW w:w="1080" w:type="dxa"/>
            <w:vAlign w:val="bottom"/>
            <w:shd w:val="clear" w:color="auto" w:fill="CCEEFF"/>
          </w:tcPr>
          <w:p>
            <w:pPr>
              <w:ind w:left="40"/>
              <w:spacing w:after="0"/>
              <w:rPr>
                <w:sz w:val="20"/>
                <w:szCs w:val="20"/>
                <w:color w:val="auto"/>
              </w:rPr>
            </w:pPr>
            <w:r>
              <w:rPr>
                <w:rFonts w:ascii="Arial" w:cs="Arial" w:eastAsia="Arial" w:hAnsi="Arial"/>
                <w:sz w:val="17"/>
                <w:szCs w:val="17"/>
                <w:color w:val="auto"/>
              </w:rPr>
              <w:t>Stop &amp; Shop</w:t>
            </w:r>
          </w:p>
        </w:tc>
        <w:tc>
          <w:tcPr>
            <w:tcW w:w="1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Kmart</w:t>
            </w:r>
          </w:p>
        </w:tc>
      </w:tr>
      <w:tr>
        <w:trPr>
          <w:trHeight w:val="214"/>
        </w:trPr>
        <w:tc>
          <w:tcPr>
            <w:tcW w:w="1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Somerset-</w:t>
            </w: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3"/>
        </w:trPr>
        <w:tc>
          <w:tcPr>
            <w:tcW w:w="1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Hunterdon, NJ</w:t>
            </w:r>
          </w:p>
        </w:tc>
        <w:tc>
          <w:tcPr>
            <w:tcW w:w="7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06"/>
        </w:trPr>
        <w:tc>
          <w:tcPr>
            <w:tcW w:w="1320" w:type="dxa"/>
            <w:vAlign w:val="bottom"/>
          </w:tcPr>
          <w:p>
            <w:pPr>
              <w:spacing w:after="0"/>
              <w:rPr>
                <w:sz w:val="20"/>
                <w:szCs w:val="20"/>
                <w:color w:val="auto"/>
              </w:rPr>
            </w:pPr>
            <w:r>
              <w:rPr>
                <w:rFonts w:ascii="Arial" w:cs="Arial" w:eastAsia="Arial" w:hAnsi="Arial"/>
                <w:sz w:val="17"/>
                <w:szCs w:val="17"/>
                <w:color w:val="auto"/>
              </w:rPr>
              <w:t>Brick Plaza</w:t>
            </w:r>
          </w:p>
        </w:tc>
        <w:tc>
          <w:tcPr>
            <w:tcW w:w="520" w:type="dxa"/>
            <w:vAlign w:val="bottom"/>
          </w:tcPr>
          <w:p>
            <w:pPr>
              <w:ind w:left="140"/>
              <w:spacing w:after="0"/>
              <w:rPr>
                <w:sz w:val="20"/>
                <w:szCs w:val="20"/>
                <w:color w:val="auto"/>
              </w:rPr>
            </w:pPr>
            <w:r>
              <w:rPr>
                <w:rFonts w:ascii="Arial" w:cs="Arial" w:eastAsia="Arial" w:hAnsi="Arial"/>
                <w:sz w:val="17"/>
                <w:szCs w:val="17"/>
                <w:color w:val="auto"/>
              </w:rPr>
              <w:t>SC</w:t>
            </w:r>
          </w:p>
        </w:tc>
        <w:tc>
          <w:tcPr>
            <w:tcW w:w="1380" w:type="dxa"/>
            <w:vAlign w:val="bottom"/>
          </w:tcPr>
          <w:p>
            <w:pPr>
              <w:ind w:left="160"/>
              <w:spacing w:after="0"/>
              <w:rPr>
                <w:sz w:val="20"/>
                <w:szCs w:val="20"/>
                <w:color w:val="auto"/>
              </w:rPr>
            </w:pPr>
            <w:r>
              <w:rPr>
                <w:rFonts w:ascii="Arial" w:cs="Arial" w:eastAsia="Arial" w:hAnsi="Arial"/>
                <w:sz w:val="17"/>
                <w:szCs w:val="17"/>
                <w:color w:val="auto"/>
              </w:rPr>
              <w:t>Monmouth-</w:t>
            </w:r>
          </w:p>
        </w:tc>
        <w:tc>
          <w:tcPr>
            <w:tcW w:w="760" w:type="dxa"/>
            <w:vAlign w:val="bottom"/>
          </w:tcPr>
          <w:p>
            <w:pPr>
              <w:jc w:val="right"/>
              <w:ind w:right="133"/>
              <w:spacing w:after="0"/>
              <w:rPr>
                <w:sz w:val="20"/>
                <w:szCs w:val="20"/>
                <w:color w:val="auto"/>
              </w:rPr>
            </w:pPr>
            <w:r>
              <w:rPr>
                <w:rFonts w:ascii="Arial" w:cs="Arial" w:eastAsia="Arial" w:hAnsi="Arial"/>
                <w:sz w:val="17"/>
                <w:szCs w:val="17"/>
                <w:color w:val="auto"/>
              </w:rPr>
              <w:t>1989</w:t>
            </w:r>
          </w:p>
        </w:tc>
        <w:tc>
          <w:tcPr>
            <w:tcW w:w="940" w:type="dxa"/>
            <w:vAlign w:val="bottom"/>
          </w:tcPr>
          <w:p>
            <w:pPr>
              <w:jc w:val="right"/>
              <w:ind w:right="173"/>
              <w:spacing w:after="0"/>
              <w:rPr>
                <w:sz w:val="20"/>
                <w:szCs w:val="20"/>
                <w:color w:val="auto"/>
              </w:rPr>
            </w:pPr>
            <w:r>
              <w:rPr>
                <w:rFonts w:ascii="Arial" w:cs="Arial" w:eastAsia="Arial" w:hAnsi="Arial"/>
                <w:sz w:val="17"/>
                <w:szCs w:val="17"/>
                <w:color w:val="auto"/>
              </w:rPr>
              <w:t>55,202</w:t>
            </w:r>
          </w:p>
        </w:tc>
        <w:tc>
          <w:tcPr>
            <w:tcW w:w="960" w:type="dxa"/>
            <w:vAlign w:val="bottom"/>
          </w:tcPr>
          <w:p>
            <w:pPr>
              <w:jc w:val="right"/>
              <w:ind w:right="73"/>
              <w:spacing w:after="0"/>
              <w:rPr>
                <w:sz w:val="20"/>
                <w:szCs w:val="20"/>
                <w:color w:val="auto"/>
              </w:rPr>
            </w:pPr>
            <w:r>
              <w:rPr>
                <w:rFonts w:ascii="Arial" w:cs="Arial" w:eastAsia="Arial" w:hAnsi="Arial"/>
                <w:sz w:val="17"/>
                <w:szCs w:val="17"/>
                <w:color w:val="auto"/>
              </w:rPr>
              <w:t>100.0%</w:t>
            </w:r>
          </w:p>
        </w:tc>
        <w:tc>
          <w:tcPr>
            <w:tcW w:w="860" w:type="dxa"/>
            <w:vAlign w:val="bottom"/>
          </w:tcPr>
          <w:p>
            <w:pPr>
              <w:jc w:val="right"/>
              <w:ind w:right="113"/>
              <w:spacing w:after="0"/>
              <w:rPr>
                <w:sz w:val="20"/>
                <w:szCs w:val="20"/>
                <w:color w:val="auto"/>
              </w:rPr>
            </w:pPr>
            <w:r>
              <w:rPr>
                <w:rFonts w:ascii="Arial" w:cs="Arial" w:eastAsia="Arial" w:hAnsi="Arial"/>
                <w:sz w:val="17"/>
                <w:szCs w:val="17"/>
                <w:color w:val="auto"/>
              </w:rPr>
              <w:t>409,000</w:t>
            </w:r>
          </w:p>
        </w:tc>
        <w:tc>
          <w:tcPr>
            <w:tcW w:w="800" w:type="dxa"/>
            <w:vAlign w:val="bottom"/>
          </w:tcPr>
          <w:p>
            <w:pPr>
              <w:jc w:val="right"/>
              <w:ind w:right="113"/>
              <w:spacing w:after="0"/>
              <w:rPr>
                <w:sz w:val="20"/>
                <w:szCs w:val="20"/>
                <w:color w:val="auto"/>
              </w:rPr>
            </w:pPr>
            <w:r>
              <w:rPr>
                <w:rFonts w:ascii="Arial" w:cs="Arial" w:eastAsia="Arial" w:hAnsi="Arial"/>
                <w:sz w:val="17"/>
                <w:szCs w:val="17"/>
                <w:color w:val="auto"/>
              </w:rPr>
              <w:t>95%</w:t>
            </w:r>
          </w:p>
        </w:tc>
        <w:tc>
          <w:tcPr>
            <w:tcW w:w="720" w:type="dxa"/>
            <w:vAlign w:val="bottom"/>
          </w:tcPr>
          <w:p>
            <w:pPr>
              <w:jc w:val="right"/>
              <w:spacing w:after="0"/>
              <w:rPr>
                <w:sz w:val="20"/>
                <w:szCs w:val="20"/>
                <w:color w:val="auto"/>
              </w:rPr>
            </w:pPr>
            <w:r>
              <w:rPr>
                <w:rFonts w:ascii="Arial" w:cs="Arial" w:eastAsia="Arial" w:hAnsi="Arial"/>
                <w:sz w:val="17"/>
                <w:szCs w:val="17"/>
                <w:color w:val="auto"/>
              </w:rPr>
              <w:t>32,636</w:t>
            </w:r>
          </w:p>
        </w:tc>
        <w:tc>
          <w:tcPr>
            <w:tcW w:w="560" w:type="dxa"/>
            <w:vAlign w:val="bottom"/>
          </w:tcPr>
          <w:p>
            <w:pPr>
              <w:jc w:val="right"/>
              <w:spacing w:after="0"/>
              <w:rPr>
                <w:sz w:val="20"/>
                <w:szCs w:val="20"/>
                <w:color w:val="auto"/>
              </w:rPr>
            </w:pPr>
            <w:r>
              <w:rPr>
                <w:rFonts w:ascii="Arial" w:cs="Arial" w:eastAsia="Arial" w:hAnsi="Arial"/>
                <w:sz w:val="17"/>
                <w:szCs w:val="17"/>
                <w:color w:val="auto"/>
                <w:w w:val="96"/>
              </w:rPr>
              <w:t>66,000</w:t>
            </w:r>
          </w:p>
        </w:tc>
        <w:tc>
          <w:tcPr>
            <w:tcW w:w="1080" w:type="dxa"/>
            <w:vAlign w:val="bottom"/>
          </w:tcPr>
          <w:p>
            <w:pPr>
              <w:ind w:left="40"/>
              <w:spacing w:after="0"/>
              <w:rPr>
                <w:sz w:val="20"/>
                <w:szCs w:val="20"/>
                <w:color w:val="auto"/>
              </w:rPr>
            </w:pPr>
            <w:r>
              <w:rPr>
                <w:rFonts w:ascii="Arial" w:cs="Arial" w:eastAsia="Arial" w:hAnsi="Arial"/>
                <w:sz w:val="17"/>
                <w:szCs w:val="17"/>
                <w:color w:val="auto"/>
              </w:rPr>
              <w:t>A&amp;P</w:t>
            </w:r>
          </w:p>
        </w:tc>
        <w:tc>
          <w:tcPr>
            <w:tcW w:w="1520" w:type="dxa"/>
            <w:vAlign w:val="bottom"/>
          </w:tcPr>
          <w:p>
            <w:pPr>
              <w:ind w:left="120"/>
              <w:spacing w:after="0"/>
              <w:rPr>
                <w:sz w:val="20"/>
                <w:szCs w:val="20"/>
                <w:color w:val="auto"/>
              </w:rPr>
            </w:pPr>
            <w:r>
              <w:rPr>
                <w:rFonts w:ascii="Arial" w:cs="Arial" w:eastAsia="Arial" w:hAnsi="Arial"/>
                <w:sz w:val="17"/>
                <w:szCs w:val="17"/>
                <w:color w:val="auto"/>
              </w:rPr>
              <w:t>Loews Theatre</w:t>
            </w:r>
          </w:p>
        </w:tc>
      </w:tr>
      <w:tr>
        <w:trPr>
          <w:trHeight w:val="214"/>
        </w:trPr>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7"/>
                <w:szCs w:val="17"/>
                <w:color w:val="auto"/>
              </w:rPr>
              <w:t>Ocean, NJ</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ind w:left="120"/>
              <w:spacing w:after="0"/>
              <w:rPr>
                <w:sz w:val="20"/>
                <w:szCs w:val="20"/>
                <w:color w:val="auto"/>
              </w:rPr>
            </w:pPr>
            <w:r>
              <w:rPr>
                <w:rFonts w:ascii="Arial" w:cs="Arial" w:eastAsia="Arial" w:hAnsi="Arial"/>
                <w:sz w:val="17"/>
                <w:szCs w:val="17"/>
                <w:color w:val="auto"/>
              </w:rPr>
              <w:t>/</w:t>
            </w:r>
          </w:p>
        </w:tc>
      </w:tr>
      <w:tr>
        <w:trPr>
          <w:trHeight w:val="214"/>
        </w:trPr>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ind w:left="120"/>
              <w:spacing w:after="0"/>
              <w:rPr>
                <w:sz w:val="20"/>
                <w:szCs w:val="20"/>
                <w:color w:val="auto"/>
              </w:rPr>
            </w:pPr>
            <w:r>
              <w:rPr>
                <w:rFonts w:ascii="Arial" w:cs="Arial" w:eastAsia="Arial" w:hAnsi="Arial"/>
                <w:sz w:val="17"/>
                <w:szCs w:val="17"/>
                <w:color w:val="auto"/>
              </w:rPr>
              <w:t>Barnes&amp;Noble</w:t>
            </w:r>
          </w:p>
        </w:tc>
      </w:tr>
      <w:tr>
        <w:trPr>
          <w:trHeight w:val="214"/>
        </w:trPr>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ind w:left="120"/>
              <w:spacing w:after="0"/>
              <w:rPr>
                <w:sz w:val="20"/>
                <w:szCs w:val="20"/>
                <w:color w:val="auto"/>
              </w:rPr>
            </w:pPr>
            <w:r>
              <w:rPr>
                <w:rFonts w:ascii="Arial" w:cs="Arial" w:eastAsia="Arial" w:hAnsi="Arial"/>
                <w:sz w:val="17"/>
                <w:szCs w:val="17"/>
                <w:color w:val="auto"/>
              </w:rPr>
              <w:t>/ Sports</w:t>
            </w:r>
          </w:p>
        </w:tc>
      </w:tr>
      <w:tr>
        <w:trPr>
          <w:trHeight w:val="221"/>
        </w:trPr>
        <w:tc>
          <w:tcPr>
            <w:tcW w:w="1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tcPr>
          <w:p>
            <w:pPr>
              <w:ind w:left="120"/>
              <w:spacing w:after="0"/>
              <w:rPr>
                <w:sz w:val="20"/>
                <w:szCs w:val="20"/>
                <w:color w:val="auto"/>
              </w:rPr>
            </w:pPr>
            <w:r>
              <w:rPr>
                <w:rFonts w:ascii="Arial" w:cs="Arial" w:eastAsia="Arial" w:hAnsi="Arial"/>
                <w:sz w:val="17"/>
                <w:szCs w:val="17"/>
                <w:color w:val="auto"/>
              </w:rPr>
              <w:t>Authority</w:t>
            </w:r>
          </w:p>
        </w:tc>
      </w:tr>
      <w:tr>
        <w:trPr>
          <w:trHeight w:val="207"/>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Greenlawn Plaza</w:t>
            </w:r>
          </w:p>
        </w:tc>
        <w:tc>
          <w:tcPr>
            <w:tcW w:w="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SC</w:t>
            </w:r>
          </w:p>
        </w:tc>
        <w:tc>
          <w:tcPr>
            <w:tcW w:w="1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Nassau-</w:t>
            </w: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2000</w:t>
            </w:r>
          </w:p>
        </w:tc>
        <w:tc>
          <w:tcPr>
            <w:tcW w:w="94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11,979</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100.0%</w:t>
            </w:r>
          </w:p>
        </w:tc>
        <w:tc>
          <w:tcPr>
            <w:tcW w:w="8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102,000</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100%</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46,000</w:t>
            </w:r>
          </w:p>
        </w:tc>
        <w:tc>
          <w:tcPr>
            <w:tcW w:w="1080" w:type="dxa"/>
            <w:vAlign w:val="bottom"/>
            <w:shd w:val="clear" w:color="auto" w:fill="CCEEFF"/>
          </w:tcPr>
          <w:p>
            <w:pPr>
              <w:ind w:left="40"/>
              <w:spacing w:after="0"/>
              <w:rPr>
                <w:sz w:val="20"/>
                <w:szCs w:val="20"/>
                <w:color w:val="auto"/>
              </w:rPr>
            </w:pPr>
            <w:r>
              <w:rPr>
                <w:rFonts w:ascii="Arial" w:cs="Arial" w:eastAsia="Arial" w:hAnsi="Arial"/>
                <w:sz w:val="17"/>
                <w:szCs w:val="17"/>
                <w:color w:val="auto"/>
              </w:rPr>
              <w:t>Waldbaum’s</w:t>
            </w:r>
          </w:p>
        </w:tc>
        <w:tc>
          <w:tcPr>
            <w:tcW w:w="1520" w:type="dxa"/>
            <w:vAlign w:val="bottom"/>
            <w:shd w:val="clear" w:color="auto" w:fill="CCEEFF"/>
          </w:tcPr>
          <w:p>
            <w:pPr>
              <w:spacing w:after="0"/>
              <w:rPr>
                <w:sz w:val="18"/>
                <w:szCs w:val="18"/>
                <w:color w:val="auto"/>
              </w:rPr>
            </w:pPr>
          </w:p>
        </w:tc>
      </w:tr>
      <w:tr>
        <w:trPr>
          <w:trHeight w:val="223"/>
        </w:trPr>
        <w:tc>
          <w:tcPr>
            <w:tcW w:w="1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Suffolk, NY</w:t>
            </w:r>
          </w:p>
        </w:tc>
        <w:tc>
          <w:tcPr>
            <w:tcW w:w="7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06"/>
        </w:trPr>
        <w:tc>
          <w:tcPr>
            <w:tcW w:w="1320" w:type="dxa"/>
            <w:vAlign w:val="bottom"/>
          </w:tcPr>
          <w:p>
            <w:pPr>
              <w:spacing w:after="0"/>
              <w:rPr>
                <w:sz w:val="20"/>
                <w:szCs w:val="20"/>
                <w:color w:val="auto"/>
              </w:rPr>
            </w:pPr>
            <w:r>
              <w:rPr>
                <w:rFonts w:ascii="Arial" w:cs="Arial" w:eastAsia="Arial" w:hAnsi="Arial"/>
                <w:sz w:val="17"/>
                <w:szCs w:val="17"/>
                <w:color w:val="auto"/>
              </w:rPr>
              <w:t>Hauppauge</w:t>
            </w:r>
          </w:p>
        </w:tc>
        <w:tc>
          <w:tcPr>
            <w:tcW w:w="520" w:type="dxa"/>
            <w:vAlign w:val="bottom"/>
          </w:tcPr>
          <w:p>
            <w:pPr>
              <w:ind w:left="140"/>
              <w:spacing w:after="0"/>
              <w:rPr>
                <w:sz w:val="20"/>
                <w:szCs w:val="20"/>
                <w:color w:val="auto"/>
              </w:rPr>
            </w:pPr>
            <w:r>
              <w:rPr>
                <w:rFonts w:ascii="Arial" w:cs="Arial" w:eastAsia="Arial" w:hAnsi="Arial"/>
                <w:sz w:val="17"/>
                <w:szCs w:val="17"/>
                <w:color w:val="auto"/>
              </w:rPr>
              <w:t>SC</w:t>
            </w:r>
          </w:p>
        </w:tc>
        <w:tc>
          <w:tcPr>
            <w:tcW w:w="1380" w:type="dxa"/>
            <w:vAlign w:val="bottom"/>
          </w:tcPr>
          <w:p>
            <w:pPr>
              <w:ind w:left="160"/>
              <w:spacing w:after="0"/>
              <w:rPr>
                <w:sz w:val="20"/>
                <w:szCs w:val="20"/>
                <w:color w:val="auto"/>
              </w:rPr>
            </w:pPr>
            <w:r>
              <w:rPr>
                <w:rFonts w:ascii="Arial" w:cs="Arial" w:eastAsia="Arial" w:hAnsi="Arial"/>
                <w:sz w:val="17"/>
                <w:szCs w:val="17"/>
                <w:color w:val="auto"/>
              </w:rPr>
              <w:t>Nassau-</w:t>
            </w:r>
          </w:p>
        </w:tc>
        <w:tc>
          <w:tcPr>
            <w:tcW w:w="760" w:type="dxa"/>
            <w:vAlign w:val="bottom"/>
          </w:tcPr>
          <w:p>
            <w:pPr>
              <w:jc w:val="right"/>
              <w:ind w:right="133"/>
              <w:spacing w:after="0"/>
              <w:rPr>
                <w:sz w:val="20"/>
                <w:szCs w:val="20"/>
                <w:color w:val="auto"/>
              </w:rPr>
            </w:pPr>
            <w:r>
              <w:rPr>
                <w:rFonts w:ascii="Arial" w:cs="Arial" w:eastAsia="Arial" w:hAnsi="Arial"/>
                <w:sz w:val="17"/>
                <w:szCs w:val="17"/>
                <w:color w:val="auto"/>
              </w:rPr>
              <w:t>1998</w:t>
            </w:r>
          </w:p>
        </w:tc>
        <w:tc>
          <w:tcPr>
            <w:tcW w:w="940" w:type="dxa"/>
            <w:vAlign w:val="bottom"/>
          </w:tcPr>
          <w:p>
            <w:pPr>
              <w:jc w:val="right"/>
              <w:ind w:right="173"/>
              <w:spacing w:after="0"/>
              <w:rPr>
                <w:sz w:val="20"/>
                <w:szCs w:val="20"/>
                <w:color w:val="auto"/>
              </w:rPr>
            </w:pPr>
            <w:r>
              <w:rPr>
                <w:rFonts w:ascii="Arial" w:cs="Arial" w:eastAsia="Arial" w:hAnsi="Arial"/>
                <w:sz w:val="17"/>
                <w:szCs w:val="17"/>
                <w:color w:val="auto"/>
              </w:rPr>
              <w:t>26,380</w:t>
            </w:r>
          </w:p>
        </w:tc>
        <w:tc>
          <w:tcPr>
            <w:tcW w:w="960" w:type="dxa"/>
            <w:vAlign w:val="bottom"/>
          </w:tcPr>
          <w:p>
            <w:pPr>
              <w:jc w:val="right"/>
              <w:ind w:right="73"/>
              <w:spacing w:after="0"/>
              <w:rPr>
                <w:sz w:val="20"/>
                <w:szCs w:val="20"/>
                <w:color w:val="auto"/>
              </w:rPr>
            </w:pPr>
            <w:r>
              <w:rPr>
                <w:rFonts w:ascii="Arial" w:cs="Arial" w:eastAsia="Arial" w:hAnsi="Arial"/>
                <w:sz w:val="17"/>
                <w:szCs w:val="17"/>
                <w:color w:val="auto"/>
              </w:rPr>
              <w:t>100.0%</w:t>
            </w:r>
          </w:p>
        </w:tc>
        <w:tc>
          <w:tcPr>
            <w:tcW w:w="860" w:type="dxa"/>
            <w:vAlign w:val="bottom"/>
          </w:tcPr>
          <w:p>
            <w:pPr>
              <w:jc w:val="right"/>
              <w:ind w:right="113"/>
              <w:spacing w:after="0"/>
              <w:rPr>
                <w:sz w:val="20"/>
                <w:szCs w:val="20"/>
                <w:color w:val="auto"/>
              </w:rPr>
            </w:pPr>
            <w:r>
              <w:rPr>
                <w:rFonts w:ascii="Arial" w:cs="Arial" w:eastAsia="Arial" w:hAnsi="Arial"/>
                <w:sz w:val="17"/>
                <w:szCs w:val="17"/>
                <w:color w:val="auto"/>
              </w:rPr>
              <w:t>131,000</w:t>
            </w:r>
          </w:p>
        </w:tc>
        <w:tc>
          <w:tcPr>
            <w:tcW w:w="800" w:type="dxa"/>
            <w:vAlign w:val="bottom"/>
          </w:tcPr>
          <w:p>
            <w:pPr>
              <w:jc w:val="right"/>
              <w:ind w:right="113"/>
              <w:spacing w:after="0"/>
              <w:rPr>
                <w:sz w:val="20"/>
                <w:szCs w:val="20"/>
                <w:color w:val="auto"/>
              </w:rPr>
            </w:pPr>
            <w:r>
              <w:rPr>
                <w:rFonts w:ascii="Arial" w:cs="Arial" w:eastAsia="Arial" w:hAnsi="Arial"/>
                <w:sz w:val="17"/>
                <w:szCs w:val="17"/>
                <w:color w:val="auto"/>
              </w:rPr>
              <w:t>100%</w:t>
            </w:r>
          </w:p>
        </w:tc>
        <w:tc>
          <w:tcPr>
            <w:tcW w:w="720" w:type="dxa"/>
            <w:vAlign w:val="bottom"/>
          </w:tcPr>
          <w:p>
            <w:pPr>
              <w:jc w:val="right"/>
              <w:spacing w:after="0"/>
              <w:rPr>
                <w:sz w:val="20"/>
                <w:szCs w:val="20"/>
                <w:color w:val="auto"/>
              </w:rPr>
            </w:pPr>
            <w:r>
              <w:rPr>
                <w:rFonts w:ascii="Arial" w:cs="Arial" w:eastAsia="Arial" w:hAnsi="Arial"/>
                <w:sz w:val="17"/>
                <w:szCs w:val="17"/>
                <w:color w:val="auto"/>
              </w:rPr>
              <w:t>16,532</w:t>
            </w:r>
          </w:p>
        </w:tc>
        <w:tc>
          <w:tcPr>
            <w:tcW w:w="560" w:type="dxa"/>
            <w:vAlign w:val="bottom"/>
          </w:tcPr>
          <w:p>
            <w:pPr>
              <w:jc w:val="right"/>
              <w:spacing w:after="0"/>
              <w:rPr>
                <w:sz w:val="20"/>
                <w:szCs w:val="20"/>
                <w:color w:val="auto"/>
              </w:rPr>
            </w:pPr>
            <w:r>
              <w:rPr>
                <w:rFonts w:ascii="Arial" w:cs="Arial" w:eastAsia="Arial" w:hAnsi="Arial"/>
                <w:sz w:val="17"/>
                <w:szCs w:val="17"/>
                <w:color w:val="auto"/>
                <w:w w:val="96"/>
              </w:rPr>
              <w:t>61,000</w:t>
            </w:r>
          </w:p>
        </w:tc>
        <w:tc>
          <w:tcPr>
            <w:tcW w:w="1080" w:type="dxa"/>
            <w:vAlign w:val="bottom"/>
          </w:tcPr>
          <w:p>
            <w:pPr>
              <w:ind w:left="40"/>
              <w:spacing w:after="0"/>
              <w:rPr>
                <w:sz w:val="20"/>
                <w:szCs w:val="20"/>
                <w:color w:val="auto"/>
              </w:rPr>
            </w:pPr>
            <w:r>
              <w:rPr>
                <w:rFonts w:ascii="Arial" w:cs="Arial" w:eastAsia="Arial" w:hAnsi="Arial"/>
                <w:sz w:val="17"/>
                <w:szCs w:val="17"/>
                <w:color w:val="auto"/>
              </w:rPr>
              <w:t>Shop Rite</w:t>
            </w:r>
          </w:p>
        </w:tc>
        <w:tc>
          <w:tcPr>
            <w:tcW w:w="1520" w:type="dxa"/>
            <w:vAlign w:val="bottom"/>
          </w:tcPr>
          <w:p>
            <w:pPr>
              <w:ind w:left="120"/>
              <w:spacing w:after="0"/>
              <w:rPr>
                <w:sz w:val="20"/>
                <w:szCs w:val="20"/>
                <w:color w:val="auto"/>
              </w:rPr>
            </w:pPr>
            <w:r>
              <w:rPr>
                <w:rFonts w:ascii="Arial" w:cs="Arial" w:eastAsia="Arial" w:hAnsi="Arial"/>
                <w:sz w:val="17"/>
                <w:szCs w:val="17"/>
                <w:color w:val="auto"/>
              </w:rPr>
              <w:t>AC Moore</w:t>
            </w:r>
          </w:p>
        </w:tc>
      </w:tr>
      <w:tr>
        <w:trPr>
          <w:trHeight w:val="221"/>
        </w:trPr>
        <w:tc>
          <w:tcPr>
            <w:tcW w:w="1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tcPr>
          <w:p>
            <w:pPr>
              <w:ind w:left="160"/>
              <w:spacing w:after="0"/>
              <w:rPr>
                <w:sz w:val="20"/>
                <w:szCs w:val="20"/>
                <w:color w:val="auto"/>
              </w:rPr>
            </w:pPr>
            <w:r>
              <w:rPr>
                <w:rFonts w:ascii="Arial" w:cs="Arial" w:eastAsia="Arial" w:hAnsi="Arial"/>
                <w:sz w:val="17"/>
                <w:szCs w:val="17"/>
                <w:color w:val="auto"/>
              </w:rPr>
              <w:t>Suffolk, NY</w:t>
            </w: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tcPr>
          <w:p>
            <w:pPr>
              <w:spacing w:after="0"/>
              <w:rPr>
                <w:sz w:val="19"/>
                <w:szCs w:val="19"/>
                <w:color w:val="auto"/>
              </w:rPr>
            </w:pPr>
          </w:p>
        </w:tc>
      </w:tr>
    </w:tbl>
    <w:p>
      <w:pPr>
        <w:sectPr>
          <w:pgSz w:w="11900" w:h="16838" w:orient="portrait"/>
          <w:cols w:equalWidth="0" w:num="1">
            <w:col w:w="11420"/>
          </w:cols>
          <w:pgMar w:left="240" w:top="131" w:right="239" w:bottom="1440" w:gutter="0" w:footer="0" w:header="0"/>
        </w:sectPr>
      </w:pPr>
    </w:p>
    <w:bookmarkStart w:id="25" w:name="page26"/>
    <w:bookmarkEnd w:id="25"/>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Mortgage or</w:t>
            </w:r>
          </w:p>
        </w:tc>
        <w:tc>
          <w:tcPr>
            <w:tcW w:w="1680" w:type="dxa"/>
            <w:vAlign w:val="bottom"/>
            <w:gridSpan w:val="3"/>
          </w:tcPr>
          <w:p>
            <w:pPr>
              <w:spacing w:after="0"/>
              <w:rPr>
                <w:sz w:val="20"/>
                <w:szCs w:val="20"/>
                <w:color w:val="auto"/>
              </w:rPr>
            </w:pPr>
            <w:r>
              <w:rPr>
                <w:rFonts w:ascii="Arial" w:cs="Arial" w:eastAsia="Arial" w:hAnsi="Arial"/>
                <w:sz w:val="13"/>
                <w:szCs w:val="13"/>
                <w:b w:val="1"/>
                <w:bCs w:val="1"/>
                <w:color w:val="auto"/>
              </w:rPr>
              <w:t>Grocery</w:t>
            </w:r>
          </w:p>
        </w:tc>
        <w:tc>
          <w:tcPr>
            <w:tcW w:w="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8" w:lineRule="exact"/>
              <w:rPr>
                <w:sz w:val="20"/>
                <w:szCs w:val="20"/>
                <w:color w:val="auto"/>
              </w:rPr>
            </w:pPr>
            <w:r>
              <w:rPr>
                <w:rFonts w:ascii="Arial" w:cs="Arial" w:eastAsia="Arial" w:hAnsi="Arial"/>
                <w:sz w:val="13"/>
                <w:szCs w:val="13"/>
                <w:b w:val="1"/>
                <w:bCs w:val="1"/>
                <w:color w:val="auto"/>
              </w:rPr>
              <w:t>Year</w:t>
            </w:r>
          </w:p>
        </w:tc>
        <w:tc>
          <w:tcPr>
            <w:tcW w:w="8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6"/>
              </w:rPr>
              <w:t>Total</w:t>
            </w:r>
          </w:p>
        </w:tc>
        <w:tc>
          <w:tcPr>
            <w:tcW w:w="8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Arial" w:cs="Arial" w:eastAsia="Arial" w:hAnsi="Arial"/>
                <w:sz w:val="13"/>
                <w:szCs w:val="13"/>
                <w:b w:val="1"/>
                <w:bCs w:val="1"/>
                <w:color w:val="auto"/>
                <w:w w:val="92"/>
              </w:rPr>
              <w:t>Ownership</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80"/>
              <w:spacing w:after="0" w:line="148" w:lineRule="exact"/>
              <w:rPr>
                <w:sz w:val="20"/>
                <w:szCs w:val="20"/>
                <w:color w:val="auto"/>
              </w:rPr>
            </w:pPr>
            <w:r>
              <w:rPr>
                <w:rFonts w:ascii="Arial" w:cs="Arial" w:eastAsia="Arial" w:hAnsi="Arial"/>
                <w:sz w:val="13"/>
                <w:szCs w:val="13"/>
                <w:b w:val="1"/>
                <w:bCs w:val="1"/>
                <w:color w:val="auto"/>
                <w:w w:val="93"/>
              </w:rPr>
              <w:t>Capital Lease</w:t>
            </w:r>
          </w:p>
        </w:tc>
        <w:tc>
          <w:tcPr>
            <w:tcW w:w="1680" w:type="dxa"/>
            <w:vAlign w:val="bottom"/>
            <w:gridSpan w:val="3"/>
          </w:tcPr>
          <w:p>
            <w:pPr>
              <w:ind w:left="20"/>
              <w:spacing w:after="0" w:line="148" w:lineRule="exact"/>
              <w:rPr>
                <w:sz w:val="20"/>
                <w:szCs w:val="20"/>
                <w:color w:val="auto"/>
              </w:rPr>
            </w:pPr>
            <w:r>
              <w:rPr>
                <w:rFonts w:ascii="Arial" w:cs="Arial" w:eastAsia="Arial" w:hAnsi="Arial"/>
                <w:sz w:val="13"/>
                <w:szCs w:val="13"/>
                <w:b w:val="1"/>
                <w:bCs w:val="1"/>
                <w:color w:val="auto"/>
              </w:rPr>
              <w:t>Anchor</w:t>
            </w:r>
          </w:p>
        </w:tc>
        <w:tc>
          <w:tcPr>
            <w:tcW w:w="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40" w:type="dxa"/>
            <w:vAlign w:val="bottom"/>
            <w:gridSpan w:val="5"/>
          </w:tcPr>
          <w:p>
            <w:pPr>
              <w:spacing w:after="0"/>
              <w:rPr>
                <w:sz w:val="20"/>
                <w:szCs w:val="20"/>
                <w:color w:val="auto"/>
              </w:rPr>
            </w:pPr>
            <w:r>
              <w:rPr>
                <w:rFonts w:ascii="Arial" w:cs="Arial" w:eastAsia="Arial" w:hAnsi="Arial"/>
                <w:sz w:val="13"/>
                <w:szCs w:val="13"/>
                <w:b w:val="1"/>
                <w:bCs w:val="1"/>
                <w:color w:val="auto"/>
              </w:rPr>
              <w:t>Property Name</w:t>
            </w:r>
          </w:p>
        </w:tc>
        <w:tc>
          <w:tcPr>
            <w:tcW w:w="460" w:type="dxa"/>
            <w:vAlign w:val="bottom"/>
          </w:tcPr>
          <w:p>
            <w:pPr>
              <w:spacing w:after="0"/>
              <w:rPr>
                <w:sz w:val="20"/>
                <w:szCs w:val="20"/>
                <w:color w:val="auto"/>
              </w:rPr>
            </w:pPr>
            <w:r>
              <w:rPr>
                <w:rFonts w:ascii="Arial" w:cs="Arial" w:eastAsia="Arial" w:hAnsi="Arial"/>
                <w:sz w:val="13"/>
                <w:szCs w:val="13"/>
                <w:b w:val="1"/>
                <w:bCs w:val="1"/>
                <w:color w:val="auto"/>
                <w:w w:val="95"/>
              </w:rPr>
              <w:t>Type(1)</w:t>
            </w:r>
          </w:p>
        </w:tc>
        <w:tc>
          <w:tcPr>
            <w:tcW w:w="8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3"/>
                <w:szCs w:val="13"/>
                <w:b w:val="1"/>
                <w:bCs w:val="1"/>
                <w:color w:val="auto"/>
                <w:w w:val="94"/>
              </w:rPr>
              <w:t>MSA Description</w:t>
            </w:r>
          </w:p>
        </w:tc>
        <w:tc>
          <w:tcPr>
            <w:tcW w:w="8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88"/>
              </w:rPr>
              <w:t>Acquired</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3"/>
              </w:rPr>
              <w:t>Investment</w:t>
            </w:r>
          </w:p>
        </w:tc>
        <w:tc>
          <w:tcPr>
            <w:tcW w:w="8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8"/>
              </w:rPr>
              <w:t>Percentage</w:t>
            </w:r>
          </w:p>
        </w:tc>
        <w:tc>
          <w:tcPr>
            <w:tcW w:w="880" w:type="dxa"/>
            <w:vAlign w:val="bottom"/>
            <w:gridSpan w:val="2"/>
          </w:tcPr>
          <w:p>
            <w:pPr>
              <w:ind w:left="160"/>
              <w:spacing w:after="0"/>
              <w:rPr>
                <w:sz w:val="20"/>
                <w:szCs w:val="20"/>
                <w:color w:val="auto"/>
              </w:rPr>
            </w:pPr>
            <w:r>
              <w:rPr>
                <w:rFonts w:ascii="Arial" w:cs="Arial" w:eastAsia="Arial" w:hAnsi="Arial"/>
                <w:sz w:val="13"/>
                <w:szCs w:val="13"/>
                <w:b w:val="1"/>
                <w:bCs w:val="1"/>
                <w:color w:val="auto"/>
              </w:rPr>
              <w:t>GLA (2)</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9"/>
              </w:rPr>
              <w:t>% Leased</w:t>
            </w: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Obligation</w:t>
            </w:r>
          </w:p>
        </w:tc>
        <w:tc>
          <w:tcPr>
            <w:tcW w:w="1680" w:type="dxa"/>
            <w:vAlign w:val="bottom"/>
            <w:gridSpan w:val="3"/>
          </w:tcPr>
          <w:p>
            <w:pPr>
              <w:spacing w:after="0"/>
              <w:rPr>
                <w:sz w:val="20"/>
                <w:szCs w:val="20"/>
                <w:color w:val="auto"/>
              </w:rPr>
            </w:pPr>
            <w:r>
              <w:rPr>
                <w:rFonts w:ascii="Arial" w:cs="Arial" w:eastAsia="Arial" w:hAnsi="Arial"/>
                <w:sz w:val="13"/>
                <w:szCs w:val="13"/>
                <w:b w:val="1"/>
                <w:bCs w:val="1"/>
                <w:color w:val="auto"/>
                <w:w w:val="98"/>
              </w:rPr>
              <w:t>GLA (3) Grocery Anchor (3)</w:t>
            </w:r>
          </w:p>
        </w:tc>
        <w:tc>
          <w:tcPr>
            <w:tcW w:w="60" w:type="dxa"/>
            <w:vAlign w:val="bottom"/>
          </w:tcPr>
          <w:p>
            <w:pPr>
              <w:spacing w:after="0"/>
              <w:rPr>
                <w:sz w:val="15"/>
                <w:szCs w:val="15"/>
                <w:color w:val="auto"/>
              </w:rPr>
            </w:pPr>
          </w:p>
        </w:tc>
        <w:tc>
          <w:tcPr>
            <w:tcW w:w="1400" w:type="dxa"/>
            <w:vAlign w:val="bottom"/>
          </w:tcPr>
          <w:p>
            <w:pPr>
              <w:spacing w:after="0"/>
              <w:rPr>
                <w:sz w:val="20"/>
                <w:szCs w:val="20"/>
                <w:color w:val="auto"/>
              </w:rPr>
            </w:pPr>
            <w:r>
              <w:rPr>
                <w:rFonts w:ascii="Arial" w:cs="Arial" w:eastAsia="Arial" w:hAnsi="Arial"/>
                <w:sz w:val="13"/>
                <w:szCs w:val="13"/>
                <w:b w:val="1"/>
                <w:bCs w:val="1"/>
                <w:color w:val="auto"/>
                <w:w w:val="94"/>
              </w:rPr>
              <w:t>Other Principal Tenants</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1"/>
              </w:rPr>
              <w:t>(in thousands)</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1"/>
              </w:rPr>
              <w:t>(in thousands)</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7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Huntington</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Nassau-</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1988</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22,456</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279,000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14,258</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Buy Buy</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Suffolk,</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Baby / Toys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NY</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R Us / Bed,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Bath &amp;</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Beyond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Barnes &amp;</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Noble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720" w:type="dxa"/>
            <w:vAlign w:val="bottom"/>
            <w:gridSpan w:val="4"/>
          </w:tcPr>
          <w:p>
            <w:pPr>
              <w:spacing w:after="0"/>
              <w:rPr>
                <w:sz w:val="20"/>
                <w:szCs w:val="20"/>
                <w:color w:val="auto"/>
              </w:rPr>
            </w:pPr>
            <w:r>
              <w:rPr>
                <w:rFonts w:ascii="Arial" w:cs="Arial" w:eastAsia="Arial" w:hAnsi="Arial"/>
                <w:sz w:val="17"/>
                <w:szCs w:val="17"/>
                <w:color w:val="auto"/>
              </w:rPr>
              <w:t>Forest Hills</w:t>
            </w:r>
          </w:p>
        </w:tc>
        <w:tc>
          <w:tcPr>
            <w:tcW w:w="460" w:type="dxa"/>
            <w:vAlign w:val="bottom"/>
          </w:tcPr>
          <w:p>
            <w:pPr>
              <w:spacing w:after="0"/>
              <w:rPr>
                <w:sz w:val="20"/>
                <w:szCs w:val="20"/>
                <w:color w:val="auto"/>
              </w:rPr>
            </w:pPr>
            <w:r>
              <w:rPr>
                <w:rFonts w:ascii="Arial" w:cs="Arial" w:eastAsia="Arial" w:hAnsi="Arial"/>
                <w:sz w:val="17"/>
                <w:szCs w:val="17"/>
                <w:color w:val="auto"/>
              </w:rPr>
              <w:t>SR</w:t>
            </w:r>
          </w:p>
        </w:tc>
        <w:tc>
          <w:tcPr>
            <w:tcW w:w="80" w:type="dxa"/>
            <w:vAlign w:val="bottom"/>
          </w:tcPr>
          <w:p>
            <w:pPr>
              <w:spacing w:after="0"/>
              <w:rPr>
                <w:sz w:val="17"/>
                <w:szCs w:val="17"/>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New York,</w:t>
            </w:r>
          </w:p>
        </w:tc>
        <w:tc>
          <w:tcPr>
            <w:tcW w:w="680" w:type="dxa"/>
            <w:vAlign w:val="bottom"/>
            <w:gridSpan w:val="3"/>
          </w:tcPr>
          <w:p>
            <w:pPr>
              <w:jc w:val="right"/>
              <w:ind w:right="80"/>
              <w:spacing w:after="0"/>
              <w:rPr>
                <w:sz w:val="20"/>
                <w:szCs w:val="20"/>
                <w:color w:val="auto"/>
              </w:rPr>
            </w:pPr>
            <w:r>
              <w:rPr>
                <w:rFonts w:ascii="Arial" w:cs="Arial" w:eastAsia="Arial" w:hAnsi="Arial"/>
                <w:sz w:val="17"/>
                <w:szCs w:val="17"/>
                <w:color w:val="auto"/>
              </w:rPr>
              <w:t>1997</w:t>
            </w:r>
          </w:p>
        </w:tc>
        <w:tc>
          <w:tcPr>
            <w:tcW w:w="820" w:type="dxa"/>
            <w:vAlign w:val="bottom"/>
          </w:tcPr>
          <w:p>
            <w:pPr>
              <w:jc w:val="right"/>
              <w:spacing w:after="0"/>
              <w:rPr>
                <w:sz w:val="20"/>
                <w:szCs w:val="20"/>
                <w:color w:val="auto"/>
              </w:rPr>
            </w:pPr>
            <w:r>
              <w:rPr>
                <w:rFonts w:ascii="Arial" w:cs="Arial" w:eastAsia="Arial" w:hAnsi="Arial"/>
                <w:sz w:val="17"/>
                <w:szCs w:val="17"/>
                <w:color w:val="auto"/>
              </w:rPr>
              <w:t>23,969</w:t>
            </w: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86,000</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98%</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Midway</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NY</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Theatre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Duane Reade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 Gap</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7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Fresh Meadows</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New York,</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1997</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64,920</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403,000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96%</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Pathmark</w:t>
            </w: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Value City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NY</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(signed)</w:t>
            </w: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Kohl’s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Cineplex</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Odeon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720" w:type="dxa"/>
            <w:vAlign w:val="bottom"/>
            <w:gridSpan w:val="4"/>
          </w:tcPr>
          <w:p>
            <w:pPr>
              <w:spacing w:after="0"/>
              <w:rPr>
                <w:sz w:val="20"/>
                <w:szCs w:val="20"/>
                <w:color w:val="auto"/>
              </w:rPr>
            </w:pPr>
            <w:r>
              <w:rPr>
                <w:rFonts w:ascii="Arial" w:cs="Arial" w:eastAsia="Arial" w:hAnsi="Arial"/>
                <w:sz w:val="17"/>
                <w:szCs w:val="17"/>
                <w:color w:val="auto"/>
              </w:rPr>
              <w:t>Troy</w:t>
            </w: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80" w:type="dxa"/>
            <w:vAlign w:val="bottom"/>
          </w:tcPr>
          <w:p>
            <w:pPr>
              <w:spacing w:after="0"/>
              <w:rPr>
                <w:sz w:val="17"/>
                <w:szCs w:val="17"/>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Newark,</w:t>
            </w:r>
          </w:p>
        </w:tc>
        <w:tc>
          <w:tcPr>
            <w:tcW w:w="680" w:type="dxa"/>
            <w:vAlign w:val="bottom"/>
            <w:gridSpan w:val="3"/>
          </w:tcPr>
          <w:p>
            <w:pPr>
              <w:jc w:val="right"/>
              <w:ind w:right="80"/>
              <w:spacing w:after="0"/>
              <w:rPr>
                <w:sz w:val="20"/>
                <w:szCs w:val="20"/>
                <w:color w:val="auto"/>
              </w:rPr>
            </w:pPr>
            <w:r>
              <w:rPr>
                <w:rFonts w:ascii="Arial" w:cs="Arial" w:eastAsia="Arial" w:hAnsi="Arial"/>
                <w:sz w:val="17"/>
                <w:szCs w:val="17"/>
                <w:color w:val="auto"/>
              </w:rPr>
              <w:t>1980</w:t>
            </w:r>
          </w:p>
        </w:tc>
        <w:tc>
          <w:tcPr>
            <w:tcW w:w="820" w:type="dxa"/>
            <w:vAlign w:val="bottom"/>
          </w:tcPr>
          <w:p>
            <w:pPr>
              <w:jc w:val="right"/>
              <w:spacing w:after="0"/>
              <w:rPr>
                <w:sz w:val="20"/>
                <w:szCs w:val="20"/>
                <w:color w:val="auto"/>
              </w:rPr>
            </w:pPr>
            <w:r>
              <w:rPr>
                <w:rFonts w:ascii="Arial" w:cs="Arial" w:eastAsia="Arial" w:hAnsi="Arial"/>
                <w:sz w:val="17"/>
                <w:szCs w:val="17"/>
                <w:color w:val="auto"/>
              </w:rPr>
              <w:t>20,606</w:t>
            </w: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202,000</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99%</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gridSpan w:val="3"/>
          </w:tcPr>
          <w:p>
            <w:pPr>
              <w:spacing w:after="0"/>
              <w:rPr>
                <w:sz w:val="20"/>
                <w:szCs w:val="20"/>
                <w:color w:val="auto"/>
              </w:rPr>
            </w:pPr>
            <w:r>
              <w:rPr>
                <w:rFonts w:ascii="Arial" w:cs="Arial" w:eastAsia="Arial" w:hAnsi="Arial"/>
                <w:sz w:val="17"/>
                <w:szCs w:val="17"/>
                <w:color w:val="auto"/>
              </w:rPr>
              <w:t>64,000 Pathmark</w:t>
            </w:r>
          </w:p>
        </w:tc>
        <w:tc>
          <w:tcPr>
            <w:tcW w:w="6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AC Moore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NJ</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Comp USA /</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Toys R Us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7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Hamilton</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Trenton,</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1988</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8,123</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190,000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2580" w:type="dxa"/>
            <w:vAlign w:val="bottom"/>
            <w:gridSpan w:val="5"/>
            <w:shd w:val="clear" w:color="auto" w:fill="CCEEFF"/>
          </w:tcPr>
          <w:p>
            <w:pPr>
              <w:ind w:left="420"/>
              <w:spacing w:after="0"/>
              <w:rPr>
                <w:sz w:val="20"/>
                <w:szCs w:val="20"/>
                <w:color w:val="auto"/>
              </w:rPr>
            </w:pPr>
            <w:r>
              <w:rPr>
                <w:rFonts w:ascii="Arial" w:cs="Arial" w:eastAsia="Arial" w:hAnsi="Arial"/>
                <w:sz w:val="17"/>
                <w:szCs w:val="17"/>
                <w:color w:val="auto"/>
              </w:rPr>
              <w:t>4,814 53,000 Shop Rite</w:t>
            </w: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AC Moore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NJ</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Stevens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Furniture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720" w:type="dxa"/>
            <w:vAlign w:val="bottom"/>
            <w:gridSpan w:val="4"/>
          </w:tcPr>
          <w:p>
            <w:pPr>
              <w:spacing w:after="0"/>
              <w:rPr>
                <w:sz w:val="20"/>
                <w:szCs w:val="20"/>
                <w:color w:val="auto"/>
              </w:rPr>
            </w:pPr>
            <w:r>
              <w:rPr>
                <w:rFonts w:ascii="Arial" w:cs="Arial" w:eastAsia="Arial" w:hAnsi="Arial"/>
                <w:sz w:val="17"/>
                <w:szCs w:val="17"/>
                <w:color w:val="auto"/>
              </w:rPr>
              <w:t>Mercer Mall</w:t>
            </w: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80" w:type="dxa"/>
            <w:vAlign w:val="bottom"/>
          </w:tcPr>
          <w:p>
            <w:pPr>
              <w:spacing w:after="0"/>
              <w:rPr>
                <w:sz w:val="17"/>
                <w:szCs w:val="17"/>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Trenton,</w:t>
            </w:r>
          </w:p>
        </w:tc>
        <w:tc>
          <w:tcPr>
            <w:tcW w:w="680" w:type="dxa"/>
            <w:vAlign w:val="bottom"/>
            <w:gridSpan w:val="3"/>
          </w:tcPr>
          <w:p>
            <w:pPr>
              <w:jc w:val="right"/>
              <w:ind w:right="80"/>
              <w:spacing w:after="0"/>
              <w:rPr>
                <w:sz w:val="20"/>
                <w:szCs w:val="20"/>
                <w:color w:val="auto"/>
              </w:rPr>
            </w:pPr>
            <w:r>
              <w:rPr>
                <w:rFonts w:ascii="Arial" w:cs="Arial" w:eastAsia="Arial" w:hAnsi="Arial"/>
                <w:sz w:val="17"/>
                <w:szCs w:val="17"/>
                <w:color w:val="auto"/>
              </w:rPr>
              <w:t>2003</w:t>
            </w:r>
          </w:p>
        </w:tc>
        <w:tc>
          <w:tcPr>
            <w:tcW w:w="820" w:type="dxa"/>
            <w:vAlign w:val="bottom"/>
          </w:tcPr>
          <w:p>
            <w:pPr>
              <w:jc w:val="right"/>
              <w:spacing w:after="0"/>
              <w:rPr>
                <w:sz w:val="20"/>
                <w:szCs w:val="20"/>
                <w:color w:val="auto"/>
              </w:rPr>
            </w:pPr>
            <w:r>
              <w:rPr>
                <w:rFonts w:ascii="Arial" w:cs="Arial" w:eastAsia="Arial" w:hAnsi="Arial"/>
                <w:sz w:val="17"/>
                <w:szCs w:val="17"/>
                <w:color w:val="auto"/>
              </w:rPr>
              <w:t>86,169</w:t>
            </w:r>
          </w:p>
        </w:tc>
        <w:tc>
          <w:tcPr>
            <w:tcW w:w="940" w:type="dxa"/>
            <w:vAlign w:val="bottom"/>
            <w:gridSpan w:val="3"/>
          </w:tcPr>
          <w:p>
            <w:pPr>
              <w:jc w:val="right"/>
              <w:ind w:right="160"/>
              <w:spacing w:after="0"/>
              <w:rPr>
                <w:sz w:val="20"/>
                <w:szCs w:val="20"/>
                <w:color w:val="auto"/>
              </w:rPr>
            </w:pPr>
            <w:r>
              <w:rPr>
                <w:rFonts w:ascii="Arial" w:cs="Arial" w:eastAsia="Arial" w:hAnsi="Arial"/>
                <w:sz w:val="17"/>
                <w:szCs w:val="17"/>
                <w:color w:val="auto"/>
              </w:rPr>
              <w:t>(7)</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435,000</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93%</w:t>
            </w:r>
          </w:p>
        </w:tc>
        <w:tc>
          <w:tcPr>
            <w:tcW w:w="2580" w:type="dxa"/>
            <w:vAlign w:val="bottom"/>
            <w:gridSpan w:val="5"/>
          </w:tcPr>
          <w:p>
            <w:pPr>
              <w:ind w:left="340"/>
              <w:spacing w:after="0"/>
              <w:rPr>
                <w:sz w:val="20"/>
                <w:szCs w:val="20"/>
                <w:color w:val="auto"/>
              </w:rPr>
            </w:pPr>
            <w:r>
              <w:rPr>
                <w:rFonts w:ascii="Arial" w:cs="Arial" w:eastAsia="Arial" w:hAnsi="Arial"/>
                <w:sz w:val="17"/>
                <w:szCs w:val="17"/>
                <w:color w:val="auto"/>
              </w:rPr>
              <w:t>59,902 74,900 Shop Rite</w:t>
            </w:r>
          </w:p>
        </w:tc>
        <w:tc>
          <w:tcPr>
            <w:tcW w:w="6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Bed, Bath &amp;</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NJ</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Beyond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DSW / TJ</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Maxx</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408,648</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3,296,000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96%</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20" w:type="dxa"/>
            <w:vAlign w:val="bottom"/>
            <w:gridSpan w:val="4"/>
          </w:tcPr>
          <w:p>
            <w:pPr>
              <w:spacing w:after="0" w:line="174" w:lineRule="exact"/>
              <w:rPr>
                <w:sz w:val="20"/>
                <w:szCs w:val="20"/>
                <w:color w:val="auto"/>
              </w:rPr>
            </w:pPr>
            <w:r>
              <w:rPr>
                <w:rFonts w:ascii="Arial" w:cs="Arial" w:eastAsia="Arial" w:hAnsi="Arial"/>
                <w:sz w:val="17"/>
                <w:szCs w:val="17"/>
                <w:color w:val="auto"/>
              </w:rPr>
              <w:t>New England</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17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Dedham Plaza</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Boston-</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1993</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29,961</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243,000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98%</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80,000 Star Market</w:t>
            </w:r>
          </w:p>
        </w:tc>
        <w:tc>
          <w:tcPr>
            <w:tcW w:w="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Pier One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Worcester-</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Lawrence-</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Lowell-</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Brockton,</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MA</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720" w:type="dxa"/>
            <w:vAlign w:val="bottom"/>
            <w:gridSpan w:val="4"/>
          </w:tcPr>
          <w:p>
            <w:pPr>
              <w:spacing w:after="0"/>
              <w:rPr>
                <w:sz w:val="20"/>
                <w:szCs w:val="20"/>
                <w:color w:val="auto"/>
              </w:rPr>
            </w:pPr>
            <w:r>
              <w:rPr>
                <w:rFonts w:ascii="Arial" w:cs="Arial" w:eastAsia="Arial" w:hAnsi="Arial"/>
                <w:sz w:val="17"/>
                <w:szCs w:val="17"/>
                <w:color w:val="auto"/>
              </w:rPr>
              <w:t>Queen Anne Plaza</w:t>
            </w: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80" w:type="dxa"/>
            <w:vAlign w:val="bottom"/>
          </w:tcPr>
          <w:p>
            <w:pPr>
              <w:spacing w:after="0"/>
              <w:rPr>
                <w:sz w:val="17"/>
                <w:szCs w:val="17"/>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Boston-</w:t>
            </w:r>
          </w:p>
        </w:tc>
        <w:tc>
          <w:tcPr>
            <w:tcW w:w="680" w:type="dxa"/>
            <w:vAlign w:val="bottom"/>
            <w:gridSpan w:val="3"/>
          </w:tcPr>
          <w:p>
            <w:pPr>
              <w:jc w:val="right"/>
              <w:ind w:right="80"/>
              <w:spacing w:after="0"/>
              <w:rPr>
                <w:sz w:val="20"/>
                <w:szCs w:val="20"/>
                <w:color w:val="auto"/>
              </w:rPr>
            </w:pPr>
            <w:r>
              <w:rPr>
                <w:rFonts w:ascii="Arial" w:cs="Arial" w:eastAsia="Arial" w:hAnsi="Arial"/>
                <w:sz w:val="17"/>
                <w:szCs w:val="17"/>
                <w:color w:val="auto"/>
              </w:rPr>
              <w:t>1994</w:t>
            </w:r>
          </w:p>
        </w:tc>
        <w:tc>
          <w:tcPr>
            <w:tcW w:w="820" w:type="dxa"/>
            <w:vAlign w:val="bottom"/>
          </w:tcPr>
          <w:p>
            <w:pPr>
              <w:jc w:val="right"/>
              <w:spacing w:after="0"/>
              <w:rPr>
                <w:sz w:val="20"/>
                <w:szCs w:val="20"/>
                <w:color w:val="auto"/>
              </w:rPr>
            </w:pPr>
            <w:r>
              <w:rPr>
                <w:rFonts w:ascii="Arial" w:cs="Arial" w:eastAsia="Arial" w:hAnsi="Arial"/>
                <w:sz w:val="17"/>
                <w:szCs w:val="17"/>
                <w:color w:val="auto"/>
              </w:rPr>
              <w:t>14,803</w:t>
            </w: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149,000</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gridSpan w:val="3"/>
          </w:tcPr>
          <w:p>
            <w:pPr>
              <w:spacing w:after="0"/>
              <w:rPr>
                <w:sz w:val="20"/>
                <w:szCs w:val="20"/>
                <w:color w:val="auto"/>
              </w:rPr>
            </w:pPr>
            <w:r>
              <w:rPr>
                <w:rFonts w:ascii="Arial" w:cs="Arial" w:eastAsia="Arial" w:hAnsi="Arial"/>
                <w:sz w:val="17"/>
                <w:szCs w:val="17"/>
                <w:color w:val="auto"/>
              </w:rPr>
              <w:t>50,000 Victory</w:t>
            </w:r>
          </w:p>
        </w:tc>
        <w:tc>
          <w:tcPr>
            <w:tcW w:w="6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TJ Maxx</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Worcester-</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Arial" w:cs="Arial" w:eastAsia="Arial" w:hAnsi="Arial"/>
                <w:sz w:val="17"/>
                <w:szCs w:val="17"/>
                <w:color w:val="auto"/>
              </w:rPr>
              <w:t>Supermarket</w:t>
            </w: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Lawrence-</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Lowell-</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Brockton,</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MA</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7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Saugus Plaza</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Boston-</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1996</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13,307</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171,000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55,000 Super Stop</w:t>
            </w: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Kmart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Worcester-</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&amp; Shop</w:t>
            </w: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Lawrence-</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Lowell-</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Brockton,</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MA</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720" w:type="dxa"/>
            <w:vAlign w:val="bottom"/>
            <w:gridSpan w:val="4"/>
          </w:tcPr>
          <w:p>
            <w:pPr>
              <w:spacing w:after="0"/>
              <w:rPr>
                <w:sz w:val="20"/>
                <w:szCs w:val="20"/>
                <w:color w:val="auto"/>
              </w:rPr>
            </w:pPr>
            <w:r>
              <w:rPr>
                <w:rFonts w:ascii="Arial" w:cs="Arial" w:eastAsia="Arial" w:hAnsi="Arial"/>
                <w:sz w:val="17"/>
                <w:szCs w:val="17"/>
                <w:color w:val="auto"/>
              </w:rPr>
              <w:t>Bristol Plaza</w:t>
            </w: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80" w:type="dxa"/>
            <w:vAlign w:val="bottom"/>
          </w:tcPr>
          <w:p>
            <w:pPr>
              <w:spacing w:after="0"/>
              <w:rPr>
                <w:sz w:val="17"/>
                <w:szCs w:val="17"/>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Hartford,</w:t>
            </w:r>
          </w:p>
        </w:tc>
        <w:tc>
          <w:tcPr>
            <w:tcW w:w="680" w:type="dxa"/>
            <w:vAlign w:val="bottom"/>
            <w:gridSpan w:val="3"/>
          </w:tcPr>
          <w:p>
            <w:pPr>
              <w:jc w:val="right"/>
              <w:ind w:right="80"/>
              <w:spacing w:after="0"/>
              <w:rPr>
                <w:sz w:val="20"/>
                <w:szCs w:val="20"/>
                <w:color w:val="auto"/>
              </w:rPr>
            </w:pPr>
            <w:r>
              <w:rPr>
                <w:rFonts w:ascii="Arial" w:cs="Arial" w:eastAsia="Arial" w:hAnsi="Arial"/>
                <w:sz w:val="17"/>
                <w:szCs w:val="17"/>
                <w:color w:val="auto"/>
              </w:rPr>
              <w:t>1995</w:t>
            </w:r>
          </w:p>
        </w:tc>
        <w:tc>
          <w:tcPr>
            <w:tcW w:w="820" w:type="dxa"/>
            <w:vAlign w:val="bottom"/>
          </w:tcPr>
          <w:p>
            <w:pPr>
              <w:jc w:val="right"/>
              <w:spacing w:after="0"/>
              <w:rPr>
                <w:sz w:val="20"/>
                <w:szCs w:val="20"/>
                <w:color w:val="auto"/>
              </w:rPr>
            </w:pPr>
            <w:r>
              <w:rPr>
                <w:rFonts w:ascii="Arial" w:cs="Arial" w:eastAsia="Arial" w:hAnsi="Arial"/>
                <w:sz w:val="17"/>
                <w:szCs w:val="17"/>
                <w:color w:val="auto"/>
              </w:rPr>
              <w:t>22,127</w:t>
            </w: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277,000</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96%</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gridSpan w:val="3"/>
          </w:tcPr>
          <w:p>
            <w:pPr>
              <w:spacing w:after="0"/>
              <w:rPr>
                <w:sz w:val="20"/>
                <w:szCs w:val="20"/>
                <w:color w:val="auto"/>
              </w:rPr>
            </w:pPr>
            <w:r>
              <w:rPr>
                <w:rFonts w:ascii="Arial" w:cs="Arial" w:eastAsia="Arial" w:hAnsi="Arial"/>
                <w:sz w:val="17"/>
                <w:szCs w:val="17"/>
                <w:color w:val="auto"/>
              </w:rPr>
              <w:t>57,000 Stop &amp;</w:t>
            </w:r>
          </w:p>
        </w:tc>
        <w:tc>
          <w:tcPr>
            <w:tcW w:w="6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TJ Maxx</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CT</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7"/>
                <w:szCs w:val="17"/>
                <w:color w:val="auto"/>
              </w:rPr>
              <w:t>Shop</w:t>
            </w:r>
          </w:p>
        </w:tc>
        <w:tc>
          <w:tcPr>
            <w:tcW w:w="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7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West Hartford</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SR</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Hartford,</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1994-</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8,051</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62,000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89%</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CT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1996</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720" w:type="dxa"/>
            <w:vAlign w:val="bottom"/>
            <w:gridSpan w:val="4"/>
          </w:tcPr>
          <w:p>
            <w:pPr>
              <w:spacing w:after="0"/>
              <w:rPr>
                <w:sz w:val="20"/>
                <w:szCs w:val="20"/>
                <w:color w:val="auto"/>
              </w:rPr>
            </w:pPr>
            <w:r>
              <w:rPr>
                <w:rFonts w:ascii="Arial" w:cs="Arial" w:eastAsia="Arial" w:hAnsi="Arial"/>
                <w:sz w:val="17"/>
                <w:szCs w:val="17"/>
                <w:color w:val="auto"/>
              </w:rPr>
              <w:t>Greenwich Avenue</w:t>
            </w:r>
          </w:p>
        </w:tc>
        <w:tc>
          <w:tcPr>
            <w:tcW w:w="460" w:type="dxa"/>
            <w:vAlign w:val="bottom"/>
          </w:tcPr>
          <w:p>
            <w:pPr>
              <w:spacing w:after="0"/>
              <w:rPr>
                <w:sz w:val="20"/>
                <w:szCs w:val="20"/>
                <w:color w:val="auto"/>
              </w:rPr>
            </w:pPr>
            <w:r>
              <w:rPr>
                <w:rFonts w:ascii="Arial" w:cs="Arial" w:eastAsia="Arial" w:hAnsi="Arial"/>
                <w:sz w:val="17"/>
                <w:szCs w:val="17"/>
                <w:color w:val="auto"/>
              </w:rPr>
              <w:t>SR</w:t>
            </w:r>
          </w:p>
        </w:tc>
        <w:tc>
          <w:tcPr>
            <w:tcW w:w="80" w:type="dxa"/>
            <w:vAlign w:val="bottom"/>
          </w:tcPr>
          <w:p>
            <w:pPr>
              <w:spacing w:after="0"/>
              <w:rPr>
                <w:sz w:val="17"/>
                <w:szCs w:val="17"/>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New</w:t>
            </w:r>
          </w:p>
        </w:tc>
        <w:tc>
          <w:tcPr>
            <w:tcW w:w="680" w:type="dxa"/>
            <w:vAlign w:val="bottom"/>
            <w:gridSpan w:val="3"/>
          </w:tcPr>
          <w:p>
            <w:pPr>
              <w:jc w:val="right"/>
              <w:ind w:right="80"/>
              <w:spacing w:after="0"/>
              <w:rPr>
                <w:sz w:val="20"/>
                <w:szCs w:val="20"/>
                <w:color w:val="auto"/>
              </w:rPr>
            </w:pPr>
            <w:r>
              <w:rPr>
                <w:rFonts w:ascii="Arial" w:cs="Arial" w:eastAsia="Arial" w:hAnsi="Arial"/>
                <w:sz w:val="17"/>
                <w:szCs w:val="17"/>
                <w:color w:val="auto"/>
              </w:rPr>
              <w:t>1994-</w:t>
            </w:r>
          </w:p>
        </w:tc>
        <w:tc>
          <w:tcPr>
            <w:tcW w:w="820" w:type="dxa"/>
            <w:vAlign w:val="bottom"/>
          </w:tcPr>
          <w:p>
            <w:pPr>
              <w:jc w:val="right"/>
              <w:spacing w:after="0"/>
              <w:rPr>
                <w:sz w:val="20"/>
                <w:szCs w:val="20"/>
                <w:color w:val="auto"/>
              </w:rPr>
            </w:pPr>
            <w:r>
              <w:rPr>
                <w:rFonts w:ascii="Arial" w:cs="Arial" w:eastAsia="Arial" w:hAnsi="Arial"/>
                <w:sz w:val="17"/>
                <w:szCs w:val="17"/>
                <w:color w:val="auto"/>
              </w:rPr>
              <w:t>15,993</w:t>
            </w: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42,000</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Saks Fifth</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Haven-</w:t>
            </w:r>
          </w:p>
        </w:tc>
        <w:tc>
          <w:tcPr>
            <w:tcW w:w="680" w:type="dxa"/>
            <w:vAlign w:val="bottom"/>
            <w:gridSpan w:val="3"/>
          </w:tcPr>
          <w:p>
            <w:pPr>
              <w:jc w:val="right"/>
              <w:ind w:right="80"/>
              <w:spacing w:after="0"/>
              <w:rPr>
                <w:sz w:val="20"/>
                <w:szCs w:val="20"/>
                <w:color w:val="auto"/>
              </w:rPr>
            </w:pPr>
            <w:r>
              <w:rPr>
                <w:rFonts w:ascii="Arial" w:cs="Arial" w:eastAsia="Arial" w:hAnsi="Arial"/>
                <w:sz w:val="17"/>
                <w:szCs w:val="17"/>
                <w:color w:val="auto"/>
              </w:rPr>
              <w:t>1996</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Avenue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Bridgeport-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Stamford-</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Waterbury</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104,242</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944,000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98%</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20" w:type="dxa"/>
            <w:vAlign w:val="bottom"/>
            <w:gridSpan w:val="4"/>
          </w:tcPr>
          <w:p>
            <w:pPr>
              <w:spacing w:after="0" w:line="174" w:lineRule="exact"/>
              <w:rPr>
                <w:sz w:val="20"/>
                <w:szCs w:val="20"/>
                <w:color w:val="auto"/>
              </w:rPr>
            </w:pPr>
            <w:r>
              <w:rPr>
                <w:rFonts w:ascii="Arial" w:cs="Arial" w:eastAsia="Arial" w:hAnsi="Arial"/>
                <w:sz w:val="17"/>
                <w:szCs w:val="17"/>
                <w:color w:val="auto"/>
              </w:rPr>
              <w:t>Chicago</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17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Crossroads</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SC</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Chicago,</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1993</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22,240</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173,000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97%</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Comp USA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IL</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Golfsmith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Guitar Center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720" w:type="dxa"/>
            <w:vAlign w:val="bottom"/>
            <w:gridSpan w:val="4"/>
          </w:tcPr>
          <w:p>
            <w:pPr>
              <w:spacing w:after="0"/>
              <w:rPr>
                <w:sz w:val="20"/>
                <w:szCs w:val="20"/>
                <w:color w:val="auto"/>
              </w:rPr>
            </w:pPr>
            <w:r>
              <w:rPr>
                <w:rFonts w:ascii="Arial" w:cs="Arial" w:eastAsia="Arial" w:hAnsi="Arial"/>
                <w:sz w:val="17"/>
                <w:szCs w:val="17"/>
                <w:color w:val="auto"/>
              </w:rPr>
              <w:t>Finley Square</w:t>
            </w:r>
          </w:p>
        </w:tc>
        <w:tc>
          <w:tcPr>
            <w:tcW w:w="460" w:type="dxa"/>
            <w:vAlign w:val="bottom"/>
          </w:tcPr>
          <w:p>
            <w:pPr>
              <w:spacing w:after="0"/>
              <w:rPr>
                <w:sz w:val="20"/>
                <w:szCs w:val="20"/>
                <w:color w:val="auto"/>
              </w:rPr>
            </w:pPr>
            <w:r>
              <w:rPr>
                <w:rFonts w:ascii="Arial" w:cs="Arial" w:eastAsia="Arial" w:hAnsi="Arial"/>
                <w:sz w:val="17"/>
                <w:szCs w:val="17"/>
                <w:color w:val="auto"/>
              </w:rPr>
              <w:t>SC</w:t>
            </w:r>
          </w:p>
        </w:tc>
        <w:tc>
          <w:tcPr>
            <w:tcW w:w="80" w:type="dxa"/>
            <w:vAlign w:val="bottom"/>
          </w:tcPr>
          <w:p>
            <w:pPr>
              <w:spacing w:after="0"/>
              <w:rPr>
                <w:sz w:val="17"/>
                <w:szCs w:val="17"/>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Chicago,</w:t>
            </w:r>
          </w:p>
        </w:tc>
        <w:tc>
          <w:tcPr>
            <w:tcW w:w="680" w:type="dxa"/>
            <w:vAlign w:val="bottom"/>
            <w:gridSpan w:val="3"/>
          </w:tcPr>
          <w:p>
            <w:pPr>
              <w:jc w:val="right"/>
              <w:ind w:right="80"/>
              <w:spacing w:after="0"/>
              <w:rPr>
                <w:sz w:val="20"/>
                <w:szCs w:val="20"/>
                <w:color w:val="auto"/>
              </w:rPr>
            </w:pPr>
            <w:r>
              <w:rPr>
                <w:rFonts w:ascii="Arial" w:cs="Arial" w:eastAsia="Arial" w:hAnsi="Arial"/>
                <w:sz w:val="17"/>
                <w:szCs w:val="17"/>
                <w:color w:val="auto"/>
              </w:rPr>
              <w:t>1995</w:t>
            </w:r>
          </w:p>
        </w:tc>
        <w:tc>
          <w:tcPr>
            <w:tcW w:w="820" w:type="dxa"/>
            <w:vAlign w:val="bottom"/>
          </w:tcPr>
          <w:p>
            <w:pPr>
              <w:jc w:val="right"/>
              <w:spacing w:after="0"/>
              <w:rPr>
                <w:sz w:val="20"/>
                <w:szCs w:val="20"/>
                <w:color w:val="auto"/>
              </w:rPr>
            </w:pPr>
            <w:r>
              <w:rPr>
                <w:rFonts w:ascii="Arial" w:cs="Arial" w:eastAsia="Arial" w:hAnsi="Arial"/>
                <w:sz w:val="17"/>
                <w:szCs w:val="17"/>
                <w:color w:val="auto"/>
              </w:rPr>
              <w:t>28,684</w:t>
            </w: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313,000</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Bed, Bath &amp;</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7"/>
                <w:szCs w:val="17"/>
                <w:color w:val="auto"/>
              </w:rPr>
              <w:t>IL</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Beyond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Sports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Authority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56" w:right="239" w:bottom="0" w:gutter="0" w:footer="0" w:header="0"/>
        </w:sectPr>
      </w:pPr>
    </w:p>
    <w:bookmarkStart w:id="26" w:name="page27"/>
    <w:bookmarkEnd w:id="26"/>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164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Garden Market</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SC</w:t>
            </w: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Chicago,</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1994</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11,121</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140,000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100%</w:t>
            </w:r>
          </w:p>
        </w:tc>
        <w:tc>
          <w:tcPr>
            <w:tcW w:w="22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63,000 Dominick’s</w:t>
            </w: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Walgreens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IL</w:t>
            </w: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640" w:type="dxa"/>
            <w:vAlign w:val="bottom"/>
            <w:gridSpan w:val="7"/>
          </w:tcPr>
          <w:p>
            <w:pPr>
              <w:spacing w:after="0"/>
              <w:rPr>
                <w:sz w:val="20"/>
                <w:szCs w:val="20"/>
                <w:color w:val="auto"/>
              </w:rPr>
            </w:pPr>
            <w:r>
              <w:rPr>
                <w:rFonts w:ascii="Arial" w:cs="Arial" w:eastAsia="Arial" w:hAnsi="Arial"/>
                <w:sz w:val="17"/>
                <w:szCs w:val="17"/>
                <w:color w:val="auto"/>
                <w:w w:val="97"/>
              </w:rPr>
              <w:t>North Lake Commons</w:t>
            </w:r>
          </w:p>
        </w:tc>
        <w:tc>
          <w:tcPr>
            <w:tcW w:w="460" w:type="dxa"/>
            <w:vAlign w:val="bottom"/>
          </w:tcPr>
          <w:p>
            <w:pPr>
              <w:ind w:left="80"/>
              <w:spacing w:after="0"/>
              <w:rPr>
                <w:sz w:val="20"/>
                <w:szCs w:val="20"/>
                <w:color w:val="auto"/>
              </w:rPr>
            </w:pPr>
            <w:r>
              <w:rPr>
                <w:rFonts w:ascii="Arial" w:cs="Arial" w:eastAsia="Arial" w:hAnsi="Arial"/>
                <w:sz w:val="17"/>
                <w:szCs w:val="17"/>
                <w:color w:val="auto"/>
              </w:rPr>
              <w:t>SC</w:t>
            </w:r>
          </w:p>
        </w:tc>
        <w:tc>
          <w:tcPr>
            <w:tcW w:w="1160" w:type="dxa"/>
            <w:vAlign w:val="bottom"/>
          </w:tcPr>
          <w:p>
            <w:pPr>
              <w:ind w:left="160"/>
              <w:spacing w:after="0"/>
              <w:rPr>
                <w:sz w:val="20"/>
                <w:szCs w:val="20"/>
                <w:color w:val="auto"/>
              </w:rPr>
            </w:pPr>
            <w:r>
              <w:rPr>
                <w:rFonts w:ascii="Arial" w:cs="Arial" w:eastAsia="Arial" w:hAnsi="Arial"/>
                <w:sz w:val="17"/>
                <w:szCs w:val="17"/>
                <w:color w:val="auto"/>
              </w:rPr>
              <w:t>Chicago,</w:t>
            </w:r>
          </w:p>
        </w:tc>
        <w:tc>
          <w:tcPr>
            <w:tcW w:w="680" w:type="dxa"/>
            <w:vAlign w:val="bottom"/>
          </w:tcPr>
          <w:p>
            <w:pPr>
              <w:jc w:val="right"/>
              <w:spacing w:after="0"/>
              <w:rPr>
                <w:sz w:val="20"/>
                <w:szCs w:val="20"/>
                <w:color w:val="auto"/>
              </w:rPr>
            </w:pPr>
            <w:r>
              <w:rPr>
                <w:rFonts w:ascii="Arial" w:cs="Arial" w:eastAsia="Arial" w:hAnsi="Arial"/>
                <w:sz w:val="17"/>
                <w:szCs w:val="17"/>
                <w:color w:val="auto"/>
              </w:rPr>
              <w:t>1994</w:t>
            </w:r>
          </w:p>
        </w:tc>
        <w:tc>
          <w:tcPr>
            <w:tcW w:w="820" w:type="dxa"/>
            <w:vAlign w:val="bottom"/>
          </w:tcPr>
          <w:p>
            <w:pPr>
              <w:jc w:val="right"/>
              <w:spacing w:after="0"/>
              <w:rPr>
                <w:sz w:val="20"/>
                <w:szCs w:val="20"/>
                <w:color w:val="auto"/>
              </w:rPr>
            </w:pPr>
            <w:r>
              <w:rPr>
                <w:rFonts w:ascii="Arial" w:cs="Arial" w:eastAsia="Arial" w:hAnsi="Arial"/>
                <w:sz w:val="17"/>
                <w:szCs w:val="17"/>
                <w:color w:val="auto"/>
              </w:rPr>
              <w:t>13,032</w:t>
            </w:r>
          </w:p>
        </w:tc>
        <w:tc>
          <w:tcPr>
            <w:tcW w:w="940" w:type="dxa"/>
            <w:vAlign w:val="bottom"/>
          </w:tcPr>
          <w:p>
            <w:pPr>
              <w:jc w:val="right"/>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129,000</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93%</w:t>
            </w:r>
          </w:p>
        </w:tc>
        <w:tc>
          <w:tcPr>
            <w:tcW w:w="2280" w:type="dxa"/>
            <w:vAlign w:val="bottom"/>
          </w:tcPr>
          <w:p>
            <w:pPr>
              <w:ind w:left="720"/>
              <w:spacing w:after="0"/>
              <w:rPr>
                <w:sz w:val="20"/>
                <w:szCs w:val="20"/>
                <w:color w:val="auto"/>
              </w:rPr>
            </w:pPr>
            <w:r>
              <w:rPr>
                <w:rFonts w:ascii="Arial" w:cs="Arial" w:eastAsia="Arial" w:hAnsi="Arial"/>
                <w:sz w:val="17"/>
                <w:szCs w:val="17"/>
                <w:color w:val="auto"/>
              </w:rPr>
              <w:t>77,000 Dominick’s</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ind w:left="160"/>
              <w:spacing w:after="0"/>
              <w:rPr>
                <w:sz w:val="20"/>
                <w:szCs w:val="20"/>
                <w:color w:val="auto"/>
              </w:rPr>
            </w:pPr>
            <w:r>
              <w:rPr>
                <w:rFonts w:ascii="Arial" w:cs="Arial" w:eastAsia="Arial" w:hAnsi="Arial"/>
                <w:sz w:val="17"/>
                <w:szCs w:val="17"/>
                <w:color w:val="auto"/>
              </w:rPr>
              <w:t>IL</w:t>
            </w: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64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Evanston</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SR</w:t>
            </w: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Chicago,</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1995</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3,220</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12,000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100%</w:t>
            </w: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Gap</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IL</w:t>
            </w: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78,297</w:t>
            </w:r>
          </w:p>
        </w:tc>
        <w:tc>
          <w:tcPr>
            <w:tcW w:w="9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767,000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98%</w:t>
            </w: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20" w:type="dxa"/>
            <w:vAlign w:val="bottom"/>
            <w:tcBorders>
              <w:bottom w:val="single" w:sz="8" w:color="auto"/>
            </w:tcBorders>
            <w:gridSpan w:val="5"/>
          </w:tcPr>
          <w:p>
            <w:pPr>
              <w:spacing w:after="0" w:line="174" w:lineRule="exact"/>
              <w:rPr>
                <w:sz w:val="20"/>
                <w:szCs w:val="20"/>
                <w:color w:val="auto"/>
              </w:rPr>
            </w:pPr>
            <w:r>
              <w:rPr>
                <w:rFonts w:ascii="Arial" w:cs="Arial" w:eastAsia="Arial" w:hAnsi="Arial"/>
                <w:sz w:val="17"/>
                <w:szCs w:val="17"/>
                <w:color w:val="auto"/>
                <w:w w:val="91"/>
              </w:rPr>
              <w:t>Northeast Region -</w:t>
            </w:r>
          </w:p>
        </w:tc>
        <w:tc>
          <w:tcPr>
            <w:tcW w:w="320" w:type="dxa"/>
            <w:vAlign w:val="bottom"/>
            <w:gridSpan w:val="2"/>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6"/>
          </w:tcPr>
          <w:p>
            <w:pPr>
              <w:spacing w:after="0" w:line="194" w:lineRule="exact"/>
              <w:rPr>
                <w:sz w:val="20"/>
                <w:szCs w:val="20"/>
                <w:color w:val="auto"/>
              </w:rPr>
            </w:pPr>
            <w:r>
              <w:rPr>
                <w:rFonts w:ascii="Arial" w:cs="Arial" w:eastAsia="Arial" w:hAnsi="Arial"/>
                <w:sz w:val="17"/>
                <w:szCs w:val="17"/>
                <w:color w:val="auto"/>
              </w:rPr>
              <w:t>Other</w:t>
            </w:r>
          </w:p>
        </w:tc>
        <w:tc>
          <w:tcPr>
            <w:tcW w:w="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164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Gratiot Plaza</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SC</w:t>
            </w: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Detroit, MI</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1973</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17,461</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218,000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100%</w:t>
            </w:r>
          </w:p>
        </w:tc>
        <w:tc>
          <w:tcPr>
            <w:tcW w:w="22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69,000 Farmer</w:t>
            </w: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Bed, Bath &amp;</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shd w:val="clear" w:color="auto" w:fill="CCEEFF"/>
          </w:tcPr>
          <w:p>
            <w:pPr>
              <w:ind w:left="1280"/>
              <w:spacing w:after="0"/>
              <w:rPr>
                <w:sz w:val="20"/>
                <w:szCs w:val="20"/>
                <w:color w:val="auto"/>
              </w:rPr>
            </w:pPr>
            <w:r>
              <w:rPr>
                <w:rFonts w:ascii="Arial" w:cs="Arial" w:eastAsia="Arial" w:hAnsi="Arial"/>
                <w:sz w:val="17"/>
                <w:szCs w:val="17"/>
                <w:color w:val="auto"/>
              </w:rPr>
              <w:t>Jack’s</w:t>
            </w: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Beyond / Best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Buy / DSW</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640" w:type="dxa"/>
            <w:vAlign w:val="bottom"/>
            <w:gridSpan w:val="7"/>
          </w:tcPr>
          <w:p>
            <w:pPr>
              <w:spacing w:after="0"/>
              <w:rPr>
                <w:sz w:val="20"/>
                <w:szCs w:val="20"/>
                <w:color w:val="auto"/>
              </w:rPr>
            </w:pPr>
            <w:r>
              <w:rPr>
                <w:rFonts w:ascii="Arial" w:cs="Arial" w:eastAsia="Arial" w:hAnsi="Arial"/>
                <w:sz w:val="17"/>
                <w:szCs w:val="17"/>
                <w:color w:val="auto"/>
              </w:rPr>
              <w:t>Lancaster</w:t>
            </w:r>
          </w:p>
        </w:tc>
        <w:tc>
          <w:tcPr>
            <w:tcW w:w="460" w:type="dxa"/>
            <w:vAlign w:val="bottom"/>
          </w:tcPr>
          <w:p>
            <w:pPr>
              <w:ind w:left="80"/>
              <w:spacing w:after="0"/>
              <w:rPr>
                <w:sz w:val="20"/>
                <w:szCs w:val="20"/>
                <w:color w:val="auto"/>
              </w:rPr>
            </w:pPr>
            <w:r>
              <w:rPr>
                <w:rFonts w:ascii="Arial" w:cs="Arial" w:eastAsia="Arial" w:hAnsi="Arial"/>
                <w:sz w:val="17"/>
                <w:szCs w:val="17"/>
                <w:color w:val="auto"/>
              </w:rPr>
              <w:t>SC</w:t>
            </w:r>
          </w:p>
        </w:tc>
        <w:tc>
          <w:tcPr>
            <w:tcW w:w="1160" w:type="dxa"/>
            <w:vAlign w:val="bottom"/>
          </w:tcPr>
          <w:p>
            <w:pPr>
              <w:ind w:left="160"/>
              <w:spacing w:after="0"/>
              <w:rPr>
                <w:sz w:val="20"/>
                <w:szCs w:val="20"/>
                <w:color w:val="auto"/>
              </w:rPr>
            </w:pPr>
            <w:r>
              <w:rPr>
                <w:rFonts w:ascii="Arial" w:cs="Arial" w:eastAsia="Arial" w:hAnsi="Arial"/>
                <w:sz w:val="17"/>
                <w:szCs w:val="17"/>
                <w:color w:val="auto"/>
              </w:rPr>
              <w:t>Lancaster,</w:t>
            </w:r>
          </w:p>
        </w:tc>
        <w:tc>
          <w:tcPr>
            <w:tcW w:w="680" w:type="dxa"/>
            <w:vAlign w:val="bottom"/>
          </w:tcPr>
          <w:p>
            <w:pPr>
              <w:jc w:val="right"/>
              <w:spacing w:after="0"/>
              <w:rPr>
                <w:sz w:val="20"/>
                <w:szCs w:val="20"/>
                <w:color w:val="auto"/>
              </w:rPr>
            </w:pPr>
            <w:r>
              <w:rPr>
                <w:rFonts w:ascii="Arial" w:cs="Arial" w:eastAsia="Arial" w:hAnsi="Arial"/>
                <w:sz w:val="17"/>
                <w:szCs w:val="17"/>
                <w:color w:val="auto"/>
              </w:rPr>
              <w:t>1980</w:t>
            </w:r>
          </w:p>
        </w:tc>
        <w:tc>
          <w:tcPr>
            <w:tcW w:w="820" w:type="dxa"/>
            <w:vAlign w:val="bottom"/>
          </w:tcPr>
          <w:p>
            <w:pPr>
              <w:jc w:val="right"/>
              <w:spacing w:after="0"/>
              <w:rPr>
                <w:sz w:val="20"/>
                <w:szCs w:val="20"/>
                <w:color w:val="auto"/>
              </w:rPr>
            </w:pPr>
            <w:r>
              <w:rPr>
                <w:rFonts w:ascii="Arial" w:cs="Arial" w:eastAsia="Arial" w:hAnsi="Arial"/>
                <w:sz w:val="17"/>
                <w:szCs w:val="17"/>
                <w:color w:val="auto"/>
              </w:rPr>
              <w:t>10,137</w:t>
            </w: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(7)</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107,000</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97%</w:t>
            </w:r>
          </w:p>
        </w:tc>
        <w:tc>
          <w:tcPr>
            <w:tcW w:w="2280" w:type="dxa"/>
            <w:vAlign w:val="bottom"/>
          </w:tcPr>
          <w:p>
            <w:pPr>
              <w:ind w:left="240"/>
              <w:spacing w:after="0"/>
              <w:rPr>
                <w:sz w:val="20"/>
                <w:szCs w:val="20"/>
                <w:color w:val="auto"/>
              </w:rPr>
            </w:pPr>
            <w:r>
              <w:rPr>
                <w:rFonts w:ascii="Arial" w:cs="Arial" w:eastAsia="Arial" w:hAnsi="Arial"/>
                <w:sz w:val="17"/>
                <w:szCs w:val="17"/>
                <w:color w:val="auto"/>
              </w:rPr>
              <w:t>4,907 39,000 Giant Food</w:t>
            </w:r>
          </w:p>
        </w:tc>
        <w:tc>
          <w:tcPr>
            <w:tcW w:w="1580" w:type="dxa"/>
            <w:vAlign w:val="bottom"/>
          </w:tcPr>
          <w:p>
            <w:pPr>
              <w:ind w:left="180"/>
              <w:spacing w:after="0"/>
              <w:rPr>
                <w:sz w:val="20"/>
                <w:szCs w:val="20"/>
                <w:color w:val="auto"/>
              </w:rPr>
            </w:pPr>
            <w:r>
              <w:rPr>
                <w:rFonts w:ascii="Arial" w:cs="Arial" w:eastAsia="Arial" w:hAnsi="Arial"/>
                <w:sz w:val="17"/>
                <w:szCs w:val="17"/>
                <w:color w:val="auto"/>
              </w:rPr>
              <w:t>Michaels</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ind w:left="160"/>
              <w:spacing w:after="0"/>
              <w:rPr>
                <w:sz w:val="20"/>
                <w:szCs w:val="20"/>
                <w:color w:val="auto"/>
              </w:rPr>
            </w:pPr>
            <w:r>
              <w:rPr>
                <w:rFonts w:ascii="Arial" w:cs="Arial" w:eastAsia="Arial" w:hAnsi="Arial"/>
                <w:sz w:val="17"/>
                <w:szCs w:val="17"/>
                <w:color w:val="auto"/>
              </w:rPr>
              <w:t>PA</w:t>
            </w: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27,598</w:t>
            </w:r>
          </w:p>
        </w:tc>
        <w:tc>
          <w:tcPr>
            <w:tcW w:w="9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325,000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99%</w:t>
            </w: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ind w:left="160"/>
              <w:spacing w:after="0"/>
              <w:rPr>
                <w:sz w:val="20"/>
                <w:szCs w:val="20"/>
                <w:color w:val="auto"/>
              </w:rPr>
            </w:pPr>
            <w:r>
              <w:rPr>
                <w:rFonts w:ascii="Arial" w:cs="Arial" w:eastAsia="Arial" w:hAnsi="Arial"/>
                <w:sz w:val="17"/>
                <w:szCs w:val="17"/>
                <w:color w:val="auto"/>
              </w:rPr>
              <w:t>Total</w:t>
            </w:r>
          </w:p>
        </w:tc>
        <w:tc>
          <w:tcPr>
            <w:tcW w:w="6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842,369</w:t>
            </w:r>
          </w:p>
        </w:tc>
        <w:tc>
          <w:tcPr>
            <w:tcW w:w="9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7,764,000</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96%</w:t>
            </w:r>
          </w:p>
        </w:tc>
        <w:tc>
          <w:tcPr>
            <w:tcW w:w="2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Arial" w:cs="Arial" w:eastAsia="Arial" w:hAnsi="Arial"/>
                <w:sz w:val="17"/>
                <w:szCs w:val="17"/>
                <w:color w:val="auto"/>
              </w:rPr>
              <w:t>Northeast</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ind w:left="160"/>
              <w:spacing w:after="0"/>
              <w:rPr>
                <w:sz w:val="20"/>
                <w:szCs w:val="20"/>
                <w:color w:val="auto"/>
              </w:rPr>
            </w:pPr>
            <w:r>
              <w:rPr>
                <w:rFonts w:ascii="Arial" w:cs="Arial" w:eastAsia="Arial" w:hAnsi="Arial"/>
                <w:sz w:val="17"/>
                <w:szCs w:val="17"/>
                <w:color w:val="auto"/>
              </w:rPr>
              <w:t>Region</w:t>
            </w: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7"/>
                <w:szCs w:val="17"/>
                <w:color w:val="auto"/>
                <w:w w:val="88"/>
              </w:rPr>
              <w:t>West Region</w:t>
            </w:r>
          </w:p>
        </w:tc>
        <w:tc>
          <w:tcPr>
            <w:tcW w:w="760" w:type="dxa"/>
            <w:vAlign w:val="bottom"/>
            <w:tcBorders>
              <w:bottom w:val="single" w:sz="8" w:color="CCEEFF"/>
            </w:tcBorders>
            <w:gridSpan w:val="3"/>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gridSpan w:val="7"/>
          </w:tcPr>
          <w:p>
            <w:pPr>
              <w:spacing w:after="0" w:line="174" w:lineRule="exact"/>
              <w:rPr>
                <w:sz w:val="20"/>
                <w:szCs w:val="20"/>
                <w:color w:val="auto"/>
              </w:rPr>
            </w:pPr>
            <w:r>
              <w:rPr>
                <w:rFonts w:ascii="Arial" w:cs="Arial" w:eastAsia="Arial" w:hAnsi="Arial"/>
                <w:sz w:val="17"/>
                <w:szCs w:val="17"/>
                <w:color w:val="auto"/>
              </w:rPr>
              <w:t>California</w:t>
            </w: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164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Colorado Blvd</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SR</w:t>
            </w: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Los</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1996-</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16,580</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69,000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98%</w:t>
            </w:r>
          </w:p>
        </w:tc>
        <w:tc>
          <w:tcPr>
            <w:tcW w:w="2280" w:type="dxa"/>
            <w:vAlign w:val="bottom"/>
            <w:shd w:val="clear" w:color="auto" w:fill="CCEEFF"/>
          </w:tcPr>
          <w:p>
            <w:pPr>
              <w:spacing w:after="0"/>
              <w:rPr>
                <w:sz w:val="17"/>
                <w:szCs w:val="17"/>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Pottery Barn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Angeles-</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1998</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Banana</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Long</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Republic</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Beach, CA</w:t>
            </w: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640" w:type="dxa"/>
            <w:vAlign w:val="bottom"/>
            <w:gridSpan w:val="7"/>
          </w:tcPr>
          <w:p>
            <w:pPr>
              <w:spacing w:after="0"/>
              <w:rPr>
                <w:sz w:val="20"/>
                <w:szCs w:val="20"/>
                <w:color w:val="auto"/>
              </w:rPr>
            </w:pPr>
            <w:r>
              <w:rPr>
                <w:rFonts w:ascii="Arial" w:cs="Arial" w:eastAsia="Arial" w:hAnsi="Arial"/>
                <w:sz w:val="17"/>
                <w:szCs w:val="17"/>
                <w:color w:val="auto"/>
              </w:rPr>
              <w:t>Hermosa Ave</w:t>
            </w:r>
          </w:p>
        </w:tc>
        <w:tc>
          <w:tcPr>
            <w:tcW w:w="460" w:type="dxa"/>
            <w:vAlign w:val="bottom"/>
          </w:tcPr>
          <w:p>
            <w:pPr>
              <w:ind w:left="80"/>
              <w:spacing w:after="0"/>
              <w:rPr>
                <w:sz w:val="20"/>
                <w:szCs w:val="20"/>
                <w:color w:val="auto"/>
              </w:rPr>
            </w:pPr>
            <w:r>
              <w:rPr>
                <w:rFonts w:ascii="Arial" w:cs="Arial" w:eastAsia="Arial" w:hAnsi="Arial"/>
                <w:sz w:val="17"/>
                <w:szCs w:val="17"/>
                <w:color w:val="auto"/>
              </w:rPr>
              <w:t>SR</w:t>
            </w:r>
          </w:p>
        </w:tc>
        <w:tc>
          <w:tcPr>
            <w:tcW w:w="1160" w:type="dxa"/>
            <w:vAlign w:val="bottom"/>
          </w:tcPr>
          <w:p>
            <w:pPr>
              <w:ind w:left="160"/>
              <w:spacing w:after="0"/>
              <w:rPr>
                <w:sz w:val="20"/>
                <w:szCs w:val="20"/>
                <w:color w:val="auto"/>
              </w:rPr>
            </w:pPr>
            <w:r>
              <w:rPr>
                <w:rFonts w:ascii="Arial" w:cs="Arial" w:eastAsia="Arial" w:hAnsi="Arial"/>
                <w:sz w:val="17"/>
                <w:szCs w:val="17"/>
                <w:color w:val="auto"/>
              </w:rPr>
              <w:t>Los</w:t>
            </w:r>
          </w:p>
        </w:tc>
        <w:tc>
          <w:tcPr>
            <w:tcW w:w="680" w:type="dxa"/>
            <w:vAlign w:val="bottom"/>
          </w:tcPr>
          <w:p>
            <w:pPr>
              <w:jc w:val="right"/>
              <w:spacing w:after="0"/>
              <w:rPr>
                <w:sz w:val="20"/>
                <w:szCs w:val="20"/>
                <w:color w:val="auto"/>
              </w:rPr>
            </w:pPr>
            <w:r>
              <w:rPr>
                <w:rFonts w:ascii="Arial" w:cs="Arial" w:eastAsia="Arial" w:hAnsi="Arial"/>
                <w:sz w:val="17"/>
                <w:szCs w:val="17"/>
                <w:color w:val="auto"/>
              </w:rPr>
              <w:t>1997</w:t>
            </w:r>
          </w:p>
        </w:tc>
        <w:tc>
          <w:tcPr>
            <w:tcW w:w="820" w:type="dxa"/>
            <w:vAlign w:val="bottom"/>
          </w:tcPr>
          <w:p>
            <w:pPr>
              <w:jc w:val="right"/>
              <w:spacing w:after="0"/>
              <w:rPr>
                <w:sz w:val="20"/>
                <w:szCs w:val="20"/>
                <w:color w:val="auto"/>
              </w:rPr>
            </w:pPr>
            <w:r>
              <w:rPr>
                <w:rFonts w:ascii="Arial" w:cs="Arial" w:eastAsia="Arial" w:hAnsi="Arial"/>
                <w:sz w:val="17"/>
                <w:szCs w:val="17"/>
                <w:color w:val="auto"/>
              </w:rPr>
              <w:t>4,722</w:t>
            </w:r>
          </w:p>
        </w:tc>
        <w:tc>
          <w:tcPr>
            <w:tcW w:w="940" w:type="dxa"/>
            <w:vAlign w:val="bottom"/>
          </w:tcPr>
          <w:p>
            <w:pPr>
              <w:jc w:val="right"/>
              <w:spacing w:after="0"/>
              <w:rPr>
                <w:sz w:val="20"/>
                <w:szCs w:val="20"/>
                <w:color w:val="auto"/>
              </w:rPr>
            </w:pPr>
            <w:r>
              <w:rPr>
                <w:rFonts w:ascii="Arial" w:cs="Arial" w:eastAsia="Arial" w:hAnsi="Arial"/>
                <w:sz w:val="17"/>
                <w:szCs w:val="17"/>
                <w:color w:val="auto"/>
              </w:rPr>
              <w:t>90.0%</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23,000</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100%</w:t>
            </w:r>
          </w:p>
        </w:tc>
        <w:tc>
          <w:tcPr>
            <w:tcW w:w="2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Arial" w:cs="Arial" w:eastAsia="Arial" w:hAnsi="Arial"/>
                <w:sz w:val="17"/>
                <w:szCs w:val="17"/>
                <w:color w:val="auto"/>
              </w:rPr>
              <w:t>Angeles-</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Arial" w:cs="Arial" w:eastAsia="Arial" w:hAnsi="Arial"/>
                <w:sz w:val="17"/>
                <w:szCs w:val="17"/>
                <w:color w:val="auto"/>
              </w:rPr>
              <w:t>Long</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ind w:left="160"/>
              <w:spacing w:after="0"/>
              <w:rPr>
                <w:sz w:val="20"/>
                <w:szCs w:val="20"/>
                <w:color w:val="auto"/>
              </w:rPr>
            </w:pPr>
            <w:r>
              <w:rPr>
                <w:rFonts w:ascii="Arial" w:cs="Arial" w:eastAsia="Arial" w:hAnsi="Arial"/>
                <w:sz w:val="17"/>
                <w:szCs w:val="17"/>
                <w:color w:val="auto"/>
              </w:rPr>
              <w:t>Beach, CA</w:t>
            </w: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64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Hollywood Blvd</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SR</w:t>
            </w: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Los</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1999</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24,729</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150,000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78%</w:t>
            </w: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Hollywood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Angeles-</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Entertainment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Long</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Museum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Beach, CA</w:t>
            </w: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640" w:type="dxa"/>
            <w:vAlign w:val="bottom"/>
            <w:gridSpan w:val="7"/>
          </w:tcPr>
          <w:p>
            <w:pPr>
              <w:spacing w:after="0"/>
              <w:rPr>
                <w:sz w:val="20"/>
                <w:szCs w:val="20"/>
                <w:color w:val="auto"/>
              </w:rPr>
            </w:pPr>
            <w:r>
              <w:rPr>
                <w:rFonts w:ascii="Arial" w:cs="Arial" w:eastAsia="Arial" w:hAnsi="Arial"/>
                <w:sz w:val="17"/>
                <w:szCs w:val="17"/>
                <w:color w:val="auto"/>
              </w:rPr>
              <w:t>Third St Promenade</w:t>
            </w:r>
          </w:p>
        </w:tc>
        <w:tc>
          <w:tcPr>
            <w:tcW w:w="460" w:type="dxa"/>
            <w:vAlign w:val="bottom"/>
          </w:tcPr>
          <w:p>
            <w:pPr>
              <w:ind w:left="80"/>
              <w:spacing w:after="0"/>
              <w:rPr>
                <w:sz w:val="20"/>
                <w:szCs w:val="20"/>
                <w:color w:val="auto"/>
              </w:rPr>
            </w:pPr>
            <w:r>
              <w:rPr>
                <w:rFonts w:ascii="Arial" w:cs="Arial" w:eastAsia="Arial" w:hAnsi="Arial"/>
                <w:sz w:val="17"/>
                <w:szCs w:val="17"/>
                <w:color w:val="auto"/>
              </w:rPr>
              <w:t>SR</w:t>
            </w:r>
          </w:p>
        </w:tc>
        <w:tc>
          <w:tcPr>
            <w:tcW w:w="1160" w:type="dxa"/>
            <w:vAlign w:val="bottom"/>
          </w:tcPr>
          <w:p>
            <w:pPr>
              <w:ind w:left="160"/>
              <w:spacing w:after="0"/>
              <w:rPr>
                <w:sz w:val="20"/>
                <w:szCs w:val="20"/>
                <w:color w:val="auto"/>
              </w:rPr>
            </w:pPr>
            <w:r>
              <w:rPr>
                <w:rFonts w:ascii="Arial" w:cs="Arial" w:eastAsia="Arial" w:hAnsi="Arial"/>
                <w:sz w:val="17"/>
                <w:szCs w:val="17"/>
                <w:color w:val="auto"/>
              </w:rPr>
              <w:t>Los</w:t>
            </w:r>
          </w:p>
        </w:tc>
        <w:tc>
          <w:tcPr>
            <w:tcW w:w="680" w:type="dxa"/>
            <w:vAlign w:val="bottom"/>
          </w:tcPr>
          <w:p>
            <w:pPr>
              <w:jc w:val="right"/>
              <w:spacing w:after="0"/>
              <w:rPr>
                <w:sz w:val="20"/>
                <w:szCs w:val="20"/>
                <w:color w:val="auto"/>
              </w:rPr>
            </w:pPr>
            <w:r>
              <w:rPr>
                <w:rFonts w:ascii="Arial" w:cs="Arial" w:eastAsia="Arial" w:hAnsi="Arial"/>
                <w:sz w:val="17"/>
                <w:szCs w:val="17"/>
                <w:color w:val="auto"/>
              </w:rPr>
              <w:t>1996-</w:t>
            </w:r>
          </w:p>
        </w:tc>
        <w:tc>
          <w:tcPr>
            <w:tcW w:w="820" w:type="dxa"/>
            <w:vAlign w:val="bottom"/>
          </w:tcPr>
          <w:p>
            <w:pPr>
              <w:jc w:val="right"/>
              <w:spacing w:after="0"/>
              <w:rPr>
                <w:sz w:val="20"/>
                <w:szCs w:val="20"/>
                <w:color w:val="auto"/>
              </w:rPr>
            </w:pPr>
            <w:r>
              <w:rPr>
                <w:rFonts w:ascii="Arial" w:cs="Arial" w:eastAsia="Arial" w:hAnsi="Arial"/>
                <w:sz w:val="17"/>
                <w:szCs w:val="17"/>
                <w:color w:val="auto"/>
              </w:rPr>
              <w:t>73,818</w:t>
            </w: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(9)</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209,000</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99%</w:t>
            </w:r>
          </w:p>
        </w:tc>
        <w:tc>
          <w:tcPr>
            <w:tcW w:w="2280" w:type="dxa"/>
            <w:vAlign w:val="bottom"/>
          </w:tcPr>
          <w:p>
            <w:pPr>
              <w:spacing w:after="0"/>
              <w:rPr>
                <w:sz w:val="17"/>
                <w:szCs w:val="17"/>
                <w:color w:val="auto"/>
              </w:rPr>
            </w:pPr>
          </w:p>
        </w:tc>
        <w:tc>
          <w:tcPr>
            <w:tcW w:w="1580" w:type="dxa"/>
            <w:vAlign w:val="bottom"/>
          </w:tcPr>
          <w:p>
            <w:pPr>
              <w:ind w:left="180"/>
              <w:spacing w:after="0"/>
              <w:rPr>
                <w:sz w:val="20"/>
                <w:szCs w:val="20"/>
                <w:color w:val="auto"/>
              </w:rPr>
            </w:pPr>
            <w:r>
              <w:rPr>
                <w:rFonts w:ascii="Arial" w:cs="Arial" w:eastAsia="Arial" w:hAnsi="Arial"/>
                <w:sz w:val="17"/>
                <w:szCs w:val="17"/>
                <w:color w:val="auto"/>
              </w:rPr>
              <w:t>J. Crew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Arial" w:cs="Arial" w:eastAsia="Arial" w:hAnsi="Arial"/>
                <w:sz w:val="17"/>
                <w:szCs w:val="17"/>
                <w:color w:val="auto"/>
              </w:rPr>
              <w:t>Angeles-</w:t>
            </w:r>
          </w:p>
        </w:tc>
        <w:tc>
          <w:tcPr>
            <w:tcW w:w="680" w:type="dxa"/>
            <w:vAlign w:val="bottom"/>
          </w:tcPr>
          <w:p>
            <w:pPr>
              <w:jc w:val="right"/>
              <w:spacing w:after="0"/>
              <w:rPr>
                <w:sz w:val="20"/>
                <w:szCs w:val="20"/>
                <w:color w:val="auto"/>
              </w:rPr>
            </w:pPr>
            <w:r>
              <w:rPr>
                <w:rFonts w:ascii="Arial" w:cs="Arial" w:eastAsia="Arial" w:hAnsi="Arial"/>
                <w:sz w:val="17"/>
                <w:szCs w:val="17"/>
                <w:color w:val="auto"/>
              </w:rPr>
              <w:t>2000</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580" w:type="dxa"/>
            <w:vAlign w:val="bottom"/>
          </w:tcPr>
          <w:p>
            <w:pPr>
              <w:ind w:left="180"/>
              <w:spacing w:after="0"/>
              <w:rPr>
                <w:sz w:val="20"/>
                <w:szCs w:val="20"/>
                <w:color w:val="auto"/>
              </w:rPr>
            </w:pPr>
            <w:r>
              <w:rPr>
                <w:rFonts w:ascii="Arial" w:cs="Arial" w:eastAsia="Arial" w:hAnsi="Arial"/>
                <w:sz w:val="17"/>
                <w:szCs w:val="17"/>
                <w:color w:val="auto"/>
              </w:rPr>
              <w:t>Banana</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Arial" w:cs="Arial" w:eastAsia="Arial" w:hAnsi="Arial"/>
                <w:sz w:val="17"/>
                <w:szCs w:val="17"/>
                <w:color w:val="auto"/>
              </w:rPr>
              <w:t>Long</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580" w:type="dxa"/>
            <w:vAlign w:val="bottom"/>
          </w:tcPr>
          <w:p>
            <w:pPr>
              <w:ind w:left="180"/>
              <w:spacing w:after="0"/>
              <w:rPr>
                <w:sz w:val="20"/>
                <w:szCs w:val="20"/>
                <w:color w:val="auto"/>
              </w:rPr>
            </w:pPr>
            <w:r>
              <w:rPr>
                <w:rFonts w:ascii="Arial" w:cs="Arial" w:eastAsia="Arial" w:hAnsi="Arial"/>
                <w:sz w:val="17"/>
                <w:szCs w:val="17"/>
                <w:color w:val="auto"/>
              </w:rPr>
              <w:t>Republic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Arial" w:cs="Arial" w:eastAsia="Arial" w:hAnsi="Arial"/>
                <w:sz w:val="17"/>
                <w:szCs w:val="17"/>
                <w:color w:val="auto"/>
              </w:rPr>
              <w:t>Beach, CA</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580" w:type="dxa"/>
            <w:vAlign w:val="bottom"/>
          </w:tcPr>
          <w:p>
            <w:pPr>
              <w:ind w:left="180"/>
              <w:spacing w:after="0"/>
              <w:rPr>
                <w:sz w:val="20"/>
                <w:szCs w:val="20"/>
                <w:color w:val="auto"/>
              </w:rPr>
            </w:pPr>
            <w:r>
              <w:rPr>
                <w:rFonts w:ascii="Arial" w:cs="Arial" w:eastAsia="Arial" w:hAnsi="Arial"/>
                <w:sz w:val="17"/>
                <w:szCs w:val="17"/>
                <w:color w:val="auto"/>
              </w:rPr>
              <w:t>Old Navy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580" w:type="dxa"/>
            <w:vAlign w:val="bottom"/>
          </w:tcPr>
          <w:p>
            <w:pPr>
              <w:ind w:left="180"/>
              <w:spacing w:after="0"/>
              <w:rPr>
                <w:sz w:val="20"/>
                <w:szCs w:val="20"/>
                <w:color w:val="auto"/>
              </w:rPr>
            </w:pPr>
            <w:r>
              <w:rPr>
                <w:rFonts w:ascii="Arial" w:cs="Arial" w:eastAsia="Arial" w:hAnsi="Arial"/>
                <w:sz w:val="17"/>
                <w:szCs w:val="17"/>
                <w:color w:val="auto"/>
              </w:rPr>
              <w:t>Abercrombie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580" w:type="dxa"/>
            <w:vAlign w:val="bottom"/>
          </w:tcPr>
          <w:p>
            <w:pPr>
              <w:ind w:left="180"/>
              <w:spacing w:after="0"/>
              <w:rPr>
                <w:sz w:val="20"/>
                <w:szCs w:val="20"/>
                <w:color w:val="auto"/>
              </w:rPr>
            </w:pPr>
            <w:r>
              <w:rPr>
                <w:rFonts w:ascii="Arial" w:cs="Arial" w:eastAsia="Arial" w:hAnsi="Arial"/>
                <w:sz w:val="17"/>
                <w:szCs w:val="17"/>
                <w:color w:val="auto"/>
              </w:rPr>
              <w:t>&amp; Fitch</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64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Escondido</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SC</w:t>
            </w: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San Diego,</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1996</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24,924</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222,000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97%</w:t>
            </w: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Plus / TJ</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Maxx / Toys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 Us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640" w:type="dxa"/>
            <w:vAlign w:val="bottom"/>
            <w:gridSpan w:val="7"/>
          </w:tcPr>
          <w:p>
            <w:pPr>
              <w:spacing w:after="0"/>
              <w:rPr>
                <w:sz w:val="20"/>
                <w:szCs w:val="20"/>
                <w:color w:val="auto"/>
              </w:rPr>
            </w:pPr>
            <w:r>
              <w:rPr>
                <w:rFonts w:ascii="Arial" w:cs="Arial" w:eastAsia="Arial" w:hAnsi="Arial"/>
                <w:sz w:val="17"/>
                <w:szCs w:val="17"/>
                <w:color w:val="auto"/>
              </w:rPr>
              <w:t>Fifth Ave</w:t>
            </w:r>
          </w:p>
        </w:tc>
        <w:tc>
          <w:tcPr>
            <w:tcW w:w="460" w:type="dxa"/>
            <w:vAlign w:val="bottom"/>
          </w:tcPr>
          <w:p>
            <w:pPr>
              <w:ind w:left="80"/>
              <w:spacing w:after="0"/>
              <w:rPr>
                <w:sz w:val="20"/>
                <w:szCs w:val="20"/>
                <w:color w:val="auto"/>
              </w:rPr>
            </w:pPr>
            <w:r>
              <w:rPr>
                <w:rFonts w:ascii="Arial" w:cs="Arial" w:eastAsia="Arial" w:hAnsi="Arial"/>
                <w:sz w:val="17"/>
                <w:szCs w:val="17"/>
                <w:color w:val="auto"/>
              </w:rPr>
              <w:t>SR</w:t>
            </w:r>
          </w:p>
        </w:tc>
        <w:tc>
          <w:tcPr>
            <w:tcW w:w="1160" w:type="dxa"/>
            <w:vAlign w:val="bottom"/>
          </w:tcPr>
          <w:p>
            <w:pPr>
              <w:ind w:left="160"/>
              <w:spacing w:after="0"/>
              <w:rPr>
                <w:sz w:val="20"/>
                <w:szCs w:val="20"/>
                <w:color w:val="auto"/>
              </w:rPr>
            </w:pPr>
            <w:r>
              <w:rPr>
                <w:rFonts w:ascii="Arial" w:cs="Arial" w:eastAsia="Arial" w:hAnsi="Arial"/>
                <w:sz w:val="17"/>
                <w:szCs w:val="17"/>
                <w:color w:val="auto"/>
              </w:rPr>
              <w:t>San Diego,</w:t>
            </w:r>
          </w:p>
        </w:tc>
        <w:tc>
          <w:tcPr>
            <w:tcW w:w="680" w:type="dxa"/>
            <w:vAlign w:val="bottom"/>
          </w:tcPr>
          <w:p>
            <w:pPr>
              <w:jc w:val="right"/>
              <w:spacing w:after="0"/>
              <w:rPr>
                <w:sz w:val="20"/>
                <w:szCs w:val="20"/>
                <w:color w:val="auto"/>
              </w:rPr>
            </w:pPr>
            <w:r>
              <w:rPr>
                <w:rFonts w:ascii="Arial" w:cs="Arial" w:eastAsia="Arial" w:hAnsi="Arial"/>
                <w:sz w:val="17"/>
                <w:szCs w:val="17"/>
                <w:color w:val="auto"/>
              </w:rPr>
              <w:t>1996-</w:t>
            </w:r>
          </w:p>
        </w:tc>
        <w:tc>
          <w:tcPr>
            <w:tcW w:w="820" w:type="dxa"/>
            <w:vAlign w:val="bottom"/>
          </w:tcPr>
          <w:p>
            <w:pPr>
              <w:jc w:val="right"/>
              <w:spacing w:after="0"/>
              <w:rPr>
                <w:sz w:val="20"/>
                <w:szCs w:val="20"/>
                <w:color w:val="auto"/>
              </w:rPr>
            </w:pPr>
            <w:r>
              <w:rPr>
                <w:rFonts w:ascii="Arial" w:cs="Arial" w:eastAsia="Arial" w:hAnsi="Arial"/>
                <w:sz w:val="17"/>
                <w:szCs w:val="17"/>
                <w:color w:val="auto"/>
              </w:rPr>
              <w:t>12,335</w:t>
            </w: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(10)</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51,000</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82%</w:t>
            </w:r>
          </w:p>
        </w:tc>
        <w:tc>
          <w:tcPr>
            <w:tcW w:w="2280" w:type="dxa"/>
            <w:vAlign w:val="bottom"/>
          </w:tcPr>
          <w:p>
            <w:pPr>
              <w:spacing w:after="0"/>
              <w:rPr>
                <w:sz w:val="17"/>
                <w:szCs w:val="17"/>
                <w:color w:val="auto"/>
              </w:rPr>
            </w:pPr>
          </w:p>
        </w:tc>
        <w:tc>
          <w:tcPr>
            <w:tcW w:w="1580" w:type="dxa"/>
            <w:vAlign w:val="bottom"/>
          </w:tcPr>
          <w:p>
            <w:pPr>
              <w:ind w:left="180"/>
              <w:spacing w:after="0"/>
              <w:rPr>
                <w:sz w:val="20"/>
                <w:szCs w:val="20"/>
                <w:color w:val="auto"/>
              </w:rPr>
            </w:pPr>
            <w:r>
              <w:rPr>
                <w:rFonts w:ascii="Arial" w:cs="Arial" w:eastAsia="Arial" w:hAnsi="Arial"/>
                <w:sz w:val="17"/>
                <w:szCs w:val="17"/>
                <w:color w:val="auto"/>
              </w:rPr>
              <w:t>Urban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ind w:left="160"/>
              <w:spacing w:after="0"/>
              <w:rPr>
                <w:sz w:val="20"/>
                <w:szCs w:val="20"/>
                <w:color w:val="auto"/>
              </w:rPr>
            </w:pPr>
            <w:r>
              <w:rPr>
                <w:rFonts w:ascii="Arial" w:cs="Arial" w:eastAsia="Arial" w:hAnsi="Arial"/>
                <w:sz w:val="17"/>
                <w:szCs w:val="17"/>
                <w:color w:val="auto"/>
              </w:rPr>
              <w:t>CA</w:t>
            </w:r>
          </w:p>
        </w:tc>
        <w:tc>
          <w:tcPr>
            <w:tcW w:w="680" w:type="dxa"/>
            <w:vAlign w:val="bottom"/>
          </w:tcPr>
          <w:p>
            <w:pPr>
              <w:jc w:val="right"/>
              <w:spacing w:after="0"/>
              <w:rPr>
                <w:sz w:val="20"/>
                <w:szCs w:val="20"/>
                <w:color w:val="auto"/>
              </w:rPr>
            </w:pPr>
            <w:r>
              <w:rPr>
                <w:rFonts w:ascii="Arial" w:cs="Arial" w:eastAsia="Arial" w:hAnsi="Arial"/>
                <w:sz w:val="17"/>
                <w:szCs w:val="17"/>
                <w:color w:val="auto"/>
              </w:rPr>
              <w:t>1997</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580" w:type="dxa"/>
            <w:vAlign w:val="bottom"/>
          </w:tcPr>
          <w:p>
            <w:pPr>
              <w:ind w:left="180"/>
              <w:spacing w:after="0"/>
              <w:rPr>
                <w:sz w:val="20"/>
                <w:szCs w:val="20"/>
                <w:color w:val="auto"/>
              </w:rPr>
            </w:pPr>
            <w:r>
              <w:rPr>
                <w:rFonts w:ascii="Arial" w:cs="Arial" w:eastAsia="Arial" w:hAnsi="Arial"/>
                <w:sz w:val="17"/>
                <w:szCs w:val="17"/>
                <w:color w:val="auto"/>
              </w:rPr>
              <w:t>Outfitters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64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150 Post Street</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SR</w:t>
            </w: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San</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1997</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32,344</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102,000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61%</w:t>
            </w: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Brooks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Francisco,</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Brothers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w:t>
            </w: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640" w:type="dxa"/>
            <w:vAlign w:val="bottom"/>
            <w:gridSpan w:val="7"/>
          </w:tcPr>
          <w:p>
            <w:pPr>
              <w:spacing w:after="0"/>
              <w:rPr>
                <w:sz w:val="20"/>
                <w:szCs w:val="20"/>
                <w:color w:val="auto"/>
              </w:rPr>
            </w:pPr>
            <w:r>
              <w:rPr>
                <w:rFonts w:ascii="Arial" w:cs="Arial" w:eastAsia="Arial" w:hAnsi="Arial"/>
                <w:sz w:val="17"/>
                <w:szCs w:val="17"/>
                <w:color w:val="auto"/>
              </w:rPr>
              <w:t>Kings Court</w:t>
            </w:r>
          </w:p>
        </w:tc>
        <w:tc>
          <w:tcPr>
            <w:tcW w:w="460" w:type="dxa"/>
            <w:vAlign w:val="bottom"/>
          </w:tcPr>
          <w:p>
            <w:pPr>
              <w:ind w:left="80"/>
              <w:spacing w:after="0"/>
              <w:rPr>
                <w:sz w:val="20"/>
                <w:szCs w:val="20"/>
                <w:color w:val="auto"/>
              </w:rPr>
            </w:pPr>
            <w:r>
              <w:rPr>
                <w:rFonts w:ascii="Arial" w:cs="Arial" w:eastAsia="Arial" w:hAnsi="Arial"/>
                <w:sz w:val="17"/>
                <w:szCs w:val="17"/>
                <w:color w:val="auto"/>
              </w:rPr>
              <w:t>SC</w:t>
            </w:r>
          </w:p>
        </w:tc>
        <w:tc>
          <w:tcPr>
            <w:tcW w:w="1160" w:type="dxa"/>
            <w:vAlign w:val="bottom"/>
          </w:tcPr>
          <w:p>
            <w:pPr>
              <w:ind w:left="160"/>
              <w:spacing w:after="0"/>
              <w:rPr>
                <w:sz w:val="20"/>
                <w:szCs w:val="20"/>
                <w:color w:val="auto"/>
              </w:rPr>
            </w:pPr>
            <w:r>
              <w:rPr>
                <w:rFonts w:ascii="Arial" w:cs="Arial" w:eastAsia="Arial" w:hAnsi="Arial"/>
                <w:sz w:val="17"/>
                <w:szCs w:val="17"/>
                <w:color w:val="auto"/>
              </w:rPr>
              <w:t>San Jose,</w:t>
            </w:r>
          </w:p>
        </w:tc>
        <w:tc>
          <w:tcPr>
            <w:tcW w:w="680" w:type="dxa"/>
            <w:vAlign w:val="bottom"/>
          </w:tcPr>
          <w:p>
            <w:pPr>
              <w:jc w:val="right"/>
              <w:spacing w:after="0"/>
              <w:rPr>
                <w:sz w:val="20"/>
                <w:szCs w:val="20"/>
                <w:color w:val="auto"/>
              </w:rPr>
            </w:pPr>
            <w:r>
              <w:rPr>
                <w:rFonts w:ascii="Arial" w:cs="Arial" w:eastAsia="Arial" w:hAnsi="Arial"/>
                <w:sz w:val="17"/>
                <w:szCs w:val="17"/>
                <w:color w:val="auto"/>
              </w:rPr>
              <w:t>1998</w:t>
            </w:r>
          </w:p>
        </w:tc>
        <w:tc>
          <w:tcPr>
            <w:tcW w:w="820" w:type="dxa"/>
            <w:vAlign w:val="bottom"/>
          </w:tcPr>
          <w:p>
            <w:pPr>
              <w:jc w:val="right"/>
              <w:spacing w:after="0"/>
              <w:rPr>
                <w:sz w:val="20"/>
                <w:szCs w:val="20"/>
                <w:color w:val="auto"/>
              </w:rPr>
            </w:pPr>
            <w:r>
              <w:rPr>
                <w:rFonts w:ascii="Arial" w:cs="Arial" w:eastAsia="Arial" w:hAnsi="Arial"/>
                <w:sz w:val="17"/>
                <w:szCs w:val="17"/>
                <w:color w:val="auto"/>
              </w:rPr>
              <w:t>11,410</w:t>
            </w: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(6)</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79,000</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98%</w:t>
            </w:r>
          </w:p>
        </w:tc>
        <w:tc>
          <w:tcPr>
            <w:tcW w:w="2280" w:type="dxa"/>
            <w:vAlign w:val="bottom"/>
          </w:tcPr>
          <w:p>
            <w:pPr>
              <w:ind w:left="720"/>
              <w:spacing w:after="0"/>
              <w:rPr>
                <w:sz w:val="20"/>
                <w:szCs w:val="20"/>
                <w:color w:val="auto"/>
              </w:rPr>
            </w:pPr>
            <w:r>
              <w:rPr>
                <w:rFonts w:ascii="Arial" w:cs="Arial" w:eastAsia="Arial" w:hAnsi="Arial"/>
                <w:sz w:val="17"/>
                <w:szCs w:val="17"/>
                <w:color w:val="auto"/>
              </w:rPr>
              <w:t>25,000 Lunardi’s</w:t>
            </w:r>
          </w:p>
        </w:tc>
        <w:tc>
          <w:tcPr>
            <w:tcW w:w="1580" w:type="dxa"/>
            <w:vAlign w:val="bottom"/>
          </w:tcPr>
          <w:p>
            <w:pPr>
              <w:ind w:left="180"/>
              <w:spacing w:after="0"/>
              <w:rPr>
                <w:sz w:val="20"/>
                <w:szCs w:val="20"/>
                <w:color w:val="auto"/>
              </w:rPr>
            </w:pPr>
            <w:r>
              <w:rPr>
                <w:rFonts w:ascii="Arial" w:cs="Arial" w:eastAsia="Arial" w:hAnsi="Arial"/>
                <w:sz w:val="17"/>
                <w:szCs w:val="17"/>
                <w:color w:val="auto"/>
              </w:rPr>
              <w:t>Longs Drug</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Arial" w:cs="Arial" w:eastAsia="Arial" w:hAnsi="Arial"/>
                <w:sz w:val="17"/>
                <w:szCs w:val="17"/>
                <w:color w:val="auto"/>
              </w:rPr>
              <w:t>CA</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ind w:left="1280"/>
              <w:spacing w:after="0"/>
              <w:rPr>
                <w:sz w:val="20"/>
                <w:szCs w:val="20"/>
                <w:color w:val="auto"/>
              </w:rPr>
            </w:pPr>
            <w:r>
              <w:rPr>
                <w:rFonts w:ascii="Arial" w:cs="Arial" w:eastAsia="Arial" w:hAnsi="Arial"/>
                <w:sz w:val="17"/>
                <w:szCs w:val="17"/>
                <w:color w:val="auto"/>
              </w:rPr>
              <w:t>Super</w:t>
            </w:r>
          </w:p>
        </w:tc>
        <w:tc>
          <w:tcPr>
            <w:tcW w:w="1580" w:type="dxa"/>
            <w:vAlign w:val="bottom"/>
          </w:tcPr>
          <w:p>
            <w:pPr>
              <w:ind w:left="180"/>
              <w:spacing w:after="0"/>
              <w:rPr>
                <w:sz w:val="20"/>
                <w:szCs w:val="20"/>
                <w:color w:val="auto"/>
              </w:rPr>
            </w:pPr>
            <w:r>
              <w:rPr>
                <w:rFonts w:ascii="Arial" w:cs="Arial" w:eastAsia="Arial" w:hAnsi="Arial"/>
                <w:sz w:val="17"/>
                <w:szCs w:val="17"/>
                <w:color w:val="auto"/>
              </w:rPr>
              <w:t>Store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80" w:type="dxa"/>
            <w:vAlign w:val="bottom"/>
          </w:tcPr>
          <w:p>
            <w:pPr>
              <w:ind w:left="1280"/>
              <w:spacing w:after="0"/>
              <w:rPr>
                <w:sz w:val="20"/>
                <w:szCs w:val="20"/>
                <w:color w:val="auto"/>
              </w:rPr>
            </w:pPr>
            <w:r>
              <w:rPr>
                <w:rFonts w:ascii="Arial" w:cs="Arial" w:eastAsia="Arial" w:hAnsi="Arial"/>
                <w:sz w:val="17"/>
                <w:szCs w:val="17"/>
                <w:color w:val="auto"/>
              </w:rPr>
              <w:t>Market</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64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Old Town Center</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SR</w:t>
            </w: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San Jose,</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1997</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33,712</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95,000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96%</w:t>
            </w: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Borders / Gap</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Kids / Banana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Republic</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640" w:type="dxa"/>
            <w:vAlign w:val="bottom"/>
            <w:gridSpan w:val="7"/>
          </w:tcPr>
          <w:p>
            <w:pPr>
              <w:spacing w:after="0"/>
              <w:rPr>
                <w:sz w:val="20"/>
                <w:szCs w:val="20"/>
                <w:color w:val="auto"/>
              </w:rPr>
            </w:pPr>
            <w:r>
              <w:rPr>
                <w:rFonts w:ascii="Arial" w:cs="Arial" w:eastAsia="Arial" w:hAnsi="Arial"/>
                <w:sz w:val="17"/>
                <w:szCs w:val="17"/>
                <w:color w:val="auto"/>
              </w:rPr>
              <w:t>Westgate</w:t>
            </w:r>
          </w:p>
        </w:tc>
        <w:tc>
          <w:tcPr>
            <w:tcW w:w="460" w:type="dxa"/>
            <w:vAlign w:val="bottom"/>
          </w:tcPr>
          <w:p>
            <w:pPr>
              <w:ind w:left="80"/>
              <w:spacing w:after="0"/>
              <w:rPr>
                <w:sz w:val="20"/>
                <w:szCs w:val="20"/>
                <w:color w:val="auto"/>
              </w:rPr>
            </w:pPr>
            <w:r>
              <w:rPr>
                <w:rFonts w:ascii="Arial" w:cs="Arial" w:eastAsia="Arial" w:hAnsi="Arial"/>
                <w:sz w:val="17"/>
                <w:szCs w:val="17"/>
                <w:color w:val="auto"/>
              </w:rPr>
              <w:t>SC</w:t>
            </w:r>
          </w:p>
        </w:tc>
        <w:tc>
          <w:tcPr>
            <w:tcW w:w="1160" w:type="dxa"/>
            <w:vAlign w:val="bottom"/>
          </w:tcPr>
          <w:p>
            <w:pPr>
              <w:ind w:left="160"/>
              <w:spacing w:after="0"/>
              <w:rPr>
                <w:sz w:val="20"/>
                <w:szCs w:val="20"/>
                <w:color w:val="auto"/>
              </w:rPr>
            </w:pPr>
            <w:r>
              <w:rPr>
                <w:rFonts w:ascii="Arial" w:cs="Arial" w:eastAsia="Arial" w:hAnsi="Arial"/>
                <w:sz w:val="17"/>
                <w:szCs w:val="17"/>
                <w:color w:val="auto"/>
              </w:rPr>
              <w:t>San Jose,</w:t>
            </w:r>
          </w:p>
        </w:tc>
        <w:tc>
          <w:tcPr>
            <w:tcW w:w="680" w:type="dxa"/>
            <w:vAlign w:val="bottom"/>
          </w:tcPr>
          <w:p>
            <w:pPr>
              <w:jc w:val="right"/>
              <w:spacing w:after="0"/>
              <w:rPr>
                <w:sz w:val="20"/>
                <w:szCs w:val="20"/>
                <w:color w:val="auto"/>
              </w:rPr>
            </w:pPr>
            <w:r>
              <w:rPr>
                <w:rFonts w:ascii="Arial" w:cs="Arial" w:eastAsia="Arial" w:hAnsi="Arial"/>
                <w:sz w:val="17"/>
                <w:szCs w:val="17"/>
                <w:color w:val="auto"/>
              </w:rPr>
              <w:t>2004</w:t>
            </w:r>
          </w:p>
        </w:tc>
        <w:tc>
          <w:tcPr>
            <w:tcW w:w="820" w:type="dxa"/>
            <w:vAlign w:val="bottom"/>
          </w:tcPr>
          <w:p>
            <w:pPr>
              <w:jc w:val="right"/>
              <w:spacing w:after="0"/>
              <w:rPr>
                <w:sz w:val="20"/>
                <w:szCs w:val="20"/>
                <w:color w:val="auto"/>
              </w:rPr>
            </w:pPr>
            <w:r>
              <w:rPr>
                <w:rFonts w:ascii="Arial" w:cs="Arial" w:eastAsia="Arial" w:hAnsi="Arial"/>
                <w:sz w:val="17"/>
                <w:szCs w:val="17"/>
                <w:color w:val="auto"/>
              </w:rPr>
              <w:t>113,651</w:t>
            </w:r>
          </w:p>
        </w:tc>
        <w:tc>
          <w:tcPr>
            <w:tcW w:w="940" w:type="dxa"/>
            <w:vAlign w:val="bottom"/>
          </w:tcPr>
          <w:p>
            <w:pPr>
              <w:jc w:val="right"/>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640,000</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96%</w:t>
            </w:r>
          </w:p>
        </w:tc>
        <w:tc>
          <w:tcPr>
            <w:tcW w:w="2280" w:type="dxa"/>
            <w:vAlign w:val="bottom"/>
          </w:tcPr>
          <w:p>
            <w:pPr>
              <w:ind w:left="720"/>
              <w:spacing w:after="0"/>
              <w:rPr>
                <w:sz w:val="20"/>
                <w:szCs w:val="20"/>
                <w:color w:val="auto"/>
              </w:rPr>
            </w:pPr>
            <w:r>
              <w:rPr>
                <w:rFonts w:ascii="Arial" w:cs="Arial" w:eastAsia="Arial" w:hAnsi="Arial"/>
                <w:sz w:val="17"/>
                <w:szCs w:val="17"/>
                <w:color w:val="auto"/>
              </w:rPr>
              <w:t>38,000 Safeway</w:t>
            </w:r>
          </w:p>
        </w:tc>
        <w:tc>
          <w:tcPr>
            <w:tcW w:w="1580" w:type="dxa"/>
            <w:vAlign w:val="bottom"/>
          </w:tcPr>
          <w:p>
            <w:pPr>
              <w:ind w:left="180"/>
              <w:spacing w:after="0"/>
              <w:rPr>
                <w:sz w:val="20"/>
                <w:szCs w:val="20"/>
                <w:color w:val="auto"/>
              </w:rPr>
            </w:pPr>
            <w:r>
              <w:rPr>
                <w:rFonts w:ascii="Arial" w:cs="Arial" w:eastAsia="Arial" w:hAnsi="Arial"/>
                <w:sz w:val="17"/>
                <w:szCs w:val="17"/>
                <w:color w:val="auto"/>
              </w:rPr>
              <w:t>Target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Arial" w:cs="Arial" w:eastAsia="Arial" w:hAnsi="Arial"/>
                <w:sz w:val="17"/>
                <w:szCs w:val="17"/>
                <w:color w:val="auto"/>
              </w:rPr>
              <w:t>CA</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580" w:type="dxa"/>
            <w:vAlign w:val="bottom"/>
          </w:tcPr>
          <w:p>
            <w:pPr>
              <w:ind w:left="180"/>
              <w:spacing w:after="0"/>
              <w:rPr>
                <w:sz w:val="20"/>
                <w:szCs w:val="20"/>
                <w:color w:val="auto"/>
              </w:rPr>
            </w:pPr>
            <w:r>
              <w:rPr>
                <w:rFonts w:ascii="Arial" w:cs="Arial" w:eastAsia="Arial" w:hAnsi="Arial"/>
                <w:sz w:val="17"/>
                <w:szCs w:val="17"/>
                <w:color w:val="auto"/>
              </w:rPr>
              <w:t>Burlington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580" w:type="dxa"/>
            <w:vAlign w:val="bottom"/>
          </w:tcPr>
          <w:p>
            <w:pPr>
              <w:ind w:left="180"/>
              <w:spacing w:after="0"/>
              <w:rPr>
                <w:sz w:val="20"/>
                <w:szCs w:val="20"/>
                <w:color w:val="auto"/>
              </w:rPr>
            </w:pPr>
            <w:r>
              <w:rPr>
                <w:rFonts w:ascii="Arial" w:cs="Arial" w:eastAsia="Arial" w:hAnsi="Arial"/>
                <w:sz w:val="17"/>
                <w:szCs w:val="17"/>
                <w:color w:val="auto"/>
              </w:rPr>
              <w:t>Coat Factory</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580" w:type="dxa"/>
            <w:vAlign w:val="bottom"/>
          </w:tcPr>
          <w:p>
            <w:pPr>
              <w:ind w:left="180"/>
              <w:spacing w:after="0"/>
              <w:rPr>
                <w:sz w:val="20"/>
                <w:szCs w:val="20"/>
                <w:color w:val="auto"/>
              </w:rPr>
            </w:pPr>
            <w:r>
              <w:rPr>
                <w:rFonts w:ascii="Arial" w:cs="Arial" w:eastAsia="Arial" w:hAnsi="Arial"/>
                <w:sz w:val="17"/>
                <w:szCs w:val="17"/>
                <w:color w:val="auto"/>
              </w:rPr>
              <w:t>/ Barnes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580" w:type="dxa"/>
            <w:vAlign w:val="bottom"/>
          </w:tcPr>
          <w:p>
            <w:pPr>
              <w:ind w:left="180"/>
              <w:spacing w:after="0"/>
              <w:rPr>
                <w:sz w:val="20"/>
                <w:szCs w:val="20"/>
                <w:color w:val="auto"/>
              </w:rPr>
            </w:pPr>
            <w:r>
              <w:rPr>
                <w:rFonts w:ascii="Arial" w:cs="Arial" w:eastAsia="Arial" w:hAnsi="Arial"/>
                <w:sz w:val="17"/>
                <w:szCs w:val="17"/>
                <w:color w:val="auto"/>
              </w:rPr>
              <w:t>Noble / Ross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64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Santana Row</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SR</w:t>
            </w: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San Jose,</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1997</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490,237</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558,000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92%</w:t>
            </w: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Crate &amp;</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Barrel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Container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Store / Best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Buy / Borders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 CineArts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Theatre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838,462</w:t>
            </w:r>
          </w:p>
        </w:tc>
        <w:tc>
          <w:tcPr>
            <w:tcW w:w="9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2,198,000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92%</w:t>
            </w: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gridSpan w:val="7"/>
          </w:tcPr>
          <w:p>
            <w:pPr>
              <w:spacing w:after="0" w:line="174" w:lineRule="exact"/>
              <w:rPr>
                <w:sz w:val="20"/>
                <w:szCs w:val="20"/>
                <w:color w:val="auto"/>
              </w:rPr>
            </w:pPr>
            <w:r>
              <w:rPr>
                <w:rFonts w:ascii="Arial" w:cs="Arial" w:eastAsia="Arial" w:hAnsi="Arial"/>
                <w:sz w:val="17"/>
                <w:szCs w:val="17"/>
                <w:color w:val="auto"/>
              </w:rPr>
              <w:t>West Region - Other</w:t>
            </w: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164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Mill Avenue</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SR</w:t>
            </w: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Phoenix-</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1998</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11,195</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(11)</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39,000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100%</w:t>
            </w:r>
          </w:p>
        </w:tc>
        <w:tc>
          <w:tcPr>
            <w:tcW w:w="2280" w:type="dxa"/>
            <w:vAlign w:val="bottom"/>
            <w:shd w:val="clear" w:color="auto" w:fill="CCEEFF"/>
          </w:tcPr>
          <w:p>
            <w:pPr>
              <w:spacing w:after="0"/>
              <w:rPr>
                <w:sz w:val="17"/>
                <w:szCs w:val="17"/>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Gordon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Mesa, AZ</w:t>
            </w: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Biersch</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640" w:type="dxa"/>
            <w:vAlign w:val="bottom"/>
            <w:gridSpan w:val="7"/>
          </w:tcPr>
          <w:p>
            <w:pPr>
              <w:spacing w:after="0"/>
              <w:rPr>
                <w:sz w:val="20"/>
                <w:szCs w:val="20"/>
                <w:color w:val="auto"/>
              </w:rPr>
            </w:pPr>
            <w:r>
              <w:rPr>
                <w:rFonts w:ascii="Arial" w:cs="Arial" w:eastAsia="Arial" w:hAnsi="Arial"/>
                <w:sz w:val="17"/>
                <w:szCs w:val="17"/>
                <w:color w:val="auto"/>
              </w:rPr>
              <w:t>Houston St</w:t>
            </w:r>
          </w:p>
        </w:tc>
        <w:tc>
          <w:tcPr>
            <w:tcW w:w="460" w:type="dxa"/>
            <w:vAlign w:val="bottom"/>
          </w:tcPr>
          <w:p>
            <w:pPr>
              <w:ind w:left="80"/>
              <w:spacing w:after="0"/>
              <w:rPr>
                <w:sz w:val="20"/>
                <w:szCs w:val="20"/>
                <w:color w:val="auto"/>
              </w:rPr>
            </w:pPr>
            <w:r>
              <w:rPr>
                <w:rFonts w:ascii="Arial" w:cs="Arial" w:eastAsia="Arial" w:hAnsi="Arial"/>
                <w:sz w:val="17"/>
                <w:szCs w:val="17"/>
                <w:color w:val="auto"/>
              </w:rPr>
              <w:t>SR</w:t>
            </w:r>
          </w:p>
        </w:tc>
        <w:tc>
          <w:tcPr>
            <w:tcW w:w="1160" w:type="dxa"/>
            <w:vAlign w:val="bottom"/>
          </w:tcPr>
          <w:p>
            <w:pPr>
              <w:ind w:left="160"/>
              <w:spacing w:after="0"/>
              <w:rPr>
                <w:sz w:val="20"/>
                <w:szCs w:val="20"/>
                <w:color w:val="auto"/>
              </w:rPr>
            </w:pPr>
            <w:r>
              <w:rPr>
                <w:rFonts w:ascii="Arial" w:cs="Arial" w:eastAsia="Arial" w:hAnsi="Arial"/>
                <w:sz w:val="17"/>
                <w:szCs w:val="17"/>
                <w:color w:val="auto"/>
              </w:rPr>
              <w:t>San</w:t>
            </w:r>
          </w:p>
        </w:tc>
        <w:tc>
          <w:tcPr>
            <w:tcW w:w="680" w:type="dxa"/>
            <w:vAlign w:val="bottom"/>
          </w:tcPr>
          <w:p>
            <w:pPr>
              <w:jc w:val="right"/>
              <w:spacing w:after="0"/>
              <w:rPr>
                <w:sz w:val="20"/>
                <w:szCs w:val="20"/>
                <w:color w:val="auto"/>
              </w:rPr>
            </w:pPr>
            <w:r>
              <w:rPr>
                <w:rFonts w:ascii="Arial" w:cs="Arial" w:eastAsia="Arial" w:hAnsi="Arial"/>
                <w:sz w:val="17"/>
                <w:szCs w:val="17"/>
                <w:color w:val="auto"/>
              </w:rPr>
              <w:t>1998</w:t>
            </w:r>
          </w:p>
        </w:tc>
        <w:tc>
          <w:tcPr>
            <w:tcW w:w="820" w:type="dxa"/>
            <w:vAlign w:val="bottom"/>
          </w:tcPr>
          <w:p>
            <w:pPr>
              <w:jc w:val="right"/>
              <w:spacing w:after="0"/>
              <w:rPr>
                <w:sz w:val="20"/>
                <w:szCs w:val="20"/>
                <w:color w:val="auto"/>
              </w:rPr>
            </w:pPr>
            <w:r>
              <w:rPr>
                <w:rFonts w:ascii="Arial" w:cs="Arial" w:eastAsia="Arial" w:hAnsi="Arial"/>
                <w:sz w:val="17"/>
                <w:szCs w:val="17"/>
                <w:color w:val="auto"/>
              </w:rPr>
              <w:t>63,645</w:t>
            </w:r>
          </w:p>
        </w:tc>
        <w:tc>
          <w:tcPr>
            <w:tcW w:w="940" w:type="dxa"/>
            <w:vAlign w:val="bottom"/>
          </w:tcPr>
          <w:p>
            <w:pPr>
              <w:jc w:val="right"/>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171,000</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82%</w:t>
            </w:r>
          </w:p>
        </w:tc>
        <w:tc>
          <w:tcPr>
            <w:tcW w:w="2280" w:type="dxa"/>
            <w:vAlign w:val="bottom"/>
          </w:tcPr>
          <w:p>
            <w:pPr>
              <w:ind w:left="380"/>
              <w:spacing w:after="0"/>
              <w:rPr>
                <w:sz w:val="20"/>
                <w:szCs w:val="20"/>
                <w:color w:val="auto"/>
              </w:rPr>
            </w:pPr>
            <w:r>
              <w:rPr>
                <w:rFonts w:ascii="Arial" w:cs="Arial" w:eastAsia="Arial" w:hAnsi="Arial"/>
                <w:sz w:val="17"/>
                <w:szCs w:val="17"/>
                <w:color w:val="auto"/>
              </w:rPr>
              <w:t>200</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Arial" w:cs="Arial" w:eastAsia="Arial" w:hAnsi="Arial"/>
                <w:sz w:val="17"/>
                <w:szCs w:val="17"/>
                <w:color w:val="auto"/>
              </w:rPr>
              <w:t>Antonio,</w:t>
            </w: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ind w:left="160"/>
              <w:spacing w:after="0"/>
              <w:rPr>
                <w:sz w:val="20"/>
                <w:szCs w:val="20"/>
                <w:color w:val="auto"/>
              </w:rPr>
            </w:pPr>
            <w:r>
              <w:rPr>
                <w:rFonts w:ascii="Arial" w:cs="Arial" w:eastAsia="Arial" w:hAnsi="Arial"/>
                <w:sz w:val="17"/>
                <w:szCs w:val="17"/>
                <w:color w:val="auto"/>
              </w:rPr>
              <w:t>TX</w:t>
            </w: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74,840</w:t>
            </w:r>
          </w:p>
        </w:tc>
        <w:tc>
          <w:tcPr>
            <w:tcW w:w="9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210,000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86%</w:t>
            </w:r>
          </w:p>
        </w:tc>
        <w:tc>
          <w:tcPr>
            <w:tcW w:w="2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ind w:left="160"/>
              <w:spacing w:after="0"/>
              <w:rPr>
                <w:sz w:val="20"/>
                <w:szCs w:val="20"/>
                <w:color w:val="auto"/>
              </w:rPr>
            </w:pPr>
            <w:r>
              <w:rPr>
                <w:rFonts w:ascii="Arial" w:cs="Arial" w:eastAsia="Arial" w:hAnsi="Arial"/>
                <w:sz w:val="17"/>
                <w:szCs w:val="17"/>
                <w:color w:val="auto"/>
              </w:rPr>
              <w:t>Total West</w:t>
            </w:r>
          </w:p>
        </w:tc>
        <w:tc>
          <w:tcPr>
            <w:tcW w:w="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913,302</w:t>
            </w:r>
          </w:p>
        </w:tc>
        <w:tc>
          <w:tcPr>
            <w:tcW w:w="9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2,408,000</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92%</w:t>
            </w:r>
          </w:p>
        </w:tc>
        <w:tc>
          <w:tcPr>
            <w:tcW w:w="2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86" w:orient="portrait"/>
          <w:cols w:equalWidth="0" w:num="1">
            <w:col w:w="11420"/>
          </w:cols>
          <w:pgMar w:left="240" w:top="140" w:right="239" w:bottom="0" w:gutter="0" w:footer="0" w:header="0"/>
        </w:sectPr>
      </w:pPr>
    </w:p>
    <w:bookmarkStart w:id="27" w:name="page28"/>
    <w:bookmarkEnd w:id="27"/>
    <w:p>
      <w:pPr>
        <w:ind w:left="2280"/>
        <w:spacing w:after="0"/>
        <w:rPr>
          <w:sz w:val="20"/>
          <w:szCs w:val="20"/>
          <w:color w:val="auto"/>
        </w:rPr>
      </w:pPr>
      <w:r>
        <w:rPr>
          <w:rFonts w:ascii="Arial" w:cs="Arial" w:eastAsia="Arial" w:hAnsi="Arial"/>
          <w:sz w:val="17"/>
          <w:szCs w:val="17"/>
          <w:color w:val="auto"/>
        </w:rPr>
        <w:t>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2519680</wp:posOffset>
            </wp:positionH>
            <wp:positionV relativeFrom="paragraph">
              <wp:posOffset>85090</wp:posOffset>
            </wp:positionV>
            <wp:extent cx="5181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8160" cy="825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85090</wp:posOffset>
            </wp:positionV>
            <wp:extent cx="15716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571625" cy="825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4320" w:type="dxa"/>
            <w:vAlign w:val="bottom"/>
            <w:shd w:val="clear" w:color="auto" w:fill="CCEEFF"/>
          </w:tcPr>
          <w:p>
            <w:pPr>
              <w:jc w:val="right"/>
              <w:ind w:right="393"/>
              <w:spacing w:after="0"/>
              <w:rPr>
                <w:sz w:val="20"/>
                <w:szCs w:val="20"/>
                <w:color w:val="auto"/>
              </w:rPr>
            </w:pPr>
            <w:r>
              <w:rPr>
                <w:rFonts w:ascii="Arial" w:cs="Arial" w:eastAsia="Arial" w:hAnsi="Arial"/>
                <w:sz w:val="17"/>
                <w:szCs w:val="17"/>
                <w:color w:val="auto"/>
              </w:rPr>
              <w:t>2,659,903</w:t>
            </w:r>
          </w:p>
        </w:tc>
        <w:tc>
          <w:tcPr>
            <w:tcW w:w="150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16,791,000</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94%</w:t>
            </w:r>
          </w:p>
        </w:tc>
        <w:tc>
          <w:tcPr>
            <w:tcW w:w="3940" w:type="dxa"/>
            <w:vAlign w:val="bottom"/>
            <w:shd w:val="clear" w:color="auto" w:fill="CCEEFF"/>
          </w:tcPr>
          <w:p>
            <w:pPr>
              <w:jc w:val="right"/>
              <w:ind w:right="3133"/>
              <w:spacing w:after="0"/>
              <w:rPr>
                <w:sz w:val="20"/>
                <w:szCs w:val="20"/>
                <w:color w:val="auto"/>
              </w:rPr>
            </w:pPr>
            <w:r>
              <w:rPr>
                <w:rFonts w:ascii="Arial" w:cs="Arial" w:eastAsia="Arial" w:hAnsi="Arial"/>
                <w:sz w:val="17"/>
                <w:szCs w:val="17"/>
                <w:color w:val="auto"/>
              </w:rPr>
              <w:t>411,831</w:t>
            </w:r>
          </w:p>
        </w:tc>
      </w:tr>
      <w:tr>
        <w:trPr>
          <w:trHeight w:val="107"/>
        </w:trPr>
        <w:tc>
          <w:tcPr>
            <w:tcW w:w="940" w:type="dxa"/>
            <w:vAlign w:val="bottom"/>
            <w:tcBorders>
              <w:bottom w:val="single" w:sz="8" w:color="auto"/>
            </w:tcBorders>
          </w:tcPr>
          <w:p>
            <w:pPr>
              <w:spacing w:after="0"/>
              <w:rPr>
                <w:sz w:val="9"/>
                <w:szCs w:val="9"/>
                <w:color w:val="auto"/>
              </w:rPr>
            </w:pPr>
          </w:p>
        </w:tc>
        <w:tc>
          <w:tcPr>
            <w:tcW w:w="43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940" w:type="dxa"/>
            <w:vAlign w:val="bottom"/>
          </w:tcPr>
          <w:p>
            <w:pPr>
              <w:spacing w:after="0"/>
              <w:rPr>
                <w:sz w:val="9"/>
                <w:szCs w:val="9"/>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6" w:lineRule="exact"/>
        <w:rPr>
          <w:sz w:val="20"/>
          <w:szCs w:val="20"/>
          <w:color w:val="auto"/>
        </w:rPr>
      </w:pPr>
    </w:p>
    <w:p>
      <w:pPr>
        <w:ind w:left="460" w:hanging="453"/>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SR - Street Retail; SC - Shopping Center</w:t>
      </w:r>
    </w:p>
    <w:p>
      <w:pPr>
        <w:spacing w:after="0" w:line="18" w:lineRule="exact"/>
        <w:rPr>
          <w:rFonts w:ascii="Arial" w:cs="Arial" w:eastAsia="Arial" w:hAnsi="Arial"/>
          <w:sz w:val="17"/>
          <w:szCs w:val="17"/>
          <w:color w:val="auto"/>
        </w:rPr>
      </w:pPr>
    </w:p>
    <w:p>
      <w:pPr>
        <w:ind w:left="460" w:right="820" w:hanging="453"/>
        <w:spacing w:after="0" w:line="262"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Excludes redevelopment square footage not yet in service, Santana Row residential, future phases of Santana Row, Rollingwood and The Crest at Congressional Apartments.</w:t>
      </w:r>
    </w:p>
    <w:p>
      <w:pPr>
        <w:spacing w:after="0" w:line="1" w:lineRule="exact"/>
        <w:rPr>
          <w:rFonts w:ascii="Arial" w:cs="Arial" w:eastAsia="Arial" w:hAnsi="Arial"/>
          <w:sz w:val="17"/>
          <w:szCs w:val="17"/>
          <w:color w:val="auto"/>
        </w:rPr>
      </w:pPr>
    </w:p>
    <w:p>
      <w:pPr>
        <w:ind w:left="460" w:hanging="453"/>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Grocery anchor is defined as a grocery tenant leasing 15,000 square feet or more.</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Portion of property subject to capital lease obligation.</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Total investment includes dollars associated with the 146 units of The Crest at Congressional.</w:t>
      </w:r>
    </w:p>
    <w:p>
      <w:pPr>
        <w:spacing w:after="0" w:line="18" w:lineRule="exact"/>
        <w:rPr>
          <w:rFonts w:ascii="Arial" w:cs="Arial" w:eastAsia="Arial" w:hAnsi="Arial"/>
          <w:sz w:val="17"/>
          <w:szCs w:val="17"/>
          <w:color w:val="auto"/>
        </w:rPr>
      </w:pPr>
    </w:p>
    <w:p>
      <w:pPr>
        <w:ind w:left="460" w:right="280" w:hanging="453"/>
        <w:spacing w:after="0" w:line="262"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Property owned in a “downreit” partnership, of which a wholly owned subsidiary of the Trust is the sole general partner, with third party partners holding operating partnership units.</w:t>
      </w:r>
    </w:p>
    <w:p>
      <w:pPr>
        <w:spacing w:after="0" w:line="1" w:lineRule="exact"/>
        <w:rPr>
          <w:rFonts w:ascii="Arial" w:cs="Arial" w:eastAsia="Arial" w:hAnsi="Arial"/>
          <w:sz w:val="17"/>
          <w:szCs w:val="17"/>
          <w:color w:val="auto"/>
        </w:rPr>
      </w:pPr>
    </w:p>
    <w:p>
      <w:pPr>
        <w:ind w:left="460" w:hanging="453"/>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Property subject to capital lease obligation.</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Currently under contract to acquire the retail square footage upon completion of development.</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Consists of nine properties, seven at 100% and two at 90%.</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Consists of four properties, three at 100% and one at 90%.</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Consists of two properties, one at 100% and one at 85%. On October 1, 2004 we acquired the remaining 15% interest on the one.</w:t>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Shopping Center / Street Retail Summary</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Shopping Center Summary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(in thousands, except square footage data)</w:t>
      </w:r>
    </w:p>
    <w:p>
      <w:pPr>
        <w:spacing w:after="0" w:line="19" w:lineRule="exact"/>
        <w:rPr>
          <w:sz w:val="20"/>
          <w:szCs w:val="20"/>
          <w:color w:val="auto"/>
        </w:rPr>
      </w:pPr>
    </w:p>
    <w:p>
      <w:pPr>
        <w:jc w:val="center"/>
        <w:ind w:left="9320"/>
        <w:spacing w:after="0"/>
        <w:rPr>
          <w:sz w:val="20"/>
          <w:szCs w:val="20"/>
          <w:color w:val="auto"/>
        </w:rPr>
      </w:pPr>
      <w:r>
        <w:rPr>
          <w:rFonts w:ascii="Arial" w:cs="Arial" w:eastAsia="Arial" w:hAnsi="Arial"/>
          <w:sz w:val="13"/>
          <w:szCs w:val="13"/>
          <w:b w:val="1"/>
          <w:bCs w:val="1"/>
          <w:color w:val="auto"/>
        </w:rPr>
        <w:t>For the nine months ended</w:t>
      </w:r>
    </w:p>
    <w:p>
      <w:pPr>
        <w:jc w:val="center"/>
        <w:ind w:left="9320"/>
        <w:spacing w:after="0"/>
        <w:rPr>
          <w:sz w:val="20"/>
          <w:szCs w:val="20"/>
          <w:color w:val="auto"/>
        </w:rPr>
      </w:pPr>
      <w:r>
        <w:rPr>
          <w:rFonts w:ascii="Arial" w:cs="Arial" w:eastAsia="Arial" w:hAnsi="Arial"/>
          <w:sz w:val="13"/>
          <w:szCs w:val="13"/>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5918200</wp:posOffset>
            </wp:positionH>
            <wp:positionV relativeFrom="paragraph">
              <wp:posOffset>66040</wp:posOffset>
            </wp:positionV>
            <wp:extent cx="13341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6"/>
              <w:spacing w:after="0"/>
              <w:rPr>
                <w:sz w:val="20"/>
                <w:szCs w:val="20"/>
                <w:color w:val="auto"/>
              </w:rPr>
            </w:pPr>
            <w:r>
              <w:rPr>
                <w:rFonts w:ascii="Arial" w:cs="Arial" w:eastAsia="Arial" w:hAnsi="Arial"/>
                <w:sz w:val="13"/>
                <w:szCs w:val="13"/>
                <w:b w:val="1"/>
                <w:bCs w:val="1"/>
                <w:color w:val="auto"/>
              </w:rPr>
              <w:t>2004</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5"/>
              <w:spacing w:after="0"/>
              <w:rPr>
                <w:sz w:val="20"/>
                <w:szCs w:val="20"/>
                <w:color w:val="auto"/>
              </w:rPr>
            </w:pPr>
            <w:r>
              <w:rPr>
                <w:rFonts w:ascii="Arial" w:cs="Arial" w:eastAsia="Arial" w:hAnsi="Arial"/>
                <w:sz w:val="13"/>
                <w:szCs w:val="13"/>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Real Estate Assets, at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1,584,743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1,328,345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9300" w:type="dxa"/>
            <w:vAlign w:val="bottom"/>
            <w:gridSpan w:val="3"/>
          </w:tcPr>
          <w:p>
            <w:pPr>
              <w:ind w:left="420"/>
              <w:spacing w:after="0"/>
              <w:rPr>
                <w:sz w:val="20"/>
                <w:szCs w:val="20"/>
                <w:color w:val="auto"/>
              </w:rPr>
            </w:pPr>
            <w:r>
              <w:rPr>
                <w:rFonts w:ascii="Arial" w:cs="Arial" w:eastAsia="Arial" w:hAnsi="Arial"/>
                <w:sz w:val="17"/>
                <w:szCs w:val="17"/>
                <w:color w:val="auto"/>
              </w:rPr>
              <w:t>Rental Income (1)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187,987</w:t>
            </w:r>
          </w:p>
        </w:tc>
        <w:tc>
          <w:tcPr>
            <w:tcW w:w="3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169,491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Other Property Income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00" w:type="dxa"/>
            <w:vAlign w:val="bottom"/>
            <w:gridSpan w:val="3"/>
          </w:tcPr>
          <w:p>
            <w:pPr>
              <w:ind w:left="420"/>
              <w:spacing w:after="0"/>
              <w:rPr>
                <w:sz w:val="20"/>
                <w:szCs w:val="20"/>
                <w:color w:val="auto"/>
              </w:rPr>
            </w:pPr>
            <w:r>
              <w:rPr>
                <w:rFonts w:ascii="Arial" w:cs="Arial" w:eastAsia="Arial" w:hAnsi="Arial"/>
                <w:sz w:val="17"/>
                <w:szCs w:val="17"/>
                <w:color w:val="auto"/>
              </w:rPr>
              <w:t>Interest Income</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1,018</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196,253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176,705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300" w:type="dxa"/>
            <w:vAlign w:val="bottom"/>
            <w:gridSpan w:val="3"/>
          </w:tcPr>
          <w:p>
            <w:pPr>
              <w:ind w:left="420"/>
              <w:spacing w:after="0"/>
              <w:rPr>
                <w:sz w:val="20"/>
                <w:szCs w:val="20"/>
                <w:color w:val="auto"/>
              </w:rPr>
            </w:pPr>
            <w:r>
              <w:rPr>
                <w:rFonts w:ascii="Arial" w:cs="Arial" w:eastAsia="Arial" w:hAnsi="Arial"/>
                <w:sz w:val="17"/>
                <w:szCs w:val="17"/>
                <w:color w:val="auto"/>
              </w:rPr>
              <w:t>Rental Expense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37,296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32,876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3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Real Estate Tax Expense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21,238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Property Operating 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58,534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Property Operating Income (2)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137,719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124,748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Square Feet (3)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13,985,000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13,015,000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172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w w:val="93"/>
              </w:rPr>
              <w:t>Street Retail Summary</w:t>
            </w:r>
          </w:p>
        </w:tc>
        <w:tc>
          <w:tcPr>
            <w:tcW w:w="7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9320" w:type="dxa"/>
            <w:vAlign w:val="bottom"/>
            <w:gridSpan w:val="4"/>
          </w:tcPr>
          <w:p>
            <w:pPr>
              <w:spacing w:after="0"/>
              <w:rPr>
                <w:sz w:val="20"/>
                <w:szCs w:val="20"/>
                <w:color w:val="auto"/>
              </w:rPr>
            </w:pPr>
            <w:r>
              <w:rPr>
                <w:rFonts w:ascii="Arial" w:cs="Arial" w:eastAsia="Arial" w:hAnsi="Arial"/>
                <w:sz w:val="17"/>
                <w:szCs w:val="17"/>
                <w:color w:val="auto"/>
              </w:rPr>
              <w:t>(in thousands, except square footage data)</w:t>
            </w:r>
          </w:p>
        </w:tc>
        <w:tc>
          <w:tcPr>
            <w:tcW w:w="100" w:type="dxa"/>
            <w:vAlign w:val="bottom"/>
          </w:tcPr>
          <w:p>
            <w:pPr>
              <w:spacing w:after="0"/>
              <w:rPr>
                <w:sz w:val="20"/>
                <w:szCs w:val="20"/>
                <w:color w:val="auto"/>
              </w:rPr>
            </w:pPr>
          </w:p>
        </w:tc>
        <w:tc>
          <w:tcPr>
            <w:tcW w:w="2020" w:type="dxa"/>
            <w:vAlign w:val="bottom"/>
            <w:gridSpan w:val="5"/>
            <w:vMerge w:val="restart"/>
          </w:tcPr>
          <w:p>
            <w:pPr>
              <w:jc w:val="right"/>
              <w:ind w:right="300"/>
              <w:spacing w:after="0"/>
              <w:rPr>
                <w:sz w:val="20"/>
                <w:szCs w:val="20"/>
                <w:color w:val="auto"/>
              </w:rPr>
            </w:pPr>
            <w:r>
              <w:rPr>
                <w:rFonts w:ascii="Arial" w:cs="Arial" w:eastAsia="Arial" w:hAnsi="Arial"/>
                <w:sz w:val="13"/>
                <w:szCs w:val="13"/>
                <w:b w:val="1"/>
                <w:bCs w:val="1"/>
                <w:color w:val="auto"/>
              </w:rPr>
              <w:t>For the nine months ended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5"/>
          </w:tcPr>
          <w:p>
            <w:pPr>
              <w:jc w:val="right"/>
              <w:ind w:right="660"/>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16"/>
              <w:spacing w:after="0"/>
              <w:rPr>
                <w:sz w:val="20"/>
                <w:szCs w:val="20"/>
                <w:color w:val="auto"/>
              </w:rPr>
            </w:pPr>
            <w:r>
              <w:rPr>
                <w:rFonts w:ascii="Arial" w:cs="Arial" w:eastAsia="Arial" w:hAnsi="Arial"/>
                <w:sz w:val="13"/>
                <w:szCs w:val="13"/>
                <w:b w:val="1"/>
                <w:bCs w:val="1"/>
                <w:color w:val="auto"/>
              </w:rPr>
              <w:t>2004</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15"/>
              <w:spacing w:after="0"/>
              <w:rPr>
                <w:sz w:val="20"/>
                <w:szCs w:val="20"/>
                <w:color w:val="auto"/>
              </w:rPr>
            </w:pPr>
            <w:r>
              <w:rPr>
                <w:rFonts w:ascii="Arial" w:cs="Arial" w:eastAsia="Arial" w:hAnsi="Arial"/>
                <w:sz w:val="13"/>
                <w:szCs w:val="13"/>
                <w:b w:val="1"/>
                <w:bCs w:val="1"/>
                <w:color w:val="auto"/>
              </w:rPr>
              <w:t>2003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Real Estate Assets, at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1,075,161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1,025,018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9300" w:type="dxa"/>
            <w:vAlign w:val="bottom"/>
            <w:gridSpan w:val="3"/>
          </w:tcPr>
          <w:p>
            <w:pPr>
              <w:ind w:left="420"/>
              <w:spacing w:after="0"/>
              <w:rPr>
                <w:sz w:val="20"/>
                <w:szCs w:val="20"/>
                <w:color w:val="auto"/>
              </w:rPr>
            </w:pPr>
            <w:r>
              <w:rPr>
                <w:rFonts w:ascii="Arial" w:cs="Arial" w:eastAsia="Arial" w:hAnsi="Arial"/>
                <w:sz w:val="17"/>
                <w:szCs w:val="17"/>
                <w:color w:val="auto"/>
              </w:rPr>
              <w:t>Rental Income (4)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83,988</w:t>
            </w:r>
          </w:p>
        </w:tc>
        <w:tc>
          <w:tcPr>
            <w:tcW w:w="3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69,073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Other Property Income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11,782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00" w:type="dxa"/>
            <w:vAlign w:val="bottom"/>
            <w:gridSpan w:val="3"/>
          </w:tcPr>
          <w:p>
            <w:pPr>
              <w:ind w:left="420"/>
              <w:spacing w:after="0"/>
              <w:rPr>
                <w:sz w:val="20"/>
                <w:szCs w:val="20"/>
                <w:color w:val="auto"/>
              </w:rPr>
            </w:pPr>
            <w:r>
              <w:rPr>
                <w:rFonts w:ascii="Arial" w:cs="Arial" w:eastAsia="Arial" w:hAnsi="Arial"/>
                <w:sz w:val="17"/>
                <w:szCs w:val="17"/>
                <w:color w:val="auto"/>
              </w:rPr>
              <w:t>Interest Income</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3,716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3,391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99,486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78,819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9300" w:type="dxa"/>
            <w:vAlign w:val="bottom"/>
            <w:gridSpan w:val="3"/>
          </w:tcPr>
          <w:p>
            <w:pPr>
              <w:ind w:left="420"/>
              <w:spacing w:after="0"/>
              <w:rPr>
                <w:sz w:val="20"/>
                <w:szCs w:val="20"/>
                <w:color w:val="auto"/>
              </w:rPr>
            </w:pPr>
            <w:r>
              <w:rPr>
                <w:rFonts w:ascii="Arial" w:cs="Arial" w:eastAsia="Arial" w:hAnsi="Arial"/>
                <w:sz w:val="17"/>
                <w:szCs w:val="17"/>
                <w:color w:val="auto"/>
              </w:rPr>
              <w:t>Rental Expense</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29,871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26,491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Real Estate Tax Expense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Property Operating 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37,287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Property Operating Income (2)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62,199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Square Feet (3)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2,806,000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7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5916295</wp:posOffset>
            </wp:positionH>
            <wp:positionV relativeFrom="paragraph">
              <wp:posOffset>-3375025</wp:posOffset>
            </wp:positionV>
            <wp:extent cx="56515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65150" cy="29845"/>
                    </a:xfrm>
                    <a:prstGeom prst="rect">
                      <a:avLst/>
                    </a:prstGeom>
                    <a:noFill/>
                  </pic:spPr>
                </pic:pic>
              </a:graphicData>
            </a:graphic>
          </wp:anchor>
        </w:drawing>
        <w:drawing>
          <wp:anchor simplePos="0" relativeHeight="251657728" behindDoc="1" locked="0" layoutInCell="0" allowOverlap="1">
            <wp:simplePos x="0" y="0"/>
            <wp:positionH relativeFrom="column">
              <wp:posOffset>6689725</wp:posOffset>
            </wp:positionH>
            <wp:positionV relativeFrom="paragraph">
              <wp:posOffset>-3375025</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-3375025</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6740525</wp:posOffset>
            </wp:positionH>
            <wp:positionV relativeFrom="paragraph">
              <wp:posOffset>-3375025</wp:posOffset>
            </wp:positionV>
            <wp:extent cx="2095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5916295</wp:posOffset>
            </wp:positionH>
            <wp:positionV relativeFrom="paragraph">
              <wp:posOffset>-307340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-307340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-307340</wp:posOffset>
            </wp:positionV>
            <wp:extent cx="2095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6689725</wp:posOffset>
            </wp:positionH>
            <wp:positionV relativeFrom="paragraph">
              <wp:posOffset>-307340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-307340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6740525</wp:posOffset>
            </wp:positionH>
            <wp:positionV relativeFrom="paragraph">
              <wp:posOffset>-307340</wp:posOffset>
            </wp:positionV>
            <wp:extent cx="2095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0955" cy="2984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6" w:lineRule="exact"/>
        <w:rPr>
          <w:sz w:val="20"/>
          <w:szCs w:val="20"/>
          <w:color w:val="auto"/>
        </w:rPr>
      </w:pPr>
    </w:p>
    <w:p>
      <w:pPr>
        <w:ind w:left="460" w:hanging="453"/>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Includes rent revenue from residential units of $1.6 million in 2004 and $0.6 million in 2003.</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All components of property operating income for the periods ended September 30, 2004 and 2003 have been restated for discontinued operations.</w:t>
      </w:r>
    </w:p>
    <w:p>
      <w:pPr>
        <w:spacing w:after="0" w:line="30" w:lineRule="exact"/>
        <w:rPr>
          <w:rFonts w:ascii="Arial" w:cs="Arial" w:eastAsia="Arial" w:hAnsi="Arial"/>
          <w:sz w:val="16"/>
          <w:szCs w:val="16"/>
          <w:color w:val="auto"/>
        </w:rPr>
      </w:pPr>
    </w:p>
    <w:p>
      <w:pPr>
        <w:ind w:left="460" w:right="80" w:hanging="453"/>
        <w:spacing w:after="0" w:line="262"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Excludes redevelopment square footage not yet in service. Does not include any future phases of Santana Row or residential square footage at Santana Row, Rollingwood Apartments or The Crest at Congressional Apartments.</w:t>
      </w:r>
    </w:p>
    <w:p>
      <w:pPr>
        <w:spacing w:after="0" w:line="1" w:lineRule="exact"/>
        <w:rPr>
          <w:rFonts w:ascii="Arial" w:cs="Arial" w:eastAsia="Arial" w:hAnsi="Arial"/>
          <w:sz w:val="17"/>
          <w:szCs w:val="17"/>
          <w:color w:val="auto"/>
        </w:rPr>
      </w:pPr>
    </w:p>
    <w:p>
      <w:pPr>
        <w:ind w:left="460" w:hanging="453"/>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Includes rent revenue from residential units of $7.7 million in 2004 and $5.4 million in 2003.</w:t>
      </w:r>
    </w:p>
    <w:p>
      <w:pPr>
        <w:sectPr>
          <w:pgSz w:w="11900" w:h="16838" w:orient="portrait"/>
          <w:cols w:equalWidth="0" w:num="1">
            <w:col w:w="11420"/>
          </w:cols>
          <w:pgMar w:left="240" w:top="456"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Retail Leasing Summary (1) - Comparable Basis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Renewal Lease Summary - Comparable (2) (7)</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2"/>
              </w:rPr>
              <w:t>Weighted</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w w:val="94"/>
              </w:rPr>
              <w:t>Contractual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2"/>
          </w:tcPr>
          <w:p>
            <w:pPr>
              <w:ind w:left="160"/>
              <w:spacing w:after="0" w:line="148" w:lineRule="exact"/>
              <w:rPr>
                <w:sz w:val="20"/>
                <w:szCs w:val="20"/>
                <w:color w:val="auto"/>
              </w:rPr>
            </w:pPr>
            <w:r>
              <w:rPr>
                <w:rFonts w:ascii="Arial" w:cs="Arial" w:eastAsia="Arial" w:hAnsi="Arial"/>
                <w:sz w:val="13"/>
                <w:szCs w:val="13"/>
                <w:b w:val="1"/>
                <w:bCs w:val="1"/>
                <w:color w:val="auto"/>
              </w:rPr>
              <w:t>Cash Basis</w:t>
            </w:r>
          </w:p>
        </w:tc>
        <w:tc>
          <w:tcPr>
            <w:tcW w:w="1180" w:type="dxa"/>
            <w:vAlign w:val="bottom"/>
            <w:gridSpan w:val="2"/>
          </w:tcPr>
          <w:p>
            <w:pPr>
              <w:jc w:val="center"/>
              <w:ind w:right="180"/>
              <w:spacing w:after="0" w:line="148" w:lineRule="exact"/>
              <w:rPr>
                <w:sz w:val="20"/>
                <w:szCs w:val="20"/>
                <w:color w:val="auto"/>
              </w:rPr>
            </w:pPr>
            <w:r>
              <w:rPr>
                <w:rFonts w:ascii="Arial" w:cs="Arial" w:eastAsia="Arial" w:hAnsi="Arial"/>
                <w:sz w:val="13"/>
                <w:szCs w:val="13"/>
                <w:b w:val="1"/>
                <w:bCs w:val="1"/>
                <w:color w:val="auto"/>
                <w:w w:val="95"/>
              </w:rPr>
              <w:t>Straight-lined</w:t>
            </w:r>
          </w:p>
        </w:tc>
        <w:tc>
          <w:tcPr>
            <w:tcW w:w="900" w:type="dxa"/>
            <w:vAlign w:val="bottom"/>
            <w:gridSpan w:val="2"/>
          </w:tcPr>
          <w:p>
            <w:pPr>
              <w:jc w:val="center"/>
              <w:ind w:right="40"/>
              <w:spacing w:after="0" w:line="148" w:lineRule="exact"/>
              <w:rPr>
                <w:sz w:val="20"/>
                <w:szCs w:val="20"/>
                <w:color w:val="auto"/>
              </w:rPr>
            </w:pPr>
            <w:r>
              <w:rPr>
                <w:rFonts w:ascii="Arial" w:cs="Arial" w:eastAsia="Arial" w:hAnsi="Arial"/>
                <w:sz w:val="13"/>
                <w:szCs w:val="13"/>
                <w:b w:val="1"/>
                <w:bCs w:val="1"/>
                <w:color w:val="auto"/>
                <w:w w:val="89"/>
              </w:rPr>
              <w:t>Average</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9"/>
              <w:spacing w:after="0" w:line="148" w:lineRule="exact"/>
              <w:rPr>
                <w:sz w:val="20"/>
                <w:szCs w:val="20"/>
                <w:color w:val="auto"/>
              </w:rPr>
            </w:pPr>
            <w:r>
              <w:rPr>
                <w:rFonts w:ascii="Arial" w:cs="Arial" w:eastAsia="Arial" w:hAnsi="Arial"/>
                <w:sz w:val="13"/>
                <w:szCs w:val="13"/>
                <w:b w:val="1"/>
                <w:bCs w:val="1"/>
                <w:color w:val="auto"/>
                <w:w w:val="93"/>
              </w:rPr>
              <w:t>Tenant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Number of</w:t>
            </w:r>
          </w:p>
        </w:tc>
        <w:tc>
          <w:tcPr>
            <w:tcW w:w="40" w:type="dxa"/>
            <w:vAlign w:val="bottom"/>
          </w:tcPr>
          <w:p>
            <w:pPr>
              <w:spacing w:after="0"/>
              <w:rPr>
                <w:sz w:val="12"/>
                <w:szCs w:val="12"/>
                <w:color w:val="auto"/>
              </w:rPr>
            </w:pPr>
          </w:p>
        </w:tc>
        <w:tc>
          <w:tcPr>
            <w:tcW w:w="1000" w:type="dxa"/>
            <w:vAlign w:val="bottom"/>
            <w:gridSpan w:val="5"/>
          </w:tcPr>
          <w:p>
            <w:pPr>
              <w:ind w:left="100"/>
              <w:spacing w:after="0" w:line="148" w:lineRule="exact"/>
              <w:rPr>
                <w:sz w:val="20"/>
                <w:szCs w:val="20"/>
                <w:color w:val="auto"/>
              </w:rPr>
            </w:pPr>
            <w:r>
              <w:rPr>
                <w:rFonts w:ascii="Arial" w:cs="Arial" w:eastAsia="Arial" w:hAnsi="Arial"/>
                <w:sz w:val="13"/>
                <w:szCs w:val="13"/>
                <w:b w:val="1"/>
                <w:bCs w:val="1"/>
                <w:color w:val="auto"/>
              </w:rPr>
              <w:t>% of Total</w:t>
            </w:r>
          </w:p>
        </w:tc>
        <w:tc>
          <w:tcPr>
            <w:tcW w:w="7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GLA</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right"/>
              <w:spacing w:after="0" w:line="148" w:lineRule="exact"/>
              <w:rPr>
                <w:sz w:val="20"/>
                <w:szCs w:val="20"/>
                <w:color w:val="auto"/>
              </w:rPr>
            </w:pPr>
            <w:r>
              <w:rPr>
                <w:rFonts w:ascii="Arial" w:cs="Arial" w:eastAsia="Arial" w:hAnsi="Arial"/>
                <w:sz w:val="13"/>
                <w:szCs w:val="13"/>
                <w:b w:val="1"/>
                <w:bCs w:val="1"/>
                <w:color w:val="auto"/>
              </w:rPr>
              <w:t>Rent (3)  Prior Rent (4)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ind w:left="100"/>
              <w:spacing w:after="0" w:line="148" w:lineRule="exact"/>
              <w:rPr>
                <w:sz w:val="20"/>
                <w:szCs w:val="20"/>
                <w:color w:val="auto"/>
              </w:rPr>
            </w:pPr>
            <w:r>
              <w:rPr>
                <w:rFonts w:ascii="Arial" w:cs="Arial" w:eastAsia="Arial" w:hAnsi="Arial"/>
                <w:sz w:val="13"/>
                <w:szCs w:val="13"/>
                <w:b w:val="1"/>
                <w:bCs w:val="1"/>
                <w:color w:val="auto"/>
              </w:rPr>
              <w:t>Annual</w:t>
            </w:r>
          </w:p>
        </w:tc>
        <w:tc>
          <w:tcPr>
            <w:tcW w:w="1120" w:type="dxa"/>
            <w:vAlign w:val="bottom"/>
            <w:gridSpan w:val="2"/>
          </w:tcPr>
          <w:p>
            <w:pPr>
              <w:ind w:left="140"/>
              <w:spacing w:after="0" w:line="148" w:lineRule="exact"/>
              <w:rPr>
                <w:sz w:val="20"/>
                <w:szCs w:val="20"/>
                <w:color w:val="auto"/>
              </w:rPr>
            </w:pPr>
            <w:r>
              <w:rPr>
                <w:rFonts w:ascii="Arial" w:cs="Arial" w:eastAsia="Arial" w:hAnsi="Arial"/>
                <w:sz w:val="13"/>
                <w:szCs w:val="13"/>
                <w:b w:val="1"/>
                <w:bCs w:val="1"/>
                <w:color w:val="auto"/>
              </w:rPr>
              <w:t>% Increase</w:t>
            </w:r>
          </w:p>
        </w:tc>
        <w:tc>
          <w:tcPr>
            <w:tcW w:w="1180" w:type="dxa"/>
            <w:vAlign w:val="bottom"/>
            <w:gridSpan w:val="2"/>
          </w:tcPr>
          <w:p>
            <w:pPr>
              <w:jc w:val="center"/>
              <w:ind w:right="200"/>
              <w:spacing w:after="0" w:line="148" w:lineRule="exact"/>
              <w:rPr>
                <w:sz w:val="20"/>
                <w:szCs w:val="20"/>
                <w:color w:val="auto"/>
              </w:rPr>
            </w:pPr>
            <w:r>
              <w:rPr>
                <w:rFonts w:ascii="Arial" w:cs="Arial" w:eastAsia="Arial" w:hAnsi="Arial"/>
                <w:sz w:val="13"/>
                <w:szCs w:val="13"/>
                <w:b w:val="1"/>
                <w:bCs w:val="1"/>
                <w:color w:val="auto"/>
                <w:w w:val="92"/>
              </w:rPr>
              <w:t>Basis % Increase</w:t>
            </w:r>
          </w:p>
        </w:tc>
        <w:tc>
          <w:tcPr>
            <w:tcW w:w="900" w:type="dxa"/>
            <w:vAlign w:val="bottom"/>
            <w:gridSpan w:val="2"/>
          </w:tcPr>
          <w:p>
            <w:pPr>
              <w:jc w:val="center"/>
              <w:ind w:right="40"/>
              <w:spacing w:after="0" w:line="148" w:lineRule="exact"/>
              <w:rPr>
                <w:sz w:val="20"/>
                <w:szCs w:val="20"/>
                <w:color w:val="auto"/>
              </w:rPr>
            </w:pPr>
            <w:r>
              <w:rPr>
                <w:rFonts w:ascii="Arial" w:cs="Arial" w:eastAsia="Arial" w:hAnsi="Arial"/>
                <w:sz w:val="13"/>
                <w:szCs w:val="13"/>
                <w:b w:val="1"/>
                <w:bCs w:val="1"/>
                <w:color w:val="auto"/>
                <w:w w:val="91"/>
              </w:rPr>
              <w:t>Lease Term</w:t>
            </w:r>
          </w:p>
        </w:tc>
        <w:tc>
          <w:tcPr>
            <w:tcW w:w="100" w:type="dxa"/>
            <w:vAlign w:val="bottom"/>
          </w:tcPr>
          <w:p>
            <w:pPr>
              <w:spacing w:after="0"/>
              <w:rPr>
                <w:sz w:val="12"/>
                <w:szCs w:val="12"/>
                <w:color w:val="auto"/>
              </w:rPr>
            </w:pPr>
          </w:p>
        </w:tc>
        <w:tc>
          <w:tcPr>
            <w:tcW w:w="920" w:type="dxa"/>
            <w:vAlign w:val="bottom"/>
          </w:tcPr>
          <w:p>
            <w:pPr>
              <w:jc w:val="right"/>
              <w:ind w:right="236"/>
              <w:spacing w:after="0" w:line="148" w:lineRule="exact"/>
              <w:rPr>
                <w:sz w:val="20"/>
                <w:szCs w:val="20"/>
                <w:color w:val="auto"/>
              </w:rPr>
            </w:pPr>
            <w:r>
              <w:rPr>
                <w:rFonts w:ascii="Arial" w:cs="Arial" w:eastAsia="Arial" w:hAnsi="Arial"/>
                <w:sz w:val="13"/>
                <w:szCs w:val="13"/>
                <w:b w:val="1"/>
                <w:bCs w:val="1"/>
                <w:color w:val="auto"/>
              </w:rPr>
              <w:t>Tenant</w:t>
            </w:r>
          </w:p>
        </w:tc>
        <w:tc>
          <w:tcPr>
            <w:tcW w:w="40" w:type="dxa"/>
            <w:vAlign w:val="bottom"/>
          </w:tcPr>
          <w:p>
            <w:pPr>
              <w:spacing w:after="0"/>
              <w:rPr>
                <w:sz w:val="12"/>
                <w:szCs w:val="12"/>
                <w:color w:val="auto"/>
              </w:rPr>
            </w:pPr>
          </w:p>
        </w:tc>
        <w:tc>
          <w:tcPr>
            <w:tcW w:w="840" w:type="dxa"/>
            <w:vAlign w:val="bottom"/>
            <w:gridSpan w:val="2"/>
          </w:tcPr>
          <w:p>
            <w:pPr>
              <w:ind w:left="20"/>
              <w:spacing w:after="0" w:line="148" w:lineRule="exact"/>
              <w:rPr>
                <w:sz w:val="20"/>
                <w:szCs w:val="20"/>
                <w:color w:val="auto"/>
              </w:rPr>
            </w:pPr>
            <w:r>
              <w:rPr>
                <w:rFonts w:ascii="Arial" w:cs="Arial" w:eastAsia="Arial" w:hAnsi="Arial"/>
                <w:sz w:val="13"/>
                <w:szCs w:val="13"/>
                <w:b w:val="1"/>
                <w:bCs w:val="1"/>
                <w:color w:val="auto"/>
                <w:w w:val="89"/>
              </w:rPr>
              <w:t>Improvements</w:t>
            </w:r>
          </w:p>
        </w:tc>
        <w:tc>
          <w:tcPr>
            <w:tcW w:w="0" w:type="dxa"/>
            <w:vAlign w:val="bottom"/>
          </w:tcPr>
          <w:p>
            <w:pPr>
              <w:spacing w:after="0"/>
              <w:rPr>
                <w:sz w:val="1"/>
                <w:szCs w:val="1"/>
                <w:color w:val="auto"/>
              </w:rPr>
            </w:pPr>
          </w:p>
        </w:tc>
      </w:tr>
      <w:tr>
        <w:trPr>
          <w:trHeight w:val="173"/>
        </w:trPr>
        <w:tc>
          <w:tcPr>
            <w:tcW w:w="1280" w:type="dxa"/>
            <w:vAlign w:val="bottom"/>
            <w:gridSpan w:val="4"/>
          </w:tcPr>
          <w:p>
            <w:pPr>
              <w:spacing w:after="0"/>
              <w:rPr>
                <w:sz w:val="20"/>
                <w:szCs w:val="20"/>
                <w:color w:val="auto"/>
              </w:rPr>
            </w:pPr>
            <w:r>
              <w:rPr>
                <w:rFonts w:ascii="Arial" w:cs="Arial" w:eastAsia="Arial" w:hAnsi="Arial"/>
                <w:sz w:val="13"/>
                <w:szCs w:val="13"/>
                <w:b w:val="1"/>
                <w:bCs w:val="1"/>
                <w:color w:val="auto"/>
              </w:rPr>
              <w:t>Quarter</w:t>
            </w:r>
          </w:p>
        </w:tc>
        <w:tc>
          <w:tcPr>
            <w:tcW w:w="1840" w:type="dxa"/>
            <w:vAlign w:val="bottom"/>
            <w:gridSpan w:val="7"/>
          </w:tcPr>
          <w:p>
            <w:pPr>
              <w:spacing w:after="0"/>
              <w:rPr>
                <w:sz w:val="20"/>
                <w:szCs w:val="20"/>
                <w:color w:val="auto"/>
              </w:rPr>
            </w:pPr>
            <w:r>
              <w:rPr>
                <w:rFonts w:ascii="Arial" w:cs="Arial" w:eastAsia="Arial" w:hAnsi="Arial"/>
                <w:sz w:val="13"/>
                <w:szCs w:val="13"/>
                <w:b w:val="1"/>
                <w:bCs w:val="1"/>
                <w:color w:val="auto"/>
                <w:w w:val="97"/>
              </w:rPr>
              <w:t>Leases Signed Leases Signed</w:t>
            </w:r>
          </w:p>
        </w:tc>
        <w:tc>
          <w:tcPr>
            <w:tcW w:w="700" w:type="dxa"/>
            <w:vAlign w:val="bottom"/>
          </w:tcPr>
          <w:p>
            <w:pPr>
              <w:ind w:left="160"/>
              <w:spacing w:after="0"/>
              <w:rPr>
                <w:sz w:val="20"/>
                <w:szCs w:val="20"/>
                <w:color w:val="auto"/>
              </w:rPr>
            </w:pPr>
            <w:r>
              <w:rPr>
                <w:rFonts w:ascii="Arial" w:cs="Arial" w:eastAsia="Arial" w:hAnsi="Arial"/>
                <w:sz w:val="13"/>
                <w:szCs w:val="13"/>
                <w:b w:val="1"/>
                <w:bCs w:val="1"/>
                <w:color w:val="auto"/>
              </w:rPr>
              <w:t>Signed</w:t>
            </w:r>
          </w:p>
        </w:tc>
        <w:tc>
          <w:tcPr>
            <w:tcW w:w="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w w:val="99"/>
              </w:rPr>
              <w:t>Per Sq. Ft.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b w:val="1"/>
                <w:bCs w:val="1"/>
                <w:color w:val="auto"/>
                <w:w w:val="93"/>
              </w:rPr>
              <w:t>Per Sq. Ft.</w:t>
            </w:r>
          </w:p>
        </w:tc>
        <w:tc>
          <w:tcPr>
            <w:tcW w:w="40" w:type="dxa"/>
            <w:vAlign w:val="bottom"/>
          </w:tcPr>
          <w:p>
            <w:pPr>
              <w:spacing w:after="0"/>
              <w:rPr>
                <w:sz w:val="15"/>
                <w:szCs w:val="15"/>
                <w:color w:val="auto"/>
              </w:rPr>
            </w:pPr>
          </w:p>
        </w:tc>
        <w:tc>
          <w:tcPr>
            <w:tcW w:w="2100" w:type="dxa"/>
            <w:vAlign w:val="bottom"/>
            <w:gridSpan w:val="5"/>
          </w:tcPr>
          <w:p>
            <w:pPr>
              <w:spacing w:after="0"/>
              <w:rPr>
                <w:sz w:val="20"/>
                <w:szCs w:val="20"/>
                <w:color w:val="auto"/>
              </w:rPr>
            </w:pPr>
            <w:r>
              <w:rPr>
                <w:rFonts w:ascii="Arial" w:cs="Arial" w:eastAsia="Arial" w:hAnsi="Arial"/>
                <w:sz w:val="13"/>
                <w:szCs w:val="13"/>
                <w:b w:val="1"/>
                <w:bCs w:val="1"/>
                <w:color w:val="auto"/>
              </w:rPr>
              <w:t>Increase in Rent Over Prior Rent</w:t>
            </w:r>
          </w:p>
        </w:tc>
        <w:tc>
          <w:tcPr>
            <w:tcW w:w="11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Over Prior Rent</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(5)</w:t>
            </w:r>
          </w:p>
        </w:tc>
        <w:tc>
          <w:tcPr>
            <w:tcW w:w="4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3"/>
                <w:szCs w:val="13"/>
                <w:b w:val="1"/>
                <w:bCs w:val="1"/>
                <w:color w:val="auto"/>
                <w:w w:val="92"/>
              </w:rPr>
              <w:t>Improvements (6)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6"/>
              </w:rPr>
              <w:t>Per Sq. Ft.</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26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5"/>
              </w:rPr>
              <w:t>3rd Quarter 2004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55%</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87"/>
              </w:rPr>
              <w:t>183,428</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19.56</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893,800</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39%</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190,135</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7"/>
                <w:szCs w:val="17"/>
                <w:color w:val="auto"/>
                <w:w w:val="93"/>
              </w:rPr>
              <w:t>2nd Quarter 2004</w:t>
            </w:r>
          </w:p>
        </w:tc>
        <w:tc>
          <w:tcPr>
            <w:tcW w:w="800" w:type="dxa"/>
            <w:vAlign w:val="bottom"/>
          </w:tcPr>
          <w:p>
            <w:pPr>
              <w:jc w:val="right"/>
              <w:spacing w:after="0"/>
              <w:rPr>
                <w:sz w:val="20"/>
                <w:szCs w:val="20"/>
                <w:color w:val="auto"/>
              </w:rPr>
            </w:pPr>
            <w:r>
              <w:rPr>
                <w:rFonts w:ascii="Arial" w:cs="Arial" w:eastAsia="Arial" w:hAnsi="Arial"/>
                <w:sz w:val="17"/>
                <w:szCs w:val="17"/>
                <w:color w:val="auto"/>
              </w:rPr>
              <w:t>52</w:t>
            </w:r>
          </w:p>
        </w:tc>
        <w:tc>
          <w:tcPr>
            <w:tcW w:w="1020" w:type="dxa"/>
            <w:vAlign w:val="bottom"/>
            <w:gridSpan w:val="5"/>
          </w:tcPr>
          <w:p>
            <w:pPr>
              <w:jc w:val="right"/>
              <w:ind w:right="40"/>
              <w:spacing w:after="0"/>
              <w:rPr>
                <w:sz w:val="20"/>
                <w:szCs w:val="20"/>
                <w:color w:val="auto"/>
              </w:rPr>
            </w:pPr>
            <w:r>
              <w:rPr>
                <w:rFonts w:ascii="Arial" w:cs="Arial" w:eastAsia="Arial" w:hAnsi="Arial"/>
                <w:sz w:val="17"/>
                <w:szCs w:val="17"/>
                <w:color w:val="auto"/>
              </w:rPr>
              <w:t>63%</w:t>
            </w:r>
          </w:p>
        </w:tc>
        <w:tc>
          <w:tcPr>
            <w:tcW w:w="20" w:type="dxa"/>
            <w:vAlign w:val="bottom"/>
          </w:tcPr>
          <w:p>
            <w:pPr>
              <w:spacing w:after="0"/>
              <w:rPr>
                <w:sz w:val="18"/>
                <w:szCs w:val="18"/>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auto"/>
                <w:w w:val="87"/>
              </w:rPr>
              <w:t>219,919</w:t>
            </w:r>
          </w:p>
        </w:tc>
        <w:tc>
          <w:tcPr>
            <w:tcW w:w="140" w:type="dxa"/>
            <w:vAlign w:val="bottom"/>
            <w:gridSpan w:val="2"/>
          </w:tcPr>
          <w:p>
            <w:pPr>
              <w:ind w:left="40"/>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20.83</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18.35</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544,693</w:t>
            </w:r>
          </w:p>
        </w:tc>
        <w:tc>
          <w:tcPr>
            <w:tcW w:w="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22%</w:t>
            </w:r>
          </w:p>
        </w:tc>
        <w:tc>
          <w:tcPr>
            <w:tcW w:w="860" w:type="dxa"/>
            <w:vAlign w:val="bottom"/>
          </w:tcPr>
          <w:p>
            <w:pPr>
              <w:jc w:val="right"/>
              <w:spacing w:after="0"/>
              <w:rPr>
                <w:sz w:val="20"/>
                <w:szCs w:val="20"/>
                <w:color w:val="auto"/>
              </w:rPr>
            </w:pPr>
            <w:r>
              <w:rPr>
                <w:rFonts w:ascii="Arial" w:cs="Arial" w:eastAsia="Arial" w:hAnsi="Arial"/>
                <w:sz w:val="17"/>
                <w:szCs w:val="17"/>
                <w:color w:val="auto"/>
              </w:rPr>
              <w:t>5.3</w:t>
            </w:r>
          </w:p>
        </w:tc>
        <w:tc>
          <w:tcPr>
            <w:tcW w:w="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529,924</w:t>
            </w:r>
          </w:p>
        </w:tc>
        <w:tc>
          <w:tcPr>
            <w:tcW w:w="140" w:type="dxa"/>
            <w:vAlign w:val="bottom"/>
            <w:gridSpan w:val="2"/>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2.41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6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7"/>
              </w:rPr>
              <w:t>1st Quarter 2004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43%</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87"/>
              </w:rPr>
              <w:t>102,220</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27.45</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24.98</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252,272</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70,000</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gridSpan w:val="3"/>
          </w:tcPr>
          <w:p>
            <w:pPr>
              <w:spacing w:after="0"/>
              <w:rPr>
                <w:sz w:val="20"/>
                <w:szCs w:val="20"/>
                <w:color w:val="auto"/>
              </w:rPr>
            </w:pPr>
            <w:r>
              <w:rPr>
                <w:rFonts w:ascii="Arial" w:cs="Arial" w:eastAsia="Arial" w:hAnsi="Arial"/>
                <w:sz w:val="17"/>
                <w:szCs w:val="17"/>
                <w:color w:val="auto"/>
                <w:w w:val="96"/>
              </w:rPr>
              <w:t>4th Quarter 2003</w:t>
            </w:r>
          </w:p>
        </w:tc>
        <w:tc>
          <w:tcPr>
            <w:tcW w:w="800" w:type="dxa"/>
            <w:vAlign w:val="bottom"/>
          </w:tcPr>
          <w:p>
            <w:pPr>
              <w:jc w:val="right"/>
              <w:spacing w:after="0"/>
              <w:rPr>
                <w:sz w:val="20"/>
                <w:szCs w:val="20"/>
                <w:color w:val="auto"/>
              </w:rPr>
            </w:pPr>
            <w:r>
              <w:rPr>
                <w:rFonts w:ascii="Arial" w:cs="Arial" w:eastAsia="Arial" w:hAnsi="Arial"/>
                <w:sz w:val="17"/>
                <w:szCs w:val="17"/>
                <w:color w:val="auto"/>
              </w:rPr>
              <w:t>40</w:t>
            </w:r>
          </w:p>
        </w:tc>
        <w:tc>
          <w:tcPr>
            <w:tcW w:w="1020" w:type="dxa"/>
            <w:vAlign w:val="bottom"/>
            <w:gridSpan w:val="5"/>
          </w:tcPr>
          <w:p>
            <w:pPr>
              <w:jc w:val="right"/>
              <w:ind w:right="40"/>
              <w:spacing w:after="0"/>
              <w:rPr>
                <w:sz w:val="20"/>
                <w:szCs w:val="20"/>
                <w:color w:val="auto"/>
              </w:rPr>
            </w:pPr>
            <w:r>
              <w:rPr>
                <w:rFonts w:ascii="Arial" w:cs="Arial" w:eastAsia="Arial" w:hAnsi="Arial"/>
                <w:sz w:val="17"/>
                <w:szCs w:val="17"/>
                <w:color w:val="auto"/>
              </w:rPr>
              <w:t>55%</w:t>
            </w:r>
          </w:p>
        </w:tc>
        <w:tc>
          <w:tcPr>
            <w:tcW w:w="2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auto"/>
                <w:w w:val="87"/>
              </w:rPr>
              <w:t>124,683</w:t>
            </w:r>
          </w:p>
        </w:tc>
        <w:tc>
          <w:tcPr>
            <w:tcW w:w="140" w:type="dxa"/>
            <w:vAlign w:val="bottom"/>
            <w:gridSpan w:val="2"/>
          </w:tcPr>
          <w:p>
            <w:pPr>
              <w:ind w:left="40"/>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26.95</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25.59</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169,950</w:t>
            </w:r>
          </w:p>
        </w:tc>
        <w:tc>
          <w:tcPr>
            <w:tcW w:w="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19%</w:t>
            </w:r>
          </w:p>
        </w:tc>
        <w:tc>
          <w:tcPr>
            <w:tcW w:w="860" w:type="dxa"/>
            <w:vAlign w:val="bottom"/>
          </w:tcPr>
          <w:p>
            <w:pPr>
              <w:jc w:val="right"/>
              <w:spacing w:after="0"/>
              <w:rPr>
                <w:sz w:val="20"/>
                <w:szCs w:val="20"/>
                <w:color w:val="auto"/>
              </w:rPr>
            </w:pPr>
            <w:r>
              <w:rPr>
                <w:rFonts w:ascii="Arial" w:cs="Arial" w:eastAsia="Arial" w:hAnsi="Arial"/>
                <w:sz w:val="17"/>
                <w:szCs w:val="17"/>
                <w:color w:val="auto"/>
              </w:rPr>
              <w:t>4.8</w:t>
            </w:r>
          </w:p>
        </w:tc>
        <w:tc>
          <w:tcPr>
            <w:tcW w:w="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47,000</w:t>
            </w:r>
          </w:p>
        </w:tc>
        <w:tc>
          <w:tcPr>
            <w:tcW w:w="140" w:type="dxa"/>
            <w:vAlign w:val="bottom"/>
            <w:gridSpan w:val="2"/>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0.38</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26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3"/>
              </w:rPr>
              <w:t>Total - 12 months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54%</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87"/>
              </w:rPr>
              <w:t>630,250</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21.21</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1,860,715</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837,059</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131"/>
        </w:trPr>
        <w:tc>
          <w:tcPr>
            <w:tcW w:w="940" w:type="dxa"/>
            <w:vAlign w:val="bottom"/>
            <w:gridSpan w:val="3"/>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92"/>
        </w:trPr>
        <w:tc>
          <w:tcPr>
            <w:tcW w:w="3120" w:type="dxa"/>
            <w:vAlign w:val="bottom"/>
            <w:gridSpan w:val="11"/>
          </w:tcPr>
          <w:p>
            <w:pPr>
              <w:spacing w:after="0"/>
              <w:rPr>
                <w:sz w:val="20"/>
                <w:szCs w:val="20"/>
                <w:color w:val="auto"/>
              </w:rPr>
            </w:pPr>
            <w:r>
              <w:rPr>
                <w:rFonts w:ascii="Arial" w:cs="Arial" w:eastAsia="Arial" w:hAnsi="Arial"/>
                <w:sz w:val="17"/>
                <w:szCs w:val="17"/>
                <w:b w:val="1"/>
                <w:bCs w:val="1"/>
                <w:color w:val="auto"/>
              </w:rPr>
              <w:t>New Lease Summary - Comparable (2)</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w w:val="94"/>
              </w:rPr>
              <w:t>Contractual</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2"/>
          </w:tcPr>
          <w:p>
            <w:pPr>
              <w:ind w:left="160"/>
              <w:spacing w:after="0"/>
              <w:rPr>
                <w:sz w:val="20"/>
                <w:szCs w:val="20"/>
                <w:color w:val="auto"/>
              </w:rPr>
            </w:pPr>
            <w:r>
              <w:rPr>
                <w:rFonts w:ascii="Arial" w:cs="Arial" w:eastAsia="Arial" w:hAnsi="Arial"/>
                <w:sz w:val="13"/>
                <w:szCs w:val="13"/>
                <w:b w:val="1"/>
                <w:bCs w:val="1"/>
                <w:color w:val="auto"/>
              </w:rPr>
              <w:t>Cash Basis</w:t>
            </w:r>
          </w:p>
        </w:tc>
        <w:tc>
          <w:tcPr>
            <w:tcW w:w="11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Straight-lined</w:t>
            </w:r>
          </w:p>
        </w:tc>
        <w:tc>
          <w:tcPr>
            <w:tcW w:w="9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2"/>
              </w:rPr>
              <w:t>Weighted</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19"/>
              <w:spacing w:after="0"/>
              <w:rPr>
                <w:sz w:val="20"/>
                <w:szCs w:val="20"/>
                <w:color w:val="auto"/>
              </w:rPr>
            </w:pPr>
            <w:r>
              <w:rPr>
                <w:rFonts w:ascii="Arial" w:cs="Arial" w:eastAsia="Arial" w:hAnsi="Arial"/>
                <w:sz w:val="13"/>
                <w:szCs w:val="13"/>
                <w:b w:val="1"/>
                <w:bCs w:val="1"/>
                <w:color w:val="auto"/>
                <w:w w:val="93"/>
              </w:rPr>
              <w:t>Tenant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right"/>
              <w:ind w:right="19"/>
              <w:spacing w:after="0" w:line="148" w:lineRule="exact"/>
              <w:rPr>
                <w:sz w:val="20"/>
                <w:szCs w:val="20"/>
                <w:color w:val="auto"/>
              </w:rPr>
            </w:pPr>
            <w:r>
              <w:rPr>
                <w:rFonts w:ascii="Arial" w:cs="Arial" w:eastAsia="Arial" w:hAnsi="Arial"/>
                <w:sz w:val="13"/>
                <w:szCs w:val="13"/>
                <w:b w:val="1"/>
                <w:bCs w:val="1"/>
                <w:color w:val="auto"/>
              </w:rPr>
              <w:t>Number of</w:t>
            </w:r>
          </w:p>
        </w:tc>
        <w:tc>
          <w:tcPr>
            <w:tcW w:w="40" w:type="dxa"/>
            <w:vAlign w:val="bottom"/>
          </w:tcPr>
          <w:p>
            <w:pPr>
              <w:spacing w:after="0"/>
              <w:rPr>
                <w:sz w:val="12"/>
                <w:szCs w:val="12"/>
                <w:color w:val="auto"/>
              </w:rPr>
            </w:pPr>
          </w:p>
        </w:tc>
        <w:tc>
          <w:tcPr>
            <w:tcW w:w="1000" w:type="dxa"/>
            <w:vAlign w:val="bottom"/>
            <w:gridSpan w:val="5"/>
          </w:tcPr>
          <w:p>
            <w:pPr>
              <w:ind w:left="100"/>
              <w:spacing w:after="0" w:line="148" w:lineRule="exact"/>
              <w:rPr>
                <w:sz w:val="20"/>
                <w:szCs w:val="20"/>
                <w:color w:val="auto"/>
              </w:rPr>
            </w:pPr>
            <w:r>
              <w:rPr>
                <w:rFonts w:ascii="Arial" w:cs="Arial" w:eastAsia="Arial" w:hAnsi="Arial"/>
                <w:sz w:val="13"/>
                <w:szCs w:val="13"/>
                <w:b w:val="1"/>
                <w:bCs w:val="1"/>
                <w:color w:val="auto"/>
              </w:rPr>
              <w:t>% of Total</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right"/>
              <w:spacing w:after="0" w:line="148" w:lineRule="exact"/>
              <w:rPr>
                <w:sz w:val="20"/>
                <w:szCs w:val="20"/>
                <w:color w:val="auto"/>
              </w:rPr>
            </w:pPr>
            <w:r>
              <w:rPr>
                <w:rFonts w:ascii="Arial" w:cs="Arial" w:eastAsia="Arial" w:hAnsi="Arial"/>
                <w:sz w:val="13"/>
                <w:szCs w:val="13"/>
                <w:b w:val="1"/>
                <w:bCs w:val="1"/>
                <w:color w:val="auto"/>
              </w:rPr>
              <w:t>Rent (3)  Prior Rent (4)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ind w:left="100"/>
              <w:spacing w:after="0" w:line="148" w:lineRule="exact"/>
              <w:rPr>
                <w:sz w:val="20"/>
                <w:szCs w:val="20"/>
                <w:color w:val="auto"/>
              </w:rPr>
            </w:pPr>
            <w:r>
              <w:rPr>
                <w:rFonts w:ascii="Arial" w:cs="Arial" w:eastAsia="Arial" w:hAnsi="Arial"/>
                <w:sz w:val="13"/>
                <w:szCs w:val="13"/>
                <w:b w:val="1"/>
                <w:bCs w:val="1"/>
                <w:color w:val="auto"/>
              </w:rPr>
              <w:t>Annual</w:t>
            </w:r>
          </w:p>
        </w:tc>
        <w:tc>
          <w:tcPr>
            <w:tcW w:w="1120" w:type="dxa"/>
            <w:vAlign w:val="bottom"/>
            <w:gridSpan w:val="2"/>
          </w:tcPr>
          <w:p>
            <w:pPr>
              <w:ind w:left="140"/>
              <w:spacing w:after="0" w:line="148" w:lineRule="exact"/>
              <w:rPr>
                <w:sz w:val="20"/>
                <w:szCs w:val="20"/>
                <w:color w:val="auto"/>
              </w:rPr>
            </w:pPr>
            <w:r>
              <w:rPr>
                <w:rFonts w:ascii="Arial" w:cs="Arial" w:eastAsia="Arial" w:hAnsi="Arial"/>
                <w:sz w:val="13"/>
                <w:szCs w:val="13"/>
                <w:b w:val="1"/>
                <w:bCs w:val="1"/>
                <w:color w:val="auto"/>
              </w:rPr>
              <w:t>% Increase</w:t>
            </w:r>
          </w:p>
        </w:tc>
        <w:tc>
          <w:tcPr>
            <w:tcW w:w="1180" w:type="dxa"/>
            <w:vAlign w:val="bottom"/>
            <w:gridSpan w:val="2"/>
          </w:tcPr>
          <w:p>
            <w:pPr>
              <w:jc w:val="center"/>
              <w:ind w:right="200"/>
              <w:spacing w:after="0" w:line="148" w:lineRule="exact"/>
              <w:rPr>
                <w:sz w:val="20"/>
                <w:szCs w:val="20"/>
                <w:color w:val="auto"/>
              </w:rPr>
            </w:pPr>
            <w:r>
              <w:rPr>
                <w:rFonts w:ascii="Arial" w:cs="Arial" w:eastAsia="Arial" w:hAnsi="Arial"/>
                <w:sz w:val="13"/>
                <w:szCs w:val="13"/>
                <w:b w:val="1"/>
                <w:bCs w:val="1"/>
                <w:color w:val="auto"/>
                <w:w w:val="91"/>
              </w:rPr>
              <w:t>Basis% Increase</w:t>
            </w:r>
          </w:p>
        </w:tc>
        <w:tc>
          <w:tcPr>
            <w:tcW w:w="900" w:type="dxa"/>
            <w:vAlign w:val="bottom"/>
            <w:gridSpan w:val="2"/>
          </w:tcPr>
          <w:p>
            <w:pPr>
              <w:jc w:val="center"/>
              <w:ind w:right="40"/>
              <w:spacing w:after="0" w:line="148" w:lineRule="exact"/>
              <w:rPr>
                <w:sz w:val="20"/>
                <w:szCs w:val="20"/>
                <w:color w:val="auto"/>
              </w:rPr>
            </w:pPr>
            <w:r>
              <w:rPr>
                <w:rFonts w:ascii="Arial" w:cs="Arial" w:eastAsia="Arial" w:hAnsi="Arial"/>
                <w:sz w:val="13"/>
                <w:szCs w:val="13"/>
                <w:b w:val="1"/>
                <w:bCs w:val="1"/>
                <w:color w:val="auto"/>
                <w:w w:val="89"/>
              </w:rPr>
              <w:t>Average</w:t>
            </w:r>
          </w:p>
        </w:tc>
        <w:tc>
          <w:tcPr>
            <w:tcW w:w="100" w:type="dxa"/>
            <w:vAlign w:val="bottom"/>
          </w:tcPr>
          <w:p>
            <w:pPr>
              <w:spacing w:after="0"/>
              <w:rPr>
                <w:sz w:val="12"/>
                <w:szCs w:val="12"/>
                <w:color w:val="auto"/>
              </w:rPr>
            </w:pPr>
          </w:p>
        </w:tc>
        <w:tc>
          <w:tcPr>
            <w:tcW w:w="920" w:type="dxa"/>
            <w:vAlign w:val="bottom"/>
          </w:tcPr>
          <w:p>
            <w:pPr>
              <w:jc w:val="right"/>
              <w:ind w:right="236"/>
              <w:spacing w:after="0" w:line="148" w:lineRule="exact"/>
              <w:rPr>
                <w:sz w:val="20"/>
                <w:szCs w:val="20"/>
                <w:color w:val="auto"/>
              </w:rPr>
            </w:pPr>
            <w:r>
              <w:rPr>
                <w:rFonts w:ascii="Arial" w:cs="Arial" w:eastAsia="Arial" w:hAnsi="Arial"/>
                <w:sz w:val="13"/>
                <w:szCs w:val="13"/>
                <w:b w:val="1"/>
                <w:bCs w:val="1"/>
                <w:color w:val="auto"/>
              </w:rPr>
              <w:t>Tenant</w:t>
            </w:r>
          </w:p>
        </w:tc>
        <w:tc>
          <w:tcPr>
            <w:tcW w:w="40" w:type="dxa"/>
            <w:vAlign w:val="bottom"/>
          </w:tcPr>
          <w:p>
            <w:pPr>
              <w:spacing w:after="0"/>
              <w:rPr>
                <w:sz w:val="12"/>
                <w:szCs w:val="12"/>
                <w:color w:val="auto"/>
              </w:rPr>
            </w:pPr>
          </w:p>
        </w:tc>
        <w:tc>
          <w:tcPr>
            <w:tcW w:w="840" w:type="dxa"/>
            <w:vAlign w:val="bottom"/>
            <w:gridSpan w:val="2"/>
          </w:tcPr>
          <w:p>
            <w:pPr>
              <w:ind w:left="20"/>
              <w:spacing w:after="0" w:line="148" w:lineRule="exact"/>
              <w:rPr>
                <w:sz w:val="20"/>
                <w:szCs w:val="20"/>
                <w:color w:val="auto"/>
              </w:rPr>
            </w:pPr>
            <w:r>
              <w:rPr>
                <w:rFonts w:ascii="Arial" w:cs="Arial" w:eastAsia="Arial" w:hAnsi="Arial"/>
                <w:sz w:val="13"/>
                <w:szCs w:val="13"/>
                <w:b w:val="1"/>
                <w:bCs w:val="1"/>
                <w:color w:val="auto"/>
                <w:w w:val="89"/>
              </w:rPr>
              <w:t>Improvements</w:t>
            </w:r>
          </w:p>
        </w:tc>
        <w:tc>
          <w:tcPr>
            <w:tcW w:w="0" w:type="dxa"/>
            <w:vAlign w:val="bottom"/>
          </w:tcPr>
          <w:p>
            <w:pPr>
              <w:spacing w:after="0"/>
              <w:rPr>
                <w:sz w:val="1"/>
                <w:szCs w:val="1"/>
                <w:color w:val="auto"/>
              </w:rPr>
            </w:pPr>
          </w:p>
        </w:tc>
      </w:tr>
      <w:tr>
        <w:trPr>
          <w:trHeight w:val="173"/>
        </w:trPr>
        <w:tc>
          <w:tcPr>
            <w:tcW w:w="1280" w:type="dxa"/>
            <w:vAlign w:val="bottom"/>
            <w:gridSpan w:val="4"/>
          </w:tcPr>
          <w:p>
            <w:pPr>
              <w:spacing w:after="0"/>
              <w:rPr>
                <w:sz w:val="20"/>
                <w:szCs w:val="20"/>
                <w:color w:val="auto"/>
              </w:rPr>
            </w:pPr>
            <w:r>
              <w:rPr>
                <w:rFonts w:ascii="Arial" w:cs="Arial" w:eastAsia="Arial" w:hAnsi="Arial"/>
                <w:sz w:val="13"/>
                <w:szCs w:val="13"/>
                <w:b w:val="1"/>
                <w:bCs w:val="1"/>
                <w:color w:val="auto"/>
              </w:rPr>
              <w:t>Quarter</w:t>
            </w:r>
          </w:p>
        </w:tc>
        <w:tc>
          <w:tcPr>
            <w:tcW w:w="1840" w:type="dxa"/>
            <w:vAlign w:val="bottom"/>
            <w:gridSpan w:val="7"/>
          </w:tcPr>
          <w:p>
            <w:pPr>
              <w:spacing w:after="0"/>
              <w:rPr>
                <w:sz w:val="20"/>
                <w:szCs w:val="20"/>
                <w:color w:val="auto"/>
              </w:rPr>
            </w:pPr>
            <w:r>
              <w:rPr>
                <w:rFonts w:ascii="Arial" w:cs="Arial" w:eastAsia="Arial" w:hAnsi="Arial"/>
                <w:sz w:val="13"/>
                <w:szCs w:val="13"/>
                <w:b w:val="1"/>
                <w:bCs w:val="1"/>
                <w:color w:val="auto"/>
                <w:w w:val="97"/>
              </w:rPr>
              <w:t>Leases Signed Leases Signed</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4"/>
              </w:rPr>
              <w:t>GLA Signed</w:t>
            </w:r>
          </w:p>
        </w:tc>
        <w:tc>
          <w:tcPr>
            <w:tcW w:w="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w w:val="99"/>
              </w:rPr>
              <w:t>Per Sq. Ft.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b w:val="1"/>
                <w:bCs w:val="1"/>
                <w:color w:val="auto"/>
                <w:w w:val="93"/>
              </w:rPr>
              <w:t>Per Sq. Ft.</w:t>
            </w:r>
          </w:p>
        </w:tc>
        <w:tc>
          <w:tcPr>
            <w:tcW w:w="40" w:type="dxa"/>
            <w:vAlign w:val="bottom"/>
          </w:tcPr>
          <w:p>
            <w:pPr>
              <w:spacing w:after="0"/>
              <w:rPr>
                <w:sz w:val="15"/>
                <w:szCs w:val="15"/>
                <w:color w:val="auto"/>
              </w:rPr>
            </w:pPr>
          </w:p>
        </w:tc>
        <w:tc>
          <w:tcPr>
            <w:tcW w:w="2100" w:type="dxa"/>
            <w:vAlign w:val="bottom"/>
            <w:gridSpan w:val="5"/>
          </w:tcPr>
          <w:p>
            <w:pPr>
              <w:spacing w:after="0"/>
              <w:rPr>
                <w:sz w:val="20"/>
                <w:szCs w:val="20"/>
                <w:color w:val="auto"/>
              </w:rPr>
            </w:pPr>
            <w:r>
              <w:rPr>
                <w:rFonts w:ascii="Arial" w:cs="Arial" w:eastAsia="Arial" w:hAnsi="Arial"/>
                <w:sz w:val="13"/>
                <w:szCs w:val="13"/>
                <w:b w:val="1"/>
                <w:bCs w:val="1"/>
                <w:color w:val="auto"/>
              </w:rPr>
              <w:t>Increase in Rent Over Prior Rent</w:t>
            </w:r>
          </w:p>
        </w:tc>
        <w:tc>
          <w:tcPr>
            <w:tcW w:w="11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Over Prior Rent</w:t>
            </w:r>
          </w:p>
        </w:tc>
        <w:tc>
          <w:tcPr>
            <w:tcW w:w="1920" w:type="dxa"/>
            <w:vAlign w:val="bottom"/>
            <w:gridSpan w:val="4"/>
          </w:tcPr>
          <w:p>
            <w:pPr>
              <w:jc w:val="right"/>
              <w:spacing w:after="0"/>
              <w:rPr>
                <w:sz w:val="20"/>
                <w:szCs w:val="20"/>
                <w:color w:val="auto"/>
              </w:rPr>
            </w:pPr>
            <w:r>
              <w:rPr>
                <w:rFonts w:ascii="Arial" w:cs="Arial" w:eastAsia="Arial" w:hAnsi="Arial"/>
                <w:sz w:val="13"/>
                <w:szCs w:val="13"/>
                <w:b w:val="1"/>
                <w:bCs w:val="1"/>
                <w:color w:val="auto"/>
                <w:w w:val="93"/>
              </w:rPr>
              <w:t>Lease Term (5) Improvements (6)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6"/>
              </w:rPr>
              <w:t>Per Sq. Ft.</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26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5"/>
              </w:rPr>
              <w:t>3rd Quarter 2004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45%</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87"/>
              </w:rPr>
              <w:t>225,497</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17.99</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791,958</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5,302,465</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7"/>
                <w:szCs w:val="17"/>
                <w:color w:val="auto"/>
                <w:w w:val="93"/>
              </w:rPr>
              <w:t>2nd Quarter 2004</w:t>
            </w:r>
          </w:p>
        </w:tc>
        <w:tc>
          <w:tcPr>
            <w:tcW w:w="800" w:type="dxa"/>
            <w:vAlign w:val="bottom"/>
          </w:tcPr>
          <w:p>
            <w:pPr>
              <w:jc w:val="right"/>
              <w:spacing w:after="0"/>
              <w:rPr>
                <w:sz w:val="20"/>
                <w:szCs w:val="20"/>
                <w:color w:val="auto"/>
              </w:rPr>
            </w:pPr>
            <w:r>
              <w:rPr>
                <w:rFonts w:ascii="Arial" w:cs="Arial" w:eastAsia="Arial" w:hAnsi="Arial"/>
                <w:sz w:val="17"/>
                <w:szCs w:val="17"/>
                <w:color w:val="auto"/>
              </w:rPr>
              <w:t>30</w:t>
            </w:r>
          </w:p>
        </w:tc>
        <w:tc>
          <w:tcPr>
            <w:tcW w:w="1020" w:type="dxa"/>
            <w:vAlign w:val="bottom"/>
            <w:gridSpan w:val="5"/>
          </w:tcPr>
          <w:p>
            <w:pPr>
              <w:jc w:val="right"/>
              <w:ind w:right="40"/>
              <w:spacing w:after="0"/>
              <w:rPr>
                <w:sz w:val="20"/>
                <w:szCs w:val="20"/>
                <w:color w:val="auto"/>
              </w:rPr>
            </w:pPr>
            <w:r>
              <w:rPr>
                <w:rFonts w:ascii="Arial" w:cs="Arial" w:eastAsia="Arial" w:hAnsi="Arial"/>
                <w:sz w:val="17"/>
                <w:szCs w:val="17"/>
                <w:color w:val="auto"/>
              </w:rPr>
              <w:t>37%</w:t>
            </w:r>
          </w:p>
        </w:tc>
        <w:tc>
          <w:tcPr>
            <w:tcW w:w="20" w:type="dxa"/>
            <w:vAlign w:val="bottom"/>
          </w:tcPr>
          <w:p>
            <w:pPr>
              <w:spacing w:after="0"/>
              <w:rPr>
                <w:sz w:val="18"/>
                <w:szCs w:val="18"/>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auto"/>
                <w:w w:val="87"/>
              </w:rPr>
              <w:t>261,186</w:t>
            </w:r>
          </w:p>
        </w:tc>
        <w:tc>
          <w:tcPr>
            <w:tcW w:w="140" w:type="dxa"/>
            <w:vAlign w:val="bottom"/>
            <w:gridSpan w:val="2"/>
          </w:tcPr>
          <w:p>
            <w:pPr>
              <w:ind w:left="40"/>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19.10</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16.74</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617,736</w:t>
            </w:r>
          </w:p>
        </w:tc>
        <w:tc>
          <w:tcPr>
            <w:tcW w:w="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21%</w:t>
            </w:r>
          </w:p>
        </w:tc>
        <w:tc>
          <w:tcPr>
            <w:tcW w:w="860" w:type="dxa"/>
            <w:vAlign w:val="bottom"/>
          </w:tcPr>
          <w:p>
            <w:pPr>
              <w:jc w:val="right"/>
              <w:spacing w:after="0"/>
              <w:rPr>
                <w:sz w:val="20"/>
                <w:szCs w:val="20"/>
                <w:color w:val="auto"/>
              </w:rPr>
            </w:pPr>
            <w:r>
              <w:rPr>
                <w:rFonts w:ascii="Arial" w:cs="Arial" w:eastAsia="Arial" w:hAnsi="Arial"/>
                <w:sz w:val="17"/>
                <w:szCs w:val="17"/>
                <w:color w:val="auto"/>
              </w:rPr>
              <w:t>9.5</w:t>
            </w:r>
          </w:p>
        </w:tc>
        <w:tc>
          <w:tcPr>
            <w:tcW w:w="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3,694,856</w:t>
            </w:r>
          </w:p>
        </w:tc>
        <w:tc>
          <w:tcPr>
            <w:tcW w:w="140" w:type="dxa"/>
            <w:vAlign w:val="bottom"/>
            <w:gridSpan w:val="2"/>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14.15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6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7"/>
              </w:rPr>
              <w:t>1st Quarter 2004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57%</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87"/>
              </w:rPr>
              <w:t>272,835</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16.46</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948,063</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2,754,080</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gridSpan w:val="3"/>
          </w:tcPr>
          <w:p>
            <w:pPr>
              <w:spacing w:after="0"/>
              <w:rPr>
                <w:sz w:val="20"/>
                <w:szCs w:val="20"/>
                <w:color w:val="auto"/>
              </w:rPr>
            </w:pPr>
            <w:r>
              <w:rPr>
                <w:rFonts w:ascii="Arial" w:cs="Arial" w:eastAsia="Arial" w:hAnsi="Arial"/>
                <w:sz w:val="17"/>
                <w:szCs w:val="17"/>
                <w:color w:val="auto"/>
                <w:w w:val="96"/>
              </w:rPr>
              <w:t>4th Quarter 2003</w:t>
            </w:r>
          </w:p>
        </w:tc>
        <w:tc>
          <w:tcPr>
            <w:tcW w:w="800" w:type="dxa"/>
            <w:vAlign w:val="bottom"/>
          </w:tcPr>
          <w:p>
            <w:pPr>
              <w:jc w:val="right"/>
              <w:spacing w:after="0"/>
              <w:rPr>
                <w:sz w:val="20"/>
                <w:szCs w:val="20"/>
                <w:color w:val="auto"/>
              </w:rPr>
            </w:pPr>
            <w:r>
              <w:rPr>
                <w:rFonts w:ascii="Arial" w:cs="Arial" w:eastAsia="Arial" w:hAnsi="Arial"/>
                <w:sz w:val="17"/>
                <w:szCs w:val="17"/>
                <w:color w:val="auto"/>
              </w:rPr>
              <w:t>33</w:t>
            </w:r>
          </w:p>
        </w:tc>
        <w:tc>
          <w:tcPr>
            <w:tcW w:w="1020" w:type="dxa"/>
            <w:vAlign w:val="bottom"/>
            <w:gridSpan w:val="5"/>
          </w:tcPr>
          <w:p>
            <w:pPr>
              <w:jc w:val="right"/>
              <w:ind w:right="40"/>
              <w:spacing w:after="0"/>
              <w:rPr>
                <w:sz w:val="20"/>
                <w:szCs w:val="20"/>
                <w:color w:val="auto"/>
              </w:rPr>
            </w:pPr>
            <w:r>
              <w:rPr>
                <w:rFonts w:ascii="Arial" w:cs="Arial" w:eastAsia="Arial" w:hAnsi="Arial"/>
                <w:sz w:val="17"/>
                <w:szCs w:val="17"/>
                <w:color w:val="auto"/>
              </w:rPr>
              <w:t>45%</w:t>
            </w:r>
          </w:p>
        </w:tc>
        <w:tc>
          <w:tcPr>
            <w:tcW w:w="2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auto"/>
                <w:w w:val="87"/>
              </w:rPr>
              <w:t>124,333</w:t>
            </w:r>
          </w:p>
        </w:tc>
        <w:tc>
          <w:tcPr>
            <w:tcW w:w="140" w:type="dxa"/>
            <w:vAlign w:val="bottom"/>
            <w:gridSpan w:val="2"/>
          </w:tcPr>
          <w:p>
            <w:pPr>
              <w:ind w:left="40"/>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23.90</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18.88</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623,990</w:t>
            </w:r>
          </w:p>
        </w:tc>
        <w:tc>
          <w:tcPr>
            <w:tcW w:w="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27%</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38%</w:t>
            </w:r>
          </w:p>
        </w:tc>
        <w:tc>
          <w:tcPr>
            <w:tcW w:w="860" w:type="dxa"/>
            <w:vAlign w:val="bottom"/>
          </w:tcPr>
          <w:p>
            <w:pPr>
              <w:jc w:val="right"/>
              <w:spacing w:after="0"/>
              <w:rPr>
                <w:sz w:val="20"/>
                <w:szCs w:val="20"/>
                <w:color w:val="auto"/>
              </w:rPr>
            </w:pPr>
            <w:r>
              <w:rPr>
                <w:rFonts w:ascii="Arial" w:cs="Arial" w:eastAsia="Arial" w:hAnsi="Arial"/>
                <w:sz w:val="17"/>
                <w:szCs w:val="17"/>
                <w:color w:val="auto"/>
              </w:rPr>
              <w:t>7.8</w:t>
            </w:r>
          </w:p>
        </w:tc>
        <w:tc>
          <w:tcPr>
            <w:tcW w:w="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3,700,718</w:t>
            </w:r>
          </w:p>
        </w:tc>
        <w:tc>
          <w:tcPr>
            <w:tcW w:w="140" w:type="dxa"/>
            <w:vAlign w:val="bottom"/>
            <w:gridSpan w:val="2"/>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29.76</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26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3"/>
              </w:rPr>
              <w:t>Total - 12 months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46%</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87"/>
              </w:rPr>
              <w:t>883,851</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17.27</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2,981,747</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15,452,119</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17.48</w:t>
            </w:r>
          </w:p>
        </w:tc>
        <w:tc>
          <w:tcPr>
            <w:tcW w:w="0" w:type="dxa"/>
            <w:vAlign w:val="bottom"/>
          </w:tcPr>
          <w:p>
            <w:pPr>
              <w:spacing w:after="0"/>
              <w:rPr>
                <w:sz w:val="1"/>
                <w:szCs w:val="1"/>
                <w:color w:val="auto"/>
              </w:rPr>
            </w:pPr>
          </w:p>
        </w:tc>
      </w:tr>
      <w:tr>
        <w:trPr>
          <w:trHeight w:val="130"/>
        </w:trPr>
        <w:tc>
          <w:tcPr>
            <w:tcW w:w="940" w:type="dxa"/>
            <w:vAlign w:val="bottom"/>
            <w:gridSpan w:val="3"/>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92"/>
        </w:trPr>
        <w:tc>
          <w:tcPr>
            <w:tcW w:w="3120" w:type="dxa"/>
            <w:vAlign w:val="bottom"/>
            <w:gridSpan w:val="11"/>
          </w:tcPr>
          <w:p>
            <w:pPr>
              <w:spacing w:after="0"/>
              <w:rPr>
                <w:sz w:val="20"/>
                <w:szCs w:val="20"/>
                <w:color w:val="auto"/>
              </w:rPr>
            </w:pPr>
            <w:r>
              <w:rPr>
                <w:rFonts w:ascii="Arial" w:cs="Arial" w:eastAsia="Arial" w:hAnsi="Arial"/>
                <w:sz w:val="17"/>
                <w:szCs w:val="17"/>
                <w:b w:val="1"/>
                <w:bCs w:val="1"/>
                <w:color w:val="auto"/>
                <w:w w:val="98"/>
              </w:rPr>
              <w:t>Total Lease Summary - Comparable (2)</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w w:val="94"/>
              </w:rPr>
              <w:t>Contractual</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2"/>
          </w:tcPr>
          <w:p>
            <w:pPr>
              <w:ind w:left="160"/>
              <w:spacing w:after="0"/>
              <w:rPr>
                <w:sz w:val="20"/>
                <w:szCs w:val="20"/>
                <w:color w:val="auto"/>
              </w:rPr>
            </w:pPr>
            <w:r>
              <w:rPr>
                <w:rFonts w:ascii="Arial" w:cs="Arial" w:eastAsia="Arial" w:hAnsi="Arial"/>
                <w:sz w:val="13"/>
                <w:szCs w:val="13"/>
                <w:b w:val="1"/>
                <w:bCs w:val="1"/>
                <w:color w:val="auto"/>
              </w:rPr>
              <w:t>Cash Basis</w:t>
            </w:r>
          </w:p>
        </w:tc>
        <w:tc>
          <w:tcPr>
            <w:tcW w:w="11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Straight-lined</w:t>
            </w:r>
          </w:p>
        </w:tc>
        <w:tc>
          <w:tcPr>
            <w:tcW w:w="9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2"/>
              </w:rPr>
              <w:t>Weighted</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19"/>
              <w:spacing w:after="0"/>
              <w:rPr>
                <w:sz w:val="20"/>
                <w:szCs w:val="20"/>
                <w:color w:val="auto"/>
              </w:rPr>
            </w:pPr>
            <w:r>
              <w:rPr>
                <w:rFonts w:ascii="Arial" w:cs="Arial" w:eastAsia="Arial" w:hAnsi="Arial"/>
                <w:sz w:val="13"/>
                <w:szCs w:val="13"/>
                <w:b w:val="1"/>
                <w:bCs w:val="1"/>
                <w:color w:val="auto"/>
                <w:w w:val="93"/>
              </w:rPr>
              <w:t>Tenant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Number of</w:t>
            </w:r>
          </w:p>
        </w:tc>
        <w:tc>
          <w:tcPr>
            <w:tcW w:w="40" w:type="dxa"/>
            <w:vAlign w:val="bottom"/>
          </w:tcPr>
          <w:p>
            <w:pPr>
              <w:spacing w:after="0"/>
              <w:rPr>
                <w:sz w:val="12"/>
                <w:szCs w:val="12"/>
                <w:color w:val="auto"/>
              </w:rPr>
            </w:pPr>
          </w:p>
        </w:tc>
        <w:tc>
          <w:tcPr>
            <w:tcW w:w="1000" w:type="dxa"/>
            <w:vAlign w:val="bottom"/>
            <w:gridSpan w:val="5"/>
          </w:tcPr>
          <w:p>
            <w:pPr>
              <w:ind w:left="100"/>
              <w:spacing w:after="0" w:line="148" w:lineRule="exact"/>
              <w:rPr>
                <w:sz w:val="20"/>
                <w:szCs w:val="20"/>
                <w:color w:val="auto"/>
              </w:rPr>
            </w:pPr>
            <w:r>
              <w:rPr>
                <w:rFonts w:ascii="Arial" w:cs="Arial" w:eastAsia="Arial" w:hAnsi="Arial"/>
                <w:sz w:val="13"/>
                <w:szCs w:val="13"/>
                <w:b w:val="1"/>
                <w:bCs w:val="1"/>
                <w:color w:val="auto"/>
              </w:rPr>
              <w:t>% of Total</w:t>
            </w:r>
          </w:p>
        </w:tc>
        <w:tc>
          <w:tcPr>
            <w:tcW w:w="7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GLA</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right"/>
              <w:spacing w:after="0" w:line="148" w:lineRule="exact"/>
              <w:rPr>
                <w:sz w:val="20"/>
                <w:szCs w:val="20"/>
                <w:color w:val="auto"/>
              </w:rPr>
            </w:pPr>
            <w:r>
              <w:rPr>
                <w:rFonts w:ascii="Arial" w:cs="Arial" w:eastAsia="Arial" w:hAnsi="Arial"/>
                <w:sz w:val="13"/>
                <w:szCs w:val="13"/>
                <w:b w:val="1"/>
                <w:bCs w:val="1"/>
                <w:color w:val="auto"/>
              </w:rPr>
              <w:t>Rent (3)  Prior Rent (4)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ind w:left="100"/>
              <w:spacing w:after="0" w:line="148" w:lineRule="exact"/>
              <w:rPr>
                <w:sz w:val="20"/>
                <w:szCs w:val="20"/>
                <w:color w:val="auto"/>
              </w:rPr>
            </w:pPr>
            <w:r>
              <w:rPr>
                <w:rFonts w:ascii="Arial" w:cs="Arial" w:eastAsia="Arial" w:hAnsi="Arial"/>
                <w:sz w:val="13"/>
                <w:szCs w:val="13"/>
                <w:b w:val="1"/>
                <w:bCs w:val="1"/>
                <w:color w:val="auto"/>
              </w:rPr>
              <w:t>Annual</w:t>
            </w:r>
          </w:p>
        </w:tc>
        <w:tc>
          <w:tcPr>
            <w:tcW w:w="1120" w:type="dxa"/>
            <w:vAlign w:val="bottom"/>
            <w:gridSpan w:val="2"/>
          </w:tcPr>
          <w:p>
            <w:pPr>
              <w:ind w:left="140"/>
              <w:spacing w:after="0" w:line="148" w:lineRule="exact"/>
              <w:rPr>
                <w:sz w:val="20"/>
                <w:szCs w:val="20"/>
                <w:color w:val="auto"/>
              </w:rPr>
            </w:pPr>
            <w:r>
              <w:rPr>
                <w:rFonts w:ascii="Arial" w:cs="Arial" w:eastAsia="Arial" w:hAnsi="Arial"/>
                <w:sz w:val="13"/>
                <w:szCs w:val="13"/>
                <w:b w:val="1"/>
                <w:bCs w:val="1"/>
                <w:color w:val="auto"/>
              </w:rPr>
              <w:t>% Increase</w:t>
            </w:r>
          </w:p>
        </w:tc>
        <w:tc>
          <w:tcPr>
            <w:tcW w:w="1180" w:type="dxa"/>
            <w:vAlign w:val="bottom"/>
            <w:gridSpan w:val="2"/>
          </w:tcPr>
          <w:p>
            <w:pPr>
              <w:jc w:val="center"/>
              <w:ind w:right="200"/>
              <w:spacing w:after="0" w:line="148" w:lineRule="exact"/>
              <w:rPr>
                <w:sz w:val="20"/>
                <w:szCs w:val="20"/>
                <w:color w:val="auto"/>
              </w:rPr>
            </w:pPr>
            <w:r>
              <w:rPr>
                <w:rFonts w:ascii="Arial" w:cs="Arial" w:eastAsia="Arial" w:hAnsi="Arial"/>
                <w:sz w:val="13"/>
                <w:szCs w:val="13"/>
                <w:b w:val="1"/>
                <w:bCs w:val="1"/>
                <w:color w:val="auto"/>
                <w:w w:val="92"/>
              </w:rPr>
              <w:t>Basis % Increase</w:t>
            </w:r>
          </w:p>
        </w:tc>
        <w:tc>
          <w:tcPr>
            <w:tcW w:w="900" w:type="dxa"/>
            <w:vAlign w:val="bottom"/>
            <w:gridSpan w:val="2"/>
          </w:tcPr>
          <w:p>
            <w:pPr>
              <w:jc w:val="center"/>
              <w:ind w:right="40"/>
              <w:spacing w:after="0" w:line="148" w:lineRule="exact"/>
              <w:rPr>
                <w:sz w:val="20"/>
                <w:szCs w:val="20"/>
                <w:color w:val="auto"/>
              </w:rPr>
            </w:pPr>
            <w:r>
              <w:rPr>
                <w:rFonts w:ascii="Arial" w:cs="Arial" w:eastAsia="Arial" w:hAnsi="Arial"/>
                <w:sz w:val="13"/>
                <w:szCs w:val="13"/>
                <w:b w:val="1"/>
                <w:bCs w:val="1"/>
                <w:color w:val="auto"/>
                <w:w w:val="89"/>
              </w:rPr>
              <w:t>Average Lease</w:t>
            </w:r>
          </w:p>
        </w:tc>
        <w:tc>
          <w:tcPr>
            <w:tcW w:w="100" w:type="dxa"/>
            <w:vAlign w:val="bottom"/>
          </w:tcPr>
          <w:p>
            <w:pPr>
              <w:spacing w:after="0"/>
              <w:rPr>
                <w:sz w:val="12"/>
                <w:szCs w:val="12"/>
                <w:color w:val="auto"/>
              </w:rPr>
            </w:pPr>
          </w:p>
        </w:tc>
        <w:tc>
          <w:tcPr>
            <w:tcW w:w="920" w:type="dxa"/>
            <w:vAlign w:val="bottom"/>
          </w:tcPr>
          <w:p>
            <w:pPr>
              <w:jc w:val="right"/>
              <w:ind w:right="236"/>
              <w:spacing w:after="0" w:line="148" w:lineRule="exact"/>
              <w:rPr>
                <w:sz w:val="20"/>
                <w:szCs w:val="20"/>
                <w:color w:val="auto"/>
              </w:rPr>
            </w:pPr>
            <w:r>
              <w:rPr>
                <w:rFonts w:ascii="Arial" w:cs="Arial" w:eastAsia="Arial" w:hAnsi="Arial"/>
                <w:sz w:val="13"/>
                <w:szCs w:val="13"/>
                <w:b w:val="1"/>
                <w:bCs w:val="1"/>
                <w:color w:val="auto"/>
              </w:rPr>
              <w:t>Tenant</w:t>
            </w:r>
          </w:p>
        </w:tc>
        <w:tc>
          <w:tcPr>
            <w:tcW w:w="40" w:type="dxa"/>
            <w:vAlign w:val="bottom"/>
          </w:tcPr>
          <w:p>
            <w:pPr>
              <w:spacing w:after="0"/>
              <w:rPr>
                <w:sz w:val="12"/>
                <w:szCs w:val="12"/>
                <w:color w:val="auto"/>
              </w:rPr>
            </w:pPr>
          </w:p>
        </w:tc>
        <w:tc>
          <w:tcPr>
            <w:tcW w:w="840" w:type="dxa"/>
            <w:vAlign w:val="bottom"/>
            <w:gridSpan w:val="2"/>
          </w:tcPr>
          <w:p>
            <w:pPr>
              <w:ind w:left="20"/>
              <w:spacing w:after="0" w:line="148" w:lineRule="exact"/>
              <w:rPr>
                <w:sz w:val="20"/>
                <w:szCs w:val="20"/>
                <w:color w:val="auto"/>
              </w:rPr>
            </w:pPr>
            <w:r>
              <w:rPr>
                <w:rFonts w:ascii="Arial" w:cs="Arial" w:eastAsia="Arial" w:hAnsi="Arial"/>
                <w:sz w:val="13"/>
                <w:szCs w:val="13"/>
                <w:b w:val="1"/>
                <w:bCs w:val="1"/>
                <w:color w:val="auto"/>
                <w:w w:val="89"/>
              </w:rPr>
              <w:t>Improvements</w:t>
            </w:r>
          </w:p>
        </w:tc>
        <w:tc>
          <w:tcPr>
            <w:tcW w:w="0" w:type="dxa"/>
            <w:vAlign w:val="bottom"/>
          </w:tcPr>
          <w:p>
            <w:pPr>
              <w:spacing w:after="0"/>
              <w:rPr>
                <w:sz w:val="1"/>
                <w:szCs w:val="1"/>
                <w:color w:val="auto"/>
              </w:rPr>
            </w:pPr>
          </w:p>
        </w:tc>
      </w:tr>
      <w:tr>
        <w:trPr>
          <w:trHeight w:val="173"/>
        </w:trPr>
        <w:tc>
          <w:tcPr>
            <w:tcW w:w="1280" w:type="dxa"/>
            <w:vAlign w:val="bottom"/>
            <w:gridSpan w:val="4"/>
          </w:tcPr>
          <w:p>
            <w:pPr>
              <w:spacing w:after="0"/>
              <w:rPr>
                <w:sz w:val="20"/>
                <w:szCs w:val="20"/>
                <w:color w:val="auto"/>
              </w:rPr>
            </w:pPr>
            <w:r>
              <w:rPr>
                <w:rFonts w:ascii="Arial" w:cs="Arial" w:eastAsia="Arial" w:hAnsi="Arial"/>
                <w:sz w:val="13"/>
                <w:szCs w:val="13"/>
                <w:b w:val="1"/>
                <w:bCs w:val="1"/>
                <w:color w:val="auto"/>
              </w:rPr>
              <w:t>Quarter</w:t>
            </w:r>
          </w:p>
        </w:tc>
        <w:tc>
          <w:tcPr>
            <w:tcW w:w="1840" w:type="dxa"/>
            <w:vAlign w:val="bottom"/>
            <w:gridSpan w:val="7"/>
          </w:tcPr>
          <w:p>
            <w:pPr>
              <w:spacing w:after="0"/>
              <w:rPr>
                <w:sz w:val="20"/>
                <w:szCs w:val="20"/>
                <w:color w:val="auto"/>
              </w:rPr>
            </w:pPr>
            <w:r>
              <w:rPr>
                <w:rFonts w:ascii="Arial" w:cs="Arial" w:eastAsia="Arial" w:hAnsi="Arial"/>
                <w:sz w:val="13"/>
                <w:szCs w:val="13"/>
                <w:b w:val="1"/>
                <w:bCs w:val="1"/>
                <w:color w:val="auto"/>
                <w:w w:val="97"/>
              </w:rPr>
              <w:t>Leases Signed Leases Signed</w:t>
            </w:r>
          </w:p>
        </w:tc>
        <w:tc>
          <w:tcPr>
            <w:tcW w:w="700" w:type="dxa"/>
            <w:vAlign w:val="bottom"/>
          </w:tcPr>
          <w:p>
            <w:pPr>
              <w:ind w:left="160"/>
              <w:spacing w:after="0"/>
              <w:rPr>
                <w:sz w:val="20"/>
                <w:szCs w:val="20"/>
                <w:color w:val="auto"/>
              </w:rPr>
            </w:pPr>
            <w:r>
              <w:rPr>
                <w:rFonts w:ascii="Arial" w:cs="Arial" w:eastAsia="Arial" w:hAnsi="Arial"/>
                <w:sz w:val="13"/>
                <w:szCs w:val="13"/>
                <w:b w:val="1"/>
                <w:bCs w:val="1"/>
                <w:color w:val="auto"/>
              </w:rPr>
              <w:t>Signed</w:t>
            </w:r>
          </w:p>
        </w:tc>
        <w:tc>
          <w:tcPr>
            <w:tcW w:w="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w w:val="99"/>
              </w:rPr>
              <w:t>Per Sq. Ft.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b w:val="1"/>
                <w:bCs w:val="1"/>
                <w:color w:val="auto"/>
                <w:w w:val="93"/>
              </w:rPr>
              <w:t>Per Sq. Ft.</w:t>
            </w:r>
          </w:p>
        </w:tc>
        <w:tc>
          <w:tcPr>
            <w:tcW w:w="40" w:type="dxa"/>
            <w:vAlign w:val="bottom"/>
          </w:tcPr>
          <w:p>
            <w:pPr>
              <w:spacing w:after="0"/>
              <w:rPr>
                <w:sz w:val="15"/>
                <w:szCs w:val="15"/>
                <w:color w:val="auto"/>
              </w:rPr>
            </w:pPr>
          </w:p>
        </w:tc>
        <w:tc>
          <w:tcPr>
            <w:tcW w:w="2100" w:type="dxa"/>
            <w:vAlign w:val="bottom"/>
            <w:gridSpan w:val="5"/>
          </w:tcPr>
          <w:p>
            <w:pPr>
              <w:spacing w:after="0"/>
              <w:rPr>
                <w:sz w:val="20"/>
                <w:szCs w:val="20"/>
                <w:color w:val="auto"/>
              </w:rPr>
            </w:pPr>
            <w:r>
              <w:rPr>
                <w:rFonts w:ascii="Arial" w:cs="Arial" w:eastAsia="Arial" w:hAnsi="Arial"/>
                <w:sz w:val="13"/>
                <w:szCs w:val="13"/>
                <w:b w:val="1"/>
                <w:bCs w:val="1"/>
                <w:color w:val="auto"/>
              </w:rPr>
              <w:t>Increase in Rent Over Prior Rent</w:t>
            </w:r>
          </w:p>
        </w:tc>
        <w:tc>
          <w:tcPr>
            <w:tcW w:w="11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Over Prior Rent</w:t>
            </w:r>
          </w:p>
        </w:tc>
        <w:tc>
          <w:tcPr>
            <w:tcW w:w="9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7"/>
              </w:rPr>
              <w:t>Term (5)</w:t>
            </w:r>
          </w:p>
        </w:tc>
        <w:tc>
          <w:tcPr>
            <w:tcW w:w="1020" w:type="dxa"/>
            <w:vAlign w:val="bottom"/>
            <w:gridSpan w:val="2"/>
          </w:tcPr>
          <w:p>
            <w:pPr>
              <w:spacing w:after="0"/>
              <w:rPr>
                <w:sz w:val="20"/>
                <w:szCs w:val="20"/>
                <w:color w:val="auto"/>
              </w:rPr>
            </w:pPr>
            <w:r>
              <w:rPr>
                <w:rFonts w:ascii="Arial" w:cs="Arial" w:eastAsia="Arial" w:hAnsi="Arial"/>
                <w:sz w:val="13"/>
                <w:szCs w:val="13"/>
                <w:b w:val="1"/>
                <w:bCs w:val="1"/>
                <w:color w:val="auto"/>
                <w:w w:val="92"/>
              </w:rPr>
              <w:t>Improvements (6)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6"/>
              </w:rPr>
              <w:t>Per Sq. Ft.</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26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5"/>
              </w:rPr>
              <w:t>3rd Quarter 2004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87"/>
              </w:rPr>
              <w:t>408,925</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18.69</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1,685,758</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5,492,600</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7"/>
                <w:szCs w:val="17"/>
                <w:color w:val="auto"/>
                <w:w w:val="93"/>
              </w:rPr>
              <w:t>2nd Quarter 2004</w:t>
            </w:r>
          </w:p>
        </w:tc>
        <w:tc>
          <w:tcPr>
            <w:tcW w:w="800" w:type="dxa"/>
            <w:vAlign w:val="bottom"/>
          </w:tcPr>
          <w:p>
            <w:pPr>
              <w:jc w:val="right"/>
              <w:spacing w:after="0"/>
              <w:rPr>
                <w:sz w:val="20"/>
                <w:szCs w:val="20"/>
                <w:color w:val="auto"/>
              </w:rPr>
            </w:pPr>
            <w:r>
              <w:rPr>
                <w:rFonts w:ascii="Arial" w:cs="Arial" w:eastAsia="Arial" w:hAnsi="Arial"/>
                <w:sz w:val="17"/>
                <w:szCs w:val="17"/>
                <w:color w:val="auto"/>
              </w:rPr>
              <w:t>82</w:t>
            </w:r>
          </w:p>
        </w:tc>
        <w:tc>
          <w:tcPr>
            <w:tcW w:w="1020" w:type="dxa"/>
            <w:vAlign w:val="bottom"/>
            <w:gridSpan w:val="5"/>
          </w:tcPr>
          <w:p>
            <w:pPr>
              <w:jc w:val="right"/>
              <w:ind w:right="40"/>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auto"/>
                <w:w w:val="87"/>
              </w:rPr>
              <w:t>481,105</w:t>
            </w:r>
          </w:p>
        </w:tc>
        <w:tc>
          <w:tcPr>
            <w:tcW w:w="140" w:type="dxa"/>
            <w:vAlign w:val="bottom"/>
            <w:gridSpan w:val="2"/>
          </w:tcPr>
          <w:p>
            <w:pPr>
              <w:ind w:left="40"/>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19.89</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17.47</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1,162,429</w:t>
            </w:r>
          </w:p>
        </w:tc>
        <w:tc>
          <w:tcPr>
            <w:tcW w:w="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21%</w:t>
            </w:r>
          </w:p>
        </w:tc>
        <w:tc>
          <w:tcPr>
            <w:tcW w:w="860" w:type="dxa"/>
            <w:vAlign w:val="bottom"/>
          </w:tcPr>
          <w:p>
            <w:pPr>
              <w:jc w:val="right"/>
              <w:spacing w:after="0"/>
              <w:rPr>
                <w:sz w:val="20"/>
                <w:szCs w:val="20"/>
                <w:color w:val="auto"/>
              </w:rPr>
            </w:pPr>
            <w:r>
              <w:rPr>
                <w:rFonts w:ascii="Arial" w:cs="Arial" w:eastAsia="Arial" w:hAnsi="Arial"/>
                <w:sz w:val="17"/>
                <w:szCs w:val="17"/>
                <w:color w:val="auto"/>
              </w:rPr>
              <w:t>7.5</w:t>
            </w:r>
          </w:p>
        </w:tc>
        <w:tc>
          <w:tcPr>
            <w:tcW w:w="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4,224,780</w:t>
            </w:r>
          </w:p>
        </w:tc>
        <w:tc>
          <w:tcPr>
            <w:tcW w:w="140" w:type="dxa"/>
            <w:vAlign w:val="bottom"/>
            <w:gridSpan w:val="2"/>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8.78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6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7"/>
              </w:rPr>
              <w:t>1st Quarter 2004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87"/>
              </w:rPr>
              <w:t>375,055</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18.78</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1,200,335</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2,824,080</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gridSpan w:val="3"/>
          </w:tcPr>
          <w:p>
            <w:pPr>
              <w:spacing w:after="0"/>
              <w:rPr>
                <w:sz w:val="20"/>
                <w:szCs w:val="20"/>
                <w:color w:val="auto"/>
              </w:rPr>
            </w:pPr>
            <w:r>
              <w:rPr>
                <w:rFonts w:ascii="Arial" w:cs="Arial" w:eastAsia="Arial" w:hAnsi="Arial"/>
                <w:sz w:val="17"/>
                <w:szCs w:val="17"/>
                <w:color w:val="auto"/>
                <w:w w:val="96"/>
              </w:rPr>
              <w:t>4th Quarter 2003</w:t>
            </w:r>
          </w:p>
        </w:tc>
        <w:tc>
          <w:tcPr>
            <w:tcW w:w="800" w:type="dxa"/>
            <w:vAlign w:val="bottom"/>
          </w:tcPr>
          <w:p>
            <w:pPr>
              <w:jc w:val="right"/>
              <w:spacing w:after="0"/>
              <w:rPr>
                <w:sz w:val="20"/>
                <w:szCs w:val="20"/>
                <w:color w:val="auto"/>
              </w:rPr>
            </w:pPr>
            <w:r>
              <w:rPr>
                <w:rFonts w:ascii="Arial" w:cs="Arial" w:eastAsia="Arial" w:hAnsi="Arial"/>
                <w:sz w:val="17"/>
                <w:szCs w:val="17"/>
                <w:color w:val="auto"/>
              </w:rPr>
              <w:t>73</w:t>
            </w:r>
          </w:p>
        </w:tc>
        <w:tc>
          <w:tcPr>
            <w:tcW w:w="1020" w:type="dxa"/>
            <w:vAlign w:val="bottom"/>
            <w:gridSpan w:val="5"/>
          </w:tcPr>
          <w:p>
            <w:pPr>
              <w:jc w:val="right"/>
              <w:ind w:right="40"/>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auto"/>
                <w:w w:val="87"/>
              </w:rPr>
              <w:t>249,016</w:t>
            </w:r>
          </w:p>
        </w:tc>
        <w:tc>
          <w:tcPr>
            <w:tcW w:w="140" w:type="dxa"/>
            <w:vAlign w:val="bottom"/>
            <w:gridSpan w:val="2"/>
          </w:tcPr>
          <w:p>
            <w:pPr>
              <w:ind w:left="40"/>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25.43</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22.24</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793,940</w:t>
            </w:r>
          </w:p>
        </w:tc>
        <w:tc>
          <w:tcPr>
            <w:tcW w:w="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27%</w:t>
            </w:r>
          </w:p>
        </w:tc>
        <w:tc>
          <w:tcPr>
            <w:tcW w:w="860" w:type="dxa"/>
            <w:vAlign w:val="bottom"/>
          </w:tcPr>
          <w:p>
            <w:pPr>
              <w:jc w:val="right"/>
              <w:spacing w:after="0"/>
              <w:rPr>
                <w:sz w:val="20"/>
                <w:szCs w:val="20"/>
                <w:color w:val="auto"/>
              </w:rPr>
            </w:pPr>
            <w:r>
              <w:rPr>
                <w:rFonts w:ascii="Arial" w:cs="Arial" w:eastAsia="Arial" w:hAnsi="Arial"/>
                <w:sz w:val="17"/>
                <w:szCs w:val="17"/>
                <w:color w:val="auto"/>
              </w:rPr>
              <w:t>6.2</w:t>
            </w:r>
          </w:p>
        </w:tc>
        <w:tc>
          <w:tcPr>
            <w:tcW w:w="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3,747,718</w:t>
            </w:r>
          </w:p>
        </w:tc>
        <w:tc>
          <w:tcPr>
            <w:tcW w:w="140" w:type="dxa"/>
            <w:vAlign w:val="bottom"/>
            <w:gridSpan w:val="2"/>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15.05</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26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3"/>
              </w:rPr>
              <w:t>Total - 12 months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1740" w:type="dxa"/>
            <w:vAlign w:val="bottom"/>
            <w:gridSpan w:val="7"/>
            <w:shd w:val="clear" w:color="auto" w:fill="CCEEFF"/>
          </w:tcPr>
          <w:p>
            <w:pPr>
              <w:jc w:val="right"/>
              <w:spacing w:after="0"/>
              <w:rPr>
                <w:sz w:val="20"/>
                <w:szCs w:val="20"/>
                <w:color w:val="auto"/>
              </w:rPr>
            </w:pPr>
            <w:r>
              <w:rPr>
                <w:rFonts w:ascii="Arial" w:cs="Arial" w:eastAsia="Arial" w:hAnsi="Arial"/>
                <w:sz w:val="17"/>
                <w:szCs w:val="17"/>
                <w:color w:val="auto"/>
              </w:rPr>
              <w:t>100% 1,514,101</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18.91</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4,842,462</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16,289,178</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-3808095</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809625</wp:posOffset>
            </wp:positionH>
            <wp:positionV relativeFrom="paragraph">
              <wp:posOffset>-3808095</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1344930</wp:posOffset>
            </wp:positionH>
            <wp:positionV relativeFrom="paragraph">
              <wp:posOffset>-3808095</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1845945</wp:posOffset>
            </wp:positionH>
            <wp:positionV relativeFrom="paragraph">
              <wp:posOffset>-3808095</wp:posOffset>
            </wp:positionV>
            <wp:extent cx="381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2415540</wp:posOffset>
            </wp:positionH>
            <wp:positionV relativeFrom="paragraph">
              <wp:posOffset>-3808095</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-3808095</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2449195</wp:posOffset>
            </wp:positionH>
            <wp:positionV relativeFrom="paragraph">
              <wp:posOffset>-3808095</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2882900</wp:posOffset>
            </wp:positionH>
            <wp:positionV relativeFrom="paragraph">
              <wp:posOffset>-3808095</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-3808095</wp:posOffset>
            </wp:positionV>
            <wp:extent cx="2095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-3808095</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-3808095</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3001645</wp:posOffset>
            </wp:positionH>
            <wp:positionV relativeFrom="paragraph">
              <wp:posOffset>-3808095</wp:posOffset>
            </wp:positionV>
            <wp:extent cx="2095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-3808095</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4038600</wp:posOffset>
            </wp:positionH>
            <wp:positionV relativeFrom="paragraph">
              <wp:posOffset>-3808095</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-3808095</wp:posOffset>
            </wp:positionV>
            <wp:extent cx="2095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-3808095</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-3808095</wp:posOffset>
            </wp:positionV>
            <wp:extent cx="381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-3808095</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5406390</wp:posOffset>
            </wp:positionH>
            <wp:positionV relativeFrom="paragraph">
              <wp:posOffset>-3808095</wp:posOffset>
            </wp:positionV>
            <wp:extent cx="381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-3808095</wp:posOffset>
            </wp:positionV>
            <wp:extent cx="17811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781175" cy="29845"/>
                    </a:xfrm>
                    <a:prstGeom prst="rect">
                      <a:avLst/>
                    </a:prstGeom>
                    <a:noFill/>
                  </pic:spPr>
                </pic:pic>
              </a:graphicData>
            </a:graphic>
          </wp:anchor>
        </w:drawing>
        <w:drawing>
          <wp:anchor simplePos="0" relativeHeight="251657728" behindDoc="1" locked="0" layoutInCell="0" allowOverlap="1">
            <wp:simplePos x="0" y="0"/>
            <wp:positionH relativeFrom="column">
              <wp:posOffset>1310640</wp:posOffset>
            </wp:positionH>
            <wp:positionV relativeFrom="paragraph">
              <wp:posOffset>-1989455</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809625</wp:posOffset>
            </wp:positionH>
            <wp:positionV relativeFrom="paragraph">
              <wp:posOffset>-1989455</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1344930</wp:posOffset>
            </wp:positionH>
            <wp:positionV relativeFrom="paragraph">
              <wp:posOffset>-1989455</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1845945</wp:posOffset>
            </wp:positionH>
            <wp:positionV relativeFrom="paragraph">
              <wp:posOffset>-1989455</wp:posOffset>
            </wp:positionV>
            <wp:extent cx="381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2415540</wp:posOffset>
            </wp:positionH>
            <wp:positionV relativeFrom="paragraph">
              <wp:posOffset>-1989455</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-1989455</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2449195</wp:posOffset>
            </wp:positionH>
            <wp:positionV relativeFrom="paragraph">
              <wp:posOffset>-1989455</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2882900</wp:posOffset>
            </wp:positionH>
            <wp:positionV relativeFrom="paragraph">
              <wp:posOffset>-1989455</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-1989455</wp:posOffset>
            </wp:positionV>
            <wp:extent cx="2095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-1989455</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-1989455</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3001645</wp:posOffset>
            </wp:positionH>
            <wp:positionV relativeFrom="paragraph">
              <wp:posOffset>-1989455</wp:posOffset>
            </wp:positionV>
            <wp:extent cx="2095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-1989455</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4038600</wp:posOffset>
            </wp:positionH>
            <wp:positionV relativeFrom="paragraph">
              <wp:posOffset>-1989455</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-1989455</wp:posOffset>
            </wp:positionV>
            <wp:extent cx="2095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-1989455</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-1989455</wp:posOffset>
            </wp:positionV>
            <wp:extent cx="381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-1989455</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5406390</wp:posOffset>
            </wp:positionH>
            <wp:positionV relativeFrom="paragraph">
              <wp:posOffset>-1989455</wp:posOffset>
            </wp:positionV>
            <wp:extent cx="381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6069330</wp:posOffset>
            </wp:positionH>
            <wp:positionV relativeFrom="paragraph">
              <wp:posOffset>-1989455</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-1989455</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6102985</wp:posOffset>
            </wp:positionH>
            <wp:positionV relativeFrom="paragraph">
              <wp:posOffset>-1989455</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6748780</wp:posOffset>
            </wp:positionH>
            <wp:positionV relativeFrom="paragraph">
              <wp:posOffset>-1989455</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-1989455</wp:posOffset>
            </wp:positionV>
            <wp:extent cx="2095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6783070</wp:posOffset>
            </wp:positionH>
            <wp:positionV relativeFrom="paragraph">
              <wp:posOffset>-1989455</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7309485</wp:posOffset>
            </wp:positionH>
            <wp:positionV relativeFrom="paragraph">
              <wp:posOffset>-1989455</wp:posOffset>
            </wp:positionV>
            <wp:extent cx="571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715" cy="29845"/>
                    </a:xfrm>
                    <a:prstGeom prst="rect">
                      <a:avLst/>
                    </a:prstGeom>
                    <a:noFill/>
                  </pic:spPr>
                </pic:pic>
              </a:graphicData>
            </a:graphic>
          </wp:anchor>
        </w:drawing>
        <w:drawing>
          <wp:anchor simplePos="0" relativeHeight="251657728" behindDoc="1" locked="0" layoutInCell="0" allowOverlap="1">
            <wp:simplePos x="0" y="0"/>
            <wp:positionH relativeFrom="column">
              <wp:posOffset>6868160</wp:posOffset>
            </wp:positionH>
            <wp:positionV relativeFrom="paragraph">
              <wp:posOffset>-1989455</wp:posOffset>
            </wp:positionV>
            <wp:extent cx="2095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1310640</wp:posOffset>
            </wp:positionH>
            <wp:positionV relativeFrom="paragraph">
              <wp:posOffset>-171450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809625</wp:posOffset>
            </wp:positionH>
            <wp:positionV relativeFrom="paragraph">
              <wp:posOffset>-171450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1344930</wp:posOffset>
            </wp:positionH>
            <wp:positionV relativeFrom="paragraph">
              <wp:posOffset>-171450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1845945</wp:posOffset>
            </wp:positionH>
            <wp:positionV relativeFrom="paragraph">
              <wp:posOffset>-171450</wp:posOffset>
            </wp:positionV>
            <wp:extent cx="381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2415540</wp:posOffset>
            </wp:positionH>
            <wp:positionV relativeFrom="paragraph">
              <wp:posOffset>-171450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-171450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2449195</wp:posOffset>
            </wp:positionH>
            <wp:positionV relativeFrom="paragraph">
              <wp:posOffset>-171450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2882900</wp:posOffset>
            </wp:positionH>
            <wp:positionV relativeFrom="paragraph">
              <wp:posOffset>-171450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-171450</wp:posOffset>
            </wp:positionV>
            <wp:extent cx="2095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-171450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-171450</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3001645</wp:posOffset>
            </wp:positionH>
            <wp:positionV relativeFrom="paragraph">
              <wp:posOffset>-171450</wp:posOffset>
            </wp:positionV>
            <wp:extent cx="2095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3451860</wp:posOffset>
            </wp:positionH>
            <wp:positionV relativeFrom="paragraph">
              <wp:posOffset>-171450</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4038600</wp:posOffset>
            </wp:positionH>
            <wp:positionV relativeFrom="paragraph">
              <wp:posOffset>-171450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-171450</wp:posOffset>
            </wp:positionV>
            <wp:extent cx="2095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-171450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-171450</wp:posOffset>
            </wp:positionV>
            <wp:extent cx="381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-171450</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5406390</wp:posOffset>
            </wp:positionH>
            <wp:positionV relativeFrom="paragraph">
              <wp:posOffset>-171450</wp:posOffset>
            </wp:positionV>
            <wp:extent cx="381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-171450</wp:posOffset>
            </wp:positionV>
            <wp:extent cx="17811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781175" cy="2984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6" w:lineRule="exact"/>
        <w:rPr>
          <w:sz w:val="20"/>
          <w:szCs w:val="20"/>
          <w:color w:val="auto"/>
        </w:rPr>
      </w:pPr>
    </w:p>
    <w:p>
      <w:pPr>
        <w:ind w:left="460" w:hanging="453"/>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Leases on this report represent retail activity only; office and residential leases are not included.</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Comparable leases represent those leases signed on spaces for which there was a former tenant.</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Contractual Rent represents contractual Minimum Rent under the new lease for the first 12 months of the term.</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Prior Rent represents Minimum Rent and Percentage Rent paid by the prior tenant in the final 12 months of the term.</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Weighted average is determined on the basis of square footage.</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Renewal leases represent expiring leases rolling over with the same tenant. All other leases are categorized as new.</w:t>
      </w:r>
    </w:p>
    <w:p>
      <w:pPr>
        <w:sectPr>
          <w:pgSz w:w="11900" w:h="16838" w:orient="portrait"/>
          <w:cols w:equalWidth="0" w:num="1">
            <w:col w:w="11520"/>
          </w:cols>
          <w:pgMar w:left="240" w:top="456" w:right="1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Retail Leasing Summary (1) - Non-Comparable Basis (cash, non-straight-lined basis)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Total Lease Summary - Non-Comparable (2)</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w w:val="94"/>
              </w:rPr>
              <w:t>Contractual</w:t>
            </w:r>
          </w:p>
        </w:tc>
        <w:tc>
          <w:tcPr>
            <w:tcW w:w="4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2"/>
              </w:rPr>
              <w:t>Weighted</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Tenant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60" w:type="dxa"/>
            <w:vAlign w:val="bottom"/>
            <w:gridSpan w:val="3"/>
          </w:tcPr>
          <w:p>
            <w:pPr>
              <w:jc w:val="center"/>
              <w:ind w:right="480"/>
              <w:spacing w:after="0" w:line="148" w:lineRule="exact"/>
              <w:rPr>
                <w:sz w:val="20"/>
                <w:szCs w:val="20"/>
                <w:color w:val="auto"/>
              </w:rPr>
            </w:pPr>
            <w:r>
              <w:rPr>
                <w:rFonts w:ascii="Arial" w:cs="Arial" w:eastAsia="Arial" w:hAnsi="Arial"/>
                <w:sz w:val="13"/>
                <w:szCs w:val="13"/>
                <w:b w:val="1"/>
                <w:bCs w:val="1"/>
                <w:color w:val="auto"/>
                <w:w w:val="95"/>
              </w:rPr>
              <w:t>Number of</w:t>
            </w: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8" w:lineRule="exact"/>
              <w:rPr>
                <w:sz w:val="20"/>
                <w:szCs w:val="20"/>
                <w:color w:val="auto"/>
              </w:rPr>
            </w:pPr>
            <w:r>
              <w:rPr>
                <w:rFonts w:ascii="Arial" w:cs="Arial" w:eastAsia="Arial" w:hAnsi="Arial"/>
                <w:sz w:val="13"/>
                <w:szCs w:val="13"/>
                <w:b w:val="1"/>
                <w:bCs w:val="1"/>
                <w:color w:val="auto"/>
                <w:w w:val="94"/>
              </w:rPr>
              <w:t>Rent (3)</w:t>
            </w:r>
          </w:p>
        </w:tc>
        <w:tc>
          <w:tcPr>
            <w:tcW w:w="44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9"/>
              </w:rPr>
              <w:t>Average</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216"/>
              <w:spacing w:after="0" w:line="148" w:lineRule="exact"/>
              <w:rPr>
                <w:sz w:val="20"/>
                <w:szCs w:val="20"/>
                <w:color w:val="auto"/>
              </w:rPr>
            </w:pPr>
            <w:r>
              <w:rPr>
                <w:rFonts w:ascii="Arial" w:cs="Arial" w:eastAsia="Arial" w:hAnsi="Arial"/>
                <w:sz w:val="13"/>
                <w:szCs w:val="13"/>
                <w:b w:val="1"/>
                <w:bCs w:val="1"/>
                <w:color w:val="auto"/>
              </w:rPr>
              <w:t>Tenant</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w w:val="94"/>
              </w:rPr>
              <w:t>Improvements</w:t>
            </w:r>
          </w:p>
        </w:tc>
        <w:tc>
          <w:tcPr>
            <w:tcW w:w="0" w:type="dxa"/>
            <w:vAlign w:val="bottom"/>
          </w:tcPr>
          <w:p>
            <w:pPr>
              <w:spacing w:after="0"/>
              <w:rPr>
                <w:sz w:val="1"/>
                <w:szCs w:val="1"/>
                <w:color w:val="auto"/>
              </w:rPr>
            </w:pPr>
          </w:p>
        </w:tc>
      </w:tr>
      <w:tr>
        <w:trPr>
          <w:trHeight w:val="173"/>
        </w:trPr>
        <w:tc>
          <w:tcPr>
            <w:tcW w:w="4200" w:type="dxa"/>
            <w:vAlign w:val="bottom"/>
            <w:gridSpan w:val="4"/>
          </w:tcPr>
          <w:p>
            <w:pPr>
              <w:spacing w:after="0"/>
              <w:rPr>
                <w:sz w:val="20"/>
                <w:szCs w:val="20"/>
                <w:color w:val="auto"/>
              </w:rPr>
            </w:pPr>
            <w:r>
              <w:rPr>
                <w:rFonts w:ascii="Arial" w:cs="Arial" w:eastAsia="Arial" w:hAnsi="Arial"/>
                <w:sz w:val="13"/>
                <w:szCs w:val="13"/>
                <w:b w:val="1"/>
                <w:bCs w:val="1"/>
                <w:color w:val="auto"/>
              </w:rPr>
              <w:t>Quarter</w:t>
            </w:r>
          </w:p>
        </w:tc>
        <w:tc>
          <w:tcPr>
            <w:tcW w:w="126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w w:val="87"/>
              </w:rPr>
              <w:t>Leases Signed</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w w:val="91"/>
              </w:rPr>
              <w:t>GLA Signed</w:t>
            </w:r>
          </w:p>
        </w:tc>
        <w:tc>
          <w:tcPr>
            <w:tcW w:w="460" w:type="dxa"/>
            <w:vAlign w:val="bottom"/>
          </w:tcPr>
          <w:p>
            <w:pPr>
              <w:spacing w:after="0"/>
              <w:rPr>
                <w:sz w:val="15"/>
                <w:szCs w:val="15"/>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w w:val="96"/>
              </w:rPr>
              <w:t>Per Sq. Ft.</w:t>
            </w:r>
          </w:p>
        </w:tc>
        <w:tc>
          <w:tcPr>
            <w:tcW w:w="4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3"/>
              </w:rPr>
              <w:t>Lease Term (4)</w:t>
            </w:r>
          </w:p>
        </w:tc>
        <w:tc>
          <w:tcPr>
            <w:tcW w:w="46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3"/>
                <w:szCs w:val="13"/>
                <w:b w:val="1"/>
                <w:bCs w:val="1"/>
                <w:color w:val="auto"/>
                <w:w w:val="92"/>
              </w:rPr>
              <w:t>Improvements (5)</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Per Sq. Ft.</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3rd Quarter 2004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8,609</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58.41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3"/>
            <w:shd w:val="clear" w:color="auto" w:fill="CCEEFF"/>
          </w:tcPr>
          <w:p>
            <w:pPr>
              <w:ind w:left="48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Arial" w:cs="Arial" w:eastAsia="Arial" w:hAnsi="Arial"/>
                <w:sz w:val="17"/>
                <w:szCs w:val="17"/>
                <w:color w:val="auto"/>
              </w:rPr>
              <w:t>2nd Quarter 2004</w:t>
            </w:r>
          </w:p>
        </w:tc>
        <w:tc>
          <w:tcPr>
            <w:tcW w:w="800" w:type="dxa"/>
            <w:vAlign w:val="bottom"/>
          </w:tcPr>
          <w:p>
            <w:pPr>
              <w:jc w:val="right"/>
              <w:spacing w:after="0"/>
              <w:rPr>
                <w:sz w:val="20"/>
                <w:szCs w:val="20"/>
                <w:color w:val="auto"/>
              </w:rPr>
            </w:pPr>
            <w:r>
              <w:rPr>
                <w:rFonts w:ascii="Arial" w:cs="Arial" w:eastAsia="Arial" w:hAnsi="Arial"/>
                <w:sz w:val="17"/>
                <w:szCs w:val="17"/>
                <w:color w:val="auto"/>
              </w:rPr>
              <w:t>5</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14,816</w:t>
            </w:r>
          </w:p>
        </w:tc>
        <w:tc>
          <w:tcPr>
            <w:tcW w:w="560" w:type="dxa"/>
            <w:vAlign w:val="bottom"/>
            <w:gridSpan w:val="2"/>
          </w:tcPr>
          <w:p>
            <w:pPr>
              <w:ind w:left="460"/>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29.23</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7.8</w:t>
            </w:r>
          </w:p>
        </w:tc>
        <w:tc>
          <w:tcPr>
            <w:tcW w:w="66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196,052</w:t>
            </w:r>
          </w:p>
        </w:tc>
        <w:tc>
          <w:tcPr>
            <w:tcW w:w="580" w:type="dxa"/>
            <w:vAlign w:val="bottom"/>
            <w:gridSpan w:val="3"/>
          </w:tcPr>
          <w:p>
            <w:pPr>
              <w:ind w:left="480"/>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1st Quarter 2004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78,843</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24.69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580" w:type="dxa"/>
            <w:vAlign w:val="bottom"/>
            <w:gridSpan w:val="3"/>
            <w:shd w:val="clear" w:color="auto" w:fill="CCEEFF"/>
          </w:tcPr>
          <w:p>
            <w:pPr>
              <w:ind w:left="48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80" w:type="dxa"/>
            <w:vAlign w:val="bottom"/>
            <w:gridSpan w:val="3"/>
          </w:tcPr>
          <w:p>
            <w:pPr>
              <w:spacing w:after="0"/>
              <w:rPr>
                <w:sz w:val="20"/>
                <w:szCs w:val="20"/>
                <w:color w:val="auto"/>
              </w:rPr>
            </w:pPr>
            <w:r>
              <w:rPr>
                <w:rFonts w:ascii="Arial" w:cs="Arial" w:eastAsia="Arial" w:hAnsi="Arial"/>
                <w:sz w:val="17"/>
                <w:szCs w:val="17"/>
                <w:color w:val="auto"/>
              </w:rPr>
              <w:t>4th Quarter 2003</w:t>
            </w:r>
          </w:p>
        </w:tc>
        <w:tc>
          <w:tcPr>
            <w:tcW w:w="800" w:type="dxa"/>
            <w:vAlign w:val="bottom"/>
          </w:tcPr>
          <w:p>
            <w:pPr>
              <w:jc w:val="right"/>
              <w:spacing w:after="0"/>
              <w:rPr>
                <w:sz w:val="20"/>
                <w:szCs w:val="20"/>
                <w:color w:val="auto"/>
              </w:rPr>
            </w:pPr>
            <w:r>
              <w:rPr>
                <w:rFonts w:ascii="Arial" w:cs="Arial" w:eastAsia="Arial" w:hAnsi="Arial"/>
                <w:sz w:val="17"/>
                <w:szCs w:val="17"/>
                <w:color w:val="auto"/>
              </w:rPr>
              <w:t>6</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21,867</w:t>
            </w:r>
          </w:p>
        </w:tc>
        <w:tc>
          <w:tcPr>
            <w:tcW w:w="560" w:type="dxa"/>
            <w:vAlign w:val="bottom"/>
            <w:gridSpan w:val="2"/>
          </w:tcPr>
          <w:p>
            <w:pPr>
              <w:ind w:left="460"/>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36.64</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8.9</w:t>
            </w:r>
          </w:p>
        </w:tc>
        <w:tc>
          <w:tcPr>
            <w:tcW w:w="66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84,425</w:t>
            </w:r>
          </w:p>
        </w:tc>
        <w:tc>
          <w:tcPr>
            <w:tcW w:w="580" w:type="dxa"/>
            <w:vAlign w:val="bottom"/>
            <w:gridSpan w:val="3"/>
          </w:tcPr>
          <w:p>
            <w:pPr>
              <w:ind w:left="480"/>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- 12 months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124,135</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29.68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305,477</w:t>
            </w:r>
          </w:p>
        </w:tc>
        <w:tc>
          <w:tcPr>
            <w:tcW w:w="580" w:type="dxa"/>
            <w:vAlign w:val="bottom"/>
            <w:gridSpan w:val="3"/>
            <w:shd w:val="clear" w:color="auto" w:fill="CCEEFF"/>
          </w:tcPr>
          <w:p>
            <w:pPr>
              <w:ind w:left="48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3162935</wp:posOffset>
            </wp:positionH>
            <wp:positionV relativeFrom="paragraph">
              <wp:posOffset>-171450</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-171450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3902710</wp:posOffset>
            </wp:positionH>
            <wp:positionV relativeFrom="paragraph">
              <wp:posOffset>-171450</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-171450</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4199890</wp:posOffset>
            </wp:positionH>
            <wp:positionV relativeFrom="paragraph">
              <wp:posOffset>-171450</wp:posOffset>
            </wp:positionV>
            <wp:extent cx="44577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4577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-171450</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4930775</wp:posOffset>
            </wp:positionH>
            <wp:positionV relativeFrom="paragraph">
              <wp:posOffset>-171450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5763260</wp:posOffset>
            </wp:positionH>
            <wp:positionV relativeFrom="paragraph">
              <wp:posOffset>-171450</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-171450</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5839460</wp:posOffset>
            </wp:positionH>
            <wp:positionV relativeFrom="paragraph">
              <wp:posOffset>-171450</wp:posOffset>
            </wp:positionV>
            <wp:extent cx="2095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6715125</wp:posOffset>
            </wp:positionH>
            <wp:positionV relativeFrom="paragraph">
              <wp:posOffset>-171450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-171450</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6799580</wp:posOffset>
            </wp:positionH>
            <wp:positionV relativeFrom="paragraph">
              <wp:posOffset>-171450</wp:posOffset>
            </wp:positionV>
            <wp:extent cx="2095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0955" cy="2984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r>
        <w:rPr>
          <w:rFonts w:ascii="Arial" w:cs="Arial" w:eastAsia="Arial" w:hAnsi="Arial"/>
          <w:sz w:val="17"/>
          <w:szCs w:val="17"/>
          <w:color w:val="auto"/>
        </w:rPr>
        <w:t>:</w:t>
      </w:r>
    </w:p>
    <w:p>
      <w:pPr>
        <w:spacing w:after="0" w:line="26" w:lineRule="exact"/>
        <w:rPr>
          <w:sz w:val="20"/>
          <w:szCs w:val="20"/>
          <w:color w:val="auto"/>
        </w:rPr>
      </w:pPr>
    </w:p>
    <w:p>
      <w:pPr>
        <w:ind w:left="460" w:hanging="453"/>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Leases on this report represent retail activity only; office and residential leases are not included.</w:t>
      </w:r>
    </w:p>
    <w:p>
      <w:pPr>
        <w:spacing w:after="0" w:line="18" w:lineRule="exact"/>
        <w:rPr>
          <w:rFonts w:ascii="Arial" w:cs="Arial" w:eastAsia="Arial" w:hAnsi="Arial"/>
          <w:sz w:val="17"/>
          <w:szCs w:val="17"/>
          <w:color w:val="auto"/>
        </w:rPr>
      </w:pPr>
    </w:p>
    <w:p>
      <w:pPr>
        <w:ind w:left="460" w:right="120" w:hanging="453"/>
        <w:spacing w:after="0" w:line="262"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Non-comparable leases represent those leases signed on spaces for which there was no former tenant, or expansion footage for leases rolling over for which there was no former tenant.</w:t>
      </w:r>
    </w:p>
    <w:p>
      <w:pPr>
        <w:spacing w:after="0" w:line="1" w:lineRule="exact"/>
        <w:rPr>
          <w:rFonts w:ascii="Arial" w:cs="Arial" w:eastAsia="Arial" w:hAnsi="Arial"/>
          <w:sz w:val="17"/>
          <w:szCs w:val="17"/>
          <w:color w:val="auto"/>
        </w:rPr>
      </w:pPr>
    </w:p>
    <w:p>
      <w:pPr>
        <w:ind w:left="460" w:hanging="453"/>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Contractual Rent represents contractual Minimum Rent under the new lease for the first 12 months of the term.</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Weighted average is determined on the basis of square footage.</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See Glossary of Terms.</w:t>
      </w:r>
    </w:p>
    <w:p>
      <w:pPr>
        <w:sectPr>
          <w:pgSz w:w="11900" w:h="16838" w:orient="portrait"/>
          <w:cols w:equalWidth="0" w:num="1">
            <w:col w:w="11420"/>
          </w:cols>
          <w:pgMar w:left="240" w:top="456"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 Expirations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Assumes no exercise of lease options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92"/>
              </w:rPr>
              <w:t>Anchor Tenants (1)</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96"/>
              </w:rPr>
              <w:t>Small Shop Tenants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 of</w:t>
            </w: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w w:val="95"/>
              </w:rPr>
              <w:t>Minimum Rent</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7"/>
              </w:rPr>
              <w:t>% of Small</w:t>
            </w: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w w:val="95"/>
              </w:rPr>
              <w:t>Minimum Rent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6"/>
              </w:rPr>
              <w:t>Expiring SF</w:t>
            </w:r>
          </w:p>
        </w:tc>
        <w:tc>
          <w:tcPr>
            <w:tcW w:w="26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3"/>
              </w:rPr>
              <w:t>% of Total</w:t>
            </w:r>
          </w:p>
        </w:tc>
        <w:tc>
          <w:tcPr>
            <w:tcW w:w="140" w:type="dxa"/>
            <w:vAlign w:val="bottom"/>
          </w:tcPr>
          <w:p>
            <w:pPr>
              <w:spacing w:after="0"/>
              <w:rPr>
                <w:sz w:val="20"/>
                <w:szCs w:val="20"/>
                <w:color w:val="auto"/>
              </w:rPr>
            </w:pP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w w:val="98"/>
              </w:rPr>
              <w:t>Minimum Rent</w:t>
            </w:r>
          </w:p>
        </w:tc>
        <w:tc>
          <w:tcPr>
            <w:tcW w:w="0" w:type="dxa"/>
            <w:vAlign w:val="bottom"/>
          </w:tcPr>
          <w:p>
            <w:pPr>
              <w:spacing w:after="0"/>
              <w:rPr>
                <w:sz w:val="1"/>
                <w:szCs w:val="1"/>
                <w:color w:val="auto"/>
              </w:rPr>
            </w:pPr>
          </w:p>
        </w:tc>
      </w:tr>
      <w:tr>
        <w:trPr>
          <w:trHeight w:val="173"/>
        </w:trPr>
        <w:tc>
          <w:tcPr>
            <w:tcW w:w="1700" w:type="dxa"/>
            <w:vAlign w:val="bottom"/>
            <w:gridSpan w:val="5"/>
          </w:tcPr>
          <w:p>
            <w:pPr>
              <w:spacing w:after="0"/>
              <w:rPr>
                <w:sz w:val="20"/>
                <w:szCs w:val="20"/>
                <w:color w:val="auto"/>
              </w:rPr>
            </w:pPr>
            <w:r>
              <w:rPr>
                <w:rFonts w:ascii="Arial" w:cs="Arial" w:eastAsia="Arial" w:hAnsi="Arial"/>
                <w:sz w:val="13"/>
                <w:szCs w:val="13"/>
                <w:b w:val="1"/>
                <w:bCs w:val="1"/>
                <w:color w:val="auto"/>
              </w:rPr>
              <w:t>Year</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Expiring SF (2)</w:t>
            </w:r>
          </w:p>
        </w:tc>
        <w:tc>
          <w:tcPr>
            <w:tcW w:w="180" w:type="dxa"/>
            <w:vAlign w:val="bottom"/>
          </w:tcPr>
          <w:p>
            <w:pPr>
              <w:spacing w:after="0"/>
              <w:rPr>
                <w:sz w:val="15"/>
                <w:szCs w:val="15"/>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4"/>
              </w:rPr>
              <w:t>Anchor SF</w:t>
            </w:r>
          </w:p>
        </w:tc>
        <w:tc>
          <w:tcPr>
            <w:tcW w:w="200" w:type="dxa"/>
            <w:vAlign w:val="bottom"/>
          </w:tcPr>
          <w:p>
            <w:pPr>
              <w:spacing w:after="0"/>
              <w:rPr>
                <w:sz w:val="15"/>
                <w:szCs w:val="15"/>
                <w:color w:val="auto"/>
              </w:rPr>
            </w:pPr>
          </w:p>
        </w:tc>
        <w:tc>
          <w:tcPr>
            <w:tcW w:w="680" w:type="dxa"/>
            <w:vAlign w:val="bottom"/>
          </w:tcPr>
          <w:p>
            <w:pPr>
              <w:jc w:val="right"/>
              <w:ind w:right="235"/>
              <w:spacing w:after="0"/>
              <w:rPr>
                <w:sz w:val="20"/>
                <w:szCs w:val="20"/>
                <w:color w:val="auto"/>
              </w:rPr>
            </w:pPr>
            <w:r>
              <w:rPr>
                <w:rFonts w:ascii="Arial" w:cs="Arial" w:eastAsia="Arial" w:hAnsi="Arial"/>
                <w:sz w:val="13"/>
                <w:szCs w:val="13"/>
                <w:b w:val="1"/>
                <w:bCs w:val="1"/>
                <w:color w:val="auto"/>
              </w:rPr>
              <w:t>PSF</w:t>
            </w:r>
          </w:p>
        </w:tc>
        <w:tc>
          <w:tcPr>
            <w:tcW w:w="2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5"/>
              </w:rPr>
              <w:t>Expiring SF (2)</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0"/>
              </w:rPr>
              <w:t>Shop SF</w:t>
            </w:r>
          </w:p>
        </w:tc>
        <w:tc>
          <w:tcPr>
            <w:tcW w:w="200" w:type="dxa"/>
            <w:vAlign w:val="bottom"/>
          </w:tcPr>
          <w:p>
            <w:pPr>
              <w:spacing w:after="0"/>
              <w:rPr>
                <w:sz w:val="15"/>
                <w:szCs w:val="15"/>
                <w:color w:val="auto"/>
              </w:rPr>
            </w:pPr>
          </w:p>
        </w:tc>
        <w:tc>
          <w:tcPr>
            <w:tcW w:w="680" w:type="dxa"/>
            <w:vAlign w:val="bottom"/>
          </w:tcPr>
          <w:p>
            <w:pPr>
              <w:jc w:val="right"/>
              <w:ind w:right="235"/>
              <w:spacing w:after="0"/>
              <w:rPr>
                <w:sz w:val="20"/>
                <w:szCs w:val="20"/>
                <w:color w:val="auto"/>
              </w:rPr>
            </w:pPr>
            <w:r>
              <w:rPr>
                <w:rFonts w:ascii="Arial" w:cs="Arial" w:eastAsia="Arial" w:hAnsi="Arial"/>
                <w:sz w:val="13"/>
                <w:szCs w:val="13"/>
                <w:b w:val="1"/>
                <w:bCs w:val="1"/>
                <w:color w:val="auto"/>
              </w:rPr>
              <w:t>PSF</w:t>
            </w:r>
          </w:p>
        </w:tc>
        <w:tc>
          <w:tcPr>
            <w:tcW w:w="1160" w:type="dxa"/>
            <w:vAlign w:val="bottom"/>
            <w:gridSpan w:val="3"/>
          </w:tcPr>
          <w:p>
            <w:pPr>
              <w:jc w:val="center"/>
              <w:ind w:left="174"/>
              <w:spacing w:after="0"/>
              <w:rPr>
                <w:sz w:val="20"/>
                <w:szCs w:val="20"/>
                <w:color w:val="auto"/>
              </w:rPr>
            </w:pPr>
            <w:r>
              <w:rPr>
                <w:rFonts w:ascii="Arial" w:cs="Arial" w:eastAsia="Arial" w:hAnsi="Arial"/>
                <w:sz w:val="13"/>
                <w:szCs w:val="13"/>
                <w:b w:val="1"/>
                <w:bCs w:val="1"/>
                <w:color w:val="auto"/>
                <w:w w:val="87"/>
              </w:rPr>
              <w:t>(2)</w:t>
            </w:r>
          </w:p>
        </w:tc>
        <w:tc>
          <w:tcPr>
            <w:tcW w:w="260" w:type="dxa"/>
            <w:vAlign w:val="bottom"/>
          </w:tcPr>
          <w:p>
            <w:pPr>
              <w:spacing w:after="0"/>
              <w:rPr>
                <w:sz w:val="15"/>
                <w:szCs w:val="15"/>
                <w:color w:val="auto"/>
              </w:rPr>
            </w:pPr>
          </w:p>
        </w:tc>
        <w:tc>
          <w:tcPr>
            <w:tcW w:w="880" w:type="dxa"/>
            <w:vAlign w:val="bottom"/>
            <w:gridSpan w:val="2"/>
          </w:tcPr>
          <w:p>
            <w:pPr>
              <w:ind w:left="240"/>
              <w:spacing w:after="0"/>
              <w:rPr>
                <w:sz w:val="20"/>
                <w:szCs w:val="20"/>
                <w:color w:val="auto"/>
              </w:rPr>
            </w:pPr>
            <w:r>
              <w:rPr>
                <w:rFonts w:ascii="Arial" w:cs="Arial" w:eastAsia="Arial" w:hAnsi="Arial"/>
                <w:sz w:val="13"/>
                <w:szCs w:val="13"/>
                <w:b w:val="1"/>
                <w:bCs w:val="1"/>
                <w:color w:val="auto"/>
              </w:rPr>
              <w:t>SF</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ind w:left="160"/>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2004</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187,000</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21.12</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245,000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7"/>
                <w:szCs w:val="17"/>
                <w:b w:val="1"/>
                <w:bCs w:val="1"/>
                <w:color w:val="auto"/>
              </w:rPr>
              <w:t>2005</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273,000</w:t>
            </w:r>
          </w:p>
        </w:tc>
        <w:tc>
          <w:tcPr>
            <w:tcW w:w="8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13.43</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750,000</w:t>
            </w:r>
          </w:p>
        </w:tc>
        <w:tc>
          <w:tcPr>
            <w:tcW w:w="1320" w:type="dxa"/>
            <w:vAlign w:val="bottom"/>
            <w:gridSpan w:val="4"/>
          </w:tcPr>
          <w:p>
            <w:pPr>
              <w:jc w:val="right"/>
              <w:ind w:right="260"/>
              <w:spacing w:after="0"/>
              <w:rPr>
                <w:sz w:val="20"/>
                <w:szCs w:val="20"/>
                <w:color w:val="auto"/>
              </w:rPr>
            </w:pPr>
            <w:r>
              <w:rPr>
                <w:rFonts w:ascii="Arial" w:cs="Arial" w:eastAsia="Arial" w:hAnsi="Arial"/>
                <w:sz w:val="17"/>
                <w:szCs w:val="17"/>
                <w:color w:val="auto"/>
              </w:rPr>
              <w:t>11%</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21.98</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1,023,000</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7%</w:t>
            </w:r>
          </w:p>
        </w:tc>
        <w:tc>
          <w:tcPr>
            <w:tcW w:w="3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19.70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2006</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867,000</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13%</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24.38</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1,328,000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9%</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7"/>
                <w:szCs w:val="17"/>
                <w:b w:val="1"/>
                <w:bCs w:val="1"/>
                <w:color w:val="auto"/>
              </w:rPr>
              <w:t>2007</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884,000</w:t>
            </w:r>
          </w:p>
        </w:tc>
        <w:tc>
          <w:tcPr>
            <w:tcW w:w="8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7"/>
                <w:szCs w:val="17"/>
                <w:color w:val="auto"/>
              </w:rPr>
              <w:t>10%</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8.47</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978,000</w:t>
            </w:r>
          </w:p>
        </w:tc>
        <w:tc>
          <w:tcPr>
            <w:tcW w:w="1320" w:type="dxa"/>
            <w:vAlign w:val="bottom"/>
            <w:gridSpan w:val="4"/>
          </w:tcPr>
          <w:p>
            <w:pPr>
              <w:jc w:val="right"/>
              <w:ind w:right="260"/>
              <w:spacing w:after="0"/>
              <w:rPr>
                <w:sz w:val="20"/>
                <w:szCs w:val="20"/>
                <w:color w:val="auto"/>
              </w:rPr>
            </w:pPr>
            <w:r>
              <w:rPr>
                <w:rFonts w:ascii="Arial" w:cs="Arial" w:eastAsia="Arial" w:hAnsi="Arial"/>
                <w:sz w:val="17"/>
                <w:szCs w:val="17"/>
                <w:color w:val="auto"/>
              </w:rPr>
              <w:t>15%</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23.93</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1,862,000</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12%</w:t>
            </w:r>
          </w:p>
        </w:tc>
        <w:tc>
          <w:tcPr>
            <w:tcW w:w="3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16.59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2008</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746,000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9%</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899,000</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13%</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1,645,000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11%</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7"/>
                <w:szCs w:val="17"/>
                <w:b w:val="1"/>
                <w:bCs w:val="1"/>
                <w:color w:val="auto"/>
              </w:rPr>
              <w:t>2009</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1,167,000</w:t>
            </w:r>
          </w:p>
        </w:tc>
        <w:tc>
          <w:tcPr>
            <w:tcW w:w="8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7"/>
                <w:szCs w:val="17"/>
                <w:color w:val="auto"/>
              </w:rPr>
              <w:t>14%</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11.02</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874,000</w:t>
            </w:r>
          </w:p>
        </w:tc>
        <w:tc>
          <w:tcPr>
            <w:tcW w:w="1320" w:type="dxa"/>
            <w:vAlign w:val="bottom"/>
            <w:gridSpan w:val="4"/>
          </w:tcPr>
          <w:p>
            <w:pPr>
              <w:jc w:val="right"/>
              <w:ind w:right="260"/>
              <w:spacing w:after="0"/>
              <w:rPr>
                <w:sz w:val="20"/>
                <w:szCs w:val="20"/>
                <w:color w:val="auto"/>
              </w:rPr>
            </w:pPr>
            <w:r>
              <w:rPr>
                <w:rFonts w:ascii="Arial" w:cs="Arial" w:eastAsia="Arial" w:hAnsi="Arial"/>
                <w:sz w:val="17"/>
                <w:szCs w:val="17"/>
                <w:color w:val="auto"/>
              </w:rPr>
              <w:t>13%</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26.20</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2,041,000</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13%</w:t>
            </w:r>
          </w:p>
        </w:tc>
        <w:tc>
          <w:tcPr>
            <w:tcW w:w="3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17.52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2010</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456,000</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7%</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23.75</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910,000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6%</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7"/>
                <w:szCs w:val="17"/>
                <w:b w:val="1"/>
                <w:bCs w:val="1"/>
                <w:color w:val="auto"/>
              </w:rPr>
              <w:t>2011</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376,000</w:t>
            </w:r>
          </w:p>
        </w:tc>
        <w:tc>
          <w:tcPr>
            <w:tcW w:w="8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18.32</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461,000</w:t>
            </w:r>
          </w:p>
        </w:tc>
        <w:tc>
          <w:tcPr>
            <w:tcW w:w="1320" w:type="dxa"/>
            <w:vAlign w:val="bottom"/>
            <w:gridSpan w:val="4"/>
          </w:tcPr>
          <w:p>
            <w:pPr>
              <w:jc w:val="right"/>
              <w:ind w:right="260"/>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29.48</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837,000</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5%</w:t>
            </w:r>
          </w:p>
        </w:tc>
        <w:tc>
          <w:tcPr>
            <w:tcW w:w="3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2012</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400,000</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33.75</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940,000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6%</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7"/>
                <w:szCs w:val="17"/>
                <w:b w:val="1"/>
                <w:bCs w:val="1"/>
                <w:color w:val="auto"/>
              </w:rPr>
              <w:t>2013</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680,000</w:t>
            </w:r>
          </w:p>
        </w:tc>
        <w:tc>
          <w:tcPr>
            <w:tcW w:w="8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7"/>
                <w:szCs w:val="17"/>
                <w:color w:val="auto"/>
              </w:rPr>
              <w:t>8%</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14.55</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259,000</w:t>
            </w:r>
          </w:p>
        </w:tc>
        <w:tc>
          <w:tcPr>
            <w:tcW w:w="1320" w:type="dxa"/>
            <w:vAlign w:val="bottom"/>
            <w:gridSpan w:val="4"/>
          </w:tcPr>
          <w:p>
            <w:pPr>
              <w:jc w:val="right"/>
              <w:ind w:right="260"/>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30.84</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939,000</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6%</w:t>
            </w:r>
          </w:p>
        </w:tc>
        <w:tc>
          <w:tcPr>
            <w:tcW w:w="3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19.04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80" w:type="dxa"/>
            <w:vAlign w:val="bottom"/>
            <w:gridSpan w:val="4"/>
            <w:shd w:val="clear" w:color="auto" w:fill="CCEEFF"/>
          </w:tcPr>
          <w:p>
            <w:pPr>
              <w:spacing w:after="0"/>
              <w:rPr>
                <w:sz w:val="20"/>
                <w:szCs w:val="20"/>
                <w:color w:val="auto"/>
              </w:rPr>
            </w:pPr>
            <w:r>
              <w:rPr>
                <w:rFonts w:ascii="Arial" w:cs="Arial" w:eastAsia="Arial" w:hAnsi="Arial"/>
                <w:sz w:val="17"/>
                <w:szCs w:val="17"/>
                <w:b w:val="1"/>
                <w:bCs w:val="1"/>
                <w:color w:val="auto"/>
              </w:rPr>
              <w:t>Thereafter</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2,995,000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35%</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579,000</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9%</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30.79</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3,574,000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23%</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680" w:type="dxa"/>
            <w:vAlign w:val="bottom"/>
            <w:gridSpan w:val="4"/>
            <w:shd w:val="clear" w:color="auto" w:fill="CCEEFF"/>
          </w:tcPr>
          <w:p>
            <w:pPr>
              <w:spacing w:after="0"/>
              <w:rPr>
                <w:sz w:val="20"/>
                <w:szCs w:val="20"/>
                <w:color w:val="auto"/>
              </w:rPr>
            </w:pPr>
            <w:r>
              <w:rPr>
                <w:rFonts w:ascii="Arial" w:cs="Arial" w:eastAsia="Arial" w:hAnsi="Arial"/>
                <w:sz w:val="17"/>
                <w:szCs w:val="17"/>
                <w:b w:val="1"/>
                <w:bCs w:val="1"/>
                <w:color w:val="auto"/>
              </w:rPr>
              <w:t>Total (3)</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8,634,000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6,710,000</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25.66</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15,344,000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940" w:type="dxa"/>
            <w:vAlign w:val="bottom"/>
            <w:gridSpan w:val="3"/>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Borders>
              <w:bottom w:val="single" w:sz="8" w:color="auto"/>
            </w:tcBorders>
            <w:gridSpan w:val="2"/>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3"/>
        </w:trPr>
        <w:tc>
          <w:tcPr>
            <w:tcW w:w="2660" w:type="dxa"/>
            <w:vAlign w:val="bottom"/>
            <w:gridSpan w:val="7"/>
          </w:tcPr>
          <w:p>
            <w:pPr>
              <w:spacing w:after="0"/>
              <w:rPr>
                <w:sz w:val="20"/>
                <w:szCs w:val="20"/>
                <w:color w:val="auto"/>
              </w:rPr>
            </w:pPr>
            <w:r>
              <w:rPr>
                <w:rFonts w:ascii="Arial" w:cs="Arial" w:eastAsia="Arial" w:hAnsi="Arial"/>
                <w:sz w:val="17"/>
                <w:szCs w:val="17"/>
                <w:b w:val="1"/>
                <w:bCs w:val="1"/>
                <w:color w:val="auto"/>
                <w:w w:val="87"/>
              </w:rPr>
              <w:t>Assumes lease options are exercised</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92"/>
              </w:rPr>
              <w:t>Anchor Tenants (1)</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96"/>
              </w:rPr>
              <w:t>Small Shop Tenants</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Expiring SF</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 of</w:t>
            </w: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w w:val="95"/>
              </w:rPr>
              <w:t>Minimum Rent</w:t>
            </w:r>
          </w:p>
        </w:tc>
        <w:tc>
          <w:tcPr>
            <w:tcW w:w="26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6"/>
              </w:rPr>
              <w:t>Expiring SF</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7"/>
              </w:rPr>
              <w:t>% of Small</w:t>
            </w: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w w:val="95"/>
              </w:rPr>
              <w:t>Minimum Rent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6"/>
              </w:rPr>
              <w:t>% of Total</w:t>
            </w:r>
          </w:p>
        </w:tc>
        <w:tc>
          <w:tcPr>
            <w:tcW w:w="140" w:type="dxa"/>
            <w:vAlign w:val="bottom"/>
          </w:tcPr>
          <w:p>
            <w:pPr>
              <w:spacing w:after="0"/>
              <w:rPr>
                <w:sz w:val="20"/>
                <w:szCs w:val="20"/>
                <w:color w:val="auto"/>
              </w:rPr>
            </w:pP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w w:val="98"/>
              </w:rPr>
              <w:t>Minimum Rent</w:t>
            </w:r>
          </w:p>
        </w:tc>
        <w:tc>
          <w:tcPr>
            <w:tcW w:w="0" w:type="dxa"/>
            <w:vAlign w:val="bottom"/>
          </w:tcPr>
          <w:p>
            <w:pPr>
              <w:spacing w:after="0"/>
              <w:rPr>
                <w:sz w:val="1"/>
                <w:szCs w:val="1"/>
                <w:color w:val="auto"/>
              </w:rPr>
            </w:pPr>
          </w:p>
        </w:tc>
      </w:tr>
      <w:tr>
        <w:trPr>
          <w:trHeight w:val="173"/>
        </w:trPr>
        <w:tc>
          <w:tcPr>
            <w:tcW w:w="1700" w:type="dxa"/>
            <w:vAlign w:val="bottom"/>
            <w:gridSpan w:val="5"/>
          </w:tcPr>
          <w:p>
            <w:pPr>
              <w:spacing w:after="0"/>
              <w:rPr>
                <w:sz w:val="20"/>
                <w:szCs w:val="20"/>
                <w:color w:val="auto"/>
              </w:rPr>
            </w:pPr>
            <w:r>
              <w:rPr>
                <w:rFonts w:ascii="Arial" w:cs="Arial" w:eastAsia="Arial" w:hAnsi="Arial"/>
                <w:sz w:val="13"/>
                <w:szCs w:val="13"/>
                <w:b w:val="1"/>
                <w:bCs w:val="1"/>
                <w:color w:val="auto"/>
              </w:rPr>
              <w:t>Year</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4"/>
              </w:rPr>
              <w:t>Anchor SF</w:t>
            </w:r>
          </w:p>
        </w:tc>
        <w:tc>
          <w:tcPr>
            <w:tcW w:w="200" w:type="dxa"/>
            <w:vAlign w:val="bottom"/>
          </w:tcPr>
          <w:p>
            <w:pPr>
              <w:spacing w:after="0"/>
              <w:rPr>
                <w:sz w:val="15"/>
                <w:szCs w:val="15"/>
                <w:color w:val="auto"/>
              </w:rPr>
            </w:pPr>
          </w:p>
        </w:tc>
        <w:tc>
          <w:tcPr>
            <w:tcW w:w="680" w:type="dxa"/>
            <w:vAlign w:val="bottom"/>
          </w:tcPr>
          <w:p>
            <w:pPr>
              <w:jc w:val="right"/>
              <w:ind w:right="235"/>
              <w:spacing w:after="0"/>
              <w:rPr>
                <w:sz w:val="20"/>
                <w:szCs w:val="20"/>
                <w:color w:val="auto"/>
              </w:rPr>
            </w:pPr>
            <w:r>
              <w:rPr>
                <w:rFonts w:ascii="Arial" w:cs="Arial" w:eastAsia="Arial" w:hAnsi="Arial"/>
                <w:sz w:val="13"/>
                <w:szCs w:val="13"/>
                <w:b w:val="1"/>
                <w:bCs w:val="1"/>
                <w:color w:val="auto"/>
              </w:rPr>
              <w:t>PSF</w:t>
            </w:r>
          </w:p>
        </w:tc>
        <w:tc>
          <w:tcPr>
            <w:tcW w:w="1140" w:type="dxa"/>
            <w:vAlign w:val="bottom"/>
            <w:gridSpan w:val="2"/>
          </w:tcPr>
          <w:p>
            <w:pPr>
              <w:jc w:val="center"/>
              <w:ind w:left="174"/>
              <w:spacing w:after="0"/>
              <w:rPr>
                <w:sz w:val="20"/>
                <w:szCs w:val="20"/>
                <w:color w:val="auto"/>
              </w:rPr>
            </w:pPr>
            <w:r>
              <w:rPr>
                <w:rFonts w:ascii="Arial" w:cs="Arial" w:eastAsia="Arial" w:hAnsi="Arial"/>
                <w:sz w:val="13"/>
                <w:szCs w:val="13"/>
                <w:b w:val="1"/>
                <w:bCs w:val="1"/>
                <w:color w:val="auto"/>
              </w:rPr>
              <w:t>(2)</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0"/>
              </w:rPr>
              <w:t>Shop SF</w:t>
            </w:r>
          </w:p>
        </w:tc>
        <w:tc>
          <w:tcPr>
            <w:tcW w:w="200" w:type="dxa"/>
            <w:vAlign w:val="bottom"/>
          </w:tcPr>
          <w:p>
            <w:pPr>
              <w:spacing w:after="0"/>
              <w:rPr>
                <w:sz w:val="15"/>
                <w:szCs w:val="15"/>
                <w:color w:val="auto"/>
              </w:rPr>
            </w:pPr>
          </w:p>
        </w:tc>
        <w:tc>
          <w:tcPr>
            <w:tcW w:w="680" w:type="dxa"/>
            <w:vAlign w:val="bottom"/>
          </w:tcPr>
          <w:p>
            <w:pPr>
              <w:jc w:val="right"/>
              <w:ind w:right="235"/>
              <w:spacing w:after="0"/>
              <w:rPr>
                <w:sz w:val="20"/>
                <w:szCs w:val="20"/>
                <w:color w:val="auto"/>
              </w:rPr>
            </w:pPr>
            <w:r>
              <w:rPr>
                <w:rFonts w:ascii="Arial" w:cs="Arial" w:eastAsia="Arial" w:hAnsi="Arial"/>
                <w:sz w:val="13"/>
                <w:szCs w:val="13"/>
                <w:b w:val="1"/>
                <w:bCs w:val="1"/>
                <w:color w:val="auto"/>
              </w:rPr>
              <w:t>PSF</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5"/>
              </w:rPr>
              <w:t>Expiring SF (2)</w:t>
            </w:r>
          </w:p>
        </w:tc>
        <w:tc>
          <w:tcPr>
            <w:tcW w:w="260" w:type="dxa"/>
            <w:vAlign w:val="bottom"/>
          </w:tcPr>
          <w:p>
            <w:pPr>
              <w:spacing w:after="0"/>
              <w:rPr>
                <w:sz w:val="15"/>
                <w:szCs w:val="15"/>
                <w:color w:val="auto"/>
              </w:rPr>
            </w:pPr>
          </w:p>
        </w:tc>
        <w:tc>
          <w:tcPr>
            <w:tcW w:w="880" w:type="dxa"/>
            <w:vAlign w:val="bottom"/>
            <w:gridSpan w:val="2"/>
          </w:tcPr>
          <w:p>
            <w:pPr>
              <w:ind w:left="240"/>
              <w:spacing w:after="0"/>
              <w:rPr>
                <w:sz w:val="20"/>
                <w:szCs w:val="20"/>
                <w:color w:val="auto"/>
              </w:rPr>
            </w:pPr>
            <w:r>
              <w:rPr>
                <w:rFonts w:ascii="Arial" w:cs="Arial" w:eastAsia="Arial" w:hAnsi="Arial"/>
                <w:sz w:val="13"/>
                <w:szCs w:val="13"/>
                <w:b w:val="1"/>
                <w:bCs w:val="1"/>
                <w:color w:val="auto"/>
              </w:rPr>
              <w:t>SF</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ind w:left="160"/>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2004</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149,000</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20.79</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172,000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7"/>
                <w:szCs w:val="17"/>
                <w:b w:val="1"/>
                <w:bCs w:val="1"/>
                <w:color w:val="auto"/>
              </w:rPr>
              <w:t>2005</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19,000</w:t>
            </w:r>
          </w:p>
        </w:tc>
        <w:tc>
          <w:tcPr>
            <w:tcW w:w="8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16.00</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491,000</w:t>
            </w:r>
          </w:p>
        </w:tc>
        <w:tc>
          <w:tcPr>
            <w:tcW w:w="1320" w:type="dxa"/>
            <w:vAlign w:val="bottom"/>
            <w:gridSpan w:val="4"/>
          </w:tcPr>
          <w:p>
            <w:pPr>
              <w:jc w:val="right"/>
              <w:ind w:right="260"/>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23.66</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509,000</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3%</w:t>
            </w:r>
          </w:p>
        </w:tc>
        <w:tc>
          <w:tcPr>
            <w:tcW w:w="3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2006</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502,000</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7%</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26.77</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556,000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7"/>
                <w:szCs w:val="17"/>
                <w:b w:val="1"/>
                <w:bCs w:val="1"/>
                <w:color w:val="auto"/>
              </w:rPr>
              <w:t>2007</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155,000</w:t>
            </w:r>
          </w:p>
        </w:tc>
        <w:tc>
          <w:tcPr>
            <w:tcW w:w="8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7.73</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559,000</w:t>
            </w:r>
          </w:p>
        </w:tc>
        <w:tc>
          <w:tcPr>
            <w:tcW w:w="1320" w:type="dxa"/>
            <w:vAlign w:val="bottom"/>
            <w:gridSpan w:val="4"/>
          </w:tcPr>
          <w:p>
            <w:pPr>
              <w:jc w:val="right"/>
              <w:ind w:right="260"/>
              <w:spacing w:after="0"/>
              <w:rPr>
                <w:sz w:val="20"/>
                <w:szCs w:val="20"/>
                <w:color w:val="auto"/>
              </w:rPr>
            </w:pPr>
            <w:r>
              <w:rPr>
                <w:rFonts w:ascii="Arial" w:cs="Arial" w:eastAsia="Arial" w:hAnsi="Arial"/>
                <w:sz w:val="17"/>
                <w:szCs w:val="17"/>
                <w:color w:val="auto"/>
              </w:rPr>
              <w:t>8%</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23.99</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714,000</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5%</w:t>
            </w:r>
          </w:p>
        </w:tc>
        <w:tc>
          <w:tcPr>
            <w:tcW w:w="3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2008</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551,000</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8%</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23.47</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701,000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7"/>
                <w:szCs w:val="17"/>
                <w:b w:val="1"/>
                <w:bCs w:val="1"/>
                <w:color w:val="auto"/>
              </w:rPr>
              <w:t>2009</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244,000</w:t>
            </w:r>
          </w:p>
        </w:tc>
        <w:tc>
          <w:tcPr>
            <w:tcW w:w="8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11.35</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537,000</w:t>
            </w:r>
          </w:p>
        </w:tc>
        <w:tc>
          <w:tcPr>
            <w:tcW w:w="1320" w:type="dxa"/>
            <w:vAlign w:val="bottom"/>
            <w:gridSpan w:val="4"/>
          </w:tcPr>
          <w:p>
            <w:pPr>
              <w:jc w:val="right"/>
              <w:ind w:right="260"/>
              <w:spacing w:after="0"/>
              <w:rPr>
                <w:sz w:val="20"/>
                <w:szCs w:val="20"/>
                <w:color w:val="auto"/>
              </w:rPr>
            </w:pPr>
            <w:r>
              <w:rPr>
                <w:rFonts w:ascii="Arial" w:cs="Arial" w:eastAsia="Arial" w:hAnsi="Arial"/>
                <w:sz w:val="17"/>
                <w:szCs w:val="17"/>
                <w:color w:val="auto"/>
              </w:rPr>
              <w:t>8%</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27.73</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782,000</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5%</w:t>
            </w:r>
          </w:p>
        </w:tc>
        <w:tc>
          <w:tcPr>
            <w:tcW w:w="3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2010</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387,000</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24.62</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546,000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7"/>
                <w:szCs w:val="17"/>
                <w:b w:val="1"/>
                <w:bCs w:val="1"/>
                <w:color w:val="auto"/>
              </w:rPr>
              <w:t>2011</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114,000</w:t>
            </w:r>
          </w:p>
        </w:tc>
        <w:tc>
          <w:tcPr>
            <w:tcW w:w="8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15.02</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496,000</w:t>
            </w:r>
          </w:p>
        </w:tc>
        <w:tc>
          <w:tcPr>
            <w:tcW w:w="1320" w:type="dxa"/>
            <w:vAlign w:val="bottom"/>
            <w:gridSpan w:val="4"/>
          </w:tcPr>
          <w:p>
            <w:pPr>
              <w:jc w:val="right"/>
              <w:ind w:right="260"/>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23.75</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610,000</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4%</w:t>
            </w:r>
          </w:p>
        </w:tc>
        <w:tc>
          <w:tcPr>
            <w:tcW w:w="3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2012</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431,000</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646,000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7"/>
                <w:szCs w:val="17"/>
                <w:b w:val="1"/>
                <w:bCs w:val="1"/>
                <w:color w:val="auto"/>
              </w:rPr>
              <w:t>2013</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256,000</w:t>
            </w:r>
          </w:p>
        </w:tc>
        <w:tc>
          <w:tcPr>
            <w:tcW w:w="8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12.34</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341,000</w:t>
            </w:r>
          </w:p>
        </w:tc>
        <w:tc>
          <w:tcPr>
            <w:tcW w:w="1320" w:type="dxa"/>
            <w:vAlign w:val="bottom"/>
            <w:gridSpan w:val="4"/>
          </w:tcPr>
          <w:p>
            <w:pPr>
              <w:jc w:val="right"/>
              <w:ind w:right="260"/>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24.63</w:t>
            </w:r>
          </w:p>
        </w:tc>
        <w:tc>
          <w:tcPr>
            <w:tcW w:w="1160" w:type="dxa"/>
            <w:vAlign w:val="bottom"/>
            <w:gridSpan w:val="3"/>
          </w:tcPr>
          <w:p>
            <w:pPr>
              <w:jc w:val="right"/>
              <w:spacing w:after="0"/>
              <w:rPr>
                <w:sz w:val="20"/>
                <w:szCs w:val="20"/>
                <w:color w:val="auto"/>
              </w:rPr>
            </w:pPr>
            <w:r>
              <w:rPr>
                <w:rFonts w:ascii="Arial" w:cs="Arial" w:eastAsia="Arial" w:hAnsi="Arial"/>
                <w:sz w:val="17"/>
                <w:szCs w:val="17"/>
                <w:color w:val="auto"/>
              </w:rPr>
              <w:t>597,000</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4%</w:t>
            </w:r>
          </w:p>
        </w:tc>
        <w:tc>
          <w:tcPr>
            <w:tcW w:w="3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80" w:type="dxa"/>
            <w:vAlign w:val="bottom"/>
            <w:gridSpan w:val="4"/>
            <w:shd w:val="clear" w:color="auto" w:fill="CCEEFF"/>
          </w:tcPr>
          <w:p>
            <w:pPr>
              <w:spacing w:after="0"/>
              <w:rPr>
                <w:sz w:val="20"/>
                <w:szCs w:val="20"/>
                <w:color w:val="auto"/>
              </w:rPr>
            </w:pPr>
            <w:r>
              <w:rPr>
                <w:rFonts w:ascii="Arial" w:cs="Arial" w:eastAsia="Arial" w:hAnsi="Arial"/>
                <w:sz w:val="17"/>
                <w:szCs w:val="17"/>
                <w:b w:val="1"/>
                <w:bCs w:val="1"/>
                <w:color w:val="auto"/>
              </w:rPr>
              <w:t>Thereafter</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7,246,000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84%</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2,266,000</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34%</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26.84</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9,511,000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62%</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680" w:type="dxa"/>
            <w:vAlign w:val="bottom"/>
            <w:gridSpan w:val="4"/>
            <w:shd w:val="clear" w:color="auto" w:fill="CCEEFF"/>
          </w:tcPr>
          <w:p>
            <w:pPr>
              <w:spacing w:after="0"/>
              <w:rPr>
                <w:sz w:val="20"/>
                <w:szCs w:val="20"/>
                <w:color w:val="auto"/>
              </w:rPr>
            </w:pPr>
            <w:r>
              <w:rPr>
                <w:rFonts w:ascii="Arial" w:cs="Arial" w:eastAsia="Arial" w:hAnsi="Arial"/>
                <w:sz w:val="17"/>
                <w:szCs w:val="17"/>
                <w:b w:val="1"/>
                <w:bCs w:val="1"/>
                <w:color w:val="auto"/>
              </w:rPr>
              <w:t>Total (3)</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8,634,000</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6,710,000</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25.66</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15,344,000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-3009265</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1073150</wp:posOffset>
            </wp:positionH>
            <wp:positionV relativeFrom="paragraph">
              <wp:posOffset>-3009265</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-3009265</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2194560</wp:posOffset>
            </wp:positionH>
            <wp:positionV relativeFrom="paragraph">
              <wp:posOffset>-3009265</wp:posOffset>
            </wp:positionV>
            <wp:extent cx="381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-3009265</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-3009265</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-3009265</wp:posOffset>
            </wp:positionV>
            <wp:extent cx="2095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-3009265</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3188970</wp:posOffset>
            </wp:positionH>
            <wp:positionV relativeFrom="paragraph">
              <wp:posOffset>-3009265</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3919220</wp:posOffset>
            </wp:positionH>
            <wp:positionV relativeFrom="paragraph">
              <wp:posOffset>-3009265</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-3009265</wp:posOffset>
            </wp:positionV>
            <wp:extent cx="381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-3009265</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5134610</wp:posOffset>
            </wp:positionH>
            <wp:positionV relativeFrom="paragraph">
              <wp:posOffset>-3009265</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-3009265</wp:posOffset>
            </wp:positionV>
            <wp:extent cx="2095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5865495</wp:posOffset>
            </wp:positionH>
            <wp:positionV relativeFrom="paragraph">
              <wp:posOffset>-3009265</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5313045</wp:posOffset>
            </wp:positionH>
            <wp:positionV relativeFrom="paragraph">
              <wp:posOffset>-3009265</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6043930</wp:posOffset>
            </wp:positionH>
            <wp:positionV relativeFrom="paragraph">
              <wp:posOffset>-3009265</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-3009265</wp:posOffset>
            </wp:positionV>
            <wp:extent cx="381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6689725</wp:posOffset>
            </wp:positionH>
            <wp:positionV relativeFrom="paragraph">
              <wp:posOffset>-3009265</wp:posOffset>
            </wp:positionV>
            <wp:extent cx="56515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65150" cy="29845"/>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-171450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1073150</wp:posOffset>
            </wp:positionH>
            <wp:positionV relativeFrom="paragraph">
              <wp:posOffset>-171450</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-171450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2194560</wp:posOffset>
            </wp:positionH>
            <wp:positionV relativeFrom="paragraph">
              <wp:posOffset>-171450</wp:posOffset>
            </wp:positionV>
            <wp:extent cx="381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-171450</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-171450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-171450</wp:posOffset>
            </wp:positionV>
            <wp:extent cx="2095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-171450</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3188970</wp:posOffset>
            </wp:positionH>
            <wp:positionV relativeFrom="paragraph">
              <wp:posOffset>-171450</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3919220</wp:posOffset>
            </wp:positionH>
            <wp:positionV relativeFrom="paragraph">
              <wp:posOffset>-171450</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-171450</wp:posOffset>
            </wp:positionV>
            <wp:extent cx="381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-171450</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5134610</wp:posOffset>
            </wp:positionH>
            <wp:positionV relativeFrom="paragraph">
              <wp:posOffset>-171450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-171450</wp:posOffset>
            </wp:positionV>
            <wp:extent cx="2095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5865495</wp:posOffset>
            </wp:positionH>
            <wp:positionV relativeFrom="paragraph">
              <wp:posOffset>-171450</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5313045</wp:posOffset>
            </wp:positionH>
            <wp:positionV relativeFrom="paragraph">
              <wp:posOffset>-171450</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6043930</wp:posOffset>
            </wp:positionH>
            <wp:positionV relativeFrom="paragraph">
              <wp:posOffset>-171450</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-171450</wp:posOffset>
            </wp:positionV>
            <wp:extent cx="381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6689725</wp:posOffset>
            </wp:positionH>
            <wp:positionV relativeFrom="paragraph">
              <wp:posOffset>-171450</wp:posOffset>
            </wp:positionV>
            <wp:extent cx="56515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65150" cy="2984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6" w:lineRule="exact"/>
        <w:rPr>
          <w:sz w:val="20"/>
          <w:szCs w:val="20"/>
          <w:color w:val="auto"/>
        </w:rPr>
      </w:pPr>
    </w:p>
    <w:p>
      <w:pPr>
        <w:ind w:left="460" w:hanging="453"/>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Anchor is defined as a tenant leasing 15,000 square feet or more.</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Minimum Rent reflects in-place contractual rent as of September 30, 2004.</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Represents occupied square footage as of September 30, 2004.</w:t>
      </w:r>
    </w:p>
    <w:p>
      <w:pPr>
        <w:sectPr>
          <w:pgSz w:w="11900" w:h="16838" w:orient="portrait"/>
          <w:cols w:equalWidth="0" w:num="1">
            <w:col w:w="11420"/>
          </w:cols>
          <w:pgMar w:left="240" w:top="456"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Portfolio Leasing Statistics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Overall Portfolio Statistics (1)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20" w:type="dxa"/>
            <w:vAlign w:val="bottom"/>
          </w:tcPr>
          <w:p>
            <w:pPr>
              <w:ind w:left="80"/>
              <w:spacing w:after="0"/>
              <w:rPr>
                <w:sz w:val="20"/>
                <w:szCs w:val="20"/>
                <w:color w:val="auto"/>
              </w:rPr>
            </w:pPr>
            <w:r>
              <w:rPr>
                <w:rFonts w:ascii="Arial" w:cs="Arial" w:eastAsia="Arial" w:hAnsi="Arial"/>
                <w:sz w:val="13"/>
                <w:szCs w:val="13"/>
                <w:b w:val="1"/>
                <w:bCs w:val="1"/>
                <w:color w:val="auto"/>
                <w:w w:val="95"/>
              </w:rPr>
              <w:t>At September 30, 2004</w:t>
            </w: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3"/>
                <w:szCs w:val="13"/>
                <w:b w:val="1"/>
                <w:bCs w:val="1"/>
                <w:color w:val="auto"/>
                <w:w w:val="95"/>
              </w:rPr>
              <w:t>At September 30, 2003</w:t>
            </w:r>
          </w:p>
        </w:tc>
        <w:tc>
          <w:tcPr>
            <w:tcW w:w="600" w:type="dxa"/>
            <w:vAlign w:val="bottom"/>
          </w:tcPr>
          <w:p>
            <w:pPr>
              <w:spacing w:after="0"/>
              <w:rPr>
                <w:sz w:val="15"/>
                <w:szCs w:val="15"/>
                <w:color w:val="auto"/>
              </w:rPr>
            </w:pPr>
          </w:p>
        </w:tc>
      </w:tr>
      <w:tr>
        <w:trPr>
          <w:trHeight w:val="94"/>
        </w:trPr>
        <w:tc>
          <w:tcPr>
            <w:tcW w:w="57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r>
      <w:tr>
        <w:trPr>
          <w:trHeight w:val="261"/>
        </w:trPr>
        <w:tc>
          <w:tcPr>
            <w:tcW w:w="5780" w:type="dxa"/>
            <w:vAlign w:val="bottom"/>
          </w:tcPr>
          <w:p>
            <w:pPr>
              <w:spacing w:after="0"/>
              <w:rPr>
                <w:sz w:val="20"/>
                <w:szCs w:val="20"/>
                <w:color w:val="auto"/>
              </w:rPr>
            </w:pPr>
            <w:r>
              <w:rPr>
                <w:rFonts w:ascii="Arial" w:cs="Arial" w:eastAsia="Arial" w:hAnsi="Arial"/>
                <w:sz w:val="13"/>
                <w:szCs w:val="13"/>
                <w:b w:val="1"/>
                <w:bCs w:val="1"/>
                <w:color w:val="auto"/>
              </w:rPr>
              <w:t>Type</w:t>
            </w:r>
          </w:p>
        </w:tc>
        <w:tc>
          <w:tcPr>
            <w:tcW w:w="560" w:type="dxa"/>
            <w:vAlign w:val="bottom"/>
          </w:tcPr>
          <w:p>
            <w:pPr>
              <w:ind w:left="280"/>
              <w:spacing w:after="0"/>
              <w:rPr>
                <w:sz w:val="20"/>
                <w:szCs w:val="20"/>
                <w:color w:val="auto"/>
              </w:rPr>
            </w:pPr>
            <w:r>
              <w:rPr>
                <w:rFonts w:ascii="Arial" w:cs="Arial" w:eastAsia="Arial" w:hAnsi="Arial"/>
                <w:sz w:val="13"/>
                <w:szCs w:val="13"/>
                <w:b w:val="1"/>
                <w:bCs w:val="1"/>
                <w:color w:val="auto"/>
                <w:w w:val="99"/>
              </w:rPr>
              <w:t>Size</w:t>
            </w:r>
          </w:p>
        </w:tc>
        <w:tc>
          <w:tcPr>
            <w:tcW w:w="1420" w:type="dxa"/>
            <w:vAlign w:val="bottom"/>
          </w:tcPr>
          <w:p>
            <w:pPr>
              <w:ind w:left="640"/>
              <w:spacing w:after="0"/>
              <w:rPr>
                <w:sz w:val="20"/>
                <w:szCs w:val="20"/>
                <w:color w:val="auto"/>
              </w:rPr>
            </w:pPr>
            <w:r>
              <w:rPr>
                <w:rFonts w:ascii="Arial" w:cs="Arial" w:eastAsia="Arial" w:hAnsi="Arial"/>
                <w:sz w:val="13"/>
                <w:szCs w:val="13"/>
                <w:b w:val="1"/>
                <w:bCs w:val="1"/>
                <w:color w:val="auto"/>
              </w:rPr>
              <w:t>Leased</w:t>
            </w:r>
          </w:p>
        </w:tc>
        <w:tc>
          <w:tcPr>
            <w:tcW w:w="940" w:type="dxa"/>
            <w:vAlign w:val="bottom"/>
            <w:gridSpan w:val="2"/>
          </w:tcPr>
          <w:p>
            <w:pPr>
              <w:ind w:left="40"/>
              <w:spacing w:after="0"/>
              <w:rPr>
                <w:sz w:val="20"/>
                <w:szCs w:val="20"/>
                <w:color w:val="auto"/>
              </w:rPr>
            </w:pPr>
            <w:r>
              <w:rPr>
                <w:rFonts w:ascii="Arial" w:cs="Arial" w:eastAsia="Arial" w:hAnsi="Arial"/>
                <w:sz w:val="13"/>
                <w:szCs w:val="13"/>
                <w:b w:val="1"/>
                <w:bCs w:val="1"/>
                <w:color w:val="auto"/>
              </w:rPr>
              <w:t>Leased%</w:t>
            </w:r>
          </w:p>
        </w:tc>
        <w:tc>
          <w:tcPr>
            <w:tcW w:w="580" w:type="dxa"/>
            <w:vAlign w:val="bottom"/>
          </w:tcPr>
          <w:p>
            <w:pPr>
              <w:ind w:left="280"/>
              <w:spacing w:after="0"/>
              <w:rPr>
                <w:sz w:val="20"/>
                <w:szCs w:val="20"/>
                <w:color w:val="auto"/>
              </w:rPr>
            </w:pPr>
            <w:r>
              <w:rPr>
                <w:rFonts w:ascii="Arial" w:cs="Arial" w:eastAsia="Arial" w:hAnsi="Arial"/>
                <w:sz w:val="13"/>
                <w:szCs w:val="13"/>
                <w:b w:val="1"/>
                <w:bCs w:val="1"/>
                <w:color w:val="auto"/>
              </w:rPr>
              <w:t>Size</w:t>
            </w:r>
          </w:p>
        </w:tc>
        <w:tc>
          <w:tcPr>
            <w:tcW w:w="1400" w:type="dxa"/>
            <w:vAlign w:val="bottom"/>
          </w:tcPr>
          <w:p>
            <w:pPr>
              <w:ind w:left="640"/>
              <w:spacing w:after="0"/>
              <w:rPr>
                <w:sz w:val="20"/>
                <w:szCs w:val="20"/>
                <w:color w:val="auto"/>
              </w:rPr>
            </w:pPr>
            <w:r>
              <w:rPr>
                <w:rFonts w:ascii="Arial" w:cs="Arial" w:eastAsia="Arial" w:hAnsi="Arial"/>
                <w:sz w:val="13"/>
                <w:szCs w:val="13"/>
                <w:b w:val="1"/>
                <w:bCs w:val="1"/>
                <w:color w:val="auto"/>
              </w:rPr>
              <w:t>Leased</w:t>
            </w:r>
          </w:p>
        </w:tc>
        <w:tc>
          <w:tcPr>
            <w:tcW w:w="600" w:type="dxa"/>
            <w:vAlign w:val="bottom"/>
          </w:tcPr>
          <w:p>
            <w:pPr>
              <w:ind w:left="60"/>
              <w:spacing w:after="0"/>
              <w:rPr>
                <w:sz w:val="20"/>
                <w:szCs w:val="20"/>
                <w:color w:val="auto"/>
              </w:rPr>
            </w:pPr>
            <w:r>
              <w:rPr>
                <w:rFonts w:ascii="Arial" w:cs="Arial" w:eastAsia="Arial" w:hAnsi="Arial"/>
                <w:sz w:val="13"/>
                <w:szCs w:val="13"/>
                <w:b w:val="1"/>
                <w:bCs w:val="1"/>
                <w:color w:val="auto"/>
                <w:w w:val="92"/>
              </w:rPr>
              <w:t>Leased%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2463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46380" cy="825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59690</wp:posOffset>
            </wp:positionV>
            <wp:extent cx="349250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492500" cy="825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76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Retail Properties (2):</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16,791,000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15,818,000</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94.2%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1"/>
              </w:rPr>
              <w:t>15,780,000</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14,821,000</w:t>
            </w:r>
          </w:p>
        </w:tc>
        <w:tc>
          <w:tcPr>
            <w:tcW w:w="2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Borders>
              <w:bottom w:val="single" w:sz="8" w:color="auto"/>
            </w:tcBorders>
            <w:vMerge w:val="continue"/>
          </w:tcPr>
          <w:p>
            <w:pPr>
              <w:spacing w:after="0"/>
              <w:rPr>
                <w:sz w:val="15"/>
                <w:szCs w:val="15"/>
                <w:color w:val="auto"/>
              </w:rPr>
            </w:pPr>
          </w:p>
        </w:tc>
        <w:tc>
          <w:tcPr>
            <w:tcW w:w="1820" w:type="dxa"/>
            <w:vAlign w:val="bottom"/>
            <w:tcBorders>
              <w:bottom w:val="single" w:sz="8" w:color="auto"/>
            </w:tcBorders>
            <w:gridSpan w:val="5"/>
          </w:tcPr>
          <w:p>
            <w:pPr>
              <w:spacing w:after="0" w:line="174" w:lineRule="exact"/>
              <w:rPr>
                <w:sz w:val="20"/>
                <w:szCs w:val="20"/>
                <w:color w:val="auto"/>
              </w:rPr>
            </w:pPr>
            <w:r>
              <w:rPr>
                <w:rFonts w:ascii="Arial" w:cs="Arial" w:eastAsia="Arial" w:hAnsi="Arial"/>
                <w:sz w:val="17"/>
                <w:szCs w:val="17"/>
                <w:color w:val="auto"/>
                <w:w w:val="91"/>
              </w:rPr>
              <w:t>Residential Properties (3):</w:t>
            </w:r>
          </w:p>
        </w:tc>
        <w:tc>
          <w:tcPr>
            <w:tcW w:w="3940" w:type="dxa"/>
            <w:vAlign w:val="bottom"/>
            <w:gridSpan w:val="2"/>
          </w:tcPr>
          <w:p>
            <w:pPr>
              <w:spacing w:after="0"/>
              <w:rPr>
                <w:sz w:val="15"/>
                <w:szCs w:val="15"/>
                <w:color w:val="auto"/>
              </w:rPr>
            </w:pPr>
          </w:p>
        </w:tc>
        <w:tc>
          <w:tcPr>
            <w:tcW w:w="780" w:type="dxa"/>
            <w:vAlign w:val="bottom"/>
          </w:tcPr>
          <w:p>
            <w:pPr>
              <w:jc w:val="right"/>
              <w:spacing w:after="0" w:line="174" w:lineRule="exact"/>
              <w:rPr>
                <w:sz w:val="20"/>
                <w:szCs w:val="20"/>
                <w:color w:val="auto"/>
              </w:rPr>
            </w:pPr>
            <w:r>
              <w:rPr>
                <w:rFonts w:ascii="Arial" w:cs="Arial" w:eastAsia="Arial" w:hAnsi="Arial"/>
                <w:sz w:val="17"/>
                <w:szCs w:val="17"/>
                <w:color w:val="auto"/>
              </w:rPr>
              <w:t>683</w:t>
            </w:r>
          </w:p>
        </w:tc>
        <w:tc>
          <w:tcPr>
            <w:tcW w:w="1020" w:type="dxa"/>
            <w:vAlign w:val="bottom"/>
            <w:gridSpan w:val="2"/>
          </w:tcPr>
          <w:p>
            <w:pPr>
              <w:jc w:val="right"/>
              <w:spacing w:after="0" w:line="174" w:lineRule="exact"/>
              <w:rPr>
                <w:sz w:val="20"/>
                <w:szCs w:val="20"/>
                <w:color w:val="auto"/>
              </w:rPr>
            </w:pPr>
            <w:r>
              <w:rPr>
                <w:rFonts w:ascii="Arial" w:cs="Arial" w:eastAsia="Arial" w:hAnsi="Arial"/>
                <w:sz w:val="17"/>
                <w:szCs w:val="17"/>
                <w:color w:val="auto"/>
              </w:rPr>
              <w:t>636</w:t>
            </w:r>
          </w:p>
        </w:tc>
        <w:tc>
          <w:tcPr>
            <w:tcW w:w="220" w:type="dxa"/>
            <w:vAlign w:val="bottom"/>
          </w:tcPr>
          <w:p>
            <w:pPr>
              <w:spacing w:after="0"/>
              <w:rPr>
                <w:sz w:val="15"/>
                <w:szCs w:val="15"/>
                <w:color w:val="auto"/>
              </w:rPr>
            </w:pPr>
          </w:p>
        </w:tc>
        <w:tc>
          <w:tcPr>
            <w:tcW w:w="900" w:type="dxa"/>
            <w:vAlign w:val="bottom"/>
            <w:gridSpan w:val="2"/>
          </w:tcPr>
          <w:p>
            <w:pPr>
              <w:jc w:val="right"/>
              <w:ind w:right="220"/>
              <w:spacing w:after="0" w:line="174" w:lineRule="exact"/>
              <w:rPr>
                <w:sz w:val="20"/>
                <w:szCs w:val="20"/>
                <w:color w:val="auto"/>
              </w:rPr>
            </w:pPr>
            <w:r>
              <w:rPr>
                <w:rFonts w:ascii="Arial" w:cs="Arial" w:eastAsia="Arial" w:hAnsi="Arial"/>
                <w:sz w:val="17"/>
                <w:szCs w:val="17"/>
                <w:color w:val="auto"/>
              </w:rPr>
              <w:t>93.1%</w:t>
            </w:r>
          </w:p>
        </w:tc>
        <w:tc>
          <w:tcPr>
            <w:tcW w:w="1020" w:type="dxa"/>
            <w:vAlign w:val="bottom"/>
            <w:gridSpan w:val="2"/>
          </w:tcPr>
          <w:p>
            <w:pPr>
              <w:jc w:val="right"/>
              <w:ind w:right="220"/>
              <w:spacing w:after="0" w:line="174" w:lineRule="exact"/>
              <w:rPr>
                <w:sz w:val="20"/>
                <w:szCs w:val="20"/>
                <w:color w:val="auto"/>
              </w:rPr>
            </w:pPr>
            <w:r>
              <w:rPr>
                <w:rFonts w:ascii="Arial" w:cs="Arial" w:eastAsia="Arial" w:hAnsi="Arial"/>
                <w:sz w:val="17"/>
                <w:szCs w:val="17"/>
                <w:color w:val="auto"/>
              </w:rPr>
              <w:t>683</w:t>
            </w:r>
          </w:p>
        </w:tc>
        <w:tc>
          <w:tcPr>
            <w:tcW w:w="800" w:type="dxa"/>
            <w:vAlign w:val="bottom"/>
          </w:tcPr>
          <w:p>
            <w:pPr>
              <w:jc w:val="right"/>
              <w:spacing w:after="0" w:line="174" w:lineRule="exact"/>
              <w:rPr>
                <w:sz w:val="20"/>
                <w:szCs w:val="20"/>
                <w:color w:val="auto"/>
              </w:rPr>
            </w:pPr>
            <w:r>
              <w:rPr>
                <w:rFonts w:ascii="Arial" w:cs="Arial" w:eastAsia="Arial" w:hAnsi="Arial"/>
                <w:sz w:val="17"/>
                <w:szCs w:val="17"/>
                <w:color w:val="auto"/>
              </w:rPr>
              <w:t>623</w:t>
            </w:r>
          </w:p>
        </w:tc>
        <w:tc>
          <w:tcPr>
            <w:tcW w:w="220" w:type="dxa"/>
            <w:vAlign w:val="bottom"/>
          </w:tcPr>
          <w:p>
            <w:pPr>
              <w:spacing w:after="0"/>
              <w:rPr>
                <w:sz w:val="15"/>
                <w:szCs w:val="15"/>
                <w:color w:val="auto"/>
              </w:rPr>
            </w:pPr>
          </w:p>
        </w:tc>
        <w:tc>
          <w:tcPr>
            <w:tcW w:w="680" w:type="dxa"/>
            <w:vAlign w:val="bottom"/>
            <w:gridSpan w:val="2"/>
          </w:tcPr>
          <w:p>
            <w:pPr>
              <w:jc w:val="right"/>
              <w:spacing w:after="0" w:line="174" w:lineRule="exact"/>
              <w:rPr>
                <w:sz w:val="20"/>
                <w:szCs w:val="20"/>
                <w:color w:val="auto"/>
              </w:rPr>
            </w:pPr>
            <w:r>
              <w:rPr>
                <w:rFonts w:ascii="Arial" w:cs="Arial" w:eastAsia="Arial" w:hAnsi="Arial"/>
                <w:sz w:val="17"/>
                <w:szCs w:val="17"/>
                <w:color w:val="auto"/>
              </w:rPr>
              <w:t>91.2%</w:t>
            </w:r>
          </w:p>
        </w:tc>
        <w:tc>
          <w:tcPr>
            <w:tcW w:w="0" w:type="dxa"/>
            <w:vAlign w:val="bottom"/>
          </w:tcPr>
          <w:p>
            <w:pPr>
              <w:spacing w:after="0"/>
              <w:rPr>
                <w:sz w:val="1"/>
                <w:szCs w:val="1"/>
                <w:color w:val="auto"/>
              </w:rPr>
            </w:pPr>
          </w:p>
        </w:tc>
      </w:tr>
      <w:tr>
        <w:trPr>
          <w:trHeight w:val="408"/>
        </w:trPr>
        <w:tc>
          <w:tcPr>
            <w:tcW w:w="5780" w:type="dxa"/>
            <w:vAlign w:val="bottom"/>
            <w:gridSpan w:val="8"/>
          </w:tcPr>
          <w:p>
            <w:pPr>
              <w:spacing w:after="0"/>
              <w:rPr>
                <w:sz w:val="20"/>
                <w:szCs w:val="20"/>
                <w:color w:val="auto"/>
              </w:rPr>
            </w:pPr>
            <w:r>
              <w:rPr>
                <w:rFonts w:ascii="Arial" w:cs="Arial" w:eastAsia="Arial" w:hAnsi="Arial"/>
                <w:sz w:val="17"/>
                <w:szCs w:val="17"/>
                <w:b w:val="1"/>
                <w:bCs w:val="1"/>
                <w:color w:val="auto"/>
              </w:rPr>
              <w:t>Same Center Statistics (1)</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860" w:type="dxa"/>
            <w:vAlign w:val="bottom"/>
          </w:tcPr>
          <w:p>
            <w:pPr>
              <w:spacing w:after="0"/>
              <w:rPr>
                <w:sz w:val="24"/>
                <w:szCs w:val="24"/>
                <w:color w:val="auto"/>
              </w:rPr>
            </w:pPr>
          </w:p>
        </w:tc>
        <w:tc>
          <w:tcPr>
            <w:tcW w:w="2020" w:type="dxa"/>
            <w:vAlign w:val="bottom"/>
            <w:gridSpan w:val="4"/>
          </w:tcPr>
          <w:p>
            <w:pPr>
              <w:ind w:left="640"/>
              <w:spacing w:after="0"/>
              <w:rPr>
                <w:sz w:val="20"/>
                <w:szCs w:val="20"/>
                <w:color w:val="auto"/>
              </w:rPr>
            </w:pPr>
            <w:r>
              <w:rPr>
                <w:rFonts w:ascii="Arial" w:cs="Arial" w:eastAsia="Arial" w:hAnsi="Arial"/>
                <w:sz w:val="13"/>
                <w:szCs w:val="13"/>
                <w:b w:val="1"/>
                <w:bCs w:val="1"/>
                <w:color w:val="auto"/>
                <w:w w:val="98"/>
              </w:rPr>
              <w:t>At September 30, 2004</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gridSpan w:val="4"/>
          </w:tcPr>
          <w:p>
            <w:pPr>
              <w:ind w:left="640"/>
              <w:spacing w:after="0"/>
              <w:rPr>
                <w:sz w:val="20"/>
                <w:szCs w:val="20"/>
                <w:color w:val="auto"/>
              </w:rPr>
            </w:pPr>
            <w:r>
              <w:rPr>
                <w:rFonts w:ascii="Arial" w:cs="Arial" w:eastAsia="Arial" w:hAnsi="Arial"/>
                <w:sz w:val="13"/>
                <w:szCs w:val="13"/>
                <w:b w:val="1"/>
                <w:bCs w:val="1"/>
                <w:color w:val="auto"/>
                <w:w w:val="99"/>
              </w:rPr>
              <w:t>At September 30, 2003</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400" w:type="dxa"/>
            <w:vAlign w:val="bottom"/>
            <w:gridSpan w:val="2"/>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5780" w:type="dxa"/>
            <w:vAlign w:val="bottom"/>
            <w:gridSpan w:val="8"/>
          </w:tcPr>
          <w:p>
            <w:pPr>
              <w:spacing w:after="0"/>
              <w:rPr>
                <w:sz w:val="20"/>
                <w:szCs w:val="20"/>
                <w:color w:val="auto"/>
              </w:rPr>
            </w:pPr>
            <w:r>
              <w:rPr>
                <w:rFonts w:ascii="Arial" w:cs="Arial" w:eastAsia="Arial" w:hAnsi="Arial"/>
                <w:sz w:val="13"/>
                <w:szCs w:val="13"/>
                <w:b w:val="1"/>
                <w:bCs w:val="1"/>
                <w:color w:val="auto"/>
              </w:rPr>
              <w:t>Type</w:t>
            </w:r>
          </w:p>
        </w:tc>
        <w:tc>
          <w:tcPr>
            <w:tcW w:w="780" w:type="dxa"/>
            <w:vAlign w:val="bottom"/>
          </w:tcPr>
          <w:p>
            <w:pPr>
              <w:jc w:val="right"/>
              <w:ind w:right="200"/>
              <w:spacing w:after="0"/>
              <w:rPr>
                <w:sz w:val="20"/>
                <w:szCs w:val="20"/>
                <w:color w:val="auto"/>
              </w:rPr>
            </w:pPr>
            <w:r>
              <w:rPr>
                <w:rFonts w:ascii="Arial" w:cs="Arial" w:eastAsia="Arial" w:hAnsi="Arial"/>
                <w:sz w:val="13"/>
                <w:szCs w:val="13"/>
                <w:b w:val="1"/>
                <w:bCs w:val="1"/>
                <w:color w:val="auto"/>
              </w:rPr>
              <w:t>Size</w:t>
            </w:r>
          </w:p>
        </w:tc>
        <w:tc>
          <w:tcPr>
            <w:tcW w:w="240" w:type="dxa"/>
            <w:vAlign w:val="bottom"/>
          </w:tcPr>
          <w:p>
            <w:pPr>
              <w:spacing w:after="0"/>
              <w:rPr>
                <w:sz w:val="22"/>
                <w:szCs w:val="22"/>
                <w:color w:val="auto"/>
              </w:rPr>
            </w:pPr>
          </w:p>
        </w:tc>
        <w:tc>
          <w:tcPr>
            <w:tcW w:w="1000" w:type="dxa"/>
            <w:vAlign w:val="bottom"/>
            <w:gridSpan w:val="2"/>
          </w:tcPr>
          <w:p>
            <w:pPr>
              <w:ind w:left="180"/>
              <w:spacing w:after="0"/>
              <w:rPr>
                <w:sz w:val="20"/>
                <w:szCs w:val="20"/>
                <w:color w:val="auto"/>
              </w:rPr>
            </w:pPr>
            <w:r>
              <w:rPr>
                <w:rFonts w:ascii="Arial" w:cs="Arial" w:eastAsia="Arial" w:hAnsi="Arial"/>
                <w:sz w:val="13"/>
                <w:szCs w:val="13"/>
                <w:b w:val="1"/>
                <w:bCs w:val="1"/>
                <w:color w:val="auto"/>
              </w:rPr>
              <w:t>Leased</w:t>
            </w:r>
          </w:p>
        </w:tc>
        <w:tc>
          <w:tcPr>
            <w:tcW w:w="9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2"/>
              </w:rPr>
              <w:t>Leased%</w:t>
            </w:r>
          </w:p>
        </w:tc>
        <w:tc>
          <w:tcPr>
            <w:tcW w:w="1020" w:type="dxa"/>
            <w:vAlign w:val="bottom"/>
            <w:gridSpan w:val="2"/>
          </w:tcPr>
          <w:p>
            <w:pPr>
              <w:ind w:left="280"/>
              <w:spacing w:after="0"/>
              <w:rPr>
                <w:sz w:val="20"/>
                <w:szCs w:val="20"/>
                <w:color w:val="auto"/>
              </w:rPr>
            </w:pPr>
            <w:r>
              <w:rPr>
                <w:rFonts w:ascii="Arial" w:cs="Arial" w:eastAsia="Arial" w:hAnsi="Arial"/>
                <w:sz w:val="13"/>
                <w:szCs w:val="13"/>
                <w:b w:val="1"/>
                <w:bCs w:val="1"/>
                <w:color w:val="auto"/>
              </w:rPr>
              <w:t>Size</w:t>
            </w:r>
          </w:p>
        </w:tc>
        <w:tc>
          <w:tcPr>
            <w:tcW w:w="1020" w:type="dxa"/>
            <w:vAlign w:val="bottom"/>
            <w:gridSpan w:val="2"/>
          </w:tcPr>
          <w:p>
            <w:pPr>
              <w:ind w:left="200"/>
              <w:spacing w:after="0"/>
              <w:rPr>
                <w:sz w:val="20"/>
                <w:szCs w:val="20"/>
                <w:color w:val="auto"/>
              </w:rPr>
            </w:pPr>
            <w:r>
              <w:rPr>
                <w:rFonts w:ascii="Arial" w:cs="Arial" w:eastAsia="Arial" w:hAnsi="Arial"/>
                <w:sz w:val="13"/>
                <w:szCs w:val="13"/>
                <w:b w:val="1"/>
                <w:bCs w:val="1"/>
                <w:color w:val="auto"/>
              </w:rPr>
              <w:t>Leased</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2"/>
              </w:rPr>
              <w:t>Leased%</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5760" w:type="dxa"/>
            <w:vAlign w:val="bottom"/>
            <w:gridSpan w:val="7"/>
            <w:shd w:val="clear" w:color="auto" w:fill="CCEEFF"/>
          </w:tcPr>
          <w:p>
            <w:pPr>
              <w:spacing w:after="0" w:line="174" w:lineRule="exact"/>
              <w:rPr>
                <w:sz w:val="20"/>
                <w:szCs w:val="20"/>
                <w:color w:val="auto"/>
              </w:rPr>
            </w:pPr>
            <w:r>
              <w:rPr>
                <w:rFonts w:ascii="Arial" w:cs="Arial" w:eastAsia="Arial" w:hAnsi="Arial"/>
                <w:sz w:val="17"/>
                <w:szCs w:val="17"/>
                <w:color w:val="auto"/>
              </w:rPr>
              <w:t>Retail Properties (2)(4):</w:t>
            </w:r>
          </w:p>
        </w:tc>
        <w:tc>
          <w:tcPr>
            <w:tcW w:w="780" w:type="dxa"/>
            <w:vAlign w:val="bottom"/>
            <w:shd w:val="clear" w:color="auto" w:fill="CCEEFF"/>
          </w:tcPr>
          <w:p>
            <w:pPr>
              <w:jc w:val="right"/>
              <w:spacing w:after="0" w:line="174" w:lineRule="exact"/>
              <w:rPr>
                <w:sz w:val="20"/>
                <w:szCs w:val="20"/>
                <w:color w:val="auto"/>
              </w:rPr>
            </w:pPr>
            <w:r>
              <w:rPr>
                <w:rFonts w:ascii="Arial" w:cs="Arial" w:eastAsia="Arial" w:hAnsi="Arial"/>
                <w:sz w:val="17"/>
                <w:szCs w:val="17"/>
                <w:color w:val="auto"/>
                <w:w w:val="89"/>
              </w:rPr>
              <w:t>12,277,000</w:t>
            </w:r>
          </w:p>
        </w:tc>
        <w:tc>
          <w:tcPr>
            <w:tcW w:w="1020" w:type="dxa"/>
            <w:vAlign w:val="bottom"/>
            <w:gridSpan w:val="2"/>
            <w:shd w:val="clear" w:color="auto" w:fill="CCEEFF"/>
          </w:tcPr>
          <w:p>
            <w:pPr>
              <w:jc w:val="right"/>
              <w:spacing w:after="0" w:line="174" w:lineRule="exact"/>
              <w:rPr>
                <w:sz w:val="20"/>
                <w:szCs w:val="20"/>
                <w:color w:val="auto"/>
              </w:rPr>
            </w:pPr>
            <w:r>
              <w:rPr>
                <w:rFonts w:ascii="Arial" w:cs="Arial" w:eastAsia="Arial" w:hAnsi="Arial"/>
                <w:sz w:val="17"/>
                <w:szCs w:val="17"/>
                <w:color w:val="auto"/>
              </w:rPr>
              <w:t>11,852,000</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line="174" w:lineRule="exact"/>
              <w:rPr>
                <w:sz w:val="20"/>
                <w:szCs w:val="20"/>
                <w:color w:val="auto"/>
              </w:rPr>
            </w:pPr>
            <w:r>
              <w:rPr>
                <w:rFonts w:ascii="Arial" w:cs="Arial" w:eastAsia="Arial" w:hAnsi="Arial"/>
                <w:sz w:val="17"/>
                <w:szCs w:val="17"/>
                <w:color w:val="auto"/>
              </w:rPr>
              <w:t>96.5%</w:t>
            </w:r>
          </w:p>
        </w:tc>
        <w:tc>
          <w:tcPr>
            <w:tcW w:w="1020" w:type="dxa"/>
            <w:vAlign w:val="bottom"/>
            <w:gridSpan w:val="2"/>
            <w:shd w:val="clear" w:color="auto" w:fill="CCEEFF"/>
          </w:tcPr>
          <w:p>
            <w:pPr>
              <w:jc w:val="right"/>
              <w:ind w:right="220"/>
              <w:spacing w:after="0" w:line="174" w:lineRule="exact"/>
              <w:rPr>
                <w:sz w:val="20"/>
                <w:szCs w:val="20"/>
                <w:color w:val="auto"/>
              </w:rPr>
            </w:pPr>
            <w:r>
              <w:rPr>
                <w:rFonts w:ascii="Arial" w:cs="Arial" w:eastAsia="Arial" w:hAnsi="Arial"/>
                <w:sz w:val="17"/>
                <w:szCs w:val="17"/>
                <w:color w:val="auto"/>
                <w:w w:val="91"/>
              </w:rPr>
              <w:t>12,262,000</w:t>
            </w:r>
          </w:p>
        </w:tc>
        <w:tc>
          <w:tcPr>
            <w:tcW w:w="800" w:type="dxa"/>
            <w:vAlign w:val="bottom"/>
            <w:shd w:val="clear" w:color="auto" w:fill="CCEEFF"/>
          </w:tcPr>
          <w:p>
            <w:pPr>
              <w:jc w:val="right"/>
              <w:spacing w:after="0" w:line="174" w:lineRule="exact"/>
              <w:rPr>
                <w:sz w:val="20"/>
                <w:szCs w:val="20"/>
                <w:color w:val="auto"/>
              </w:rPr>
            </w:pPr>
            <w:r>
              <w:rPr>
                <w:rFonts w:ascii="Arial" w:cs="Arial" w:eastAsia="Arial" w:hAnsi="Arial"/>
                <w:sz w:val="17"/>
                <w:szCs w:val="17"/>
                <w:color w:val="auto"/>
                <w:w w:val="91"/>
              </w:rPr>
              <w:t>11,851,000</w:t>
            </w:r>
          </w:p>
        </w:tc>
        <w:tc>
          <w:tcPr>
            <w:tcW w:w="2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line="174" w:lineRule="exact"/>
              <w:rPr>
                <w:sz w:val="20"/>
                <w:szCs w:val="20"/>
                <w:color w:val="auto"/>
              </w:rPr>
            </w:pPr>
            <w:r>
              <w:rPr>
                <w:rFonts w:ascii="Arial" w:cs="Arial" w:eastAsia="Arial" w:hAnsi="Arial"/>
                <w:sz w:val="17"/>
                <w:szCs w:val="17"/>
                <w:color w:val="auto"/>
              </w:rPr>
              <w:t>96.7%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5760" w:type="dxa"/>
            <w:vAlign w:val="bottom"/>
            <w:gridSpan w:val="7"/>
          </w:tcPr>
          <w:p>
            <w:pPr>
              <w:spacing w:after="0" w:line="174" w:lineRule="exact"/>
              <w:rPr>
                <w:sz w:val="20"/>
                <w:szCs w:val="20"/>
                <w:color w:val="auto"/>
              </w:rPr>
            </w:pPr>
            <w:r>
              <w:rPr>
                <w:rFonts w:ascii="Arial" w:cs="Arial" w:eastAsia="Arial" w:hAnsi="Arial"/>
                <w:sz w:val="17"/>
                <w:szCs w:val="17"/>
                <w:color w:val="auto"/>
              </w:rPr>
              <w:t>Residential Properties (3):</w:t>
            </w:r>
          </w:p>
        </w:tc>
        <w:tc>
          <w:tcPr>
            <w:tcW w:w="780" w:type="dxa"/>
            <w:vAlign w:val="bottom"/>
          </w:tcPr>
          <w:p>
            <w:pPr>
              <w:jc w:val="right"/>
              <w:spacing w:after="0" w:line="174" w:lineRule="exact"/>
              <w:rPr>
                <w:sz w:val="20"/>
                <w:szCs w:val="20"/>
                <w:color w:val="auto"/>
              </w:rPr>
            </w:pPr>
            <w:r>
              <w:rPr>
                <w:rFonts w:ascii="Arial" w:cs="Arial" w:eastAsia="Arial" w:hAnsi="Arial"/>
                <w:sz w:val="17"/>
                <w:szCs w:val="17"/>
                <w:color w:val="auto"/>
              </w:rPr>
              <w:t>683</w:t>
            </w:r>
          </w:p>
        </w:tc>
        <w:tc>
          <w:tcPr>
            <w:tcW w:w="1020" w:type="dxa"/>
            <w:vAlign w:val="bottom"/>
            <w:gridSpan w:val="2"/>
          </w:tcPr>
          <w:p>
            <w:pPr>
              <w:jc w:val="right"/>
              <w:spacing w:after="0" w:line="174" w:lineRule="exact"/>
              <w:rPr>
                <w:sz w:val="20"/>
                <w:szCs w:val="20"/>
                <w:color w:val="auto"/>
              </w:rPr>
            </w:pPr>
            <w:r>
              <w:rPr>
                <w:rFonts w:ascii="Arial" w:cs="Arial" w:eastAsia="Arial" w:hAnsi="Arial"/>
                <w:sz w:val="17"/>
                <w:szCs w:val="17"/>
                <w:color w:val="auto"/>
              </w:rPr>
              <w:t>636</w:t>
            </w:r>
          </w:p>
        </w:tc>
        <w:tc>
          <w:tcPr>
            <w:tcW w:w="220" w:type="dxa"/>
            <w:vAlign w:val="bottom"/>
          </w:tcPr>
          <w:p>
            <w:pPr>
              <w:spacing w:after="0"/>
              <w:rPr>
                <w:sz w:val="15"/>
                <w:szCs w:val="15"/>
                <w:color w:val="auto"/>
              </w:rPr>
            </w:pPr>
          </w:p>
        </w:tc>
        <w:tc>
          <w:tcPr>
            <w:tcW w:w="900" w:type="dxa"/>
            <w:vAlign w:val="bottom"/>
            <w:gridSpan w:val="2"/>
          </w:tcPr>
          <w:p>
            <w:pPr>
              <w:jc w:val="right"/>
              <w:ind w:right="220"/>
              <w:spacing w:after="0" w:line="174" w:lineRule="exact"/>
              <w:rPr>
                <w:sz w:val="20"/>
                <w:szCs w:val="20"/>
                <w:color w:val="auto"/>
              </w:rPr>
            </w:pPr>
            <w:r>
              <w:rPr>
                <w:rFonts w:ascii="Arial" w:cs="Arial" w:eastAsia="Arial" w:hAnsi="Arial"/>
                <w:sz w:val="17"/>
                <w:szCs w:val="17"/>
                <w:color w:val="auto"/>
              </w:rPr>
              <w:t>93.1%</w:t>
            </w:r>
          </w:p>
        </w:tc>
        <w:tc>
          <w:tcPr>
            <w:tcW w:w="1020" w:type="dxa"/>
            <w:vAlign w:val="bottom"/>
            <w:gridSpan w:val="2"/>
          </w:tcPr>
          <w:p>
            <w:pPr>
              <w:jc w:val="right"/>
              <w:ind w:right="220"/>
              <w:spacing w:after="0" w:line="174" w:lineRule="exact"/>
              <w:rPr>
                <w:sz w:val="20"/>
                <w:szCs w:val="20"/>
                <w:color w:val="auto"/>
              </w:rPr>
            </w:pPr>
            <w:r>
              <w:rPr>
                <w:rFonts w:ascii="Arial" w:cs="Arial" w:eastAsia="Arial" w:hAnsi="Arial"/>
                <w:sz w:val="17"/>
                <w:szCs w:val="17"/>
                <w:color w:val="auto"/>
              </w:rPr>
              <w:t>683</w:t>
            </w:r>
          </w:p>
        </w:tc>
        <w:tc>
          <w:tcPr>
            <w:tcW w:w="800" w:type="dxa"/>
            <w:vAlign w:val="bottom"/>
          </w:tcPr>
          <w:p>
            <w:pPr>
              <w:jc w:val="right"/>
              <w:spacing w:after="0" w:line="174" w:lineRule="exact"/>
              <w:rPr>
                <w:sz w:val="20"/>
                <w:szCs w:val="20"/>
                <w:color w:val="auto"/>
              </w:rPr>
            </w:pPr>
            <w:r>
              <w:rPr>
                <w:rFonts w:ascii="Arial" w:cs="Arial" w:eastAsia="Arial" w:hAnsi="Arial"/>
                <w:sz w:val="17"/>
                <w:szCs w:val="17"/>
                <w:color w:val="auto"/>
              </w:rPr>
              <w:t>623</w:t>
            </w:r>
          </w:p>
        </w:tc>
        <w:tc>
          <w:tcPr>
            <w:tcW w:w="220" w:type="dxa"/>
            <w:vAlign w:val="bottom"/>
          </w:tcPr>
          <w:p>
            <w:pPr>
              <w:spacing w:after="0"/>
              <w:rPr>
                <w:sz w:val="15"/>
                <w:szCs w:val="15"/>
                <w:color w:val="auto"/>
              </w:rPr>
            </w:pPr>
          </w:p>
        </w:tc>
        <w:tc>
          <w:tcPr>
            <w:tcW w:w="680" w:type="dxa"/>
            <w:vAlign w:val="bottom"/>
            <w:gridSpan w:val="2"/>
          </w:tcPr>
          <w:p>
            <w:pPr>
              <w:jc w:val="right"/>
              <w:spacing w:after="0" w:line="174" w:lineRule="exact"/>
              <w:rPr>
                <w:sz w:val="20"/>
                <w:szCs w:val="20"/>
                <w:color w:val="auto"/>
              </w:rPr>
            </w:pPr>
            <w:r>
              <w:rPr>
                <w:rFonts w:ascii="Arial" w:cs="Arial" w:eastAsia="Arial" w:hAnsi="Arial"/>
                <w:sz w:val="17"/>
                <w:szCs w:val="17"/>
                <w:color w:val="auto"/>
              </w:rPr>
              <w:t>91.2%</w:t>
            </w:r>
          </w:p>
        </w:tc>
        <w:tc>
          <w:tcPr>
            <w:tcW w:w="0" w:type="dxa"/>
            <w:vAlign w:val="bottom"/>
          </w:tcPr>
          <w:p>
            <w:pPr>
              <w:spacing w:after="0"/>
              <w:rPr>
                <w:sz w:val="1"/>
                <w:szCs w:val="1"/>
                <w:color w:val="auto"/>
              </w:rPr>
            </w:pPr>
          </w:p>
        </w:tc>
      </w:tr>
      <w:tr>
        <w:trPr>
          <w:trHeight w:val="127"/>
        </w:trPr>
        <w:tc>
          <w:tcPr>
            <w:tcW w:w="20" w:type="dxa"/>
            <w:vAlign w:val="bottom"/>
            <w:tcBorders>
              <w:top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r>
        <w:rPr>
          <w:rFonts w:ascii="Arial" w:cs="Arial" w:eastAsia="Arial" w:hAnsi="Arial"/>
          <w:sz w:val="17"/>
          <w:szCs w:val="17"/>
          <w:color w:val="auto"/>
        </w:rPr>
        <w:t>:</w:t>
      </w:r>
    </w:p>
    <w:p>
      <w:pPr>
        <w:spacing w:after="0" w:line="26" w:lineRule="exact"/>
        <w:rPr>
          <w:sz w:val="20"/>
          <w:szCs w:val="20"/>
          <w:color w:val="auto"/>
        </w:rPr>
      </w:pPr>
    </w:p>
    <w:p>
      <w:pPr>
        <w:ind w:left="460" w:hanging="453"/>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Leasable square feet; excludes redevelopment square footage not yet placed in service.</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Includes Rollingwood, Santana Row residential and The Crest at Congressional Apartments.</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Excludes properties purchased, sold or under redevelopment.</w:t>
      </w:r>
    </w:p>
    <w:p>
      <w:pPr>
        <w:sectPr>
          <w:pgSz w:w="11900" w:h="16838" w:orient="portrait"/>
          <w:cols w:equalWidth="0" w:num="1">
            <w:col w:w="11420"/>
          </w:cols>
          <w:pgMar w:left="240" w:top="456"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Top 25 Tenants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0"/>
              </w:rPr>
              <w:t>Percentage of</w:t>
            </w: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5"/>
              </w:rPr>
              <w:t>Number of</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720"/>
              <w:spacing w:after="0" w:line="148" w:lineRule="exact"/>
              <w:rPr>
                <w:sz w:val="20"/>
                <w:szCs w:val="20"/>
                <w:color w:val="auto"/>
              </w:rPr>
            </w:pPr>
            <w:r>
              <w:rPr>
                <w:rFonts w:ascii="Arial" w:cs="Arial" w:eastAsia="Arial" w:hAnsi="Arial"/>
                <w:sz w:val="13"/>
                <w:szCs w:val="13"/>
                <w:b w:val="1"/>
                <w:bCs w:val="1"/>
                <w:color w:val="auto"/>
              </w:rPr>
              <w:t>Annualized</w:t>
            </w:r>
          </w:p>
        </w:tc>
        <w:tc>
          <w:tcPr>
            <w:tcW w:w="1460" w:type="dxa"/>
            <w:vAlign w:val="bottom"/>
            <w:gridSpan w:val="2"/>
          </w:tcPr>
          <w:p>
            <w:pPr>
              <w:jc w:val="center"/>
              <w:ind w:right="480"/>
              <w:spacing w:after="0" w:line="148" w:lineRule="exact"/>
              <w:rPr>
                <w:sz w:val="20"/>
                <w:szCs w:val="20"/>
                <w:color w:val="auto"/>
              </w:rPr>
            </w:pPr>
            <w:r>
              <w:rPr>
                <w:rFonts w:ascii="Arial" w:cs="Arial" w:eastAsia="Arial" w:hAnsi="Arial"/>
                <w:sz w:val="13"/>
                <w:szCs w:val="13"/>
                <w:b w:val="1"/>
                <w:bCs w:val="1"/>
                <w:color w:val="auto"/>
                <w:w w:val="94"/>
              </w:rPr>
              <w:t>Total Annualized</w:t>
            </w: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gridSpan w:val="3"/>
          </w:tcPr>
          <w:p>
            <w:pPr>
              <w:jc w:val="center"/>
              <w:ind w:right="500"/>
              <w:spacing w:after="0" w:line="148" w:lineRule="exact"/>
              <w:rPr>
                <w:sz w:val="20"/>
                <w:szCs w:val="20"/>
                <w:color w:val="auto"/>
              </w:rPr>
            </w:pPr>
            <w:r>
              <w:rPr>
                <w:rFonts w:ascii="Arial" w:cs="Arial" w:eastAsia="Arial" w:hAnsi="Arial"/>
                <w:sz w:val="13"/>
                <w:szCs w:val="13"/>
                <w:b w:val="1"/>
                <w:bCs w:val="1"/>
                <w:color w:val="auto"/>
                <w:w w:val="90"/>
              </w:rPr>
              <w:t>Percentage of</w:t>
            </w:r>
          </w:p>
        </w:tc>
        <w:tc>
          <w:tcPr>
            <w:tcW w:w="640" w:type="dxa"/>
            <w:vAlign w:val="bottom"/>
            <w:gridSpan w:val="2"/>
          </w:tcPr>
          <w:p>
            <w:pPr>
              <w:jc w:val="center"/>
              <w:ind w:right="40"/>
              <w:spacing w:after="0" w:line="148" w:lineRule="exact"/>
              <w:rPr>
                <w:sz w:val="20"/>
                <w:szCs w:val="20"/>
                <w:color w:val="auto"/>
              </w:rPr>
            </w:pPr>
            <w:r>
              <w:rPr>
                <w:rFonts w:ascii="Arial" w:cs="Arial" w:eastAsia="Arial" w:hAnsi="Arial"/>
                <w:sz w:val="13"/>
                <w:szCs w:val="13"/>
                <w:b w:val="1"/>
                <w:bCs w:val="1"/>
                <w:color w:val="auto"/>
                <w:w w:val="88"/>
              </w:rPr>
              <w:t>Stores</w:t>
            </w:r>
          </w:p>
        </w:tc>
        <w:tc>
          <w:tcPr>
            <w:tcW w:w="0" w:type="dxa"/>
            <w:vAlign w:val="bottom"/>
          </w:tcPr>
          <w:p>
            <w:pPr>
              <w:spacing w:after="0"/>
              <w:rPr>
                <w:sz w:val="1"/>
                <w:szCs w:val="1"/>
                <w:color w:val="auto"/>
              </w:rPr>
            </w:pPr>
          </w:p>
        </w:tc>
      </w:tr>
      <w:tr>
        <w:trPr>
          <w:trHeight w:val="173"/>
        </w:trPr>
        <w:tc>
          <w:tcPr>
            <w:tcW w:w="400" w:type="dxa"/>
            <w:vAlign w:val="bottom"/>
            <w:gridSpan w:val="2"/>
          </w:tcPr>
          <w:p>
            <w:pPr>
              <w:spacing w:after="0"/>
              <w:rPr>
                <w:sz w:val="20"/>
                <w:szCs w:val="20"/>
                <w:color w:val="auto"/>
              </w:rPr>
            </w:pPr>
            <w:r>
              <w:rPr>
                <w:rFonts w:ascii="Arial" w:cs="Arial" w:eastAsia="Arial" w:hAnsi="Arial"/>
                <w:sz w:val="13"/>
                <w:szCs w:val="13"/>
                <w:b w:val="1"/>
                <w:bCs w:val="1"/>
                <w:color w:val="auto"/>
              </w:rPr>
              <w:t>Rank</w:t>
            </w:r>
          </w:p>
        </w:tc>
        <w:tc>
          <w:tcPr>
            <w:tcW w:w="4760" w:type="dxa"/>
            <w:vAlign w:val="bottom"/>
            <w:gridSpan w:val="3"/>
          </w:tcPr>
          <w:p>
            <w:pPr>
              <w:ind w:left="320"/>
              <w:spacing w:after="0"/>
              <w:rPr>
                <w:sz w:val="20"/>
                <w:szCs w:val="20"/>
                <w:color w:val="auto"/>
              </w:rPr>
            </w:pPr>
            <w:r>
              <w:rPr>
                <w:rFonts w:ascii="Arial" w:cs="Arial" w:eastAsia="Arial" w:hAnsi="Arial"/>
                <w:sz w:val="13"/>
                <w:szCs w:val="13"/>
                <w:b w:val="1"/>
                <w:bCs w:val="1"/>
                <w:color w:val="auto"/>
              </w:rPr>
              <w:t>Tenant Name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3"/>
                <w:szCs w:val="13"/>
                <w:b w:val="1"/>
                <w:bCs w:val="1"/>
                <w:color w:val="auto"/>
              </w:rPr>
              <w:t>Base Rent</w:t>
            </w:r>
          </w:p>
        </w:tc>
        <w:tc>
          <w:tcPr>
            <w:tcW w:w="146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1"/>
              </w:rPr>
              <w:t>Base Rent</w:t>
            </w:r>
          </w:p>
        </w:tc>
        <w:tc>
          <w:tcPr>
            <w:tcW w:w="136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Tenant GLA</w:t>
            </w:r>
          </w:p>
        </w:tc>
        <w:tc>
          <w:tcPr>
            <w:tcW w:w="128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99"/>
              </w:rPr>
              <w:t>Total GLA</w:t>
            </w:r>
          </w:p>
        </w:tc>
        <w:tc>
          <w:tcPr>
            <w:tcW w:w="6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9"/>
              </w:rPr>
              <w:t>Leased</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1</w:t>
            </w:r>
          </w:p>
        </w:tc>
        <w:tc>
          <w:tcPr>
            <w:tcW w:w="47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Safeway, Inc.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6,510,000</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2.30%</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472,000</w:t>
            </w: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2.81%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2</w:t>
            </w:r>
          </w:p>
        </w:tc>
        <w:tc>
          <w:tcPr>
            <w:tcW w:w="4760" w:type="dxa"/>
            <w:vAlign w:val="bottom"/>
            <w:gridSpan w:val="3"/>
          </w:tcPr>
          <w:p>
            <w:pPr>
              <w:ind w:left="320"/>
              <w:spacing w:after="0"/>
              <w:rPr>
                <w:sz w:val="20"/>
                <w:szCs w:val="20"/>
                <w:color w:val="auto"/>
              </w:rPr>
            </w:pPr>
            <w:r>
              <w:rPr>
                <w:rFonts w:ascii="Arial" w:cs="Arial" w:eastAsia="Arial" w:hAnsi="Arial"/>
                <w:sz w:val="17"/>
                <w:szCs w:val="17"/>
                <w:color w:val="auto"/>
              </w:rPr>
              <w:t>Gap, Inc.</w:t>
            </w: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6,290,000</w:t>
            </w:r>
          </w:p>
        </w:tc>
        <w:tc>
          <w:tcPr>
            <w:tcW w:w="5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2.22%</w:t>
            </w:r>
          </w:p>
        </w:tc>
        <w:tc>
          <w:tcPr>
            <w:tcW w:w="800" w:type="dxa"/>
            <w:vAlign w:val="bottom"/>
          </w:tcPr>
          <w:p>
            <w:pPr>
              <w:jc w:val="right"/>
              <w:spacing w:after="0"/>
              <w:rPr>
                <w:sz w:val="20"/>
                <w:szCs w:val="20"/>
                <w:color w:val="auto"/>
              </w:rPr>
            </w:pPr>
            <w:r>
              <w:rPr>
                <w:rFonts w:ascii="Arial" w:cs="Arial" w:eastAsia="Arial" w:hAnsi="Arial"/>
                <w:sz w:val="17"/>
                <w:szCs w:val="17"/>
                <w:color w:val="auto"/>
              </w:rPr>
              <w:t>232,000</w:t>
            </w:r>
          </w:p>
        </w:tc>
        <w:tc>
          <w:tcPr>
            <w:tcW w:w="5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1.38%</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3</w:t>
            </w:r>
          </w:p>
        </w:tc>
        <w:tc>
          <w:tcPr>
            <w:tcW w:w="47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Ahold USA, Inc.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6,130,000</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2.16%</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502,000</w:t>
            </w: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2.99%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4</w:t>
            </w:r>
          </w:p>
        </w:tc>
        <w:tc>
          <w:tcPr>
            <w:tcW w:w="4760" w:type="dxa"/>
            <w:vAlign w:val="bottom"/>
            <w:gridSpan w:val="3"/>
          </w:tcPr>
          <w:p>
            <w:pPr>
              <w:ind w:left="320"/>
              <w:spacing w:after="0"/>
              <w:rPr>
                <w:sz w:val="20"/>
                <w:szCs w:val="20"/>
                <w:color w:val="auto"/>
              </w:rPr>
            </w:pPr>
            <w:r>
              <w:rPr>
                <w:rFonts w:ascii="Arial" w:cs="Arial" w:eastAsia="Arial" w:hAnsi="Arial"/>
                <w:sz w:val="17"/>
                <w:szCs w:val="17"/>
                <w:color w:val="auto"/>
              </w:rPr>
              <w:t>Bed, Bath &amp; Beyond, Inc.</w:t>
            </w: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5,620,000</w:t>
            </w:r>
          </w:p>
        </w:tc>
        <w:tc>
          <w:tcPr>
            <w:tcW w:w="5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1.98%</w:t>
            </w:r>
          </w:p>
        </w:tc>
        <w:tc>
          <w:tcPr>
            <w:tcW w:w="800" w:type="dxa"/>
            <w:vAlign w:val="bottom"/>
          </w:tcPr>
          <w:p>
            <w:pPr>
              <w:jc w:val="right"/>
              <w:spacing w:after="0"/>
              <w:rPr>
                <w:sz w:val="20"/>
                <w:szCs w:val="20"/>
                <w:color w:val="auto"/>
              </w:rPr>
            </w:pPr>
            <w:r>
              <w:rPr>
                <w:rFonts w:ascii="Arial" w:cs="Arial" w:eastAsia="Arial" w:hAnsi="Arial"/>
                <w:sz w:val="17"/>
                <w:szCs w:val="17"/>
                <w:color w:val="auto"/>
              </w:rPr>
              <w:t>396,000</w:t>
            </w:r>
          </w:p>
        </w:tc>
        <w:tc>
          <w:tcPr>
            <w:tcW w:w="5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2.36%</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5</w:t>
            </w:r>
          </w:p>
        </w:tc>
        <w:tc>
          <w:tcPr>
            <w:tcW w:w="47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Barnes &amp; Noble, Inc.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4,240,000</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1.50%</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194,000</w:t>
            </w: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1.16%</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6</w:t>
            </w:r>
          </w:p>
        </w:tc>
        <w:tc>
          <w:tcPr>
            <w:tcW w:w="4760" w:type="dxa"/>
            <w:vAlign w:val="bottom"/>
            <w:gridSpan w:val="3"/>
          </w:tcPr>
          <w:p>
            <w:pPr>
              <w:ind w:left="320"/>
              <w:spacing w:after="0"/>
              <w:rPr>
                <w:sz w:val="20"/>
                <w:szCs w:val="20"/>
                <w:color w:val="auto"/>
              </w:rPr>
            </w:pPr>
            <w:r>
              <w:rPr>
                <w:rFonts w:ascii="Arial" w:cs="Arial" w:eastAsia="Arial" w:hAnsi="Arial"/>
                <w:sz w:val="17"/>
                <w:szCs w:val="17"/>
                <w:color w:val="auto"/>
              </w:rPr>
              <w:t>TJX Companies</w:t>
            </w: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3,960,000</w:t>
            </w:r>
          </w:p>
        </w:tc>
        <w:tc>
          <w:tcPr>
            <w:tcW w:w="5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1.40%</w:t>
            </w:r>
          </w:p>
        </w:tc>
        <w:tc>
          <w:tcPr>
            <w:tcW w:w="800" w:type="dxa"/>
            <w:vAlign w:val="bottom"/>
          </w:tcPr>
          <w:p>
            <w:pPr>
              <w:jc w:val="right"/>
              <w:spacing w:after="0"/>
              <w:rPr>
                <w:sz w:val="20"/>
                <w:szCs w:val="20"/>
                <w:color w:val="auto"/>
              </w:rPr>
            </w:pPr>
            <w:r>
              <w:rPr>
                <w:rFonts w:ascii="Arial" w:cs="Arial" w:eastAsia="Arial" w:hAnsi="Arial"/>
                <w:sz w:val="17"/>
                <w:szCs w:val="17"/>
                <w:color w:val="auto"/>
              </w:rPr>
              <w:t>454,000</w:t>
            </w:r>
          </w:p>
        </w:tc>
        <w:tc>
          <w:tcPr>
            <w:tcW w:w="5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2.70%</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7</w:t>
            </w:r>
          </w:p>
        </w:tc>
        <w:tc>
          <w:tcPr>
            <w:tcW w:w="47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Best Buy Stores, L.P.</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3,480,000</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1.23%</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101,000</w:t>
            </w: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0.60%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8</w:t>
            </w:r>
          </w:p>
        </w:tc>
        <w:tc>
          <w:tcPr>
            <w:tcW w:w="4760" w:type="dxa"/>
            <w:vAlign w:val="bottom"/>
            <w:gridSpan w:val="3"/>
          </w:tcPr>
          <w:p>
            <w:pPr>
              <w:ind w:left="320"/>
              <w:spacing w:after="0"/>
              <w:rPr>
                <w:sz w:val="20"/>
                <w:szCs w:val="20"/>
                <w:color w:val="auto"/>
              </w:rPr>
            </w:pPr>
            <w:r>
              <w:rPr>
                <w:rFonts w:ascii="Arial" w:cs="Arial" w:eastAsia="Arial" w:hAnsi="Arial"/>
                <w:sz w:val="17"/>
                <w:szCs w:val="17"/>
                <w:color w:val="auto"/>
              </w:rPr>
              <w:t>CVS Corporation</w:t>
            </w: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3,460,000</w:t>
            </w:r>
          </w:p>
        </w:tc>
        <w:tc>
          <w:tcPr>
            <w:tcW w:w="5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1.22%</w:t>
            </w:r>
          </w:p>
        </w:tc>
        <w:tc>
          <w:tcPr>
            <w:tcW w:w="800" w:type="dxa"/>
            <w:vAlign w:val="bottom"/>
          </w:tcPr>
          <w:p>
            <w:pPr>
              <w:jc w:val="right"/>
              <w:spacing w:after="0"/>
              <w:rPr>
                <w:sz w:val="20"/>
                <w:szCs w:val="20"/>
                <w:color w:val="auto"/>
              </w:rPr>
            </w:pPr>
            <w:r>
              <w:rPr>
                <w:rFonts w:ascii="Arial" w:cs="Arial" w:eastAsia="Arial" w:hAnsi="Arial"/>
                <w:sz w:val="17"/>
                <w:szCs w:val="17"/>
                <w:color w:val="auto"/>
              </w:rPr>
              <w:t>142,000</w:t>
            </w:r>
          </w:p>
        </w:tc>
        <w:tc>
          <w:tcPr>
            <w:tcW w:w="5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0.85%</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9</w:t>
            </w:r>
          </w:p>
        </w:tc>
        <w:tc>
          <w:tcPr>
            <w:tcW w:w="47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Wakefern Food Corporation</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3,080,000</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1.09%</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232,000</w:t>
            </w: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1.38%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10</w:t>
            </w:r>
          </w:p>
        </w:tc>
        <w:tc>
          <w:tcPr>
            <w:tcW w:w="4760" w:type="dxa"/>
            <w:vAlign w:val="bottom"/>
            <w:gridSpan w:val="3"/>
          </w:tcPr>
          <w:p>
            <w:pPr>
              <w:ind w:left="320"/>
              <w:spacing w:after="0"/>
              <w:rPr>
                <w:sz w:val="20"/>
                <w:szCs w:val="20"/>
                <w:color w:val="auto"/>
              </w:rPr>
            </w:pPr>
            <w:r>
              <w:rPr>
                <w:rFonts w:ascii="Arial" w:cs="Arial" w:eastAsia="Arial" w:hAnsi="Arial"/>
                <w:sz w:val="17"/>
                <w:szCs w:val="17"/>
                <w:color w:val="auto"/>
              </w:rPr>
              <w:t>Borders Group, Inc.</w:t>
            </w: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2,780,000</w:t>
            </w:r>
          </w:p>
        </w:tc>
        <w:tc>
          <w:tcPr>
            <w:tcW w:w="5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0.98%</w:t>
            </w:r>
          </w:p>
        </w:tc>
        <w:tc>
          <w:tcPr>
            <w:tcW w:w="800" w:type="dxa"/>
            <w:vAlign w:val="bottom"/>
          </w:tcPr>
          <w:p>
            <w:pPr>
              <w:jc w:val="right"/>
              <w:spacing w:after="0"/>
              <w:rPr>
                <w:sz w:val="20"/>
                <w:szCs w:val="20"/>
                <w:color w:val="auto"/>
              </w:rPr>
            </w:pPr>
            <w:r>
              <w:rPr>
                <w:rFonts w:ascii="Arial" w:cs="Arial" w:eastAsia="Arial" w:hAnsi="Arial"/>
                <w:sz w:val="17"/>
                <w:szCs w:val="17"/>
                <w:color w:val="auto"/>
              </w:rPr>
              <w:t>129,000</w:t>
            </w:r>
          </w:p>
        </w:tc>
        <w:tc>
          <w:tcPr>
            <w:tcW w:w="5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0.77%</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11</w:t>
            </w:r>
          </w:p>
        </w:tc>
        <w:tc>
          <w:tcPr>
            <w:tcW w:w="47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Michaels Stores, Inc.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2,480,000</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0.88%</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165,000</w:t>
            </w: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0.98%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12</w:t>
            </w:r>
          </w:p>
        </w:tc>
        <w:tc>
          <w:tcPr>
            <w:tcW w:w="4760" w:type="dxa"/>
            <w:vAlign w:val="bottom"/>
            <w:gridSpan w:val="3"/>
          </w:tcPr>
          <w:p>
            <w:pPr>
              <w:ind w:left="320"/>
              <w:spacing w:after="0"/>
              <w:rPr>
                <w:sz w:val="20"/>
                <w:szCs w:val="20"/>
                <w:color w:val="auto"/>
              </w:rPr>
            </w:pPr>
            <w:r>
              <w:rPr>
                <w:rFonts w:ascii="Arial" w:cs="Arial" w:eastAsia="Arial" w:hAnsi="Arial"/>
                <w:sz w:val="17"/>
                <w:szCs w:val="17"/>
                <w:color w:val="auto"/>
              </w:rPr>
              <w:t>OPNET Technologies, Inc.</w:t>
            </w: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2,480,000</w:t>
            </w:r>
          </w:p>
        </w:tc>
        <w:tc>
          <w:tcPr>
            <w:tcW w:w="5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0.88%</w:t>
            </w:r>
          </w:p>
        </w:tc>
        <w:tc>
          <w:tcPr>
            <w:tcW w:w="800" w:type="dxa"/>
            <w:vAlign w:val="bottom"/>
          </w:tcPr>
          <w:p>
            <w:pPr>
              <w:jc w:val="right"/>
              <w:spacing w:after="0"/>
              <w:rPr>
                <w:sz w:val="20"/>
                <w:szCs w:val="20"/>
                <w:color w:val="auto"/>
              </w:rPr>
            </w:pPr>
            <w:r>
              <w:rPr>
                <w:rFonts w:ascii="Arial" w:cs="Arial" w:eastAsia="Arial" w:hAnsi="Arial"/>
                <w:sz w:val="17"/>
                <w:szCs w:val="17"/>
                <w:color w:val="auto"/>
              </w:rPr>
              <w:t>60,000</w:t>
            </w:r>
          </w:p>
        </w:tc>
        <w:tc>
          <w:tcPr>
            <w:tcW w:w="5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0.36%</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13</w:t>
            </w:r>
          </w:p>
        </w:tc>
        <w:tc>
          <w:tcPr>
            <w:tcW w:w="47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MTS, Inc.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2,400,000</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0.85%</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91,000</w:t>
            </w: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0.54%</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14</w:t>
            </w:r>
          </w:p>
        </w:tc>
        <w:tc>
          <w:tcPr>
            <w:tcW w:w="4760" w:type="dxa"/>
            <w:vAlign w:val="bottom"/>
            <w:gridSpan w:val="3"/>
          </w:tcPr>
          <w:p>
            <w:pPr>
              <w:ind w:left="320"/>
              <w:spacing w:after="0"/>
              <w:rPr>
                <w:sz w:val="20"/>
                <w:szCs w:val="20"/>
                <w:color w:val="auto"/>
              </w:rPr>
            </w:pPr>
            <w:r>
              <w:rPr>
                <w:rFonts w:ascii="Arial" w:cs="Arial" w:eastAsia="Arial" w:hAnsi="Arial"/>
                <w:sz w:val="17"/>
                <w:szCs w:val="17"/>
                <w:color w:val="auto"/>
              </w:rPr>
              <w:t>Great Atlantic &amp; Pacific Tea Co</w:t>
            </w: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2,380,000</w:t>
            </w:r>
          </w:p>
        </w:tc>
        <w:tc>
          <w:tcPr>
            <w:tcW w:w="5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0.84%</w:t>
            </w:r>
          </w:p>
        </w:tc>
        <w:tc>
          <w:tcPr>
            <w:tcW w:w="800" w:type="dxa"/>
            <w:vAlign w:val="bottom"/>
          </w:tcPr>
          <w:p>
            <w:pPr>
              <w:jc w:val="right"/>
              <w:spacing w:after="0"/>
              <w:rPr>
                <w:sz w:val="20"/>
                <w:szCs w:val="20"/>
                <w:color w:val="auto"/>
              </w:rPr>
            </w:pPr>
            <w:r>
              <w:rPr>
                <w:rFonts w:ascii="Arial" w:cs="Arial" w:eastAsia="Arial" w:hAnsi="Arial"/>
                <w:sz w:val="17"/>
                <w:szCs w:val="17"/>
                <w:color w:val="auto"/>
              </w:rPr>
              <w:t>236,000</w:t>
            </w:r>
          </w:p>
        </w:tc>
        <w:tc>
          <w:tcPr>
            <w:tcW w:w="5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1.41%</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15</w:t>
            </w:r>
          </w:p>
        </w:tc>
        <w:tc>
          <w:tcPr>
            <w:tcW w:w="47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CompUSA, Inc.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2,370,000</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0.84%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134,000</w:t>
            </w: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0.80%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16</w:t>
            </w:r>
          </w:p>
        </w:tc>
        <w:tc>
          <w:tcPr>
            <w:tcW w:w="4760" w:type="dxa"/>
            <w:vAlign w:val="bottom"/>
            <w:gridSpan w:val="3"/>
          </w:tcPr>
          <w:p>
            <w:pPr>
              <w:ind w:left="320"/>
              <w:spacing w:after="0"/>
              <w:rPr>
                <w:sz w:val="20"/>
                <w:szCs w:val="20"/>
                <w:color w:val="auto"/>
              </w:rPr>
            </w:pPr>
            <w:r>
              <w:rPr>
                <w:rFonts w:ascii="Arial" w:cs="Arial" w:eastAsia="Arial" w:hAnsi="Arial"/>
                <w:sz w:val="17"/>
                <w:szCs w:val="17"/>
                <w:color w:val="auto"/>
              </w:rPr>
              <w:t>Retail Ventures, Inc.</w:t>
            </w: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2,370,000</w:t>
            </w:r>
          </w:p>
        </w:tc>
        <w:tc>
          <w:tcPr>
            <w:tcW w:w="5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0.84%</w:t>
            </w:r>
          </w:p>
        </w:tc>
        <w:tc>
          <w:tcPr>
            <w:tcW w:w="800" w:type="dxa"/>
            <w:vAlign w:val="bottom"/>
          </w:tcPr>
          <w:p>
            <w:pPr>
              <w:jc w:val="right"/>
              <w:spacing w:after="0"/>
              <w:rPr>
                <w:sz w:val="20"/>
                <w:szCs w:val="20"/>
                <w:color w:val="auto"/>
              </w:rPr>
            </w:pPr>
            <w:r>
              <w:rPr>
                <w:rFonts w:ascii="Arial" w:cs="Arial" w:eastAsia="Arial" w:hAnsi="Arial"/>
                <w:sz w:val="17"/>
                <w:szCs w:val="17"/>
                <w:color w:val="auto"/>
              </w:rPr>
              <w:t>117,000</w:t>
            </w:r>
          </w:p>
        </w:tc>
        <w:tc>
          <w:tcPr>
            <w:tcW w:w="5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0.70%</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17</w:t>
            </w:r>
          </w:p>
        </w:tc>
        <w:tc>
          <w:tcPr>
            <w:tcW w:w="47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Office Depot, Inc.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2,270,000</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0.80%</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149,000</w:t>
            </w: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0.89%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18</w:t>
            </w:r>
          </w:p>
        </w:tc>
        <w:tc>
          <w:tcPr>
            <w:tcW w:w="4760" w:type="dxa"/>
            <w:vAlign w:val="bottom"/>
            <w:gridSpan w:val="3"/>
          </w:tcPr>
          <w:p>
            <w:pPr>
              <w:ind w:left="320"/>
              <w:spacing w:after="0"/>
              <w:rPr>
                <w:sz w:val="20"/>
                <w:szCs w:val="20"/>
                <w:color w:val="auto"/>
              </w:rPr>
            </w:pPr>
            <w:r>
              <w:rPr>
                <w:rFonts w:ascii="Arial" w:cs="Arial" w:eastAsia="Arial" w:hAnsi="Arial"/>
                <w:sz w:val="17"/>
                <w:szCs w:val="17"/>
                <w:color w:val="auto"/>
              </w:rPr>
              <w:t>Home Depot, Inc.</w:t>
            </w: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2,210,000</w:t>
            </w:r>
          </w:p>
        </w:tc>
        <w:tc>
          <w:tcPr>
            <w:tcW w:w="5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0.78%</w:t>
            </w:r>
          </w:p>
        </w:tc>
        <w:tc>
          <w:tcPr>
            <w:tcW w:w="800" w:type="dxa"/>
            <w:vAlign w:val="bottom"/>
          </w:tcPr>
          <w:p>
            <w:pPr>
              <w:jc w:val="right"/>
              <w:spacing w:after="0"/>
              <w:rPr>
                <w:sz w:val="20"/>
                <w:szCs w:val="20"/>
                <w:color w:val="auto"/>
              </w:rPr>
            </w:pPr>
            <w:r>
              <w:rPr>
                <w:rFonts w:ascii="Arial" w:cs="Arial" w:eastAsia="Arial" w:hAnsi="Arial"/>
                <w:sz w:val="17"/>
                <w:szCs w:val="17"/>
                <w:color w:val="auto"/>
              </w:rPr>
              <w:t>218,000</w:t>
            </w:r>
          </w:p>
        </w:tc>
        <w:tc>
          <w:tcPr>
            <w:tcW w:w="5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1.30%</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19</w:t>
            </w:r>
          </w:p>
        </w:tc>
        <w:tc>
          <w:tcPr>
            <w:tcW w:w="47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The Container Store, Inc.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2,190,000</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0.77%</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52,000</w:t>
            </w: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0.31%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20</w:t>
            </w:r>
          </w:p>
        </w:tc>
        <w:tc>
          <w:tcPr>
            <w:tcW w:w="4760" w:type="dxa"/>
            <w:vAlign w:val="bottom"/>
            <w:gridSpan w:val="3"/>
          </w:tcPr>
          <w:p>
            <w:pPr>
              <w:ind w:left="320"/>
              <w:spacing w:after="0"/>
              <w:rPr>
                <w:sz w:val="20"/>
                <w:szCs w:val="20"/>
                <w:color w:val="auto"/>
              </w:rPr>
            </w:pPr>
            <w:r>
              <w:rPr>
                <w:rFonts w:ascii="Arial" w:cs="Arial" w:eastAsia="Arial" w:hAnsi="Arial"/>
                <w:sz w:val="17"/>
                <w:szCs w:val="17"/>
                <w:color w:val="auto"/>
              </w:rPr>
              <w:t>Dress Barn, Inc.</w:t>
            </w: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2,120,000</w:t>
            </w:r>
          </w:p>
        </w:tc>
        <w:tc>
          <w:tcPr>
            <w:tcW w:w="5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0.75%</w:t>
            </w:r>
          </w:p>
        </w:tc>
        <w:tc>
          <w:tcPr>
            <w:tcW w:w="800" w:type="dxa"/>
            <w:vAlign w:val="bottom"/>
          </w:tcPr>
          <w:p>
            <w:pPr>
              <w:jc w:val="right"/>
              <w:spacing w:after="0"/>
              <w:rPr>
                <w:sz w:val="20"/>
                <w:szCs w:val="20"/>
                <w:color w:val="auto"/>
              </w:rPr>
            </w:pPr>
            <w:r>
              <w:rPr>
                <w:rFonts w:ascii="Arial" w:cs="Arial" w:eastAsia="Arial" w:hAnsi="Arial"/>
                <w:sz w:val="17"/>
                <w:szCs w:val="17"/>
                <w:color w:val="auto"/>
              </w:rPr>
              <w:t>109,000</w:t>
            </w:r>
          </w:p>
        </w:tc>
        <w:tc>
          <w:tcPr>
            <w:tcW w:w="5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0.65%</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21</w:t>
            </w:r>
          </w:p>
        </w:tc>
        <w:tc>
          <w:tcPr>
            <w:tcW w:w="47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Toys R Us, Inc.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2,080,000</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0.73%</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259,000</w:t>
            </w: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1.54%</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22</w:t>
            </w:r>
          </w:p>
        </w:tc>
        <w:tc>
          <w:tcPr>
            <w:tcW w:w="4760" w:type="dxa"/>
            <w:vAlign w:val="bottom"/>
            <w:gridSpan w:val="3"/>
          </w:tcPr>
          <w:p>
            <w:pPr>
              <w:ind w:left="320"/>
              <w:spacing w:after="0"/>
              <w:rPr>
                <w:sz w:val="20"/>
                <w:szCs w:val="20"/>
                <w:color w:val="auto"/>
              </w:rPr>
            </w:pPr>
            <w:r>
              <w:rPr>
                <w:rFonts w:ascii="Arial" w:cs="Arial" w:eastAsia="Arial" w:hAnsi="Arial"/>
                <w:sz w:val="17"/>
                <w:szCs w:val="17"/>
                <w:color w:val="auto"/>
              </w:rPr>
              <w:t>Dollar Tree Stores, Inc.</w:t>
            </w: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2,060,000</w:t>
            </w:r>
          </w:p>
        </w:tc>
        <w:tc>
          <w:tcPr>
            <w:tcW w:w="5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0.73%</w:t>
            </w:r>
          </w:p>
        </w:tc>
        <w:tc>
          <w:tcPr>
            <w:tcW w:w="800" w:type="dxa"/>
            <w:vAlign w:val="bottom"/>
          </w:tcPr>
          <w:p>
            <w:pPr>
              <w:jc w:val="right"/>
              <w:spacing w:after="0"/>
              <w:rPr>
                <w:sz w:val="20"/>
                <w:szCs w:val="20"/>
                <w:color w:val="auto"/>
              </w:rPr>
            </w:pPr>
            <w:r>
              <w:rPr>
                <w:rFonts w:ascii="Arial" w:cs="Arial" w:eastAsia="Arial" w:hAnsi="Arial"/>
                <w:sz w:val="17"/>
                <w:szCs w:val="17"/>
                <w:color w:val="auto"/>
              </w:rPr>
              <w:t>162,000</w:t>
            </w:r>
          </w:p>
        </w:tc>
        <w:tc>
          <w:tcPr>
            <w:tcW w:w="5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0.96%</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23</w:t>
            </w:r>
          </w:p>
        </w:tc>
        <w:tc>
          <w:tcPr>
            <w:tcW w:w="47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Bally’s Health &amp; Tennis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2,040,000</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0.72%</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156,000</w:t>
            </w: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0.93%</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24</w:t>
            </w:r>
          </w:p>
        </w:tc>
        <w:tc>
          <w:tcPr>
            <w:tcW w:w="4760" w:type="dxa"/>
            <w:vAlign w:val="bottom"/>
            <w:gridSpan w:val="3"/>
          </w:tcPr>
          <w:p>
            <w:pPr>
              <w:ind w:left="320"/>
              <w:spacing w:after="0"/>
              <w:rPr>
                <w:sz w:val="20"/>
                <w:szCs w:val="20"/>
                <w:color w:val="auto"/>
              </w:rPr>
            </w:pPr>
            <w:r>
              <w:rPr>
                <w:rFonts w:ascii="Arial" w:cs="Arial" w:eastAsia="Arial" w:hAnsi="Arial"/>
                <w:sz w:val="17"/>
                <w:szCs w:val="17"/>
                <w:color w:val="auto"/>
              </w:rPr>
              <w:t>Staples, Inc.</w:t>
            </w: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2,000,000</w:t>
            </w:r>
          </w:p>
        </w:tc>
        <w:tc>
          <w:tcPr>
            <w:tcW w:w="5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0.71%</w:t>
            </w:r>
          </w:p>
        </w:tc>
        <w:tc>
          <w:tcPr>
            <w:tcW w:w="800" w:type="dxa"/>
            <w:vAlign w:val="bottom"/>
          </w:tcPr>
          <w:p>
            <w:pPr>
              <w:jc w:val="right"/>
              <w:spacing w:after="0"/>
              <w:rPr>
                <w:sz w:val="20"/>
                <w:szCs w:val="20"/>
                <w:color w:val="auto"/>
              </w:rPr>
            </w:pPr>
            <w:r>
              <w:rPr>
                <w:rFonts w:ascii="Arial" w:cs="Arial" w:eastAsia="Arial" w:hAnsi="Arial"/>
                <w:sz w:val="17"/>
                <w:szCs w:val="17"/>
                <w:color w:val="auto"/>
              </w:rPr>
              <w:t>106,000</w:t>
            </w:r>
          </w:p>
        </w:tc>
        <w:tc>
          <w:tcPr>
            <w:tcW w:w="5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0.63%</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25</w:t>
            </w:r>
          </w:p>
        </w:tc>
        <w:tc>
          <w:tcPr>
            <w:tcW w:w="47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Kohl’s Corporation</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1,900,000</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0.67%</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356,000</w:t>
            </w: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2.12%</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7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Totals - Top 25 Tenants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78,900,000</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27.84%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5,224,000</w:t>
            </w: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31.11%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7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Total Annualized Base Rent: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w w:val="91"/>
              </w:rPr>
              <w:t>283,400,000(1)</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60" w:type="dxa"/>
            <w:vAlign w:val="bottom"/>
            <w:gridSpan w:val="3"/>
          </w:tcPr>
          <w:p>
            <w:pPr>
              <w:ind w:left="320"/>
              <w:spacing w:after="0"/>
              <w:rPr>
                <w:sz w:val="20"/>
                <w:szCs w:val="20"/>
                <w:color w:val="auto"/>
              </w:rPr>
            </w:pPr>
            <w:r>
              <w:rPr>
                <w:rFonts w:ascii="Arial" w:cs="Arial" w:eastAsia="Arial" w:hAnsi="Arial"/>
                <w:sz w:val="17"/>
                <w:szCs w:val="17"/>
                <w:color w:val="auto"/>
              </w:rPr>
              <w:t>Total Portfolio Square Footage: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7"/>
                <w:szCs w:val="17"/>
                <w:color w:val="auto"/>
                <w:w w:val="92"/>
              </w:rPr>
              <w:t>16,791,000(2)</w:t>
            </w: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3282315</wp:posOffset>
            </wp:positionH>
            <wp:positionV relativeFrom="paragraph">
              <wp:posOffset>-433705</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3333115</wp:posOffset>
            </wp:positionH>
            <wp:positionV relativeFrom="paragraph">
              <wp:posOffset>-433705</wp:posOffset>
            </wp:positionV>
            <wp:extent cx="2095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-433705</wp:posOffset>
            </wp:positionV>
            <wp:extent cx="381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4250690</wp:posOffset>
            </wp:positionH>
            <wp:positionV relativeFrom="paragraph">
              <wp:posOffset>-433705</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4862830</wp:posOffset>
            </wp:positionH>
            <wp:positionV relativeFrom="paragraph">
              <wp:posOffset>-433705</wp:posOffset>
            </wp:positionV>
            <wp:extent cx="381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-433705</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5678170</wp:posOffset>
            </wp:positionH>
            <wp:positionV relativeFrom="paragraph">
              <wp:posOffset>-433705</wp:posOffset>
            </wp:positionV>
            <wp:extent cx="381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6043930</wp:posOffset>
            </wp:positionH>
            <wp:positionV relativeFrom="paragraph">
              <wp:posOffset>-433705</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6527800</wp:posOffset>
            </wp:positionH>
            <wp:positionV relativeFrom="paragraph">
              <wp:posOffset>-433705</wp:posOffset>
            </wp:positionV>
            <wp:extent cx="3810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-433705</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6851015</wp:posOffset>
            </wp:positionH>
            <wp:positionV relativeFrom="paragraph">
              <wp:posOffset>-433705</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69215</wp:posOffset>
            </wp:positionV>
            <wp:extent cx="59499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949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w:t>
      </w:r>
    </w:p>
    <w:p>
      <w:pPr>
        <w:spacing w:after="0" w:line="26" w:lineRule="exact"/>
        <w:rPr>
          <w:sz w:val="20"/>
          <w:szCs w:val="20"/>
          <w:color w:val="auto"/>
        </w:rPr>
      </w:pPr>
    </w:p>
    <w:p>
      <w:pPr>
        <w:ind w:left="460" w:hanging="453"/>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Reflects annual in-place contractual rent as of September 30, 2004.</w:t>
      </w:r>
    </w:p>
    <w:p>
      <w:pPr>
        <w:spacing w:after="0" w:line="18" w:lineRule="exact"/>
        <w:rPr>
          <w:rFonts w:ascii="Arial" w:cs="Arial" w:eastAsia="Arial" w:hAnsi="Arial"/>
          <w:sz w:val="17"/>
          <w:szCs w:val="17"/>
          <w:color w:val="auto"/>
        </w:rPr>
      </w:pPr>
    </w:p>
    <w:p>
      <w:pPr>
        <w:ind w:left="460" w:hanging="453"/>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Excludes redevelopment square footage not yet placed in service.</w:t>
      </w:r>
    </w:p>
    <w:p>
      <w:pPr>
        <w:sectPr>
          <w:pgSz w:w="11900" w:h="16838" w:orient="portrait"/>
          <w:cols w:equalWidth="0" w:num="1">
            <w:col w:w="11420"/>
          </w:cols>
          <w:pgMar w:left="240" w:top="456"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Net Income to FFO Guidance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900" w:type="dxa"/>
            <w:vAlign w:val="bottom"/>
            <w:gridSpan w:val="3"/>
          </w:tcPr>
          <w:p>
            <w:pPr>
              <w:spacing w:after="0"/>
              <w:rPr>
                <w:sz w:val="20"/>
                <w:szCs w:val="20"/>
                <w:color w:val="auto"/>
              </w:rPr>
            </w:pPr>
            <w:r>
              <w:rPr>
                <w:rFonts w:ascii="Arial" w:cs="Arial" w:eastAsia="Arial" w:hAnsi="Arial"/>
                <w:sz w:val="17"/>
                <w:szCs w:val="17"/>
                <w:b w:val="1"/>
                <w:bCs w:val="1"/>
                <w:color w:val="auto"/>
              </w:rPr>
              <w:t>Reconciliation of 2004 Net Income to 2004 FFO Guidance</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Arial" w:cs="Arial" w:eastAsia="Arial" w:hAnsi="Arial"/>
                <w:sz w:val="13"/>
                <w:szCs w:val="13"/>
                <w:b w:val="1"/>
                <w:bCs w:val="1"/>
                <w:color w:val="auto"/>
                <w:w w:val="99"/>
              </w:rPr>
              <w:t>Forecast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9900" w:type="dxa"/>
            <w:vAlign w:val="bottom"/>
            <w:gridSpan w:val="3"/>
            <w:vMerge w:val="restart"/>
          </w:tcPr>
          <w:p>
            <w:pPr>
              <w:spacing w:after="0"/>
              <w:rPr>
                <w:sz w:val="20"/>
                <w:szCs w:val="20"/>
                <w:color w:val="auto"/>
              </w:rPr>
            </w:pPr>
            <w:r>
              <w:rPr>
                <w:rFonts w:ascii="Arial" w:cs="Arial" w:eastAsia="Arial" w:hAnsi="Arial"/>
                <w:sz w:val="17"/>
                <w:szCs w:val="17"/>
                <w:color w:val="auto"/>
              </w:rPr>
              <w:t>($ millions except per share amounts)</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99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7"/>
                <w:szCs w:val="17"/>
                <w:color w:val="auto"/>
              </w:rPr>
              <w:t>Gain on sale of real estate</w:t>
            </w:r>
          </w:p>
        </w:tc>
        <w:tc>
          <w:tcPr>
            <w:tcW w:w="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7"/>
                <w:szCs w:val="17"/>
                <w:color w:val="auto"/>
              </w:rPr>
              <w:t>(9)</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Depreciation and amortization of real estate assets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7"/>
                <w:szCs w:val="17"/>
                <w:color w:val="auto"/>
              </w:rPr>
              <w:t>Amortization of initial direct costs of leases</w:t>
            </w: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Funds from Operations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159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7"/>
                <w:szCs w:val="17"/>
                <w:color w:val="auto"/>
              </w:rPr>
              <w:t>Income attributable to operating partnership units</w:t>
            </w: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Dividends on preferred stock</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98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8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line="214" w:lineRule="exact"/>
              <w:rPr>
                <w:sz w:val="20"/>
                <w:szCs w:val="20"/>
                <w:color w:val="auto"/>
              </w:rPr>
            </w:pPr>
            <w:r>
              <w:rPr>
                <w:rFonts w:ascii="Arial" w:cs="Arial" w:eastAsia="Arial" w:hAnsi="Arial"/>
                <w:sz w:val="17"/>
                <w:szCs w:val="17"/>
                <w:b w:val="1"/>
                <w:bCs w:val="1"/>
                <w:color w:val="auto"/>
              </w:rPr>
              <w:t>Funds from operations available for common shareholders</w:t>
            </w:r>
            <w:r>
              <w:rPr>
                <w:rFonts w:ascii="Arial" w:cs="Arial" w:eastAsia="Arial" w:hAnsi="Arial"/>
                <w:sz w:val="22"/>
                <w:szCs w:val="22"/>
                <w:b w:val="1"/>
                <w:bCs w:val="1"/>
                <w:color w:val="auto"/>
                <w:vertAlign w:val="superscript"/>
              </w:rPr>
              <w:t>(1)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150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98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 Average Shares (diluted)</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52.9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98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9900" w:type="dxa"/>
            <w:vAlign w:val="bottom"/>
            <w:gridSpan w:val="3"/>
          </w:tcPr>
          <w:p>
            <w:pPr>
              <w:spacing w:after="0"/>
              <w:rPr>
                <w:sz w:val="20"/>
                <w:szCs w:val="20"/>
                <w:color w:val="auto"/>
              </w:rPr>
            </w:pPr>
            <w:r>
              <w:rPr>
                <w:rFonts w:ascii="Arial" w:cs="Arial" w:eastAsia="Arial" w:hAnsi="Arial"/>
                <w:sz w:val="17"/>
                <w:szCs w:val="17"/>
                <w:color w:val="auto"/>
              </w:rPr>
              <w:t>Funds from operations available for common shareholders per share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7"/>
                <w:szCs w:val="17"/>
                <w:color w:val="auto"/>
                <w:w w:val="84"/>
              </w:rPr>
              <w:t>2.83</w:t>
            </w:r>
          </w:p>
        </w:tc>
        <w:tc>
          <w:tcPr>
            <w:tcW w:w="80" w:type="dxa"/>
            <w:vAlign w:val="bottom"/>
          </w:tcPr>
          <w:p>
            <w:pPr>
              <w:spacing w:after="0"/>
              <w:rPr>
                <w:sz w:val="24"/>
                <w:szCs w:val="24"/>
                <w:color w:val="auto"/>
              </w:rPr>
            </w:pPr>
          </w:p>
        </w:tc>
        <w:tc>
          <w:tcPr>
            <w:tcW w:w="580" w:type="dxa"/>
            <w:vAlign w:val="bottom"/>
          </w:tcPr>
          <w:p>
            <w:pPr>
              <w:ind w:left="220"/>
              <w:spacing w:after="0"/>
              <w:rPr>
                <w:sz w:val="20"/>
                <w:szCs w:val="20"/>
                <w:color w:val="auto"/>
              </w:rPr>
            </w:pPr>
            <w:r>
              <w:rPr>
                <w:rFonts w:ascii="Arial" w:cs="Arial" w:eastAsia="Arial" w:hAnsi="Arial"/>
                <w:sz w:val="17"/>
                <w:szCs w:val="17"/>
                <w:color w:val="auto"/>
              </w:rPr>
              <w:t>to</w:t>
            </w: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w w:val="90"/>
              </w:rPr>
              <w:t>2.84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90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Reconciliation of 2005 Net Income to 2005 FFO Guidance</w:t>
            </w:r>
          </w:p>
        </w:tc>
        <w:tc>
          <w:tcPr>
            <w:tcW w:w="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990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9900" w:type="dxa"/>
            <w:vAlign w:val="bottom"/>
            <w:gridSpan w:val="3"/>
          </w:tcPr>
          <w:p>
            <w:pPr>
              <w:spacing w:after="0"/>
              <w:rPr>
                <w:sz w:val="20"/>
                <w:szCs w:val="20"/>
                <w:color w:val="auto"/>
              </w:rPr>
            </w:pPr>
            <w:r>
              <w:rPr>
                <w:rFonts w:ascii="Arial" w:cs="Arial" w:eastAsia="Arial" w:hAnsi="Arial"/>
                <w:sz w:val="17"/>
                <w:szCs w:val="17"/>
                <w:color w:val="auto"/>
              </w:rPr>
              <w:t>($ millions except per share amounts)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9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b w:val="1"/>
                <w:bCs w:val="1"/>
                <w:color w:val="auto"/>
                <w:w w:val="99"/>
              </w:rPr>
              <w:t>Forecast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8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8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7"/>
                <w:szCs w:val="17"/>
                <w:color w:val="auto"/>
              </w:rPr>
              <w:t>Gain on sale of real estate</w:t>
            </w:r>
          </w:p>
        </w:tc>
        <w:tc>
          <w:tcPr>
            <w:tcW w:w="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Depreciation and amortization of real estate assets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7"/>
                <w:szCs w:val="17"/>
                <w:color w:val="auto"/>
              </w:rPr>
              <w:t>Amortization of initial direct costs of leases</w:t>
            </w: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Funds from Operations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168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7"/>
                <w:szCs w:val="17"/>
                <w:color w:val="auto"/>
              </w:rPr>
              <w:t>Income attributable to operating partnership units</w:t>
            </w: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Dividends on preferred stock</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98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8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line="214" w:lineRule="exact"/>
              <w:rPr>
                <w:sz w:val="20"/>
                <w:szCs w:val="20"/>
                <w:color w:val="auto"/>
              </w:rPr>
            </w:pPr>
            <w:r>
              <w:rPr>
                <w:rFonts w:ascii="Arial" w:cs="Arial" w:eastAsia="Arial" w:hAnsi="Arial"/>
                <w:sz w:val="17"/>
                <w:szCs w:val="17"/>
                <w:b w:val="1"/>
                <w:bCs w:val="1"/>
                <w:color w:val="auto"/>
              </w:rPr>
              <w:t>Funds from operations available for common shareholders</w:t>
            </w:r>
            <w:r>
              <w:rPr>
                <w:rFonts w:ascii="Arial" w:cs="Arial" w:eastAsia="Arial" w:hAnsi="Arial"/>
                <w:sz w:val="22"/>
                <w:szCs w:val="22"/>
                <w:b w:val="1"/>
                <w:bCs w:val="1"/>
                <w:color w:val="auto"/>
                <w:vertAlign w:val="superscript"/>
              </w:rPr>
              <w:t>(1)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159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98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 Average Shares (diluted)</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53.1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98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8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Funds from operations available for common shareholder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3.00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3.03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8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6273165</wp:posOffset>
            </wp:positionH>
            <wp:positionV relativeFrom="paragraph">
              <wp:posOffset>-3232150</wp:posOffset>
            </wp:positionV>
            <wp:extent cx="28448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84480" cy="29845"/>
                    </a:xfrm>
                    <a:prstGeom prst="rect">
                      <a:avLst/>
                    </a:prstGeom>
                    <a:noFill/>
                  </pic:spPr>
                </pic:pic>
              </a:graphicData>
            </a:graphic>
          </wp:anchor>
        </w:drawing>
        <w:drawing>
          <wp:anchor simplePos="0" relativeHeight="251657728" behindDoc="1" locked="0" layoutInCell="0" allowOverlap="1">
            <wp:simplePos x="0" y="0"/>
            <wp:positionH relativeFrom="column">
              <wp:posOffset>6952615</wp:posOffset>
            </wp:positionH>
            <wp:positionV relativeFrom="paragraph">
              <wp:posOffset>-3232150</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7004050</wp:posOffset>
            </wp:positionH>
            <wp:positionV relativeFrom="paragraph">
              <wp:posOffset>-3232150</wp:posOffset>
            </wp:positionV>
            <wp:extent cx="2095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7198995</wp:posOffset>
            </wp:positionH>
            <wp:positionV relativeFrom="paragraph">
              <wp:posOffset>-3232150</wp:posOffset>
            </wp:positionV>
            <wp:extent cx="381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6273165</wp:posOffset>
            </wp:positionH>
            <wp:positionV relativeFrom="paragraph">
              <wp:posOffset>-2654300</wp:posOffset>
            </wp:positionV>
            <wp:extent cx="28448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84480" cy="29845"/>
                    </a:xfrm>
                    <a:prstGeom prst="rect">
                      <a:avLst/>
                    </a:prstGeom>
                    <a:noFill/>
                  </pic:spPr>
                </pic:pic>
              </a:graphicData>
            </a:graphic>
          </wp:anchor>
        </w:drawing>
        <w:drawing>
          <wp:anchor simplePos="0" relativeHeight="251657728" behindDoc="1" locked="0" layoutInCell="0" allowOverlap="1">
            <wp:simplePos x="0" y="0"/>
            <wp:positionH relativeFrom="column">
              <wp:posOffset>6952615</wp:posOffset>
            </wp:positionH>
            <wp:positionV relativeFrom="paragraph">
              <wp:posOffset>-2654300</wp:posOffset>
            </wp:positionV>
            <wp:extent cx="28448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84480" cy="29845"/>
                    </a:xfrm>
                    <a:prstGeom prst="rect">
                      <a:avLst/>
                    </a:prstGeom>
                    <a:noFill/>
                  </pic:spPr>
                </pic:pic>
              </a:graphicData>
            </a:graphic>
          </wp:anchor>
        </w:drawing>
        <w:drawing>
          <wp:anchor simplePos="0" relativeHeight="251657728" behindDoc="1" locked="0" layoutInCell="0" allowOverlap="1">
            <wp:simplePos x="0" y="0"/>
            <wp:positionH relativeFrom="column">
              <wp:posOffset>6273165</wp:posOffset>
            </wp:positionH>
            <wp:positionV relativeFrom="paragraph">
              <wp:posOffset>-607060</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-607060</wp:posOffset>
            </wp:positionV>
            <wp:extent cx="2095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-607060</wp:posOffset>
            </wp:positionV>
            <wp:extent cx="381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6952615</wp:posOffset>
            </wp:positionH>
            <wp:positionV relativeFrom="paragraph">
              <wp:posOffset>-607060</wp:posOffset>
            </wp:positionV>
            <wp:extent cx="28448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84480" cy="29845"/>
                    </a:xfrm>
                    <a:prstGeom prst="rect">
                      <a:avLst/>
                    </a:prstGeom>
                    <a:noFill/>
                  </pic:spPr>
                </pic:pic>
              </a:graphicData>
            </a:graphic>
          </wp:anchor>
        </w:drawing>
        <w:drawing>
          <wp:anchor simplePos="0" relativeHeight="251657728" behindDoc="1" locked="0" layoutInCell="0" allowOverlap="1">
            <wp:simplePos x="0" y="0"/>
            <wp:positionH relativeFrom="column">
              <wp:posOffset>6273165</wp:posOffset>
            </wp:positionH>
            <wp:positionV relativeFrom="paragraph">
              <wp:posOffset>-29210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-29210</wp:posOffset>
            </wp:positionV>
            <wp:extent cx="2095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6519545</wp:posOffset>
            </wp:positionH>
            <wp:positionV relativeFrom="paragraph">
              <wp:posOffset>-29210</wp:posOffset>
            </wp:positionV>
            <wp:extent cx="381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6952615</wp:posOffset>
            </wp:positionH>
            <wp:positionV relativeFrom="paragraph">
              <wp:posOffset>-29210</wp:posOffset>
            </wp:positionV>
            <wp:extent cx="28448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84480" cy="298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w:t>
      </w:r>
      <w:r>
        <w:rPr>
          <w:rFonts w:ascii="Arial" w:cs="Arial" w:eastAsia="Arial" w:hAnsi="Arial"/>
          <w:sz w:val="17"/>
          <w:szCs w:val="17"/>
          <w:color w:val="auto"/>
        </w:rPr>
        <w:t>:</w:t>
      </w:r>
    </w:p>
    <w:p>
      <w:pPr>
        <w:spacing w:after="0" w:line="86" w:lineRule="exact"/>
        <w:rPr>
          <w:sz w:val="20"/>
          <w:szCs w:val="20"/>
          <w:color w:val="auto"/>
        </w:rPr>
      </w:pPr>
    </w:p>
    <w:p>
      <w:pPr>
        <w:ind w:left="460" w:hanging="453"/>
        <w:spacing w:after="0"/>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Individual items may not add up to total as a result of rounding.</w:t>
      </w:r>
    </w:p>
    <w:p>
      <w:pPr>
        <w:sectPr>
          <w:pgSz w:w="11900" w:h="16838" w:orient="portrait"/>
          <w:cols w:equalWidth="0" w:num="1">
            <w:col w:w="11420"/>
          </w:cols>
          <w:pgMar w:left="240" w:top="456"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Operating Results - Joint Venture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300" w:type="dxa"/>
            <w:vAlign w:val="bottom"/>
            <w:gridSpan w:val="2"/>
          </w:tcPr>
          <w:p>
            <w:pPr>
              <w:jc w:val="center"/>
              <w:ind w:right="2353"/>
              <w:spacing w:after="0"/>
              <w:rPr>
                <w:sz w:val="20"/>
                <w:szCs w:val="20"/>
                <w:color w:val="auto"/>
              </w:rPr>
            </w:pPr>
            <w:r>
              <w:rPr>
                <w:rFonts w:ascii="Arial" w:cs="Arial" w:eastAsia="Arial" w:hAnsi="Arial"/>
                <w:sz w:val="17"/>
                <w:szCs w:val="17"/>
                <w:b w:val="1"/>
                <w:bCs w:val="1"/>
                <w:color w:val="auto"/>
                <w:w w:val="94"/>
              </w:rPr>
              <w:t>Financial Highlights</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300" w:type="dxa"/>
            <w:vAlign w:val="bottom"/>
            <w:gridSpan w:val="2"/>
          </w:tcPr>
          <w:p>
            <w:pPr>
              <w:jc w:val="center"/>
              <w:ind w:right="2373"/>
              <w:spacing w:after="0"/>
              <w:rPr>
                <w:sz w:val="20"/>
                <w:szCs w:val="20"/>
                <w:color w:val="auto"/>
              </w:rPr>
            </w:pPr>
            <w:r>
              <w:rPr>
                <w:rFonts w:ascii="Arial" w:cs="Arial" w:eastAsia="Arial" w:hAnsi="Arial"/>
                <w:sz w:val="17"/>
                <w:szCs w:val="17"/>
                <w:color w:val="auto"/>
                <w:w w:val="90"/>
              </w:rPr>
              <w:t>(in thousands, except per share data)</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300" w:type="dxa"/>
            <w:vAlign w:val="bottom"/>
            <w:gridSpan w:val="2"/>
          </w:tcPr>
          <w:p>
            <w:pPr>
              <w:jc w:val="center"/>
              <w:ind w:right="2353"/>
              <w:spacing w:after="0"/>
              <w:rPr>
                <w:sz w:val="20"/>
                <w:szCs w:val="20"/>
                <w:color w:val="auto"/>
              </w:rPr>
            </w:pPr>
            <w:r>
              <w:rPr>
                <w:rFonts w:ascii="Arial" w:cs="Arial" w:eastAsia="Arial" w:hAnsi="Arial"/>
                <w:sz w:val="17"/>
                <w:szCs w:val="17"/>
                <w:color w:val="auto"/>
                <w:w w:val="92"/>
              </w:rPr>
              <w:t>(unaudited)</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3780" w:type="dxa"/>
            <w:vAlign w:val="bottom"/>
            <w:gridSpan w:val="3"/>
          </w:tcPr>
          <w:p>
            <w:pPr>
              <w:spacing w:after="0"/>
              <w:rPr>
                <w:sz w:val="20"/>
                <w:szCs w:val="20"/>
                <w:color w:val="auto"/>
              </w:rPr>
            </w:pPr>
            <w:r>
              <w:rPr>
                <w:rFonts w:ascii="Arial" w:cs="Arial" w:eastAsia="Arial" w:hAnsi="Arial"/>
                <w:sz w:val="17"/>
                <w:szCs w:val="17"/>
                <w:b w:val="1"/>
                <w:bCs w:val="1"/>
                <w:color w:val="auto"/>
              </w:rPr>
              <w:t>OPERATING RESULTS</w:t>
            </w:r>
          </w:p>
        </w:tc>
        <w:tc>
          <w:tcPr>
            <w:tcW w:w="5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3"/>
                <w:szCs w:val="13"/>
                <w:b w:val="1"/>
                <w:bCs w:val="1"/>
                <w:color w:val="auto"/>
                <w:w w:val="95"/>
              </w:rPr>
              <w:t>Three months ended</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b w:val="1"/>
                <w:bCs w:val="1"/>
                <w:color w:val="auto"/>
                <w:w w:val="97"/>
              </w:rPr>
              <w:t>September 30, 2004</w:t>
            </w: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8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58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5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3200" w:type="dxa"/>
            <w:vAlign w:val="bottom"/>
            <w:gridSpan w:val="2"/>
          </w:tcPr>
          <w:p>
            <w:pPr>
              <w:ind w:left="440"/>
              <w:spacing w:after="0"/>
              <w:rPr>
                <w:sz w:val="20"/>
                <w:szCs w:val="20"/>
                <w:color w:val="auto"/>
              </w:rPr>
            </w:pPr>
            <w:r>
              <w:rPr>
                <w:rFonts w:ascii="Arial" w:cs="Arial" w:eastAsia="Arial" w:hAnsi="Arial"/>
                <w:sz w:val="17"/>
                <w:szCs w:val="17"/>
                <w:color w:val="auto"/>
              </w:rPr>
              <w:t>Rental income</w:t>
            </w:r>
          </w:p>
        </w:tc>
        <w:tc>
          <w:tcPr>
            <w:tcW w:w="6300" w:type="dxa"/>
            <w:vAlign w:val="bottom"/>
            <w:gridSpan w:val="2"/>
          </w:tcPr>
          <w:p>
            <w:pPr>
              <w:ind w:left="58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612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32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Other property income</w:t>
            </w:r>
          </w:p>
        </w:tc>
        <w:tc>
          <w:tcPr>
            <w:tcW w:w="5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5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7"/>
                <w:szCs w:val="17"/>
                <w:b w:val="1"/>
                <w:bCs w:val="1"/>
                <w:color w:val="auto"/>
              </w:rPr>
              <w:t>Expenses</w:t>
            </w:r>
          </w:p>
        </w:tc>
        <w:tc>
          <w:tcPr>
            <w:tcW w:w="5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32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Rental</w:t>
            </w:r>
          </w:p>
        </w:tc>
        <w:tc>
          <w:tcPr>
            <w:tcW w:w="5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3200" w:type="dxa"/>
            <w:vAlign w:val="bottom"/>
            <w:gridSpan w:val="2"/>
          </w:tcPr>
          <w:p>
            <w:pPr>
              <w:ind w:left="440"/>
              <w:spacing w:after="0"/>
              <w:rPr>
                <w:sz w:val="20"/>
                <w:szCs w:val="20"/>
                <w:color w:val="auto"/>
              </w:rPr>
            </w:pPr>
            <w:r>
              <w:rPr>
                <w:rFonts w:ascii="Arial" w:cs="Arial" w:eastAsia="Arial" w:hAnsi="Arial"/>
                <w:sz w:val="17"/>
                <w:szCs w:val="17"/>
                <w:color w:val="auto"/>
              </w:rPr>
              <w:t>Real estate taxes</w:t>
            </w:r>
          </w:p>
        </w:tc>
        <w:tc>
          <w:tcPr>
            <w:tcW w:w="5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32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Depreciation and amortization</w:t>
            </w:r>
          </w:p>
        </w:tc>
        <w:tc>
          <w:tcPr>
            <w:tcW w:w="5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5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5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32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Operating income</w:t>
            </w:r>
          </w:p>
        </w:tc>
        <w:tc>
          <w:tcPr>
            <w:tcW w:w="5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3780" w:type="dxa"/>
            <w:vAlign w:val="bottom"/>
            <w:gridSpan w:val="3"/>
          </w:tcPr>
          <w:p>
            <w:pPr>
              <w:ind w:left="580"/>
              <w:spacing w:after="0"/>
              <w:rPr>
                <w:sz w:val="20"/>
                <w:szCs w:val="20"/>
                <w:color w:val="auto"/>
              </w:rPr>
            </w:pPr>
            <w:r>
              <w:rPr>
                <w:rFonts w:ascii="Arial" w:cs="Arial" w:eastAsia="Arial" w:hAnsi="Arial"/>
                <w:sz w:val="17"/>
                <w:szCs w:val="17"/>
                <w:color w:val="auto"/>
              </w:rPr>
              <w:t>Interest expense</w:t>
            </w:r>
          </w:p>
        </w:tc>
        <w:tc>
          <w:tcPr>
            <w:tcW w:w="5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r>
        <w:trPr>
          <w:trHeight w:val="109"/>
        </w:trPr>
        <w:tc>
          <w:tcPr>
            <w:tcW w:w="5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58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58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5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5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6094730</wp:posOffset>
            </wp:positionH>
            <wp:positionV relativeFrom="paragraph">
              <wp:posOffset>-29210</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6247765</wp:posOffset>
            </wp:positionH>
            <wp:positionV relativeFrom="paragraph">
              <wp:posOffset>-29210</wp:posOffset>
            </wp:positionV>
            <wp:extent cx="2095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6833870</wp:posOffset>
            </wp:positionH>
            <wp:positionV relativeFrom="paragraph">
              <wp:posOffset>-29210</wp:posOffset>
            </wp:positionV>
            <wp:extent cx="381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8100" cy="29845"/>
                    </a:xfrm>
                    <a:prstGeom prst="rect">
                      <a:avLst/>
                    </a:prstGeom>
                    <a:noFill/>
                  </pic:spPr>
                </pic:pic>
              </a:graphicData>
            </a:graphic>
          </wp:anchor>
        </w:drawing>
      </w:r>
    </w:p>
    <w:p>
      <w:pPr>
        <w:sectPr>
          <w:pgSz w:w="11900" w:h="16838" w:orient="portrait"/>
          <w:cols w:equalWidth="0" w:num="1">
            <w:col w:w="10840"/>
          </w:cols>
          <w:pgMar w:left="240" w:top="456" w:right="8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Balance Sheet - Joint Venture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Financial Highlights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per share data)</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CONSOLIDATED BALANCE SHEETS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52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w w:val="96"/>
              </w:rPr>
              <w:t>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194"/>
              <w:spacing w:after="0"/>
              <w:rPr>
                <w:sz w:val="20"/>
                <w:szCs w:val="20"/>
                <w:color w:val="auto"/>
              </w:rPr>
            </w:pPr>
            <w:r>
              <w:rPr>
                <w:rFonts w:ascii="Arial" w:cs="Arial" w:eastAsia="Arial" w:hAnsi="Arial"/>
                <w:sz w:val="13"/>
                <w:szCs w:val="13"/>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52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520" w:type="dxa"/>
            <w:vAlign w:val="bottom"/>
          </w:tcPr>
          <w:p>
            <w:pPr>
              <w:spacing w:after="0"/>
              <w:rPr>
                <w:sz w:val="21"/>
                <w:szCs w:val="21"/>
                <w:color w:val="auto"/>
              </w:rPr>
            </w:pPr>
          </w:p>
        </w:tc>
        <w:tc>
          <w:tcPr>
            <w:tcW w:w="880" w:type="dxa"/>
            <w:vAlign w:val="bottom"/>
            <w:gridSpan w:val="3"/>
          </w:tcPr>
          <w:p>
            <w:pPr>
              <w:ind w:left="80"/>
              <w:spacing w:after="0"/>
              <w:rPr>
                <w:sz w:val="20"/>
                <w:szCs w:val="20"/>
                <w:color w:val="auto"/>
              </w:rPr>
            </w:pPr>
            <w:r>
              <w:rPr>
                <w:rFonts w:ascii="Arial" w:cs="Arial" w:eastAsia="Arial" w:hAnsi="Arial"/>
                <w:sz w:val="13"/>
                <w:szCs w:val="13"/>
                <w:b w:val="1"/>
                <w:bCs w:val="1"/>
                <w:color w:val="auto"/>
              </w:rPr>
              <w:t>(unaudited)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10540" w:type="dxa"/>
            <w:vAlign w:val="bottom"/>
            <w:gridSpan w:val="2"/>
          </w:tcPr>
          <w:p>
            <w:pPr>
              <w:spacing w:after="0"/>
              <w:rPr>
                <w:sz w:val="20"/>
                <w:szCs w:val="20"/>
                <w:color w:val="auto"/>
              </w:rPr>
            </w:pPr>
            <w:r>
              <w:rPr>
                <w:rFonts w:ascii="Arial" w:cs="Arial" w:eastAsia="Arial" w:hAnsi="Arial"/>
                <w:sz w:val="17"/>
                <w:szCs w:val="17"/>
                <w:color w:val="auto"/>
              </w:rPr>
              <w:t>Real estate, at cost</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63,986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5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Less accumulated depreciation and amortization</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10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Net real estate investments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63,818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1054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20" w:type="dxa"/>
            <w:vAlign w:val="bottom"/>
          </w:tcPr>
          <w:p>
            <w:pPr>
              <w:spacing w:after="0"/>
              <w:rPr>
                <w:sz w:val="20"/>
                <w:szCs w:val="20"/>
                <w:color w:val="auto"/>
              </w:rPr>
            </w:pPr>
            <w:r>
              <w:rPr>
                <w:rFonts w:ascii="Arial" w:cs="Arial" w:eastAsia="Arial" w:hAnsi="Arial"/>
                <w:sz w:val="17"/>
                <w:szCs w:val="17"/>
                <w:color w:val="auto"/>
              </w:rPr>
              <w:t>Other assets</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10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0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0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0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PARTNERS’ CAPITAL</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10540" w:type="dxa"/>
            <w:vAlign w:val="bottom"/>
            <w:gridSpan w:val="2"/>
          </w:tcPr>
          <w:p>
            <w:pPr>
              <w:spacing w:after="0"/>
              <w:rPr>
                <w:sz w:val="20"/>
                <w:szCs w:val="20"/>
                <w:color w:val="auto"/>
              </w:rPr>
            </w:pPr>
            <w:r>
              <w:rPr>
                <w:rFonts w:ascii="Arial" w:cs="Arial" w:eastAsia="Arial" w:hAnsi="Arial"/>
                <w:sz w:val="17"/>
                <w:szCs w:val="17"/>
                <w:color w:val="auto"/>
              </w:rPr>
              <w:t>Liabilities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5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Mortgages</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20" w:type="dxa"/>
            <w:vAlign w:val="bottom"/>
          </w:tcPr>
          <w:p>
            <w:pPr>
              <w:ind w:left="420"/>
              <w:spacing w:after="0"/>
              <w:rPr>
                <w:sz w:val="20"/>
                <w:szCs w:val="20"/>
                <w:color w:val="auto"/>
              </w:rPr>
            </w:pPr>
            <w:r>
              <w:rPr>
                <w:rFonts w:ascii="Arial" w:cs="Arial" w:eastAsia="Arial" w:hAnsi="Arial"/>
                <w:sz w:val="17"/>
                <w:szCs w:val="17"/>
                <w:color w:val="auto"/>
              </w:rPr>
              <w:t>Other liabilities</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6,692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10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10540" w:type="dxa"/>
            <w:vAlign w:val="bottom"/>
            <w:gridSpan w:val="2"/>
          </w:tcPr>
          <w:p>
            <w:pPr>
              <w:spacing w:after="0"/>
              <w:rPr>
                <w:sz w:val="20"/>
                <w:szCs w:val="20"/>
                <w:color w:val="auto"/>
              </w:rPr>
            </w:pPr>
            <w:r>
              <w:rPr>
                <w:rFonts w:ascii="Arial" w:cs="Arial" w:eastAsia="Arial" w:hAnsi="Arial"/>
                <w:sz w:val="17"/>
                <w:szCs w:val="17"/>
                <w:color w:val="auto"/>
              </w:rPr>
              <w:t>Partners’ Capital</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5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Capital - Clarion Lion Properties Fund</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20" w:type="dxa"/>
            <w:vAlign w:val="bottom"/>
          </w:tcPr>
          <w:p>
            <w:pPr>
              <w:ind w:left="420"/>
              <w:spacing w:after="0"/>
              <w:rPr>
                <w:sz w:val="20"/>
                <w:szCs w:val="20"/>
                <w:color w:val="auto"/>
              </w:rPr>
            </w:pPr>
            <w:r>
              <w:rPr>
                <w:rFonts w:ascii="Arial" w:cs="Arial" w:eastAsia="Arial" w:hAnsi="Arial"/>
                <w:sz w:val="17"/>
                <w:szCs w:val="17"/>
                <w:color w:val="auto"/>
              </w:rPr>
              <w:t>Capital - Federal Realty Investment Trust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14,078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10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Total partners’ capital</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10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0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 AND PARTNERS’ CAPITAL</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6689725</wp:posOffset>
            </wp:positionH>
            <wp:positionV relativeFrom="paragraph">
              <wp:posOffset>-2118995</wp:posOffset>
            </wp:positionV>
            <wp:extent cx="54800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48005" cy="29845"/>
                    </a:xfrm>
                    <a:prstGeom prst="rect">
                      <a:avLst/>
                    </a:prstGeom>
                    <a:noFill/>
                  </pic:spPr>
                </pic:pic>
              </a:graphicData>
            </a:graphic>
          </wp:anchor>
        </w:drawing>
        <w:drawing>
          <wp:anchor simplePos="0" relativeHeight="251657728" behindDoc="1" locked="0" layoutInCell="0" allowOverlap="1">
            <wp:simplePos x="0" y="0"/>
            <wp:positionH relativeFrom="column">
              <wp:posOffset>6689725</wp:posOffset>
            </wp:positionH>
            <wp:positionV relativeFrom="paragraph">
              <wp:posOffset>-29210</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6757670</wp:posOffset>
            </wp:positionH>
            <wp:positionV relativeFrom="paragraph">
              <wp:posOffset>-29210</wp:posOffset>
            </wp:positionV>
            <wp:extent cx="2095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7198995</wp:posOffset>
            </wp:positionH>
            <wp:positionV relativeFrom="paragraph">
              <wp:posOffset>-29210</wp:posOffset>
            </wp:positionV>
            <wp:extent cx="381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8100" cy="29845"/>
                    </a:xfrm>
                    <a:prstGeom prst="rect">
                      <a:avLst/>
                    </a:prstGeom>
                    <a:noFill/>
                  </pic:spPr>
                </pic:pic>
              </a:graphicData>
            </a:graphic>
          </wp:anchor>
        </w:drawing>
      </w:r>
    </w:p>
    <w:p>
      <w:pPr>
        <w:sectPr>
          <w:pgSz w:w="11900" w:h="16838" w:orient="portrait"/>
          <w:cols w:equalWidth="0" w:num="1">
            <w:col w:w="11420"/>
          </w:cols>
          <w:pgMar w:left="240" w:top="456"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Outstanding Debt - Joint Venture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60" w:type="dxa"/>
            <w:vAlign w:val="bottom"/>
            <w:gridSpan w:val="2"/>
          </w:tcPr>
          <w:p>
            <w:pPr>
              <w:jc w:val="center"/>
              <w:ind w:right="640"/>
              <w:spacing w:after="0"/>
              <w:rPr>
                <w:sz w:val="20"/>
                <w:szCs w:val="20"/>
                <w:color w:val="auto"/>
              </w:rPr>
            </w:pPr>
            <w:r>
              <w:rPr>
                <w:rFonts w:ascii="Arial" w:cs="Arial" w:eastAsia="Arial" w:hAnsi="Arial"/>
                <w:sz w:val="13"/>
                <w:szCs w:val="13"/>
                <w:b w:val="1"/>
                <w:bCs w:val="1"/>
                <w:color w:val="auto"/>
                <w:w w:val="92"/>
              </w:rPr>
              <w:t>Interest Rate as of</w:t>
            </w:r>
          </w:p>
        </w:tc>
        <w:tc>
          <w:tcPr>
            <w:tcW w:w="110" w:type="dxa"/>
            <w:vAlign w:val="bottom"/>
          </w:tcPr>
          <w:p>
            <w:pPr>
              <w:spacing w:after="0"/>
              <w:rPr>
                <w:sz w:val="13"/>
                <w:szCs w:val="13"/>
                <w:color w:val="auto"/>
              </w:rPr>
            </w:pPr>
          </w:p>
        </w:tc>
        <w:tc>
          <w:tcPr>
            <w:tcW w:w="71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rPr>
              <w:t>Maturity</w:t>
            </w:r>
          </w:p>
        </w:tc>
        <w:tc>
          <w:tcPr>
            <w:tcW w:w="1760" w:type="dxa"/>
            <w:vAlign w:val="bottom"/>
            <w:gridSpan w:val="2"/>
          </w:tcPr>
          <w:p>
            <w:pPr>
              <w:jc w:val="center"/>
              <w:ind w:right="640"/>
              <w:spacing w:after="0"/>
              <w:rPr>
                <w:sz w:val="20"/>
                <w:szCs w:val="20"/>
                <w:color w:val="auto"/>
              </w:rPr>
            </w:pPr>
            <w:r>
              <w:rPr>
                <w:rFonts w:ascii="Arial" w:cs="Arial" w:eastAsia="Arial" w:hAnsi="Arial"/>
                <w:sz w:val="13"/>
                <w:szCs w:val="13"/>
                <w:b w:val="1"/>
                <w:bCs w:val="1"/>
                <w:color w:val="auto"/>
                <w:w w:val="92"/>
              </w:rPr>
              <w:t>September 30, 2004</w:t>
            </w:r>
          </w:p>
        </w:tc>
        <w:tc>
          <w:tcPr>
            <w:tcW w:w="110" w:type="dxa"/>
            <w:vAlign w:val="bottom"/>
          </w:tcPr>
          <w:p>
            <w:pPr>
              <w:spacing w:after="0"/>
              <w:rPr>
                <w:sz w:val="15"/>
                <w:szCs w:val="15"/>
                <w:color w:val="auto"/>
              </w:rPr>
            </w:pPr>
          </w:p>
        </w:tc>
        <w:tc>
          <w:tcPr>
            <w:tcW w:w="730" w:type="dxa"/>
            <w:vAlign w:val="bottom"/>
            <w:gridSpan w:val="2"/>
          </w:tcPr>
          <w:p>
            <w:pPr>
              <w:ind w:left="70"/>
              <w:spacing w:after="0"/>
              <w:rPr>
                <w:sz w:val="20"/>
                <w:szCs w:val="20"/>
                <w:color w:val="auto"/>
              </w:rPr>
            </w:pPr>
            <w:r>
              <w:rPr>
                <w:rFonts w:ascii="Arial" w:cs="Arial" w:eastAsia="Arial" w:hAnsi="Arial"/>
                <w:sz w:val="13"/>
                <w:szCs w:val="13"/>
                <w:b w:val="1"/>
                <w:bCs w:val="1"/>
                <w:color w:val="auto"/>
              </w:rPr>
              <w:t>Balance</w:t>
            </w:r>
          </w:p>
        </w:tc>
        <w:tc>
          <w:tcPr>
            <w:tcW w:w="0" w:type="dxa"/>
            <w:vAlign w:val="bottom"/>
          </w:tcPr>
          <w:p>
            <w:pPr>
              <w:spacing w:after="0"/>
              <w:rPr>
                <w:sz w:val="1"/>
                <w:szCs w:val="1"/>
                <w:color w:val="auto"/>
              </w:rPr>
            </w:pPr>
          </w:p>
        </w:tc>
      </w:tr>
      <w:tr>
        <w:trPr>
          <w:trHeight w:val="94"/>
        </w:trPr>
        <w:tc>
          <w:tcPr>
            <w:tcW w:w="12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122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w w:val="91"/>
              </w:rPr>
              <w:t>(in thousands)</w:t>
            </w:r>
          </w:p>
        </w:tc>
        <w:tc>
          <w:tcPr>
            <w:tcW w:w="0" w:type="dxa"/>
            <w:vAlign w:val="bottom"/>
          </w:tcPr>
          <w:p>
            <w:pPr>
              <w:spacing w:after="0"/>
              <w:rPr>
                <w:sz w:val="1"/>
                <w:szCs w:val="1"/>
                <w:color w:val="auto"/>
              </w:rPr>
            </w:pPr>
          </w:p>
        </w:tc>
      </w:tr>
      <w:tr>
        <w:trPr>
          <w:trHeight w:val="174"/>
        </w:trPr>
        <w:tc>
          <w:tcPr>
            <w:tcW w:w="7700" w:type="dxa"/>
            <w:vAlign w:val="bottom"/>
            <w:gridSpan w:val="2"/>
            <w:shd w:val="clear" w:color="auto" w:fill="CCEEFF"/>
          </w:tcPr>
          <w:p>
            <w:pPr>
              <w:spacing w:after="0" w:line="174" w:lineRule="exact"/>
              <w:rPr>
                <w:sz w:val="20"/>
                <w:szCs w:val="20"/>
                <w:color w:val="auto"/>
              </w:rPr>
            </w:pPr>
            <w:r>
              <w:rPr>
                <w:rFonts w:ascii="Arial" w:cs="Arial" w:eastAsia="Arial" w:hAnsi="Arial"/>
                <w:sz w:val="17"/>
                <w:szCs w:val="17"/>
                <w:b w:val="1"/>
                <w:bCs w:val="1"/>
                <w:color w:val="auto"/>
              </w:rPr>
              <w:t>Mortgage Loans</w:t>
            </w:r>
          </w:p>
        </w:tc>
        <w:tc>
          <w:tcPr>
            <w:tcW w:w="6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1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auto"/>
            </w:tcBorders>
            <w:shd w:val="clear" w:color="auto" w:fill="CCEEFF"/>
          </w:tcPr>
          <w:p>
            <w:pPr>
              <w:spacing w:after="0" w:line="20" w:lineRule="exact"/>
              <w:rPr>
                <w:sz w:val="1"/>
                <w:szCs w:val="1"/>
                <w:color w:val="auto"/>
              </w:rPr>
            </w:pPr>
          </w:p>
        </w:tc>
        <w:tc>
          <w:tcPr>
            <w:tcW w:w="6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10" w:type="dxa"/>
            <w:vAlign w:val="bottom"/>
            <w:tcBorders>
              <w:top w:val="single" w:sz="8" w:color="CCEEFF"/>
            </w:tcBorders>
            <w:shd w:val="clear" w:color="auto" w:fill="CCEEFF"/>
          </w:tcPr>
          <w:p>
            <w:pPr>
              <w:spacing w:after="0" w:line="20" w:lineRule="exact"/>
              <w:rPr>
                <w:sz w:val="1"/>
                <w:szCs w:val="1"/>
                <w:color w:val="auto"/>
              </w:rPr>
            </w:pPr>
          </w:p>
        </w:tc>
        <w:tc>
          <w:tcPr>
            <w:tcW w:w="71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700" w:type="dxa"/>
            <w:vAlign w:val="bottom"/>
            <w:gridSpan w:val="2"/>
          </w:tcPr>
          <w:p>
            <w:pPr>
              <w:ind w:left="440"/>
              <w:spacing w:after="0"/>
              <w:rPr>
                <w:sz w:val="20"/>
                <w:szCs w:val="20"/>
                <w:color w:val="auto"/>
              </w:rPr>
            </w:pPr>
            <w:r>
              <w:rPr>
                <w:rFonts w:ascii="Arial" w:cs="Arial" w:eastAsia="Arial" w:hAnsi="Arial"/>
                <w:sz w:val="17"/>
                <w:szCs w:val="17"/>
                <w:i w:val="1"/>
                <w:iCs w:val="1"/>
                <w:color w:val="auto"/>
              </w:rPr>
              <w:t>Secured Fixed Rate</w:t>
            </w: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1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7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Plaza del Mercado</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93"/>
              </w:rPr>
              <w:t>07/05/14</w:t>
            </w:r>
          </w:p>
        </w:tc>
        <w:tc>
          <w:tcPr>
            <w:tcW w:w="17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5.770%</w:t>
            </w:r>
          </w:p>
        </w:tc>
        <w:tc>
          <w:tcPr>
            <w:tcW w:w="11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12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2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7700" w:type="dxa"/>
            <w:vAlign w:val="bottom"/>
            <w:gridSpan w:val="2"/>
            <w:shd w:val="clear" w:color="auto" w:fill="CCEEFF"/>
          </w:tcPr>
          <w:p>
            <w:pPr>
              <w:ind w:left="860"/>
              <w:spacing w:after="0"/>
              <w:rPr>
                <w:sz w:val="20"/>
                <w:szCs w:val="20"/>
                <w:color w:val="auto"/>
              </w:rPr>
            </w:pPr>
            <w:r>
              <w:rPr>
                <w:rFonts w:ascii="Arial" w:cs="Arial" w:eastAsia="Arial" w:hAnsi="Arial"/>
                <w:sz w:val="17"/>
                <w:szCs w:val="17"/>
                <w:b w:val="1"/>
                <w:bCs w:val="1"/>
                <w:color w:val="auto"/>
              </w:rPr>
              <w:t>Total Fixed Rate Debt</w:t>
            </w: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12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6731635</wp:posOffset>
            </wp:positionH>
            <wp:positionV relativeFrom="paragraph">
              <wp:posOffset>-29210</wp:posOffset>
            </wp:positionV>
            <wp:extent cx="1270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7241540</wp:posOffset>
            </wp:positionH>
            <wp:positionV relativeFrom="paragraph">
              <wp:posOffset>-29210</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6799580</wp:posOffset>
            </wp:positionH>
            <wp:positionV relativeFrom="paragraph">
              <wp:posOffset>-29210</wp:posOffset>
            </wp:positionV>
            <wp:extent cx="2095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0955" cy="29845"/>
                    </a:xfrm>
                    <a:prstGeom prst="rect">
                      <a:avLst/>
                    </a:prstGeom>
                    <a:noFill/>
                  </pic:spPr>
                </pic:pic>
              </a:graphicData>
            </a:graphic>
          </wp:anchor>
        </w:drawing>
      </w:r>
    </w:p>
    <w:p>
      <w:pPr>
        <w:sectPr>
          <w:pgSz w:w="11900" w:h="16838" w:orient="portrait"/>
          <w:cols w:equalWidth="0" w:num="1">
            <w:col w:w="11420"/>
          </w:cols>
          <w:pgMar w:left="240" w:top="456"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2004 Acquisitions and Dispositions - Joint Venture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Through September 30, 2004</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Acquisitions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60" w:type="dxa"/>
            <w:vAlign w:val="bottom"/>
            <w:gridSpan w:val="4"/>
          </w:tcPr>
          <w:p>
            <w:pPr>
              <w:spacing w:after="0"/>
              <w:rPr>
                <w:sz w:val="20"/>
                <w:szCs w:val="20"/>
                <w:color w:val="auto"/>
              </w:rPr>
            </w:pPr>
            <w:r>
              <w:rPr>
                <w:rFonts w:ascii="Arial" w:cs="Arial" w:eastAsia="Arial" w:hAnsi="Arial"/>
                <w:sz w:val="13"/>
                <w:szCs w:val="13"/>
                <w:b w:val="1"/>
                <w:bCs w:val="1"/>
                <w:color w:val="auto"/>
              </w:rPr>
              <w:t>Date</w:t>
            </w:r>
          </w:p>
        </w:tc>
        <w:tc>
          <w:tcPr>
            <w:tcW w:w="560" w:type="dxa"/>
            <w:vAlign w:val="bottom"/>
          </w:tcPr>
          <w:p>
            <w:pPr>
              <w:spacing w:after="0"/>
              <w:rPr>
                <w:sz w:val="15"/>
                <w:szCs w:val="15"/>
                <w:color w:val="auto"/>
              </w:rPr>
            </w:pPr>
          </w:p>
        </w:tc>
        <w:tc>
          <w:tcPr>
            <w:tcW w:w="2040" w:type="dxa"/>
            <w:vAlign w:val="bottom"/>
          </w:tcPr>
          <w:p>
            <w:pPr>
              <w:ind w:left="760"/>
              <w:spacing w:after="0"/>
              <w:rPr>
                <w:sz w:val="20"/>
                <w:szCs w:val="20"/>
                <w:color w:val="auto"/>
              </w:rPr>
            </w:pPr>
            <w:r>
              <w:rPr>
                <w:rFonts w:ascii="Arial" w:cs="Arial" w:eastAsia="Arial" w:hAnsi="Arial"/>
                <w:sz w:val="13"/>
                <w:szCs w:val="13"/>
                <w:b w:val="1"/>
                <w:bCs w:val="1"/>
                <w:color w:val="auto"/>
              </w:rPr>
              <w:t>Property</w:t>
            </w:r>
          </w:p>
        </w:tc>
        <w:tc>
          <w:tcPr>
            <w:tcW w:w="220" w:type="dxa"/>
            <w:vAlign w:val="bottom"/>
          </w:tcPr>
          <w:p>
            <w:pPr>
              <w:spacing w:after="0"/>
              <w:rPr>
                <w:sz w:val="15"/>
                <w:szCs w:val="15"/>
                <w:color w:val="auto"/>
              </w:rPr>
            </w:pPr>
          </w:p>
        </w:tc>
        <w:tc>
          <w:tcPr>
            <w:tcW w:w="2040" w:type="dxa"/>
            <w:vAlign w:val="bottom"/>
          </w:tcPr>
          <w:p>
            <w:pPr>
              <w:ind w:left="720"/>
              <w:spacing w:after="0"/>
              <w:rPr>
                <w:sz w:val="20"/>
                <w:szCs w:val="20"/>
                <w:color w:val="auto"/>
              </w:rPr>
            </w:pPr>
            <w:r>
              <w:rPr>
                <w:rFonts w:ascii="Arial" w:cs="Arial" w:eastAsia="Arial" w:hAnsi="Arial"/>
                <w:sz w:val="13"/>
                <w:szCs w:val="13"/>
                <w:b w:val="1"/>
                <w:bCs w:val="1"/>
                <w:color w:val="auto"/>
              </w:rPr>
              <w:t>City /State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GLA</w:t>
            </w:r>
          </w:p>
        </w:tc>
        <w:tc>
          <w:tcPr>
            <w:tcW w:w="200" w:type="dxa"/>
            <w:vAlign w:val="bottom"/>
          </w:tcPr>
          <w:p>
            <w:pPr>
              <w:spacing w:after="0"/>
              <w:rPr>
                <w:sz w:val="15"/>
                <w:szCs w:val="15"/>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90"/>
              </w:rPr>
              <w:t>Purchase price</w:t>
            </w:r>
          </w:p>
        </w:tc>
        <w:tc>
          <w:tcPr>
            <w:tcW w:w="2520" w:type="dxa"/>
            <w:vAlign w:val="bottom"/>
          </w:tcPr>
          <w:p>
            <w:pPr>
              <w:ind w:left="820"/>
              <w:spacing w:after="0"/>
              <w:rPr>
                <w:sz w:val="20"/>
                <w:szCs w:val="20"/>
                <w:color w:val="auto"/>
              </w:rPr>
            </w:pPr>
            <w:r>
              <w:rPr>
                <w:rFonts w:ascii="Arial" w:cs="Arial" w:eastAsia="Arial" w:hAnsi="Arial"/>
                <w:sz w:val="13"/>
                <w:szCs w:val="13"/>
                <w:b w:val="1"/>
                <w:bCs w:val="1"/>
                <w:color w:val="auto"/>
              </w:rPr>
              <w:t>Anchor tenants</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91"/>
              </w:rPr>
              <w:t>(in thousands)</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9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July 1, 2004</w:t>
            </w:r>
          </w:p>
        </w:tc>
        <w:tc>
          <w:tcPr>
            <w:tcW w:w="26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Plaza del Mercado(1)</w:t>
            </w:r>
          </w:p>
        </w:tc>
        <w:tc>
          <w:tcPr>
            <w:tcW w:w="22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Silver Spring, MD</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96,000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20,578</w:t>
            </w: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7"/>
                <w:szCs w:val="17"/>
                <w:color w:val="auto"/>
              </w:rPr>
              <w:t>Giant Food, CVS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7"/>
                <w:szCs w:val="17"/>
                <w:color w:val="auto"/>
              </w:rPr>
              <w:t>Roche Brothers Supermarket,</w:t>
            </w:r>
          </w:p>
        </w:tc>
        <w:tc>
          <w:tcPr>
            <w:tcW w:w="0" w:type="dxa"/>
            <w:vAlign w:val="bottom"/>
          </w:tcPr>
          <w:p>
            <w:pPr>
              <w:spacing w:after="0"/>
              <w:rPr>
                <w:sz w:val="1"/>
                <w:szCs w:val="1"/>
                <w:color w:val="auto"/>
              </w:rPr>
            </w:pPr>
          </w:p>
        </w:tc>
      </w:tr>
      <w:tr>
        <w:trPr>
          <w:trHeight w:val="221"/>
        </w:trPr>
        <w:tc>
          <w:tcPr>
            <w:tcW w:w="1960" w:type="dxa"/>
            <w:vAlign w:val="bottom"/>
            <w:gridSpan w:val="4"/>
          </w:tcPr>
          <w:p>
            <w:pPr>
              <w:spacing w:after="0"/>
              <w:rPr>
                <w:sz w:val="20"/>
                <w:szCs w:val="20"/>
                <w:color w:val="auto"/>
              </w:rPr>
            </w:pPr>
            <w:r>
              <w:rPr>
                <w:rFonts w:ascii="Arial" w:cs="Arial" w:eastAsia="Arial" w:hAnsi="Arial"/>
                <w:sz w:val="17"/>
                <w:szCs w:val="17"/>
                <w:color w:val="auto"/>
              </w:rPr>
              <w:t>September 20, 2004</w:t>
            </w:r>
          </w:p>
        </w:tc>
        <w:tc>
          <w:tcPr>
            <w:tcW w:w="2600" w:type="dxa"/>
            <w:vAlign w:val="bottom"/>
            <w:gridSpan w:val="2"/>
          </w:tcPr>
          <w:p>
            <w:pPr>
              <w:ind w:left="560"/>
              <w:spacing w:after="0"/>
              <w:rPr>
                <w:sz w:val="20"/>
                <w:szCs w:val="20"/>
                <w:color w:val="auto"/>
              </w:rPr>
            </w:pPr>
            <w:r>
              <w:rPr>
                <w:rFonts w:ascii="Arial" w:cs="Arial" w:eastAsia="Arial" w:hAnsi="Arial"/>
                <w:sz w:val="17"/>
                <w:szCs w:val="17"/>
                <w:color w:val="auto"/>
              </w:rPr>
              <w:t>Campus Plaza</w:t>
            </w:r>
          </w:p>
        </w:tc>
        <w:tc>
          <w:tcPr>
            <w:tcW w:w="2260" w:type="dxa"/>
            <w:vAlign w:val="bottom"/>
            <w:gridSpan w:val="2"/>
          </w:tcPr>
          <w:p>
            <w:pPr>
              <w:ind w:left="220"/>
              <w:spacing w:after="0"/>
              <w:rPr>
                <w:sz w:val="20"/>
                <w:szCs w:val="20"/>
                <w:color w:val="auto"/>
              </w:rPr>
            </w:pPr>
            <w:r>
              <w:rPr>
                <w:rFonts w:ascii="Arial" w:cs="Arial" w:eastAsia="Arial" w:hAnsi="Arial"/>
                <w:sz w:val="17"/>
                <w:szCs w:val="17"/>
                <w:color w:val="auto"/>
              </w:rPr>
              <w:t>Bridgewater, MA</w:t>
            </w:r>
          </w:p>
        </w:tc>
        <w:tc>
          <w:tcPr>
            <w:tcW w:w="800" w:type="dxa"/>
            <w:vAlign w:val="bottom"/>
            <w:gridSpan w:val="4"/>
          </w:tcPr>
          <w:p>
            <w:pPr>
              <w:jc w:val="right"/>
              <w:ind w:right="20"/>
              <w:spacing w:after="0"/>
              <w:rPr>
                <w:sz w:val="20"/>
                <w:szCs w:val="20"/>
                <w:color w:val="auto"/>
              </w:rPr>
            </w:pPr>
            <w:r>
              <w:rPr>
                <w:rFonts w:ascii="Arial" w:cs="Arial" w:eastAsia="Arial" w:hAnsi="Arial"/>
                <w:sz w:val="17"/>
                <w:szCs w:val="17"/>
                <w:color w:val="auto"/>
              </w:rPr>
              <w:t>121,000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17,725</w:t>
            </w:r>
          </w:p>
        </w:tc>
        <w:tc>
          <w:tcPr>
            <w:tcW w:w="2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7"/>
                <w:szCs w:val="17"/>
                <w:color w:val="auto"/>
              </w:rPr>
              <w:t>Burlington Coat Factory</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9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September 20, 2004</w:t>
            </w:r>
          </w:p>
        </w:tc>
        <w:tc>
          <w:tcPr>
            <w:tcW w:w="26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Pleasant Shops</w:t>
            </w:r>
          </w:p>
        </w:tc>
        <w:tc>
          <w:tcPr>
            <w:tcW w:w="22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Weymouth, MA</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128,000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20,275</w:t>
            </w: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7"/>
                <w:szCs w:val="17"/>
                <w:color w:val="auto"/>
                <w:w w:val="90"/>
              </w:rPr>
              <w:t>Foodmaster Supermarket, Marshalls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Total</w:t>
            </w: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345,000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58,578</w:t>
            </w:r>
          </w:p>
        </w:tc>
        <w:tc>
          <w:tcPr>
            <w:tcW w:w="2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4463415</wp:posOffset>
            </wp:positionH>
            <wp:positionV relativeFrom="paragraph">
              <wp:posOffset>-171450</wp:posOffset>
            </wp:positionV>
            <wp:extent cx="104902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049020" cy="2984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6" w:lineRule="exact"/>
        <w:rPr>
          <w:sz w:val="20"/>
          <w:szCs w:val="20"/>
          <w:color w:val="auto"/>
        </w:rPr>
      </w:pPr>
    </w:p>
    <w:p>
      <w:pPr>
        <w:ind w:left="460" w:hanging="453"/>
        <w:spacing w:after="0"/>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On July 1, 2004, we contributed Plaza del Mercado to a newly formed joint venture in which we own 30% of the equity.</w:t>
      </w:r>
    </w:p>
    <w:p>
      <w:pPr>
        <w:sectPr>
          <w:pgSz w:w="11900" w:h="16838" w:orient="portrait"/>
          <w:cols w:equalWidth="0" w:num="1">
            <w:col w:w="11420"/>
          </w:cols>
          <w:pgMar w:left="240" w:top="456"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 - Joint Venture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30, 2004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Mortgage or</w:t>
            </w:r>
          </w:p>
        </w:tc>
        <w:tc>
          <w:tcPr>
            <w:tcW w:w="20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3"/>
                <w:szCs w:val="13"/>
                <w:b w:val="1"/>
                <w:bCs w:val="1"/>
                <w:color w:val="auto"/>
                <w:w w:val="92"/>
              </w:rPr>
              <w:t>Grocery</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320"/>
              <w:spacing w:after="0" w:line="148" w:lineRule="exact"/>
              <w:rPr>
                <w:sz w:val="20"/>
                <w:szCs w:val="20"/>
                <w:color w:val="auto"/>
              </w:rPr>
            </w:pPr>
            <w:r>
              <w:rPr>
                <w:rFonts w:ascii="Arial" w:cs="Arial" w:eastAsia="Arial" w:hAnsi="Arial"/>
                <w:sz w:val="13"/>
                <w:szCs w:val="13"/>
                <w:b w:val="1"/>
                <w:bCs w:val="1"/>
                <w:color w:val="auto"/>
              </w:rPr>
              <w:t>Year</w:t>
            </w:r>
          </w:p>
        </w:tc>
        <w:tc>
          <w:tcPr>
            <w:tcW w:w="820" w:type="dxa"/>
            <w:vAlign w:val="bottom"/>
          </w:tcPr>
          <w:p>
            <w:pPr>
              <w:jc w:val="right"/>
              <w:ind w:right="182"/>
              <w:spacing w:after="0" w:line="148" w:lineRule="exact"/>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Capital Lease</w:t>
            </w:r>
          </w:p>
        </w:tc>
        <w:tc>
          <w:tcPr>
            <w:tcW w:w="200" w:type="dxa"/>
            <w:vAlign w:val="bottom"/>
          </w:tcPr>
          <w:p>
            <w:pPr>
              <w:spacing w:after="0"/>
              <w:rPr>
                <w:sz w:val="12"/>
                <w:szCs w:val="12"/>
                <w:color w:val="auto"/>
              </w:rPr>
            </w:pPr>
          </w:p>
        </w:tc>
        <w:tc>
          <w:tcPr>
            <w:tcW w:w="480" w:type="dxa"/>
            <w:vAlign w:val="bottom"/>
          </w:tcPr>
          <w:p>
            <w:pPr>
              <w:ind w:left="20"/>
              <w:spacing w:after="0" w:line="148" w:lineRule="exact"/>
              <w:rPr>
                <w:sz w:val="20"/>
                <w:szCs w:val="20"/>
                <w:color w:val="auto"/>
              </w:rPr>
            </w:pPr>
            <w:r>
              <w:rPr>
                <w:rFonts w:ascii="Arial" w:cs="Arial" w:eastAsia="Arial" w:hAnsi="Arial"/>
                <w:sz w:val="13"/>
                <w:szCs w:val="13"/>
                <w:b w:val="1"/>
                <w:bCs w:val="1"/>
                <w:color w:val="auto"/>
                <w:w w:val="96"/>
              </w:rPr>
              <w:t>Anchor</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60" w:type="dxa"/>
            <w:vAlign w:val="bottom"/>
            <w:gridSpan w:val="10"/>
          </w:tcPr>
          <w:p>
            <w:pPr>
              <w:spacing w:after="0"/>
              <w:rPr>
                <w:sz w:val="20"/>
                <w:szCs w:val="20"/>
                <w:color w:val="auto"/>
              </w:rPr>
            </w:pPr>
            <w:r>
              <w:rPr>
                <w:rFonts w:ascii="Arial" w:cs="Arial" w:eastAsia="Arial" w:hAnsi="Arial"/>
                <w:sz w:val="13"/>
                <w:szCs w:val="13"/>
                <w:b w:val="1"/>
                <w:bCs w:val="1"/>
                <w:color w:val="auto"/>
              </w:rPr>
              <w:t>Property Name</w:t>
            </w:r>
          </w:p>
        </w:tc>
        <w:tc>
          <w:tcPr>
            <w:tcW w:w="980" w:type="dxa"/>
            <w:vAlign w:val="bottom"/>
          </w:tcPr>
          <w:p>
            <w:pPr>
              <w:spacing w:after="0"/>
              <w:rPr>
                <w:sz w:val="20"/>
                <w:szCs w:val="20"/>
                <w:color w:val="auto"/>
              </w:rPr>
            </w:pPr>
            <w:r>
              <w:rPr>
                <w:rFonts w:ascii="Arial" w:cs="Arial" w:eastAsia="Arial" w:hAnsi="Arial"/>
                <w:sz w:val="13"/>
                <w:szCs w:val="13"/>
                <w:b w:val="1"/>
                <w:bCs w:val="1"/>
                <w:color w:val="auto"/>
                <w:w w:val="92"/>
              </w:rPr>
              <w:t>MSA Description</w:t>
            </w:r>
          </w:p>
        </w:tc>
        <w:tc>
          <w:tcPr>
            <w:tcW w:w="20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8"/>
              </w:rPr>
              <w:t>Acquired</w:t>
            </w:r>
          </w:p>
        </w:tc>
        <w:tc>
          <w:tcPr>
            <w:tcW w:w="820" w:type="dxa"/>
            <w:vAlign w:val="bottom"/>
          </w:tcPr>
          <w:p>
            <w:pPr>
              <w:jc w:val="right"/>
              <w:ind w:right="22"/>
              <w:spacing w:after="0"/>
              <w:rPr>
                <w:sz w:val="20"/>
                <w:szCs w:val="20"/>
                <w:color w:val="auto"/>
              </w:rPr>
            </w:pPr>
            <w:r>
              <w:rPr>
                <w:rFonts w:ascii="Arial" w:cs="Arial" w:eastAsia="Arial" w:hAnsi="Arial"/>
                <w:sz w:val="13"/>
                <w:szCs w:val="13"/>
                <w:b w:val="1"/>
                <w:bCs w:val="1"/>
                <w:color w:val="auto"/>
              </w:rPr>
              <w:t>Investment</w:t>
            </w:r>
          </w:p>
        </w:tc>
        <w:tc>
          <w:tcPr>
            <w:tcW w:w="180" w:type="dxa"/>
            <w:vAlign w:val="bottom"/>
          </w:tcPr>
          <w:p>
            <w:pPr>
              <w:spacing w:after="0"/>
              <w:rPr>
                <w:sz w:val="15"/>
                <w:szCs w:val="15"/>
                <w:color w:val="auto"/>
              </w:rPr>
            </w:pPr>
          </w:p>
        </w:tc>
        <w:tc>
          <w:tcPr>
            <w:tcW w:w="760" w:type="dxa"/>
            <w:vAlign w:val="bottom"/>
            <w:gridSpan w:val="2"/>
          </w:tcPr>
          <w:p>
            <w:pPr>
              <w:ind w:left="140"/>
              <w:spacing w:after="0"/>
              <w:rPr>
                <w:sz w:val="20"/>
                <w:szCs w:val="20"/>
                <w:color w:val="auto"/>
              </w:rPr>
            </w:pPr>
            <w:r>
              <w:rPr>
                <w:rFonts w:ascii="Arial" w:cs="Arial" w:eastAsia="Arial" w:hAnsi="Arial"/>
                <w:sz w:val="13"/>
                <w:szCs w:val="13"/>
                <w:b w:val="1"/>
                <w:bCs w:val="1"/>
                <w:color w:val="auto"/>
              </w:rPr>
              <w:t>GLA</w:t>
            </w:r>
          </w:p>
        </w:tc>
        <w:tc>
          <w:tcPr>
            <w:tcW w:w="9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3"/>
              </w:rPr>
              <w:t>% Leased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3"/>
              </w:rPr>
              <w:t>Obligation</w:t>
            </w:r>
          </w:p>
        </w:tc>
        <w:tc>
          <w:tcPr>
            <w:tcW w:w="20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Arial" w:cs="Arial" w:eastAsia="Arial" w:hAnsi="Arial"/>
                <w:sz w:val="13"/>
                <w:szCs w:val="13"/>
                <w:b w:val="1"/>
                <w:bCs w:val="1"/>
                <w:color w:val="auto"/>
                <w:w w:val="97"/>
              </w:rPr>
              <w:t>GLA (1)</w:t>
            </w:r>
          </w:p>
        </w:tc>
        <w:tc>
          <w:tcPr>
            <w:tcW w:w="18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b w:val="1"/>
                <w:bCs w:val="1"/>
                <w:color w:val="auto"/>
                <w:w w:val="92"/>
              </w:rPr>
              <w:t>Grocery Anchor (1)</w:t>
            </w:r>
          </w:p>
        </w:tc>
        <w:tc>
          <w:tcPr>
            <w:tcW w:w="200" w:type="dxa"/>
            <w:vAlign w:val="bottom"/>
          </w:tcPr>
          <w:p>
            <w:pPr>
              <w:spacing w:after="0"/>
              <w:rPr>
                <w:sz w:val="15"/>
                <w:szCs w:val="15"/>
                <w:color w:val="auto"/>
              </w:rPr>
            </w:pPr>
          </w:p>
        </w:tc>
        <w:tc>
          <w:tcPr>
            <w:tcW w:w="1400" w:type="dxa"/>
            <w:vAlign w:val="bottom"/>
          </w:tcPr>
          <w:p>
            <w:pPr>
              <w:ind w:left="20"/>
              <w:spacing w:after="0"/>
              <w:rPr>
                <w:sz w:val="20"/>
                <w:szCs w:val="20"/>
                <w:color w:val="auto"/>
              </w:rPr>
            </w:pPr>
            <w:r>
              <w:rPr>
                <w:rFonts w:ascii="Arial" w:cs="Arial" w:eastAsia="Arial" w:hAnsi="Arial"/>
                <w:sz w:val="13"/>
                <w:szCs w:val="13"/>
                <w:b w:val="1"/>
                <w:bCs w:val="1"/>
                <w:color w:val="auto"/>
                <w:w w:val="92"/>
              </w:rPr>
              <w:t>Other Principal Tenants</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89"/>
              </w:rPr>
              <w:t>(in thousands)</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9"/>
              </w:rPr>
              <w:t>(in thousands)</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520" w:type="dxa"/>
            <w:vAlign w:val="bottom"/>
            <w:tcBorders>
              <w:bottom w:val="single" w:sz="8" w:color="auto"/>
            </w:tcBorders>
            <w:gridSpan w:val="7"/>
            <w:shd w:val="clear" w:color="auto" w:fill="CCEEFF"/>
          </w:tcPr>
          <w:p>
            <w:pPr>
              <w:spacing w:after="0" w:line="174" w:lineRule="exact"/>
              <w:rPr>
                <w:sz w:val="20"/>
                <w:szCs w:val="20"/>
                <w:color w:val="auto"/>
              </w:rPr>
            </w:pPr>
            <w:r>
              <w:rPr>
                <w:rFonts w:ascii="Arial" w:cs="Arial" w:eastAsia="Arial" w:hAnsi="Arial"/>
                <w:sz w:val="17"/>
                <w:szCs w:val="17"/>
                <w:b w:val="1"/>
                <w:bCs w:val="1"/>
                <w:color w:val="auto"/>
                <w:w w:val="93"/>
              </w:rPr>
              <w:t>Mid-Atlantic Region</w:t>
            </w:r>
          </w:p>
        </w:tc>
        <w:tc>
          <w:tcPr>
            <w:tcW w:w="920" w:type="dxa"/>
            <w:vAlign w:val="bottom"/>
            <w:tcBorders>
              <w:bottom w:val="single" w:sz="8" w:color="CCEEFF"/>
            </w:tcBorders>
            <w:gridSpan w:val="2"/>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2460" w:type="dxa"/>
            <w:vAlign w:val="bottom"/>
            <w:gridSpan w:val="10"/>
          </w:tcPr>
          <w:p>
            <w:pPr>
              <w:spacing w:after="0"/>
              <w:rPr>
                <w:sz w:val="20"/>
                <w:szCs w:val="20"/>
                <w:color w:val="auto"/>
              </w:rPr>
            </w:pPr>
            <w:r>
              <w:rPr>
                <w:rFonts w:ascii="Arial" w:cs="Arial" w:eastAsia="Arial" w:hAnsi="Arial"/>
                <w:sz w:val="17"/>
                <w:szCs w:val="17"/>
                <w:b w:val="1"/>
                <w:bCs w:val="1"/>
                <w:color w:val="auto"/>
              </w:rPr>
              <w:t>Washington Metropolitan</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7"/>
          </w:tcPr>
          <w:p>
            <w:pPr>
              <w:spacing w:after="0" w:line="194" w:lineRule="exact"/>
              <w:rPr>
                <w:sz w:val="20"/>
                <w:szCs w:val="20"/>
                <w:color w:val="auto"/>
              </w:rPr>
            </w:pPr>
            <w:r>
              <w:rPr>
                <w:rFonts w:ascii="Arial" w:cs="Arial" w:eastAsia="Arial" w:hAnsi="Arial"/>
                <w:sz w:val="17"/>
                <w:szCs w:val="17"/>
                <w:b w:val="1"/>
                <w:bCs w:val="1"/>
                <w:color w:val="auto"/>
              </w:rPr>
              <w:t>Area</w:t>
            </w: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2440" w:type="dxa"/>
            <w:vAlign w:val="bottom"/>
            <w:gridSpan w:val="9"/>
            <w:shd w:val="clear" w:color="auto" w:fill="CCEEFF"/>
          </w:tcPr>
          <w:p>
            <w:pPr>
              <w:spacing w:after="0"/>
              <w:rPr>
                <w:sz w:val="20"/>
                <w:szCs w:val="20"/>
                <w:color w:val="auto"/>
              </w:rPr>
            </w:pPr>
            <w:r>
              <w:rPr>
                <w:rFonts w:ascii="Arial" w:cs="Arial" w:eastAsia="Arial" w:hAnsi="Arial"/>
                <w:sz w:val="17"/>
                <w:szCs w:val="17"/>
                <w:color w:val="auto"/>
              </w:rPr>
              <w:t>Plaza del Mercado</w:t>
            </w:r>
          </w:p>
        </w:tc>
        <w:tc>
          <w:tcPr>
            <w:tcW w:w="980" w:type="dxa"/>
            <w:vAlign w:val="bottom"/>
            <w:shd w:val="clear" w:color="auto" w:fill="CCEEFF"/>
          </w:tcPr>
          <w:p>
            <w:pPr>
              <w:spacing w:after="0"/>
              <w:rPr>
                <w:sz w:val="20"/>
                <w:szCs w:val="20"/>
                <w:color w:val="auto"/>
              </w:rPr>
            </w:pPr>
            <w:r>
              <w:rPr>
                <w:rFonts w:ascii="Arial" w:cs="Arial" w:eastAsia="Arial" w:hAnsi="Arial"/>
                <w:sz w:val="17"/>
                <w:szCs w:val="17"/>
                <w:color w:val="auto"/>
              </w:rPr>
              <w:t>Washington,</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7"/>
                <w:szCs w:val="17"/>
                <w:color w:val="auto"/>
              </w:rPr>
              <w:t>DC-MD-VA</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2004</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20,728</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96,000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96%</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13,325</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8"/>
              </w:rPr>
              <w:t>25,000</w:t>
            </w: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Giant Food</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CVS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96,000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96%</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7"/>
                <w:szCs w:val="17"/>
                <w:b w:val="1"/>
                <w:bCs w:val="1"/>
                <w:color w:val="auto"/>
              </w:rPr>
              <w:t>Total Mid-</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7"/>
                <w:szCs w:val="17"/>
                <w:b w:val="1"/>
                <w:bCs w:val="1"/>
                <w:color w:val="auto"/>
              </w:rPr>
              <w:t>Atlantic</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Arial" w:cs="Arial" w:eastAsia="Arial" w:hAnsi="Arial"/>
                <w:sz w:val="17"/>
                <w:szCs w:val="17"/>
                <w:b w:val="1"/>
                <w:bCs w:val="1"/>
                <w:color w:val="auto"/>
              </w:rPr>
              <w:t>Region</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7"/>
                <w:szCs w:val="17"/>
                <w:color w:val="auto"/>
              </w:rPr>
              <w:t>96,000</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96%</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2440" w:type="dxa"/>
            <w:vAlign w:val="bottom"/>
            <w:gridSpan w:val="9"/>
            <w:shd w:val="clear" w:color="auto" w:fill="CCEEFF"/>
          </w:tcPr>
          <w:p>
            <w:pPr>
              <w:spacing w:after="0" w:line="174" w:lineRule="exact"/>
              <w:rPr>
                <w:sz w:val="20"/>
                <w:szCs w:val="20"/>
                <w:color w:val="auto"/>
              </w:rPr>
            </w:pPr>
            <w:r>
              <w:rPr>
                <w:rFonts w:ascii="Arial" w:cs="Arial" w:eastAsia="Arial" w:hAnsi="Arial"/>
                <w:sz w:val="17"/>
                <w:szCs w:val="17"/>
                <w:b w:val="1"/>
                <w:bCs w:val="1"/>
                <w:color w:val="auto"/>
              </w:rPr>
              <w:t>Northeast Region</w:t>
            </w: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460" w:type="dxa"/>
            <w:vAlign w:val="bottom"/>
            <w:gridSpan w:val="10"/>
          </w:tcPr>
          <w:p>
            <w:pPr>
              <w:spacing w:after="0"/>
              <w:rPr>
                <w:sz w:val="20"/>
                <w:szCs w:val="20"/>
                <w:color w:val="auto"/>
              </w:rPr>
            </w:pPr>
            <w:r>
              <w:rPr>
                <w:rFonts w:ascii="Arial" w:cs="Arial" w:eastAsia="Arial" w:hAnsi="Arial"/>
                <w:sz w:val="17"/>
                <w:szCs w:val="17"/>
                <w:b w:val="1"/>
                <w:bCs w:val="1"/>
                <w:color w:val="auto"/>
              </w:rPr>
              <w:t>New England</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2440" w:type="dxa"/>
            <w:vAlign w:val="bottom"/>
            <w:gridSpan w:val="9"/>
            <w:shd w:val="clear" w:color="auto" w:fill="CCEEFF"/>
          </w:tcPr>
          <w:p>
            <w:pPr>
              <w:spacing w:after="0"/>
              <w:rPr>
                <w:sz w:val="20"/>
                <w:szCs w:val="20"/>
                <w:color w:val="auto"/>
              </w:rPr>
            </w:pPr>
            <w:r>
              <w:rPr>
                <w:rFonts w:ascii="Arial" w:cs="Arial" w:eastAsia="Arial" w:hAnsi="Arial"/>
                <w:sz w:val="17"/>
                <w:szCs w:val="17"/>
                <w:color w:val="auto"/>
              </w:rPr>
              <w:t>Campus Plaza</w:t>
            </w:r>
          </w:p>
        </w:tc>
        <w:tc>
          <w:tcPr>
            <w:tcW w:w="980" w:type="dxa"/>
            <w:vAlign w:val="bottom"/>
            <w:shd w:val="clear" w:color="auto" w:fill="CCEEFF"/>
          </w:tcPr>
          <w:p>
            <w:pPr>
              <w:spacing w:after="0"/>
              <w:rPr>
                <w:sz w:val="20"/>
                <w:szCs w:val="20"/>
                <w:color w:val="auto"/>
              </w:rPr>
            </w:pPr>
            <w:r>
              <w:rPr>
                <w:rFonts w:ascii="Arial" w:cs="Arial" w:eastAsia="Arial" w:hAnsi="Arial"/>
                <w:sz w:val="17"/>
                <w:szCs w:val="17"/>
                <w:color w:val="auto"/>
              </w:rPr>
              <w:t>Boston-</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7"/>
                <w:szCs w:val="17"/>
                <w:color w:val="auto"/>
              </w:rPr>
              <w:t>Worcester-</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7"/>
                <w:szCs w:val="17"/>
                <w:color w:val="auto"/>
              </w:rPr>
              <w:t>Lawrence-</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7"/>
                <w:szCs w:val="17"/>
                <w:color w:val="auto"/>
              </w:rPr>
              <w:t>Lowell-</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Burlington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7"/>
                <w:szCs w:val="17"/>
                <w:color w:val="auto"/>
              </w:rPr>
              <w:t>Brockton,</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Roche</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Coat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7"/>
                <w:szCs w:val="17"/>
                <w:color w:val="auto"/>
              </w:rPr>
              <w:t>MA</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2004</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20,847</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121,000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95%</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8"/>
              </w:rPr>
              <w:t>46,000</w:t>
            </w:r>
          </w:p>
        </w:tc>
        <w:tc>
          <w:tcPr>
            <w:tcW w:w="13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Brothers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Factory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40" w:type="dxa"/>
            <w:vAlign w:val="bottom"/>
            <w:gridSpan w:val="9"/>
          </w:tcPr>
          <w:p>
            <w:pPr>
              <w:spacing w:after="0"/>
              <w:rPr>
                <w:sz w:val="20"/>
                <w:szCs w:val="20"/>
                <w:color w:val="auto"/>
              </w:rPr>
            </w:pPr>
            <w:r>
              <w:rPr>
                <w:rFonts w:ascii="Arial" w:cs="Arial" w:eastAsia="Arial" w:hAnsi="Arial"/>
                <w:sz w:val="17"/>
                <w:szCs w:val="17"/>
                <w:color w:val="auto"/>
              </w:rPr>
              <w:t>Pleasant Shops</w:t>
            </w:r>
          </w:p>
        </w:tc>
        <w:tc>
          <w:tcPr>
            <w:tcW w:w="980" w:type="dxa"/>
            <w:vAlign w:val="bottom"/>
          </w:tcPr>
          <w:p>
            <w:pPr>
              <w:spacing w:after="0"/>
              <w:rPr>
                <w:sz w:val="20"/>
                <w:szCs w:val="20"/>
                <w:color w:val="auto"/>
              </w:rPr>
            </w:pPr>
            <w:r>
              <w:rPr>
                <w:rFonts w:ascii="Arial" w:cs="Arial" w:eastAsia="Arial" w:hAnsi="Arial"/>
                <w:sz w:val="17"/>
                <w:szCs w:val="17"/>
                <w:color w:val="auto"/>
              </w:rPr>
              <w:t>Boston-</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7"/>
                <w:szCs w:val="17"/>
                <w:color w:val="auto"/>
              </w:rPr>
              <w:t>Worcester-</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7"/>
                <w:szCs w:val="17"/>
                <w:color w:val="auto"/>
              </w:rPr>
              <w:t>Lawrence-</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7"/>
                <w:szCs w:val="17"/>
                <w:color w:val="auto"/>
              </w:rPr>
              <w:t>Lowell-</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7"/>
                <w:szCs w:val="17"/>
                <w:color w:val="auto"/>
              </w:rPr>
              <w:t>Brockton,</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Arial" w:cs="Arial" w:eastAsia="Arial" w:hAnsi="Arial"/>
                <w:sz w:val="17"/>
                <w:szCs w:val="17"/>
                <w:color w:val="auto"/>
              </w:rPr>
              <w:t>MA</w:t>
            </w:r>
          </w:p>
        </w:tc>
        <w:tc>
          <w:tcPr>
            <w:tcW w:w="920" w:type="dxa"/>
            <w:vAlign w:val="bottom"/>
            <w:gridSpan w:val="3"/>
          </w:tcPr>
          <w:p>
            <w:pPr>
              <w:jc w:val="right"/>
              <w:ind w:right="200"/>
              <w:spacing w:after="0"/>
              <w:rPr>
                <w:sz w:val="20"/>
                <w:szCs w:val="20"/>
                <w:color w:val="auto"/>
              </w:rPr>
            </w:pPr>
            <w:r>
              <w:rPr>
                <w:rFonts w:ascii="Arial" w:cs="Arial" w:eastAsia="Arial" w:hAnsi="Arial"/>
                <w:sz w:val="17"/>
                <w:szCs w:val="17"/>
                <w:color w:val="auto"/>
              </w:rPr>
              <w:t>2004</w:t>
            </w:r>
          </w:p>
        </w:tc>
        <w:tc>
          <w:tcPr>
            <w:tcW w:w="820" w:type="dxa"/>
            <w:vAlign w:val="bottom"/>
          </w:tcPr>
          <w:p>
            <w:pPr>
              <w:jc w:val="right"/>
              <w:spacing w:after="0"/>
              <w:rPr>
                <w:sz w:val="20"/>
                <w:szCs w:val="20"/>
                <w:color w:val="auto"/>
              </w:rPr>
            </w:pPr>
            <w:r>
              <w:rPr>
                <w:rFonts w:ascii="Arial" w:cs="Arial" w:eastAsia="Arial" w:hAnsi="Arial"/>
                <w:sz w:val="17"/>
                <w:szCs w:val="17"/>
                <w:color w:val="auto"/>
              </w:rPr>
              <w:t>22,411</w:t>
            </w:r>
          </w:p>
        </w:tc>
        <w:tc>
          <w:tcPr>
            <w:tcW w:w="940" w:type="dxa"/>
            <w:vAlign w:val="bottom"/>
            <w:gridSpan w:val="3"/>
          </w:tcPr>
          <w:p>
            <w:pPr>
              <w:jc w:val="right"/>
              <w:ind w:right="180"/>
              <w:spacing w:after="0"/>
              <w:rPr>
                <w:sz w:val="20"/>
                <w:szCs w:val="20"/>
                <w:color w:val="auto"/>
              </w:rPr>
            </w:pPr>
            <w:r>
              <w:rPr>
                <w:rFonts w:ascii="Arial" w:cs="Arial" w:eastAsia="Arial" w:hAnsi="Arial"/>
                <w:sz w:val="17"/>
                <w:szCs w:val="17"/>
                <w:color w:val="auto"/>
              </w:rPr>
              <w:t>128,000</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100%</w:t>
            </w:r>
          </w:p>
        </w:tc>
        <w:tc>
          <w:tcPr>
            <w:tcW w:w="800" w:type="dxa"/>
            <w:vAlign w:val="bottom"/>
          </w:tcPr>
          <w:p>
            <w:pPr>
              <w:jc w:val="right"/>
              <w:spacing w:after="0"/>
              <w:rPr>
                <w:sz w:val="20"/>
                <w:szCs w:val="20"/>
                <w:color w:val="auto"/>
              </w:rPr>
            </w:pPr>
            <w:r>
              <w:rPr>
                <w:rFonts w:ascii="Arial" w:cs="Arial" w:eastAsia="Arial" w:hAnsi="Arial"/>
                <w:sz w:val="17"/>
                <w:szCs w:val="17"/>
                <w:color w:val="auto"/>
              </w:rPr>
              <w:t>0</w:t>
            </w:r>
          </w:p>
        </w:tc>
        <w:tc>
          <w:tcPr>
            <w:tcW w:w="680" w:type="dxa"/>
            <w:vAlign w:val="bottom"/>
            <w:gridSpan w:val="2"/>
          </w:tcPr>
          <w:p>
            <w:pPr>
              <w:ind w:left="200"/>
              <w:spacing w:after="0"/>
              <w:rPr>
                <w:sz w:val="20"/>
                <w:szCs w:val="20"/>
                <w:color w:val="auto"/>
              </w:rPr>
            </w:pPr>
            <w:r>
              <w:rPr>
                <w:rFonts w:ascii="Arial" w:cs="Arial" w:eastAsia="Arial" w:hAnsi="Arial"/>
                <w:sz w:val="17"/>
                <w:szCs w:val="17"/>
                <w:color w:val="auto"/>
                <w:w w:val="88"/>
              </w:rPr>
              <w:t>38,000</w:t>
            </w:r>
          </w:p>
        </w:tc>
        <w:tc>
          <w:tcPr>
            <w:tcW w:w="1300" w:type="dxa"/>
            <w:vAlign w:val="bottom"/>
            <w:gridSpan w:val="2"/>
          </w:tcPr>
          <w:p>
            <w:pPr>
              <w:ind w:left="180"/>
              <w:spacing w:after="0"/>
              <w:rPr>
                <w:sz w:val="20"/>
                <w:szCs w:val="20"/>
                <w:color w:val="auto"/>
              </w:rPr>
            </w:pPr>
            <w:r>
              <w:rPr>
                <w:rFonts w:ascii="Arial" w:cs="Arial" w:eastAsia="Arial" w:hAnsi="Arial"/>
                <w:sz w:val="17"/>
                <w:szCs w:val="17"/>
                <w:color w:val="auto"/>
              </w:rPr>
              <w:t>Foodmaster</w:t>
            </w:r>
          </w:p>
        </w:tc>
        <w:tc>
          <w:tcPr>
            <w:tcW w:w="20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7"/>
                <w:szCs w:val="17"/>
                <w:color w:val="auto"/>
              </w:rPr>
              <w:t>Marshalls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249,000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97%</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7"/>
                <w:szCs w:val="17"/>
                <w:b w:val="1"/>
                <w:bCs w:val="1"/>
                <w:color w:val="auto"/>
              </w:rPr>
              <w:t>Northeast</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Arial" w:cs="Arial" w:eastAsia="Arial" w:hAnsi="Arial"/>
                <w:sz w:val="17"/>
                <w:szCs w:val="17"/>
                <w:b w:val="1"/>
                <w:bCs w:val="1"/>
                <w:color w:val="auto"/>
              </w:rPr>
              <w:t>Region</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7"/>
                <w:szCs w:val="17"/>
                <w:color w:val="auto"/>
              </w:rPr>
              <w:t>249,000</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440" w:type="dxa"/>
            <w:vAlign w:val="bottom"/>
            <w:gridSpan w:val="9"/>
            <w:shd w:val="clear" w:color="auto" w:fill="CCEEFF"/>
          </w:tcPr>
          <w:p>
            <w:pPr>
              <w:spacing w:after="0"/>
              <w:rPr>
                <w:sz w:val="20"/>
                <w:szCs w:val="20"/>
                <w:color w:val="auto"/>
              </w:rPr>
            </w:pPr>
            <w:r>
              <w:rPr>
                <w:rFonts w:ascii="Arial" w:cs="Arial" w:eastAsia="Arial" w:hAnsi="Arial"/>
                <w:sz w:val="17"/>
                <w:szCs w:val="17"/>
                <w:color w:val="auto"/>
              </w:rPr>
              <w:t>Total</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63,986</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345,000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97%</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13,325</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6" w:lineRule="exact"/>
        <w:rPr>
          <w:sz w:val="20"/>
          <w:szCs w:val="20"/>
          <w:color w:val="auto"/>
        </w:rPr>
      </w:pPr>
    </w:p>
    <w:p>
      <w:pPr>
        <w:ind w:left="460" w:hanging="453"/>
        <w:spacing w:after="0"/>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Grocery anchor is defined as a grocery tenant leasing 15,000 square feet or more.</w:t>
      </w:r>
    </w:p>
    <w:p>
      <w:pPr>
        <w:sectPr>
          <w:pgSz w:w="11900" w:h="16838" w:orient="portrait"/>
          <w:cols w:equalWidth="0" w:num="1">
            <w:col w:w="11420"/>
          </w:cols>
          <w:pgMar w:left="240" w:top="456"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3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8845" cy="2730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Glossary of Terms</w:t>
      </w:r>
    </w:p>
    <w:p>
      <w:pPr>
        <w:spacing w:after="0" w:line="16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color w:val="auto"/>
        </w:rPr>
        <w:t>EBITDA</w:t>
      </w:r>
      <w:r>
        <w:rPr>
          <w:rFonts w:ascii="Arial" w:cs="Arial" w:eastAsia="Arial" w:hAnsi="Arial"/>
          <w:sz w:val="17"/>
          <w:szCs w:val="17"/>
          <w:color w:val="auto"/>
        </w:rPr>
        <w:t>: EBITDA is a non-GAAP measure that means net income or loss plus interest expense, income taxes, depreciation and amortization; adjusted for gain or</w:t>
      </w:r>
      <w:r>
        <w:rPr>
          <w:rFonts w:ascii="Arial" w:cs="Arial" w:eastAsia="Arial" w:hAnsi="Arial"/>
          <w:sz w:val="17"/>
          <w:szCs w:val="17"/>
          <w:b w:val="1"/>
          <w:bCs w:val="1"/>
          <w:color w:val="auto"/>
        </w:rPr>
        <w:t xml:space="preserve"> </w:t>
      </w:r>
      <w:r>
        <w:rPr>
          <w:rFonts w:ascii="Arial" w:cs="Arial" w:eastAsia="Arial" w:hAnsi="Arial"/>
          <w:sz w:val="17"/>
          <w:szCs w:val="17"/>
          <w:color w:val="auto"/>
        </w:rPr>
        <w:t>loss on sale of assets, impairment provisions, provision for loss on equity securities and other nonrecurring expenses. EBITDA is presented because it provides useful information regarding our ability to service debt. EBITDA should not be considered an alternative measure of operating results or cash flow from operations as determined in accordance with GAAP. The reconciliation of EBITDA, adjusted for discontinued operations, to net income for the nine months ended September 30, 2004 and 2003 is as follows:</w:t>
      </w:r>
    </w:p>
    <w:p>
      <w:pPr>
        <w:spacing w:after="0" w:line="112" w:lineRule="exact"/>
        <w:rPr>
          <w:sz w:val="20"/>
          <w:szCs w:val="20"/>
          <w:color w:val="auto"/>
        </w:rPr>
      </w:pPr>
    </w:p>
    <w:p>
      <w:pPr>
        <w:jc w:val="center"/>
        <w:ind w:left="9500"/>
        <w:spacing w:after="0"/>
        <w:rPr>
          <w:sz w:val="20"/>
          <w:szCs w:val="20"/>
          <w:color w:val="auto"/>
        </w:rPr>
      </w:pPr>
      <w:r>
        <w:rPr>
          <w:rFonts w:ascii="Arial" w:cs="Arial" w:eastAsia="Arial" w:hAnsi="Arial"/>
          <w:sz w:val="13"/>
          <w:szCs w:val="13"/>
          <w:b w:val="1"/>
          <w:bCs w:val="1"/>
          <w:color w:val="auto"/>
        </w:rPr>
        <w:t>For the Nine Months Ended</w:t>
      </w:r>
    </w:p>
    <w:p>
      <w:pPr>
        <w:spacing w:after="0" w:line="12" w:lineRule="exact"/>
        <w:rPr>
          <w:sz w:val="20"/>
          <w:szCs w:val="20"/>
          <w:color w:val="auto"/>
        </w:rPr>
      </w:pPr>
    </w:p>
    <w:p>
      <w:pPr>
        <w:jc w:val="center"/>
        <w:ind w:left="9500"/>
        <w:spacing w:after="0"/>
        <w:rPr>
          <w:sz w:val="20"/>
          <w:szCs w:val="20"/>
          <w:color w:val="auto"/>
        </w:rPr>
      </w:pPr>
      <w:r>
        <w:rPr>
          <w:rFonts w:ascii="Arial" w:cs="Arial" w:eastAsia="Arial" w:hAnsi="Arial"/>
          <w:sz w:val="13"/>
          <w:szCs w:val="13"/>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6071235</wp:posOffset>
            </wp:positionH>
            <wp:positionV relativeFrom="paragraph">
              <wp:posOffset>66040</wp:posOffset>
            </wp:positionV>
            <wp:extent cx="11385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138555" cy="8255"/>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6"/>
          </w:tcPr>
          <w:p>
            <w:pPr>
              <w:jc w:val="right"/>
              <w:ind w:right="560"/>
              <w:spacing w:after="0"/>
              <w:rPr>
                <w:sz w:val="20"/>
                <w:szCs w:val="20"/>
                <w:color w:val="auto"/>
              </w:rPr>
            </w:pPr>
            <w:r>
              <w:rPr>
                <w:rFonts w:ascii="Arial" w:cs="Arial" w:eastAsia="Arial" w:hAnsi="Arial"/>
                <w:sz w:val="13"/>
                <w:szCs w:val="13"/>
                <w:b w:val="1"/>
                <w:bCs w:val="1"/>
                <w:color w:val="auto"/>
              </w:rPr>
              <w:t>(in thousands)</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9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9"/>
              <w:spacing w:after="0"/>
              <w:rPr>
                <w:sz w:val="20"/>
                <w:szCs w:val="20"/>
                <w:color w:val="auto"/>
              </w:rPr>
            </w:pPr>
            <w:r>
              <w:rPr>
                <w:rFonts w:ascii="Arial" w:cs="Arial" w:eastAsia="Arial" w:hAnsi="Arial"/>
                <w:sz w:val="13"/>
                <w:szCs w:val="13"/>
                <w:b w:val="1"/>
                <w:bCs w:val="1"/>
                <w:color w:val="auto"/>
              </w:rPr>
              <w:t>2004</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176"/>
              <w:spacing w:after="0"/>
              <w:rPr>
                <w:sz w:val="20"/>
                <w:szCs w:val="20"/>
                <w:color w:val="auto"/>
              </w:rPr>
            </w:pPr>
            <w:r>
              <w:rPr>
                <w:rFonts w:ascii="Arial" w:cs="Arial" w:eastAsia="Arial" w:hAnsi="Arial"/>
                <w:sz w:val="13"/>
                <w:szCs w:val="13"/>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62,238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67,148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54,317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7"/>
                <w:szCs w:val="17"/>
                <w:color w:val="auto"/>
              </w:rPr>
              <w:t>Interest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63,835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(9,331)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(7,723)</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7"/>
                <w:szCs w:val="17"/>
                <w:color w:val="auto"/>
              </w:rPr>
              <w:t>EBITDA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183,890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160,241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6069330</wp:posOffset>
            </wp:positionH>
            <wp:positionV relativeFrom="paragraph">
              <wp:posOffset>-29210</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6120130</wp:posOffset>
            </wp:positionH>
            <wp:positionV relativeFrom="paragraph">
              <wp:posOffset>-29210</wp:posOffset>
            </wp:positionV>
            <wp:extent cx="2095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6527800</wp:posOffset>
            </wp:positionH>
            <wp:positionV relativeFrom="paragraph">
              <wp:posOffset>-29210</wp:posOffset>
            </wp:positionV>
            <wp:extent cx="381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8100" cy="29845"/>
                    </a:xfrm>
                    <a:prstGeom prst="rect">
                      <a:avLst/>
                    </a:prstGeom>
                    <a:noFill/>
                  </pic:spPr>
                </pic:pic>
              </a:graphicData>
            </a:graphic>
          </wp:anchor>
        </w:drawing>
        <w:drawing>
          <wp:anchor simplePos="0" relativeHeight="251657728" behindDoc="1" locked="0" layoutInCell="0" allowOverlap="1">
            <wp:simplePos x="0" y="0"/>
            <wp:positionH relativeFrom="column">
              <wp:posOffset>6723380</wp:posOffset>
            </wp:positionH>
            <wp:positionV relativeFrom="paragraph">
              <wp:posOffset>-29210</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6774180</wp:posOffset>
            </wp:positionH>
            <wp:positionV relativeFrom="paragraph">
              <wp:posOffset>-29210</wp:posOffset>
            </wp:positionV>
            <wp:extent cx="2095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0955" cy="29845"/>
                    </a:xfrm>
                    <a:prstGeom prst="rect">
                      <a:avLst/>
                    </a:prstGeom>
                    <a:noFill/>
                  </pic:spPr>
                </pic:pic>
              </a:graphicData>
            </a:graphic>
          </wp:anchor>
        </w:drawing>
        <w:drawing>
          <wp:anchor simplePos="0" relativeHeight="251657728" behindDoc="1" locked="0" layoutInCell="0" allowOverlap="1">
            <wp:simplePos x="0" y="0"/>
            <wp:positionH relativeFrom="column">
              <wp:posOffset>7198995</wp:posOffset>
            </wp:positionH>
            <wp:positionV relativeFrom="paragraph">
              <wp:posOffset>-29210</wp:posOffset>
            </wp:positionV>
            <wp:extent cx="381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8100" cy="29845"/>
                    </a:xfrm>
                    <a:prstGeom prst="rect">
                      <a:avLst/>
                    </a:prstGeom>
                    <a:noFill/>
                  </pic:spPr>
                </pic:pic>
              </a:graphicData>
            </a:graphic>
          </wp:anchor>
        </w:drawing>
      </w:r>
    </w:p>
    <w:p>
      <w:pPr>
        <w:spacing w:after="0" w:line="217"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Trusts (“NAREIT”) defines FFO as follows: income available for common shareholders before depreciation and amortization of real estate assets and before extraordinary items less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because it primarily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Property Operating Income: </w:t>
      </w:r>
      <w:r>
        <w:rPr>
          <w:rFonts w:ascii="Arial" w:cs="Arial" w:eastAsia="Arial" w:hAnsi="Arial"/>
          <w:sz w:val="17"/>
          <w:szCs w:val="17"/>
          <w:color w:val="auto"/>
        </w:rPr>
        <w:t>Gross revenues, including interest income, less rental expenses and real estate taxes.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Overall Portfolio</w:t>
      </w:r>
      <w:r>
        <w:rPr>
          <w:rFonts w:ascii="Arial" w:cs="Arial" w:eastAsia="Arial" w:hAnsi="Arial"/>
          <w:sz w:val="17"/>
          <w:szCs w:val="17"/>
          <w:color w:val="auto"/>
        </w:rPr>
        <w:t>: Includes all operating properties owned in reporting period.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Same Center: </w:t>
      </w:r>
      <w:r>
        <w:rPr>
          <w:rFonts w:ascii="Arial" w:cs="Arial" w:eastAsia="Arial" w:hAnsi="Arial"/>
          <w:sz w:val="17"/>
          <w:szCs w:val="17"/>
          <w:color w:val="auto"/>
        </w:rPr>
        <w:t>Excludes centers purchased or sold.</w:t>
      </w:r>
    </w:p>
    <w:p>
      <w:pPr>
        <w:spacing w:after="0" w:line="166" w:lineRule="exact"/>
        <w:rPr>
          <w:sz w:val="20"/>
          <w:szCs w:val="20"/>
          <w:color w:val="auto"/>
        </w:rPr>
      </w:pPr>
    </w:p>
    <w:p>
      <w:pPr>
        <w:spacing w:after="0" w:line="301" w:lineRule="auto"/>
        <w:rPr>
          <w:sz w:val="20"/>
          <w:szCs w:val="20"/>
          <w:color w:val="auto"/>
        </w:rPr>
      </w:pPr>
      <w:r>
        <w:rPr>
          <w:rFonts w:ascii="Arial" w:cs="Arial" w:eastAsia="Arial" w:hAnsi="Arial"/>
          <w:sz w:val="17"/>
          <w:szCs w:val="17"/>
          <w:b w:val="1"/>
          <w:bCs w:val="1"/>
          <w:color w:val="auto"/>
        </w:rPr>
        <w:t xml:space="preserve">Tenant improvements: </w:t>
      </w:r>
      <w:r>
        <w:rPr>
          <w:rFonts w:ascii="Arial" w:cs="Arial" w:eastAsia="Arial" w:hAnsi="Arial"/>
          <w:sz w:val="17"/>
          <w:szCs w:val="17"/>
          <w:color w:val="auto"/>
        </w:rPr>
        <w:t>Represents not only the total dollars committed for the improvement (fit-out) of a space as it relates to a specific lease but may also include</w:t>
      </w:r>
      <w:r>
        <w:rPr>
          <w:rFonts w:ascii="Arial" w:cs="Arial" w:eastAsia="Arial" w:hAnsi="Arial"/>
          <w:sz w:val="17"/>
          <w:szCs w:val="17"/>
          <w:b w:val="1"/>
          <w:bCs w:val="1"/>
          <w:color w:val="auto"/>
        </w:rPr>
        <w:t xml:space="preserve"> </w:t>
      </w:r>
      <w:r>
        <w:rPr>
          <w:rFonts w:ascii="Arial" w:cs="Arial" w:eastAsia="Arial" w:hAnsi="Arial"/>
          <w:sz w:val="17"/>
          <w:szCs w:val="17"/>
          <w:color w:val="auto"/>
        </w:rPr>
        <w:t>base building costs (i.e. expansion, escalators or new entrances) which are required to make the space leasable.</w:t>
      </w:r>
    </w:p>
    <w:sectPr>
      <w:pgSz w:w="11900" w:h="16838" w:orient="portrait"/>
      <w:cols w:equalWidth="0" w:num="1">
        <w:col w:w="11420"/>
      </w:cols>
      <w:pgMar w:left="240" w:top="4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lowerLetter"/>
      <w:start w:val="3"/>
    </w:lvl>
  </w:abstractNum>
  <w:abstractNum w:abstractNumId="2">
    <w:nsid w:val="41A7C4C9"/>
    <w:multiLevelType w:val="hybridMultilevel"/>
    <w:lvl w:ilvl="0">
      <w:lvlJc w:val="left"/>
      <w:lvlText w:val="%1."/>
      <w:numFmt w:val="decimal"/>
      <w:start w:val="3"/>
    </w:lvl>
  </w:abstractNum>
  <w:abstractNum w:abstractNumId="3">
    <w:nsid w:val="6B68079A"/>
    <w:multiLevelType w:val="hybridMultilevel"/>
    <w:lvl w:ilvl="0">
      <w:lvlJc w:val="left"/>
      <w:lvlText w:val="%1."/>
      <w:numFmt w:val="decimal"/>
      <w:start w:val="8"/>
    </w:lvl>
  </w:abstractNum>
  <w:abstractNum w:abstractNumId="4">
    <w:nsid w:val="4E6AFB66"/>
    <w:multiLevelType w:val="hybridMultilevel"/>
    <w:lvl w:ilvl="0">
      <w:lvlJc w:val="left"/>
      <w:lvlText w:val="%1."/>
      <w:numFmt w:val="decimal"/>
      <w:start w:val="13"/>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Ø"/>
      <w:numFmt w:val="bullet"/>
      <w:start w:val="1"/>
    </w:lvl>
    <w:lvl w:ilvl="1">
      <w:lvlJc w:val="left"/>
      <w:lvlText w:val="-"/>
      <w:numFmt w:val="bullet"/>
      <w:start w:val="1"/>
    </w:lvl>
  </w:abstractNum>
  <w:abstractNum w:abstractNumId="8">
    <w:nsid w:val="3F2DBA31"/>
    <w:multiLevelType w:val="hybridMultilevel"/>
    <w:lvl w:ilvl="0">
      <w:lvlJc w:val="left"/>
      <w:lvlText w:val="Ø"/>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lowerLetter"/>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2"/>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2019-12-13T00:52:44Z</dcterms:created>
  <dcterms:modified xsi:type="dcterms:W3CDTF">2019-12-13T00:52:44Z</dcterms:modified>
</cp:coreProperties>
</file>