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2008</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3,292,446</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3,753,153</w:t>
            </w:r>
          </w:p>
        </w:tc>
      </w:tr>
    </w:tbl>
    <w:p>
      <w:pPr>
        <w:sectPr>
          <w:pgSz w:w="11900" w:h="16855" w:orient="portrait"/>
          <w:cols w:equalWidth="0" w:num="1">
            <w:col w:w="10219"/>
          </w:cols>
          <w:pgMar w:left="240" w:top="649" w:right="1440" w:bottom="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8"/>
          <w:szCs w:val="18"/>
          <w:color w:val="auto"/>
        </w:rPr>
        <w:t>-------------------------------------------------------------</w:t>
      </w:r>
    </w:p>
    <w:p>
      <w:pPr>
        <w:ind w:left="2440" w:hanging="536"/>
        <w:spacing w:after="0" w:line="238" w:lineRule="auto"/>
        <w:tabs>
          <w:tab w:leader="none" w:pos="24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3,753,153</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6.36%</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Cohen &amp; Steers Capital Management, Inc.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13-3353336</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3,281,575</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3,731,035</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2440" w:hanging="536"/>
        <w:spacing w:after="0"/>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3,731,035</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6.33%</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Cohen &amp; Steers Europe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10,871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22,118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bl>
    <w:p>
      <w:pPr>
        <w:ind w:left="2440" w:hanging="536"/>
        <w:spacing w:after="0" w:line="238" w:lineRule="auto"/>
        <w:tabs>
          <w:tab w:leader="none" w:pos="24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22,118</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0.04%</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Investment Trust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38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Maryland 20852</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Cohen &amp; Steers Europe S.A.</w:t>
      </w:r>
    </w:p>
    <w:p>
      <w:pPr>
        <w:spacing w:after="0" w:line="1" w:lineRule="exact"/>
        <w:rPr>
          <w:rFonts w:ascii="Courier New" w:cs="Courier New" w:eastAsia="Courier New" w:hAnsi="Courier New"/>
          <w:sz w:val="16"/>
          <w:szCs w:val="16"/>
          <w:color w:val="auto"/>
        </w:rPr>
      </w:pPr>
    </w:p>
    <w:p>
      <w:pPr>
        <w:ind w:left="1380" w:hanging="529"/>
        <w:spacing w:after="0" w:line="238" w:lineRule="auto"/>
        <w:tabs>
          <w:tab w:leader="none" w:pos="1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580"/>
        <w:spacing w:after="0"/>
        <w:rPr>
          <w:sz w:val="20"/>
          <w:szCs w:val="20"/>
          <w:color w:val="auto"/>
        </w:rPr>
      </w:pPr>
      <w:r>
        <w:rPr>
          <w:rFonts w:ascii="Courier New" w:cs="Courier New" w:eastAsia="Courier New" w:hAnsi="Courier New"/>
          <w:sz w:val="18"/>
          <w:szCs w:val="18"/>
          <w:color w:val="auto"/>
        </w:rPr>
        <w:t>The principal address for Cohen &amp; Steers, Inc. and Cohen &amp;</w:t>
      </w:r>
    </w:p>
    <w:p>
      <w:pPr>
        <w:ind w:left="1580"/>
        <w:spacing w:after="0" w:line="237" w:lineRule="auto"/>
        <w:rPr>
          <w:sz w:val="20"/>
          <w:szCs w:val="20"/>
          <w:color w:val="auto"/>
        </w:rPr>
      </w:pPr>
      <w:r>
        <w:rPr>
          <w:rFonts w:ascii="Courier New" w:cs="Courier New" w:eastAsia="Courier New" w:hAnsi="Courier New"/>
          <w:sz w:val="18"/>
          <w:szCs w:val="18"/>
          <w:color w:val="auto"/>
        </w:rPr>
        <w:t>Steers Capital Management,Inc. is:</w:t>
      </w:r>
    </w:p>
    <w:p>
      <w:pPr>
        <w:ind w:left="1580"/>
        <w:spacing w:after="0" w:line="238" w:lineRule="auto"/>
        <w:rPr>
          <w:sz w:val="20"/>
          <w:szCs w:val="20"/>
          <w:color w:val="auto"/>
        </w:rPr>
      </w:pPr>
      <w:r>
        <w:rPr>
          <w:rFonts w:ascii="Courier New" w:cs="Courier New" w:eastAsia="Courier New" w:hAnsi="Courier New"/>
          <w:sz w:val="18"/>
          <w:szCs w:val="18"/>
          <w:color w:val="auto"/>
        </w:rPr>
        <w:t>280 Park Avenue</w:t>
      </w:r>
    </w:p>
    <w:p>
      <w:pPr>
        <w:ind w:left="1580"/>
        <w:spacing w:after="0"/>
        <w:rPr>
          <w:sz w:val="20"/>
          <w:szCs w:val="20"/>
          <w:color w:val="auto"/>
        </w:rPr>
      </w:pPr>
      <w:r>
        <w:rPr>
          <w:rFonts w:ascii="Courier New" w:cs="Courier New" w:eastAsia="Courier New" w:hAnsi="Courier New"/>
          <w:sz w:val="18"/>
          <w:szCs w:val="18"/>
          <w:color w:val="auto"/>
        </w:rPr>
        <w:t>10th Floor</w:t>
      </w:r>
    </w:p>
    <w:p>
      <w:pPr>
        <w:ind w:left="1580"/>
        <w:spacing w:after="0" w:line="237"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principal address for Cohen &amp; Steers Europe S.A. is:</w:t>
      </w:r>
    </w:p>
    <w:p>
      <w:pPr>
        <w:ind w:left="1580"/>
        <w:spacing w:after="0" w:line="238" w:lineRule="auto"/>
        <w:rPr>
          <w:sz w:val="20"/>
          <w:szCs w:val="20"/>
          <w:color w:val="auto"/>
        </w:rPr>
      </w:pPr>
      <w:r>
        <w:rPr>
          <w:rFonts w:ascii="Courier New" w:cs="Courier New" w:eastAsia="Courier New" w:hAnsi="Courier New"/>
          <w:sz w:val="18"/>
          <w:szCs w:val="18"/>
          <w:color w:val="auto"/>
        </w:rPr>
        <w:t>Chausee de la Hulpe 116,</w:t>
      </w:r>
    </w:p>
    <w:p>
      <w:pPr>
        <w:ind w:left="1580"/>
        <w:spacing w:after="0"/>
        <w:rPr>
          <w:sz w:val="20"/>
          <w:szCs w:val="20"/>
          <w:color w:val="auto"/>
        </w:rPr>
      </w:pPr>
      <w:r>
        <w:rPr>
          <w:rFonts w:ascii="Courier New" w:cs="Courier New" w:eastAsia="Courier New" w:hAnsi="Courier New"/>
          <w:sz w:val="18"/>
          <w:szCs w:val="18"/>
          <w:color w:val="auto"/>
        </w:rPr>
        <w:t>1170 Brussels, Belgium</w:t>
      </w:r>
    </w:p>
    <w:p>
      <w:pPr>
        <w:sectPr>
          <w:pgSz w:w="11900" w:h="16838" w:orient="portrait"/>
          <w:cols w:equalWidth="0" w:num="1">
            <w:col w:w="10219"/>
          </w:cols>
          <w:pgMar w:left="240" w:top="142" w:right="1440" w:bottom="0" w:gutter="0" w:footer="0" w:header="0"/>
        </w:sectPr>
      </w:pPr>
    </w:p>
    <w:bookmarkStart w:id="3" w:name="page4"/>
    <w:bookmarkEnd w:id="3"/>
    <w:p>
      <w:pPr>
        <w:ind w:left="1380" w:hanging="529"/>
        <w:spacing w:after="0"/>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sz w:val="20"/>
          <w:szCs w:val="20"/>
          <w:color w:val="auto"/>
        </w:rPr>
      </w:pPr>
      <w:r>
        <w:rPr>
          <w:rFonts w:ascii="Courier New" w:cs="Courier New" w:eastAsia="Courier New" w:hAnsi="Courier New"/>
          <w:sz w:val="18"/>
          <w:szCs w:val="18"/>
          <w:color w:val="auto"/>
        </w:rPr>
        <w:t>Cohen &amp; Steers, Inc: Delaware corporation</w:t>
      </w:r>
    </w:p>
    <w:p>
      <w:pPr>
        <w:ind w:left="1580"/>
        <w:spacing w:after="0"/>
        <w:rPr>
          <w:sz w:val="20"/>
          <w:szCs w:val="20"/>
          <w:color w:val="auto"/>
        </w:rPr>
      </w:pPr>
      <w:r>
        <w:rPr>
          <w:rFonts w:ascii="Courier New" w:cs="Courier New" w:eastAsia="Courier New" w:hAnsi="Courier New"/>
          <w:sz w:val="18"/>
          <w:szCs w:val="18"/>
          <w:color w:val="auto"/>
        </w:rPr>
        <w:t>Cohen &amp; Steers Capital Management, Inc: New York corporation</w:t>
      </w:r>
    </w:p>
    <w:p>
      <w:pPr>
        <w:ind w:left="1580"/>
        <w:spacing w:after="0" w:line="237" w:lineRule="auto"/>
        <w:rPr>
          <w:sz w:val="20"/>
          <w:szCs w:val="20"/>
          <w:color w:val="auto"/>
        </w:rPr>
      </w:pPr>
      <w:r>
        <w:rPr>
          <w:rFonts w:ascii="Courier New" w:cs="Courier New" w:eastAsia="Courier New" w:hAnsi="Courier New"/>
          <w:sz w:val="18"/>
          <w:szCs w:val="18"/>
          <w:color w:val="auto"/>
        </w:rPr>
        <w:t>Cohen &amp; Steers Europe S.A.: Belgium limited company</w:t>
      </w:r>
    </w:p>
    <w:p>
      <w:pPr>
        <w:spacing w:after="0" w:line="5" w:lineRule="exact"/>
        <w:rPr>
          <w:sz w:val="20"/>
          <w:szCs w:val="20"/>
          <w:color w:val="auto"/>
        </w:rPr>
      </w:pPr>
    </w:p>
    <w:p>
      <w:pPr>
        <w:ind w:left="1580" w:right="6099" w:hanging="729"/>
        <w:spacing w:after="0" w:line="235"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313747206</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2008: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5.</w:t>
        <w:tab/>
        <w:t>OWNERSHIP</w:t>
      </w:r>
      <w:r>
        <w:rPr>
          <w:sz w:val="20"/>
          <w:szCs w:val="20"/>
          <w:color w:val="auto"/>
        </w:rPr>
        <w:tab/>
      </w:r>
      <w:r>
        <w:rPr>
          <w:rFonts w:ascii="Courier New" w:cs="Courier New" w:eastAsia="Courier New" w:hAnsi="Courier New"/>
          <w:sz w:val="16"/>
          <w:szCs w:val="16"/>
          <w:color w:val="auto"/>
        </w:rPr>
        <w:t>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ectPr>
          <w:pgSz w:w="11900" w:h="16838" w:orient="portrait"/>
          <w:cols w:equalWidth="0" w:num="1">
            <w:col w:w="10219"/>
          </w:cols>
          <w:pgMar w:left="240" w:top="136"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Cohen &amp; Steers, Inc. holds a 100% interest in Cohen &amp; Steers Capital</w:t>
      </w:r>
    </w:p>
    <w:p>
      <w:pPr>
        <w:ind w:left="960"/>
        <w:spacing w:after="0" w:line="238" w:lineRule="auto"/>
        <w:rPr>
          <w:sz w:val="20"/>
          <w:szCs w:val="20"/>
          <w:color w:val="auto"/>
        </w:rPr>
      </w:pPr>
      <w:r>
        <w:rPr>
          <w:rFonts w:ascii="Courier New" w:cs="Courier New" w:eastAsia="Courier New" w:hAnsi="Courier New"/>
          <w:sz w:val="18"/>
          <w:szCs w:val="18"/>
          <w:color w:val="auto"/>
        </w:rPr>
        <w:t>Management, Inc., an investment advisor registered under Section 203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of the Investment Advisers Act. Cohen &amp; Steers, Inc. and Cohen &amp; Steers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Capital Management, Inc. together hold a 100% interest in</w:t>
      </w:r>
    </w:p>
    <w:p>
      <w:pPr>
        <w:spacing w:after="0" w:line="4" w:lineRule="exact"/>
        <w:rPr>
          <w:sz w:val="20"/>
          <w:szCs w:val="20"/>
          <w:color w:val="auto"/>
        </w:rPr>
      </w:pPr>
    </w:p>
    <w:p>
      <w:pPr>
        <w:ind w:left="960" w:right="2319"/>
        <w:spacing w:after="0" w:line="235" w:lineRule="auto"/>
        <w:rPr>
          <w:sz w:val="20"/>
          <w:szCs w:val="20"/>
          <w:color w:val="auto"/>
        </w:rPr>
      </w:pPr>
      <w:r>
        <w:rPr>
          <w:rFonts w:ascii="Courier New" w:cs="Courier New" w:eastAsia="Courier New" w:hAnsi="Courier New"/>
          <w:sz w:val="18"/>
          <w:szCs w:val="18"/>
          <w:color w:val="auto"/>
        </w:rPr>
        <w:t>Cohen &amp; Steers Europe S.A., an investment advisor registered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registered under Section 203 of the Investment Advisers Act. Cohen &amp; Steers, Inc. and Cohen &amp; Steers Capital Management, Inc. together hold a 100% interest in Cohen &amp; Steers Europe S.A., an investment advisor registered under Section 203 of the Investment Advisers Act.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NOTICE OF</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DISSOLUTION OF</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GROUP</w:t>
            </w:r>
          </w:p>
        </w:tc>
        <w:tc>
          <w:tcPr>
            <w:tcW w:w="406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N/A</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10.</w:t>
            </w:r>
          </w:p>
        </w:tc>
        <w:tc>
          <w:tcPr>
            <w:tcW w:w="26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Certification</w:t>
            </w: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By signing below I</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certify  that,</w:t>
            </w:r>
          </w:p>
        </w:tc>
        <w:tc>
          <w:tcPr>
            <w:tcW w:w="47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to the best of my knowledge  and belief,</w:t>
            </w: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the securities  referred to above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were</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acquired and are held in the ordinary</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were not</w:t>
            </w:r>
          </w:p>
        </w:tc>
        <w:tc>
          <w:tcPr>
            <w:tcW w:w="4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acquired and are not held for the purpose of</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or with</w:t>
            </w: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effect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changing or</w:t>
            </w:r>
          </w:p>
        </w:tc>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influencing  the  control  of the  issuer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of such</w:t>
            </w: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and were not</w:t>
            </w:r>
          </w:p>
        </w:tc>
        <w:tc>
          <w:tcPr>
            <w:tcW w:w="4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acquired and are not held in connection with</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or as a</w:t>
            </w:r>
          </w:p>
        </w:tc>
        <w:tc>
          <w:tcPr>
            <w:tcW w:w="33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participant in any transaction</w:t>
            </w:r>
          </w:p>
        </w:tc>
        <w:tc>
          <w:tcPr>
            <w:tcW w:w="4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8"/>
              </w:rPr>
              <w:t>having that purposes or effect.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2009</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43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Common Shares of Federal Realty Investment Trust and that this Agreement may be included as an Exhibit to such joint filing. This Agreement may be executed in any number of counterparts, all of which together shall constitute one and the same instrument.</w:t>
      </w:r>
    </w:p>
    <w:p>
      <w:pPr>
        <w:sectPr>
          <w:pgSz w:w="11900" w:h="16838" w:orient="portrait"/>
          <w:cols w:equalWidth="0" w:num="1">
            <w:col w:w="10219"/>
          </w:cols>
          <w:pgMar w:left="240" w:top="136" w:right="1440" w:bottom="0" w:gutter="0" w:footer="0" w:header="0"/>
        </w:sectPr>
      </w:pPr>
    </w:p>
    <w:bookmarkStart w:id="5" w:name="page6"/>
    <w:bookmarkEnd w:id="5"/>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14, 2009.</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43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Roman"/>
      <w:start w:val="10"/>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lvl w:ilvl="1">
      <w:lvlJc w:val="left"/>
      <w:lvlText w:val="%2"/>
      <w:numFmt w:val="decimal"/>
      <w:start w:val="1"/>
    </w:lvl>
  </w:abstractNum>
  <w:abstractNum w:abstractNumId="3">
    <w:nsid w:val="6B68079A"/>
    <w:multiLevelType w:val="hybridMultilevel"/>
    <w:lvl w:ilvl="0">
      <w:lvlJc w:val="left"/>
      <w:lvlText w:val="-"/>
      <w:numFmt w:val="bullet"/>
      <w:start w:val="1"/>
    </w:lvl>
    <w:lvl w:ilvl="1">
      <w:lvlJc w:val="left"/>
      <w:lvlText w:val="(%2)"/>
      <w:numFmt w:val="lowerLetter"/>
      <w:start w:val="1"/>
    </w:lvl>
  </w:abstractNum>
  <w:abstractNum w:abstractNumId="4">
    <w:nsid w:val="4E6AFB66"/>
    <w:multiLevelType w:val="hybridMultilevel"/>
    <w:lvl w:ilvl="0">
      <w:lvlJc w:val="left"/>
      <w:lvlText w:val="-"/>
      <w:numFmt w:val="bullet"/>
      <w:start w:val="1"/>
    </w:lvl>
    <w:lvl w:ilvl="1">
      <w:lvlJc w:val="left"/>
      <w:lvlText w:val="8"/>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lvl w:ilvl="1">
      <w:lvlJc w:val="left"/>
      <w:lvlText w:val="%2"/>
      <w:numFmt w:val="decimal"/>
      <w:start w:val="1"/>
    </w:lvl>
  </w:abstractNum>
  <w:abstractNum w:abstractNumId="9">
    <w:nsid w:val="7C83E458"/>
    <w:multiLevelType w:val="hybridMultilevel"/>
    <w:lvl w:ilvl="0">
      <w:lvlJc w:val="left"/>
      <w:lvlText w:val="-"/>
      <w:numFmt w:val="bullet"/>
      <w:start w:val="1"/>
    </w:lvl>
    <w:lvl w:ilvl="1">
      <w:lvlJc w:val="left"/>
      <w:lvlText w:val="(%2)"/>
      <w:numFmt w:val="lowerLetter"/>
      <w:start w:val="1"/>
    </w:lvl>
  </w:abstractNum>
  <w:abstractNum w:abstractNumId="10">
    <w:nsid w:val="257130A3"/>
    <w:multiLevelType w:val="hybridMultilevel"/>
    <w:lvl w:ilvl="0">
      <w:lvlJc w:val="left"/>
      <w:lvlText w:val="-"/>
      <w:numFmt w:val="bullet"/>
      <w:start w:val="1"/>
    </w:lvl>
    <w:lvl w:ilvl="1">
      <w:lvlJc w:val="left"/>
      <w:lvlText w:val="8"/>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lvl w:ilvl="1">
      <w:lvlJc w:val="left"/>
      <w:lvlText w:val="%2)"/>
      <w:numFmt w:val="decimal"/>
      <w:start w:val="8"/>
    </w:lvl>
  </w:abstractNum>
  <w:abstractNum w:abstractNumId="16">
    <w:nsid w:val="2443A858"/>
    <w:multiLevelType w:val="hybridMultilevel"/>
    <w:lvl w:ilvl="0">
      <w:lvlJc w:val="left"/>
      <w:lvlText w:val="%1)"/>
      <w:numFmt w:val="decimal"/>
      <w:start w:val="9"/>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3"/>
    </w:lvl>
  </w:abstractNum>
  <w:abstractNum w:abstractNumId="23">
    <w:nsid w:val="B03E0C6"/>
    <w:multiLevelType w:val="hybridMultilevel"/>
    <w:lvl w:ilvl="0">
      <w:lvlJc w:val="left"/>
      <w:lvlText w:val="(%1)"/>
      <w:numFmt w:val="lowerLetter"/>
      <w:start w:val="4"/>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6"/>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2019-12-10T00:02:27Z</dcterms:created>
  <dcterms:modified xsi:type="dcterms:W3CDTF">2019-12-10T00:02:27Z</dcterms:modified>
</cp:coreProperties>
</file>