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(Par Value $ 0.01)</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2008</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380" w:right="5059" w:hanging="1"/>
        <w:spacing w:after="0" w:line="547"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536"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Federal Republic of Germany</w:t>
      </w:r>
    </w:p>
    <w:tbl>
      <w:tblPr>
        <w:tblLayout w:type="fixed"/>
        <w:tblInd w:w="0" w:type="dxa"/>
        <w:tblCellMar>
          <w:top w:w="0" w:type="dxa"/>
          <w:left w:w="0" w:type="dxa"/>
          <w:bottom w:w="0" w:type="dxa"/>
          <w:right w:w="0" w:type="dxa"/>
        </w:tblCellMar>
      </w:tblPr>
      <w:tr>
        <w:trPr>
          <w:trHeight w:val="199"/>
        </w:trPr>
        <w:tc>
          <w:tcPr>
            <w:tcW w:w="158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line="199"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1,724,122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2,918,337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420" w:right="347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2,918,337</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649" w:right="1440" w:bottom="0" w:gutter="0" w:footer="0" w:header="0"/>
        </w:sectPr>
      </w:pPr>
    </w:p>
    <w:bookmarkStart w:id="1" w:name="page2"/>
    <w:bookmarkEnd w:id="1"/>
    <w:p>
      <w:pPr>
        <w:ind w:left="412"/>
        <w:spacing w:after="0"/>
        <w:rPr>
          <w:sz w:val="20"/>
          <w:szCs w:val="20"/>
          <w:color w:val="auto"/>
        </w:rPr>
      </w:pPr>
      <w:r>
        <w:rPr>
          <w:rFonts w:ascii="Courier New" w:cs="Courier New" w:eastAsia="Courier New" w:hAnsi="Courier New"/>
          <w:sz w:val="18"/>
          <w:szCs w:val="18"/>
          <w:color w:val="auto"/>
        </w:rPr>
        <w:t>4.95%</w:t>
      </w:r>
    </w:p>
    <w:p>
      <w:pPr>
        <w:spacing w:after="0" w:line="207" w:lineRule="exact"/>
        <w:rPr>
          <w:sz w:val="20"/>
          <w:szCs w:val="20"/>
          <w:color w:val="auto"/>
        </w:rPr>
      </w:pPr>
    </w:p>
    <w:p>
      <w:pPr>
        <w:ind w:left="412" w:right="7259" w:hanging="412"/>
        <w:spacing w:after="0" w:line="470"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FI</w:t>
      </w:r>
    </w:p>
    <w:p>
      <w:pPr>
        <w:spacing w:after="0" w:line="11" w:lineRule="exact"/>
        <w:rPr>
          <w:rFonts w:ascii="Courier New" w:cs="Courier New" w:eastAsia="Courier New" w:hAnsi="Courier New"/>
          <w:sz w:val="18"/>
          <w:szCs w:val="18"/>
          <w:color w:val="auto"/>
        </w:rPr>
      </w:pPr>
    </w:p>
    <w:p>
      <w:pPr>
        <w:ind w:left="412"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In accordance with Securities Exchange Act Release No. 39538 (January 12, 1998), this amended filing reflects the securities beneficially owned by the Private Clients and Asset Management business group ("PCAM")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PCAM is, for purposes of Section 13(d) under the Act, the beneficial owner of any securities covered by the filing.</w:t>
      </w:r>
    </w:p>
    <w:p>
      <w:pPr>
        <w:sectPr>
          <w:pgSz w:w="11900" w:h="16838" w:orient="portrait"/>
          <w:cols w:equalWidth="0" w:num="1">
            <w:col w:w="10211"/>
          </w:cols>
          <w:pgMar w:left="248"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480" w:type="dxa"/>
            <w:vAlign w:val="bottom"/>
          </w:tcPr>
          <w:p>
            <w:pPr>
              <w:spacing w:after="0"/>
              <w:rPr>
                <w:sz w:val="24"/>
                <w:szCs w:val="24"/>
                <w:color w:val="auto"/>
              </w:rPr>
            </w:pP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Federal</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Trust(the "Issuer")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480" w:type="dxa"/>
            <w:vAlign w:val="bottom"/>
          </w:tcPr>
          <w:p>
            <w:pPr>
              <w:spacing w:after="0"/>
              <w:rPr>
                <w:sz w:val="17"/>
                <w:szCs w:val="17"/>
                <w:color w:val="auto"/>
              </w:rPr>
            </w:pPr>
          </w:p>
        </w:tc>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Rockville, MD 20852</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This statement is filed on behalf of Deutsche Bank AG</w:t>
            </w:r>
          </w:p>
        </w:tc>
      </w:tr>
      <w:tr>
        <w:trPr>
          <w:trHeight w:val="203"/>
        </w:trPr>
        <w:tc>
          <w:tcPr>
            <w:tcW w:w="1480" w:type="dxa"/>
            <w:vAlign w:val="bottom"/>
          </w:tcPr>
          <w:p>
            <w:pPr>
              <w:spacing w:after="0"/>
              <w:rPr>
                <w:sz w:val="17"/>
                <w:szCs w:val="17"/>
                <w:color w:val="auto"/>
              </w:rPr>
            </w:pPr>
          </w:p>
        </w:tc>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("Reporting Person").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Theodor-Heuss-Allee 70</w:t>
            </w:r>
          </w:p>
        </w:tc>
      </w:tr>
      <w:tr>
        <w:trPr>
          <w:trHeight w:val="203"/>
        </w:trPr>
        <w:tc>
          <w:tcPr>
            <w:tcW w:w="1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60468</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Frankfurt am Main</w:t>
            </w:r>
          </w:p>
        </w:tc>
      </w:tr>
      <w:tr>
        <w:trPr>
          <w:trHeight w:val="203"/>
        </w:trPr>
        <w:tc>
          <w:tcPr>
            <w:tcW w:w="1480" w:type="dxa"/>
            <w:vAlign w:val="bottom"/>
          </w:tcPr>
          <w:p>
            <w:pPr>
              <w:spacing w:after="0"/>
              <w:rPr>
                <w:sz w:val="17"/>
                <w:szCs w:val="17"/>
                <w:color w:val="auto"/>
              </w:rPr>
            </w:pPr>
          </w:p>
        </w:tc>
        <w:tc>
          <w:tcPr>
            <w:tcW w:w="1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Federal</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Republic of Germany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The citizenship of the Reporting Person is set forth on the</w:t>
            </w:r>
          </w:p>
        </w:tc>
      </w:tr>
      <w:tr>
        <w:trPr>
          <w:trHeight w:val="203"/>
        </w:trPr>
        <w:tc>
          <w:tcPr>
            <w:tcW w:w="1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cover</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page.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Title</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The title of the securities is common stock, $0.01 par value</w:t>
            </w:r>
          </w:p>
        </w:tc>
      </w:tr>
      <w:tr>
        <w:trPr>
          <w:trHeight w:val="203"/>
        </w:trPr>
        <w:tc>
          <w:tcPr>
            <w:tcW w:w="1480" w:type="dxa"/>
            <w:vAlign w:val="bottom"/>
          </w:tcPr>
          <w:p>
            <w:pPr>
              <w:spacing w:after="0"/>
              <w:rPr>
                <w:sz w:val="17"/>
                <w:szCs w:val="17"/>
                <w:color w:val="auto"/>
              </w:rPr>
            </w:pPr>
          </w:p>
        </w:tc>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CUSIP</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Number:</w:t>
            </w: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The CUSIP number of the Common Stock is set forth on the cover</w:t>
            </w:r>
          </w:p>
        </w:tc>
      </w:tr>
      <w:tr>
        <w:trPr>
          <w:trHeight w:val="203"/>
        </w:trPr>
        <w:tc>
          <w:tcPr>
            <w:tcW w:w="1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page.</w:t>
            </w:r>
          </w:p>
        </w:tc>
        <w:tc>
          <w:tcPr>
            <w:tcW w:w="22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statement is filed pursuant to Rules 13d-1(b), or</w:t>
            </w:r>
          </w:p>
        </w:tc>
      </w:tr>
      <w:tr>
        <w:trPr>
          <w:trHeight w:val="203"/>
        </w:trPr>
        <w:tc>
          <w:tcPr>
            <w:tcW w:w="1480" w:type="dxa"/>
            <w:vAlign w:val="bottom"/>
          </w:tcPr>
          <w:p>
            <w:pPr>
              <w:spacing w:after="0"/>
              <w:rPr>
                <w:sz w:val="17"/>
                <w:szCs w:val="17"/>
                <w:color w:val="auto"/>
              </w:rPr>
            </w:pPr>
          </w:p>
        </w:tc>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Broker or dealer registered under section 15 of the</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(b)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(c)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Insurance Company as defined in section 3(a)(19)</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(d)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Investment Company registered under section 8</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Investment Company Act of 1940;</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(e)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An investment adviser in accordance with Rule</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13d- 1(b)(1)(ii)(E);</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(f)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Rule 13d-1 (b)(1)(ii)(F);</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(g)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Parent holding company or control person in</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Rule 13d-1 (b)(1)(ii)(G);</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(h)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 savings association as defined in section 3(b) of</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Federal Deposit Insurance Act;</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(i)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1480" w:type="dxa"/>
            <w:vAlign w:val="bottom"/>
          </w:tcPr>
          <w:p>
            <w:pPr>
              <w:spacing w:after="0"/>
              <w:rPr>
                <w:sz w:val="24"/>
                <w:szCs w:val="24"/>
                <w:color w:val="auto"/>
              </w:rPr>
            </w:pPr>
          </w:p>
        </w:tc>
        <w:tc>
          <w:tcPr>
            <w:tcW w:w="1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(j) [X]</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 non-U.S. institution in accordance with Group, in</w:t>
            </w: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Rule 13d-1 (b)(1)(ii)(J).</w:t>
            </w:r>
          </w:p>
        </w:tc>
      </w:tr>
      <w:tr>
        <w:trPr>
          <w:trHeight w:val="405"/>
        </w:trPr>
        <w:tc>
          <w:tcPr>
            <w:tcW w:w="14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(k) [</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Group, in accordance with Rule 13d-1 (b)(1)(ii)(J).</w:t>
            </w:r>
          </w:p>
        </w:tc>
      </w:tr>
    </w:tbl>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320" w:hanging="416"/>
        <w:spacing w:after="0"/>
        <w:tabs>
          <w:tab w:leader="none" w:pos="2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23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amount of the Common Stock as set forth on the cover page.</w:t>
      </w:r>
    </w:p>
    <w:p>
      <w:pPr>
        <w:sectPr>
          <w:pgSz w:w="11900" w:h="16838" w:orient="portrait"/>
          <w:cols w:equalWidth="0" w:num="1">
            <w:col w:w="10219"/>
          </w:cols>
          <w:pgMar w:left="240" w:top="919" w:right="1440" w:bottom="0" w:gutter="0" w:footer="0" w:header="0"/>
        </w:sectPr>
      </w:pPr>
    </w:p>
    <w:bookmarkStart w:id="3" w:name="page4"/>
    <w:bookmarkEnd w:id="3"/>
    <w:p>
      <w:pPr>
        <w:ind w:left="2320" w:hanging="416"/>
        <w:spacing w:after="0"/>
        <w:tabs>
          <w:tab w:leader="none" w:pos="2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32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8" w:lineRule="exact"/>
        <w:rPr>
          <w:rFonts w:ascii="Courier New" w:cs="Courier New" w:eastAsia="Courier New" w:hAnsi="Courier New"/>
          <w:sz w:val="18"/>
          <w:szCs w:val="18"/>
          <w:color w:val="auto"/>
        </w:rPr>
      </w:pPr>
    </w:p>
    <w:p>
      <w:pPr>
        <w:ind w:left="2960" w:right="1999" w:hanging="634"/>
        <w:spacing w:after="0" w:line="235" w:lineRule="auto"/>
        <w:tabs>
          <w:tab w:leader="none" w:pos="2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8"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8" w:lineRule="exact"/>
        <w:rPr>
          <w:rFonts w:ascii="Courier New" w:cs="Courier New" w:eastAsia="Courier New" w:hAnsi="Courier New"/>
          <w:sz w:val="18"/>
          <w:szCs w:val="18"/>
          <w:color w:val="auto"/>
        </w:rPr>
      </w:pPr>
    </w:p>
    <w:p>
      <w:pPr>
        <w:ind w:left="2960" w:right="1779" w:hanging="634"/>
        <w:spacing w:after="0" w:line="235" w:lineRule="auto"/>
        <w:tabs>
          <w:tab w:leader="none" w:pos="2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8" w:lineRule="exact"/>
        <w:rPr>
          <w:sz w:val="20"/>
          <w:szCs w:val="20"/>
          <w:color w:val="auto"/>
        </w:rPr>
      </w:pPr>
    </w:p>
    <w:p>
      <w:pPr>
        <w:jc w:val="both"/>
        <w:ind w:left="2960" w:right="1779"/>
        <w:spacing w:after="0" w:line="236" w:lineRule="auto"/>
        <w:rPr>
          <w:sz w:val="20"/>
          <w:szCs w:val="20"/>
          <w:color w:val="auto"/>
        </w:rPr>
      </w:pPr>
      <w:r>
        <w:rPr>
          <w:rFonts w:ascii="Courier New" w:cs="Courier New" w:eastAsia="Courier New" w:hAnsi="Courier New"/>
          <w:sz w:val="18"/>
          <w:szCs w:val="18"/>
          <w:color w:val="auto"/>
        </w:rPr>
        <w:t>The Reporting Person has the shared power to dispose or direct the disposition of the Common Stock as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tabs>
          <w:tab w:leader="none" w:pos="558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a bank organized under the laws of the Federal Republic of Germany is substantially comparable to the regulatory scheme applicable to the functionally equivalent U.S. institution. I also undertake to furnish to the Commission staff, upon request, information that would otherwise be disclosed in a Schedule 13D.</w:t>
      </w:r>
    </w:p>
    <w:p>
      <w:pPr>
        <w:sectPr>
          <w:pgSz w:w="11900" w:h="16838" w:orient="portrait"/>
          <w:cols w:equalWidth="0" w:num="1">
            <w:col w:w="10219"/>
          </w:cols>
          <w:pgMar w:left="240" w:top="136"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Pasquale Antolino</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Pasquale Antolino</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lvl w:ilvl="1">
      <w:lvlJc w:val="left"/>
      <w:lvlText w:val="(%2)"/>
      <w:numFmt w:val="upperLetter"/>
      <w:start w:val="1"/>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2"/>
    </w:lvl>
    <w:lvl w:ilvl="1">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2019-12-10T00:05:49Z</dcterms:created>
  <dcterms:modified xsi:type="dcterms:W3CDTF">2019-12-10T00:05:49Z</dcterms:modified>
</cp:coreProperties>
</file>