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December 31, 2012</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On February 12, 2013, Federal Realty Investment Trust issued supplemental data pertaining to its operations, as well as a press release, to report its financial results for the quarter ended December 31, 2012.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2012 (including press release dated February 12, 2013)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12, 2013</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2012</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2012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Development and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2012 Significant Acquisition</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13</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2013,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2013.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Kristina Lennox</w:t>
            </w:r>
          </w:p>
        </w:tc>
        <w:tc>
          <w:tcPr>
            <w:tcW w:w="47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2320" w:type="dxa"/>
            <w:vAlign w:val="bottom"/>
            <w:gridSpan w:val="2"/>
          </w:tcPr>
          <w:p>
            <w:pPr>
              <w:spacing w:after="0"/>
              <w:rPr>
                <w:sz w:val="20"/>
                <w:szCs w:val="20"/>
                <w:color w:val="auto"/>
              </w:rPr>
            </w:pPr>
            <w:r>
              <w:rPr>
                <w:rFonts w:ascii="Arial" w:cs="Arial" w:eastAsia="Arial" w:hAnsi="Arial"/>
                <w:sz w:val="18"/>
                <w:szCs w:val="18"/>
                <w:color w:val="auto"/>
              </w:rPr>
              <w:t>Director, Marketing</w:t>
            </w:r>
          </w:p>
        </w:tc>
      </w:tr>
      <w:tr>
        <w:trPr>
          <w:trHeight w:val="257"/>
        </w:trPr>
        <w:tc>
          <w:tcPr>
            <w:tcW w:w="1560" w:type="dxa"/>
            <w:vAlign w:val="bottom"/>
            <w:gridSpan w:val="2"/>
          </w:tcPr>
          <w:p>
            <w:pPr>
              <w:ind w:left="200"/>
              <w:spacing w:after="0"/>
              <w:rPr>
                <w:sz w:val="20"/>
                <w:szCs w:val="20"/>
                <w:color w:val="auto"/>
              </w:rPr>
            </w:pPr>
            <w:r>
              <w:rPr>
                <w:rFonts w:ascii="Arial" w:cs="Arial" w:eastAsia="Arial" w:hAnsi="Arial"/>
                <w:sz w:val="18"/>
                <w:szCs w:val="18"/>
                <w:color w:val="auto"/>
              </w:rPr>
              <w:t>301/998-8265</w:t>
            </w:r>
          </w:p>
        </w:tc>
        <w:tc>
          <w:tcPr>
            <w:tcW w:w="4760" w:type="dxa"/>
            <w:vAlign w:val="bottom"/>
          </w:tcPr>
          <w:p>
            <w:pPr>
              <w:spacing w:after="0"/>
              <w:rPr>
                <w:sz w:val="22"/>
                <w:szCs w:val="22"/>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klennox@federalrealty.com</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FOURTH QUARTER AND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YEAR-END 2012 OPERATING RESULTS</w:t>
      </w:r>
    </w:p>
    <w:p>
      <w:pPr>
        <w:spacing w:after="0" w:line="27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ROCKVILLE, Md. (February 12, 2013) - Federal Realty Investment Trust (NYSE:FRT) today reported operating results for its fourth quarter and year-ended December 31,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Federal Realty generated funds from operations available for common shareholders (FFO) of $71.7 million, or $1.11 per diluted share for fourth quarter 2012. This compares to FFO of $62.1 million, or $0.97 per diluted share, in fourth quarter 2011. For the year ending December 31, 2012, Federal Realty reported FFO of $277.2 million, or $4.31 per diluted share. This compares to $251.6 million, or $4.00 per diluted share, for the year ending December 31, 2011.</w:t>
      </w:r>
    </w:p>
    <w:p>
      <w:pPr>
        <w:spacing w:after="0" w:line="297"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$37.6 million and earnings per diluted share was $0.58 for fourth quarter 2012 versus $30.8 million and $0.48, respectively, for fourth quarter 2011. For the year ending December 31, 2012, Federal Realty reported net income available for common shareholders of $151.4 million and earnings per diluted share of $2.35. This compares to net income available for shareholders of $143.4 million and earnings per diluted share of $2.28 for the year ending December 31, 2011.</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Same-center property operating income in 2012 increased 6.1% including redevelopments and expansions (4.5% if you exclude the lease termination fee from Safeway), and 5.6% excluding redevelopments and expansions (3.9% if you exclude the lease termination fee from Safeway), compared to 2011. On a quarterly-basis, same-center property operating income in fourth quarter 2012 increased 5.4% including redevelopment and expansion properties, and 4.2% excluding redevelopment and expansion properties, compared to fourth quarter 2011.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95.3% leased as of December 31, 2012, compared to 95.1% on September 30, 2012 and 93.4% on December 31, 2011. Federal Realty's same-center portfolio was 95.0% leased on December 31, 2012, unchanged from September 30, 2012 and compared to 94.2% on December 31, 2011.</w:t>
      </w:r>
    </w:p>
    <w:p>
      <w:pPr>
        <w:spacing w:after="0" w:line="18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During fourth quarter 2012, the Trust signed 98 leases for 485,215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478,913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12%. The average contractual rent on this comparable space for the first year of the new lease is $32.17 per square foot compared to the average contractual rent of $28.71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20% for fourth quarter 2012.</w:t>
      </w:r>
    </w:p>
    <w:p>
      <w:pPr>
        <w:spacing w:after="0" w:line="205"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all of 2012, Federal Realty signed 394 leases representing 1.8 million square feet of comparable retail space at an average cash-basis contractual rent increase per square foot of 13%, and 23% on a GAAP-basis. The average cash-basis contractual rent on this comparable space for the first year of the new lease is $31.76 per square foot compared to the average cash-basis contractual rent of $28.22 per square foot for the last year of the prior lease. As of December 31, 2012, Federal Realty's average contractual minimum rent for retail and commercial space in its portfolio is $23.83 per square foot, as compared to $23.37 per square foot on December 31, 2011.</w:t>
      </w:r>
    </w:p>
    <w:p>
      <w:pPr>
        <w:spacing w:after="0" w:line="298"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“The fundamental strength of our operating portfolio and balance sheet were evident in 2012 as we achieved record setting FFO and FFO per share, strong same center POI growth and record levels of leasing at double digit rent increases on average,” commented Donald C. Wood, president and chief executive officer of Federal Realty Investment Trust. “When you combine that fundamental strength with our ability to acquire great assets like East Bay Bridge and the progress we've made on our development and redevelopment pipeline, we're well positioned to continue to deliver strong results in 2013.”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400" w:hanging="392"/>
        <w:spacing w:after="0" w:line="36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December 21, 2012 - Acquired East Bay Bridge shopping center, a 438,000 square foot, grocery-anchored power center spanning two municipalities, Emeryville and Oakland, California. The Trust paid cash consideration of $53.7 million and assumed an existing $62.9 million mortgage loan secured by the property.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$0.73 per share on its common shares, resulting in 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74"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indicated annual rate of $2.92 per share. The regular common dividend will be payable on April 15, 2013 to common shareholders of record on March 14,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We have increased our 2013 guidance for FFO per diluted share to a range of $4.53 to $4.58 to reflect the impact of our acquisition of East Bay Bridge. Our updated earnings per diluted share guidance is $2.12 to $2.17.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fourth quarter and year-end 2012 earnings conference call, which is scheduled for February 13, 2013, at 11 a.m. Eastern Standard Time. To participate, please call (888) 771-4371 five to ten minutes prior to the call start time and use the passcode 34021480 (required). Federal Realty will also provide an online webcast on the Company's web 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March 15, 2013, by dialing (888) 843-7419 and using the passcode 34021480.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20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95.3% leased to national, regional, and local retailers as of December 31, 2012, with no single tenant accounting for more than approximately 3.2% of annualized base rent. Federal Realty has paid quarterly dividends to its shareholders continuously since its founding in 1962, and has increased its dividend rate for 45 consecutive years, the longest record in the REIT industry. Federal Realty is an S&amp;P MidCap 400 company and its shares are traded on the NYSE under the symbol FRT.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2013, and include the following:</w:t>
      </w:r>
    </w:p>
    <w:p>
      <w:pPr>
        <w:spacing w:after="0" w:line="206" w:lineRule="exact"/>
        <w:rPr>
          <w:sz w:val="20"/>
          <w:szCs w:val="20"/>
          <w:color w:val="auto"/>
        </w:rPr>
      </w:pPr>
    </w:p>
    <w:p>
      <w:pPr>
        <w:ind w:left="66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652"/>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652"/>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652"/>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24"/>
                <w:szCs w:val="24"/>
                <w:color w:val="auto"/>
              </w:rPr>
            </w:pPr>
          </w:p>
        </w:tc>
      </w:tr>
      <w:tr>
        <w:trPr>
          <w:trHeight w:val="250"/>
        </w:trPr>
        <w:tc>
          <w:tcPr>
            <w:tcW w:w="5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2011</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9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152,363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137,249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582,335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538,701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5,466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5,098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608,018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553,059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109,549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66,799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60,620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35,337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31,853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142,039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126,208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352,756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325,362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57,233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255,262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227,697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(98,465)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131,554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 - gain on deconsolidation of VIE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15,075</w:t>
            </w: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Results from discontinued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18,058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149,612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149,612</w:t>
            </w:r>
          </w:p>
        </w:tc>
      </w:tr>
      <w:tr>
        <w:trPr>
          <w:trHeight w:val="243"/>
        </w:trPr>
        <w:tc>
          <w:tcPr>
            <w:tcW w:w="562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143,917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37,557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30,786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151,384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143,376</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64,392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63,224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63,881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62,438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64,550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63,379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64,056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62,603</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44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449"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$278,826 and $263,570 of consolidated variable interest entities,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4,490,960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4,232,608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288,714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4,779,674</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Less accumulated depreciation and amortization (including $12,024 and $4,991 of consolidated variable 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(1,224,295)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(1,127,588)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3,555,379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73,861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75,921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33,169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133,308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3,898,565</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$205,299 and $207,683 of consolidated variable interest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832,482</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810,616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299,575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295,159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1,076,545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1,004,635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284,950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2,493,552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2,340,281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94,420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1,276,815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1,206,095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1,286,812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1,216,092</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23,781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1,310,593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1,240,604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3,898,565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9"/>
        </w:trPr>
        <w:tc>
          <w:tcPr>
            <w:tcW w:w="40" w:type="dxa"/>
            <w:vAlign w:val="bottom"/>
            <w:shd w:val="clear" w:color="auto" w:fill="CCEEFF"/>
          </w:tcPr>
          <w:p>
            <w:pPr>
              <w:spacing w:after="0"/>
              <w:rPr>
                <w:sz w:val="18"/>
                <w:szCs w:val="18"/>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0"/>
              </w:rPr>
              <w:t>(FFO) (1)</w:t>
            </w:r>
          </w:p>
        </w:tc>
        <w:tc>
          <w:tcPr>
            <w:tcW w:w="3540" w:type="dxa"/>
            <w:vAlign w:val="bottom"/>
            <w:tcBorders>
              <w:top w:val="single" w:sz="8" w:color="auto"/>
              <w:bottom w:val="single" w:sz="8" w:color="CCEEFF"/>
            </w:tcBorders>
            <w:gridSpan w:val="3"/>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38,858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32,455</w:t>
            </w:r>
          </w:p>
        </w:tc>
        <w:tc>
          <w:tcPr>
            <w:tcW w:w="6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156,232</w:t>
            </w: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149,612</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(1,534)</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(5,695)</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(275)  15,075</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(11,860)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1,410</w:t>
            </w: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(15,075)</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Gain on deconsolidation of VIE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(2,026)</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31,283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28,465</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125,611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113,188</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2,695</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10,432</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Depreciation of joint venture real estate assets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467</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1,771</w:t>
            </w: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71,960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62,273</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252,207</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Dividends on preferred shares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(135)</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(541)</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248</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981</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(278)</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(1,071)</w:t>
            </w: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71,744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62,108</w:t>
            </w:r>
          </w:p>
        </w:tc>
        <w:tc>
          <w:tcPr>
            <w:tcW w:w="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277,237</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251,576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FFO per diluted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0.97</w:t>
            </w:r>
          </w:p>
        </w:tc>
        <w:tc>
          <w:tcPr>
            <w:tcW w:w="6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4.31</w:t>
            </w: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51"/>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780" w:type="dxa"/>
            <w:vAlign w:val="bottom"/>
            <w:tcBorders>
              <w:top w:val="single" w:sz="8" w:color="CCEEFF"/>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64,873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63,740</w:t>
            </w: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64,389</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62,964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7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Summary of Capital Expenditures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38,657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37,530</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134,875</w:t>
            </w:r>
          </w:p>
        </w:tc>
        <w:tc>
          <w:tcPr>
            <w:tcW w:w="9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99,843</w:t>
            </w:r>
          </w:p>
        </w:tc>
      </w:tr>
      <w:tr>
        <w:trPr>
          <w:trHeight w:val="243"/>
        </w:trPr>
        <w:tc>
          <w:tcPr>
            <w:tcW w:w="40" w:type="dxa"/>
            <w:vAlign w:val="bottom"/>
          </w:tcPr>
          <w:p>
            <w:pPr>
              <w:spacing w:after="0"/>
              <w:rPr>
                <w:sz w:val="21"/>
                <w:szCs w:val="21"/>
                <w:color w:val="auto"/>
              </w:rPr>
            </w:pPr>
          </w:p>
        </w:tc>
        <w:tc>
          <w:tcPr>
            <w:tcW w:w="4780" w:type="dxa"/>
            <w:vAlign w:val="bottom"/>
            <w:gridSpan w:val="5"/>
          </w:tcPr>
          <w:p>
            <w:pPr>
              <w:ind w:left="340"/>
              <w:spacing w:after="0"/>
              <w:rPr>
                <w:sz w:val="20"/>
                <w:szCs w:val="20"/>
                <w:color w:val="auto"/>
              </w:rPr>
            </w:pPr>
            <w:r>
              <w:rPr>
                <w:rFonts w:ascii="Arial" w:cs="Arial" w:eastAsia="Arial" w:hAnsi="Arial"/>
                <w:sz w:val="18"/>
                <w:szCs w:val="18"/>
                <w:color w:val="auto"/>
              </w:rPr>
              <w:t>Tenant improvements and incentives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10,725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7,500</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25,846</w:t>
            </w: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49,382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45,030</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125,689</w:t>
            </w:r>
          </w:p>
        </w:tc>
      </w:tr>
      <w:tr>
        <w:trPr>
          <w:trHeight w:val="243"/>
        </w:trPr>
        <w:tc>
          <w:tcPr>
            <w:tcW w:w="40" w:type="dxa"/>
            <w:vAlign w:val="bottom"/>
          </w:tcPr>
          <w:p>
            <w:pPr>
              <w:spacing w:after="0"/>
              <w:rPr>
                <w:sz w:val="21"/>
                <w:szCs w:val="21"/>
                <w:color w:val="auto"/>
              </w:rPr>
            </w:pPr>
          </w:p>
        </w:tc>
        <w:tc>
          <w:tcPr>
            <w:tcW w:w="4780" w:type="dxa"/>
            <w:vAlign w:val="bottom"/>
            <w:gridSpan w:val="5"/>
          </w:tcPr>
          <w:p>
            <w:pPr>
              <w:ind w:left="34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8,042</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20,792</w:t>
            </w: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57,902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53,072</w:t>
            </w:r>
          </w:p>
        </w:tc>
        <w:tc>
          <w:tcPr>
            <w:tcW w:w="6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188,413</w:t>
            </w:r>
          </w:p>
        </w:tc>
        <w:tc>
          <w:tcPr>
            <w:tcW w:w="9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146,481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7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Dividends and Payout Ratios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Regular common dividends declared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47,313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43,847</w:t>
            </w:r>
          </w:p>
        </w:tc>
        <w:tc>
          <w:tcPr>
            <w:tcW w:w="6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182,813</w:t>
            </w: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171,335</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Dividend payout ratio as a percentage of FFO</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Common shares outstanding (1)</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64,815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63,544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 price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90.75</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Common equity market capitalization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6,742,056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5,766,618</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Series 1 preferred shares outstanding (2)</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Liquidation price per Series 1 preferred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Series 1 preferred equity market capitalization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Equity market capitalization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6,752,056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5,776,618</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(3)</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2,208,602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2,110,410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97"/>
        </w:trPr>
        <w:tc>
          <w:tcPr>
            <w:tcW w:w="8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market capitalization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8,960,658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7,887,028</w:t>
            </w: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4"/>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88"/>
              </w:rPr>
              <w:t>27%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to market capitalization at constant common share price of $90.75</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88"/>
              </w:rPr>
              <w:t>27%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Fixed rate debt ratio:</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Fixed rate debt and capital lease obligations (4)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43"/>
        </w:trPr>
        <w:tc>
          <w:tcPr>
            <w:tcW w:w="8580" w:type="dxa"/>
            <w:vAlign w:val="bottom"/>
          </w:tcPr>
          <w:p>
            <w:pPr>
              <w:ind w:left="620"/>
              <w:spacing w:after="0"/>
              <w:rPr>
                <w:sz w:val="20"/>
                <w:szCs w:val="20"/>
                <w:color w:val="auto"/>
              </w:rPr>
            </w:pPr>
            <w:r>
              <w:rPr>
                <w:rFonts w:ascii="Arial" w:cs="Arial" w:eastAsia="Arial" w:hAnsi="Arial"/>
                <w:sz w:val="18"/>
                <w:szCs w:val="18"/>
                <w:color w:val="auto"/>
              </w:rPr>
              <w:t>Variable rate debt</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2"/>
              </w:rPr>
              <w:t>&lt;1%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51"/>
              <w:spacing w:after="0"/>
              <w:rPr>
                <w:sz w:val="20"/>
                <w:szCs w:val="20"/>
                <w:color w:val="auto"/>
              </w:rPr>
            </w:pPr>
            <w:r>
              <w:rPr>
                <w:rFonts w:ascii="Arial" w:cs="Arial" w:eastAsia="Arial" w:hAnsi="Arial"/>
                <w:sz w:val="18"/>
                <w:szCs w:val="18"/>
                <w:color w:val="auto"/>
                <w:w w:val="92"/>
              </w:rPr>
              <w:t>&lt;1%</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do not include 320,646 and 360,314 Operating Partnership Units outstanding at December 31, 2012 and 2011,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0" w:hanging="652"/>
        <w:spacing w:after="0" w:line="286"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$17.1 million and $17.2 million which is the Trust's 30% share of the total mortgages payable of $57.2 million and $57.4 million at December 31, 2012 and 2011, respectively, of the partnership with a discretionary fund created and advised by ING Clarion Partners.</w:t>
      </w:r>
    </w:p>
    <w:p>
      <w:pPr>
        <w:spacing w:after="0" w:line="4"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108,960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99,035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422,894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392,657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30,137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26,264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112,740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106,347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10,522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9,020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152,363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137,249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582,335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538,701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$2.2 million and $1.8 million for the three months ended December 31, 2012 and 2011, respectively, and $6.1 million and $5.7 million for the year ended December 31, 2012 and 2011, respectively, to recognize minimum rents on a straight-line basis. In addition, minimum rents include $0.3 million and $0.4 million for the three months ended December 31, 2012 and 2011, respectively, and $1.1 million and $1.4 million for the year ended December 31, 2012 and 2011, respectively, to recognize income from the amortization of in-place leases.</w:t>
      </w:r>
    </w:p>
    <w:p>
      <w:pPr>
        <w:spacing w:after="0" w:line="25"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As of December 31, 2012</w:t>
            </w:r>
          </w:p>
        </w:tc>
        <w:tc>
          <w:tcPr>
            <w:tcW w:w="1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maturity date</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interest rate</w:t>
            </w:r>
          </w:p>
        </w:tc>
        <w:tc>
          <w:tcPr>
            <w:tcW w:w="200" w:type="dxa"/>
            <w:vAlign w:val="bottom"/>
          </w:tcPr>
          <w:p>
            <w:pPr>
              <w:spacing w:after="0"/>
              <w:rPr>
                <w:sz w:val="13"/>
                <w:szCs w:val="13"/>
                <w:color w:val="auto"/>
              </w:rPr>
            </w:pPr>
          </w:p>
        </w:tc>
        <w:tc>
          <w:tcPr>
            <w:tcW w:w="12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Balance</w:t>
            </w:r>
          </w:p>
        </w:tc>
        <w:tc>
          <w:tcPr>
            <w:tcW w:w="128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rate (8)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(in thousands)</w:t>
            </w:r>
          </w:p>
        </w:tc>
        <w:tc>
          <w:tcPr>
            <w:tcW w:w="128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White Marsh Plaza (2)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4/1/2013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Crow Canyon</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8/11/2013</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19,485</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Idylwood Plaza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15,987</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Leesburg Plaza</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27,818</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Loehmann's Plaza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35,972</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Pentagon Row</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51,640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Melville Mall (3)</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9/1/2014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21,536</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THE AVENUE at White Marsh</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55,336</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Barracks Road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38,070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Hauppauge</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14,352</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Lawrence Park</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26,984</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Wildwood</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23,719</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Wynnewood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Brick Plaza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28,033</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East Bay Bridge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62,946</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Plaza El Segundo</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8/5/2017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175,000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Rollingwood Apartments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22,890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29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Place (Shoppers' World)</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5,286</w:t>
            </w:r>
          </w:p>
        </w:tc>
        <w:tc>
          <w:tcPr>
            <w:tcW w:w="1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Montrose Crossing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78,755</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Chelsea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7,454</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747,733</w:t>
            </w:r>
          </w:p>
        </w:tc>
        <w:tc>
          <w:tcPr>
            <w:tcW w:w="1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Net unamortized premium</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13,056</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760,789</w:t>
            </w:r>
          </w:p>
        </w:tc>
        <w:tc>
          <w:tcPr>
            <w:tcW w:w="2680" w:type="dxa"/>
            <w:vAlign w:val="bottom"/>
            <w:tcBorders>
              <w:bottom w:val="single" w:sz="8" w:color="CCEEFF"/>
            </w:tcBorders>
            <w:gridSpan w:val="2"/>
            <w:shd w:val="clear" w:color="auto" w:fill="CCEEFF"/>
          </w:tcPr>
          <w:p>
            <w:pPr>
              <w:jc w:val="center"/>
              <w:ind w:left="1219"/>
              <w:spacing w:after="0"/>
              <w:rPr>
                <w:sz w:val="20"/>
                <w:szCs w:val="20"/>
                <w:color w:val="auto"/>
              </w:rPr>
            </w:pPr>
            <w:r>
              <w:rPr>
                <w:rFonts w:ascii="Arial" w:cs="Arial" w:eastAsia="Arial" w:hAnsi="Arial"/>
                <w:sz w:val="16"/>
                <w:szCs w:val="16"/>
                <w:color w:val="auto"/>
                <w:w w:val="92"/>
              </w:rPr>
              <w:t>5.95%</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Term Loan (4)</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+ 1.45%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Various (5)</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2027</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15,175</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variable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Revolving credit facility (6)</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7/6/2015</w:t>
            </w: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+ 1.15%</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Escondido (Municipal bonds) (7)</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10/1/2016</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9,400</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notes payable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299,575</w:t>
            </w:r>
          </w:p>
        </w:tc>
        <w:tc>
          <w:tcPr>
            <w:tcW w:w="2680" w:type="dxa"/>
            <w:vAlign w:val="bottom"/>
            <w:gridSpan w:val="2"/>
          </w:tcPr>
          <w:p>
            <w:pPr>
              <w:jc w:val="right"/>
              <w:ind w:right="48"/>
              <w:spacing w:after="0"/>
              <w:rPr>
                <w:sz w:val="20"/>
                <w:szCs w:val="20"/>
                <w:color w:val="auto"/>
              </w:rPr>
            </w:pPr>
            <w:r>
              <w:rPr>
                <w:rFonts w:ascii="Arial" w:cs="Arial" w:eastAsia="Arial" w:hAnsi="Arial"/>
                <w:sz w:val="16"/>
                <w:szCs w:val="16"/>
                <w:color w:val="auto"/>
              </w:rPr>
              <w:t>3.38%  (9)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Senior notes and debentures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5.40%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12/1/2013</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135,000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5.95%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8/15/2014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5.65%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6/1/2016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6.20%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5.90%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3.00%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7.48% debentures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6.82% medium term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1,079,200</w:t>
            </w: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Net unamortized discount</w:t>
            </w: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senior notes and debentures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1,076,545</w:t>
            </w:r>
          </w:p>
        </w:tc>
        <w:tc>
          <w:tcPr>
            <w:tcW w:w="2680" w:type="dxa"/>
            <w:vAlign w:val="bottom"/>
            <w:gridSpan w:val="2"/>
          </w:tcPr>
          <w:p>
            <w:pPr>
              <w:jc w:val="center"/>
              <w:ind w:left="1219"/>
              <w:spacing w:after="0"/>
              <w:rPr>
                <w:sz w:val="20"/>
                <w:szCs w:val="20"/>
                <w:color w:val="auto"/>
              </w:rPr>
            </w:pPr>
            <w:r>
              <w:rPr>
                <w:rFonts w:ascii="Arial" w:cs="Arial" w:eastAsia="Arial" w:hAnsi="Arial"/>
                <w:sz w:val="16"/>
                <w:szCs w:val="16"/>
                <w:color w:val="auto"/>
                <w:w w:val="92"/>
              </w:rPr>
              <w:t>5.43%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Capital lease obligations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71,693</w:t>
            </w:r>
          </w:p>
        </w:tc>
        <w:tc>
          <w:tcPr>
            <w:tcW w:w="2680" w:type="dxa"/>
            <w:vAlign w:val="bottom"/>
            <w:tcBorders>
              <w:bottom w:val="single" w:sz="8" w:color="CCEEFF"/>
            </w:tcBorders>
            <w:gridSpan w:val="2"/>
            <w:shd w:val="clear" w:color="auto" w:fill="CCEEFF"/>
          </w:tcPr>
          <w:p>
            <w:pPr>
              <w:jc w:val="center"/>
              <w:ind w:left="1219"/>
              <w:spacing w:after="0"/>
              <w:rPr>
                <w:sz w:val="20"/>
                <w:szCs w:val="20"/>
                <w:color w:val="auto"/>
              </w:rPr>
            </w:pPr>
            <w:r>
              <w:rPr>
                <w:rFonts w:ascii="Arial" w:cs="Arial" w:eastAsia="Arial" w:hAnsi="Arial"/>
                <w:sz w:val="16"/>
                <w:szCs w:val="16"/>
                <w:color w:val="auto"/>
                <w:w w:val="92"/>
              </w:rPr>
              <w:t>8.05%</w:t>
            </w:r>
          </w:p>
        </w:tc>
        <w:tc>
          <w:tcPr>
            <w:tcW w:w="0" w:type="dxa"/>
            <w:vAlign w:val="bottom"/>
          </w:tcPr>
          <w:p>
            <w:pPr>
              <w:spacing w:after="0"/>
              <w:rPr>
                <w:sz w:val="1"/>
                <w:szCs w:val="1"/>
                <w:color w:val="auto"/>
              </w:rPr>
            </w:pPr>
          </w:p>
        </w:tc>
      </w:tr>
      <w:tr>
        <w:trPr>
          <w:trHeight w:val="284"/>
        </w:trPr>
        <w:tc>
          <w:tcPr>
            <w:tcW w:w="3640" w:type="dxa"/>
            <w:vAlign w:val="bottom"/>
            <w:tcBorders>
              <w:bottom w:val="single" w:sz="8" w:color="CCEEFF"/>
            </w:tcBorders>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2,208,602</w:t>
            </w:r>
          </w:p>
        </w:tc>
        <w:tc>
          <w:tcPr>
            <w:tcW w:w="12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47"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2,199,202</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5.43%</w:t>
            </w:r>
          </w:p>
        </w:tc>
        <w:tc>
          <w:tcPr>
            <w:tcW w:w="440" w:type="dxa"/>
            <w:vAlign w:val="bottom"/>
            <w:shd w:val="clear" w:color="auto" w:fill="CCEEFF"/>
          </w:tcPr>
          <w:p>
            <w:pPr>
              <w:spacing w:after="0"/>
              <w:rPr>
                <w:sz w:val="21"/>
                <w:szCs w:val="21"/>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Total variable rate debt</w:t>
            </w:r>
          </w:p>
        </w:tc>
        <w:tc>
          <w:tcPr>
            <w:tcW w:w="4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&lt;1%</w:t>
            </w:r>
          </w:p>
        </w:tc>
        <w:tc>
          <w:tcPr>
            <w:tcW w:w="120" w:type="dxa"/>
            <w:vAlign w:val="bottom"/>
          </w:tcPr>
          <w:p>
            <w:pPr>
              <w:spacing w:after="0"/>
              <w:rPr>
                <w:sz w:val="20"/>
                <w:szCs w:val="20"/>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1.81%</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(9)</w:t>
            </w:r>
          </w:p>
        </w:tc>
      </w:tr>
      <w:tr>
        <w:trPr>
          <w:trHeight w:val="33"/>
        </w:trPr>
        <w:tc>
          <w:tcPr>
            <w:tcW w:w="7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2,208,602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5.42%</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r>
      <w:tr>
        <w:trPr>
          <w:trHeight w:val="20"/>
        </w:trPr>
        <w:tc>
          <w:tcPr>
            <w:tcW w:w="7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6" w:name="page17"/>
    <w:bookmarkEnd w:id="16"/>
    <w:tbl>
      <w:tblPr>
        <w:tblLayout w:type="fixed"/>
        <w:tblInd w:w="8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680" w:type="dxa"/>
            <w:vAlign w:val="bottom"/>
            <w:gridSpan w:val="3"/>
          </w:tcPr>
          <w:p>
            <w:pPr>
              <w:ind w:left="34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6"/>
                <w:szCs w:val="16"/>
                <w:color w:val="auto"/>
              </w:rPr>
            </w:pPr>
          </w:p>
        </w:tc>
      </w:tr>
      <w:tr>
        <w:trPr>
          <w:trHeight w:val="276"/>
        </w:trPr>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24"/>
                <w:szCs w:val="24"/>
                <w:color w:val="auto"/>
              </w:rPr>
            </w:pPr>
          </w:p>
        </w:tc>
      </w:tr>
      <w:tr>
        <w:trPr>
          <w:trHeight w:val="250"/>
        </w:trPr>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55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21"/>
                <w:szCs w:val="2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5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r>
      <w:tr>
        <w:trPr>
          <w:trHeight w:val="237"/>
        </w:trPr>
        <w:tc>
          <w:tcPr>
            <w:tcW w:w="120" w:type="dxa"/>
            <w:vAlign w:val="bottom"/>
          </w:tcPr>
          <w:p>
            <w:pPr>
              <w:spacing w:after="0"/>
              <w:rPr>
                <w:sz w:val="20"/>
                <w:szCs w:val="20"/>
                <w:color w:val="auto"/>
              </w:rPr>
            </w:pPr>
          </w:p>
        </w:tc>
        <w:tc>
          <w:tcPr>
            <w:tcW w:w="6960" w:type="dxa"/>
            <w:vAlign w:val="bottom"/>
            <w:gridSpan w:val="2"/>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(10)</w:t>
            </w:r>
          </w:p>
        </w:tc>
        <w:tc>
          <w:tcPr>
            <w:tcW w:w="560" w:type="dxa"/>
            <w:vAlign w:val="bottom"/>
          </w:tcPr>
          <w:p>
            <w:pPr>
              <w:jc w:val="right"/>
              <w:spacing w:after="0"/>
              <w:rPr>
                <w:sz w:val="20"/>
                <w:szCs w:val="20"/>
                <w:color w:val="auto"/>
              </w:rPr>
            </w:pPr>
            <w:r>
              <w:rPr>
                <w:rFonts w:ascii="Arial" w:cs="Arial" w:eastAsia="Arial" w:hAnsi="Arial"/>
                <w:sz w:val="16"/>
                <w:szCs w:val="16"/>
                <w:color w:val="auto"/>
              </w:rPr>
              <w:t>3.33</w:t>
            </w:r>
          </w:p>
        </w:tc>
        <w:tc>
          <w:tcPr>
            <w:tcW w:w="440" w:type="dxa"/>
            <w:vAlign w:val="bottom"/>
          </w:tcPr>
          <w:p>
            <w:pPr>
              <w:ind w:left="120"/>
              <w:spacing w:after="0"/>
              <w:rPr>
                <w:sz w:val="20"/>
                <w:szCs w:val="20"/>
                <w:color w:val="auto"/>
              </w:rPr>
            </w:pPr>
            <w:r>
              <w:rPr>
                <w:rFonts w:ascii="Arial" w:cs="Arial" w:eastAsia="Arial" w:hAnsi="Arial"/>
                <w:sz w:val="16"/>
                <w:szCs w:val="16"/>
                <w:color w:val="auto"/>
              </w:rPr>
              <w:t>x</w:t>
            </w:r>
          </w:p>
        </w:tc>
        <w:tc>
          <w:tcPr>
            <w:tcW w:w="680" w:type="dxa"/>
            <w:vAlign w:val="bottom"/>
          </w:tcPr>
          <w:p>
            <w:pPr>
              <w:jc w:val="right"/>
              <w:ind w:right="62"/>
              <w:spacing w:after="0"/>
              <w:rPr>
                <w:sz w:val="20"/>
                <w:szCs w:val="20"/>
                <w:color w:val="auto"/>
              </w:rPr>
            </w:pPr>
            <w:r>
              <w:rPr>
                <w:rFonts w:ascii="Arial" w:cs="Arial" w:eastAsia="Arial" w:hAnsi="Arial"/>
                <w:sz w:val="16"/>
                <w:szCs w:val="16"/>
                <w:color w:val="auto"/>
              </w:rPr>
              <w:t>3.17</w:t>
            </w:r>
          </w:p>
        </w:tc>
        <w:tc>
          <w:tcPr>
            <w:tcW w:w="520" w:type="dxa"/>
            <w:vAlign w:val="bottom"/>
            <w:gridSpan w:val="2"/>
          </w:tcPr>
          <w:p>
            <w:pPr>
              <w:ind w:left="40"/>
              <w:spacing w:after="0"/>
              <w:rPr>
                <w:sz w:val="20"/>
                <w:szCs w:val="20"/>
                <w:color w:val="auto"/>
              </w:rPr>
            </w:pPr>
            <w:r>
              <w:rPr>
                <w:rFonts w:ascii="Arial" w:cs="Arial" w:eastAsia="Arial" w:hAnsi="Arial"/>
                <w:sz w:val="16"/>
                <w:szCs w:val="16"/>
                <w:color w:val="auto"/>
              </w:rPr>
              <w:t>x</w:t>
            </w:r>
          </w:p>
        </w:tc>
        <w:tc>
          <w:tcPr>
            <w:tcW w:w="580" w:type="dxa"/>
            <w:vAlign w:val="bottom"/>
          </w:tcPr>
          <w:p>
            <w:pPr>
              <w:jc w:val="right"/>
              <w:spacing w:after="0"/>
              <w:rPr>
                <w:sz w:val="20"/>
                <w:szCs w:val="20"/>
                <w:color w:val="auto"/>
              </w:rPr>
            </w:pPr>
            <w:r>
              <w:rPr>
                <w:rFonts w:ascii="Arial" w:cs="Arial" w:eastAsia="Arial" w:hAnsi="Arial"/>
                <w:sz w:val="16"/>
                <w:szCs w:val="16"/>
                <w:color w:val="auto"/>
              </w:rPr>
              <w:t>3.29</w:t>
            </w:r>
          </w:p>
        </w:tc>
        <w:tc>
          <w:tcPr>
            <w:tcW w:w="440" w:type="dxa"/>
            <w:vAlign w:val="bottom"/>
          </w:tcPr>
          <w:p>
            <w:pPr>
              <w:ind w:left="100"/>
              <w:spacing w:after="0"/>
              <w:rPr>
                <w:sz w:val="20"/>
                <w:szCs w:val="20"/>
                <w:color w:val="auto"/>
              </w:rPr>
            </w:pPr>
            <w:r>
              <w:rPr>
                <w:rFonts w:ascii="Arial" w:cs="Arial" w:eastAsia="Arial" w:hAnsi="Arial"/>
                <w:sz w:val="16"/>
                <w:szCs w:val="16"/>
                <w:color w:val="auto"/>
              </w:rPr>
              <w:t>x</w:t>
            </w:r>
          </w:p>
        </w:tc>
        <w:tc>
          <w:tcPr>
            <w:tcW w:w="680" w:type="dxa"/>
            <w:vAlign w:val="bottom"/>
          </w:tcPr>
          <w:p>
            <w:pPr>
              <w:jc w:val="right"/>
              <w:ind w:right="62"/>
              <w:spacing w:after="0"/>
              <w:rPr>
                <w:sz w:val="20"/>
                <w:szCs w:val="20"/>
                <w:color w:val="auto"/>
              </w:rPr>
            </w:pPr>
            <w:r>
              <w:rPr>
                <w:rFonts w:ascii="Arial" w:cs="Arial" w:eastAsia="Arial" w:hAnsi="Arial"/>
                <w:sz w:val="16"/>
                <w:szCs w:val="16"/>
                <w:color w:val="auto"/>
              </w:rPr>
              <w:t>3.48</w:t>
            </w:r>
          </w:p>
        </w:tc>
        <w:tc>
          <w:tcPr>
            <w:tcW w:w="3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3"/>
        </w:trPr>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37"/>
        </w:trPr>
        <w:tc>
          <w:tcPr>
            <w:tcW w:w="120" w:type="dxa"/>
            <w:vAlign w:val="bottom"/>
            <w:shd w:val="clear" w:color="auto" w:fill="CCEEFF"/>
          </w:tcPr>
          <w:p>
            <w:pPr>
              <w:spacing w:after="0"/>
              <w:rPr>
                <w:sz w:val="20"/>
                <w:szCs w:val="20"/>
                <w:color w:val="auto"/>
              </w:rPr>
            </w:pPr>
          </w:p>
        </w:tc>
        <w:tc>
          <w:tcPr>
            <w:tcW w:w="6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(10)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x</w:t>
            </w: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3.16</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x</w:t>
            </w: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3.32</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w:t>
            </w:r>
          </w:p>
        </w:tc>
      </w:tr>
      <w:tr>
        <w:trPr>
          <w:trHeight w:val="33"/>
        </w:trPr>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payable do not include our 30% share ($17.1 million) of the $57.2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repaid this loan at par on January 2, 2013.</w:t>
      </w:r>
    </w:p>
    <w:p>
      <w:pPr>
        <w:spacing w:after="0" w:line="55" w:lineRule="exact"/>
        <w:rPr>
          <w:rFonts w:ascii="Arial" w:cs="Arial" w:eastAsia="Arial" w:hAnsi="Arial"/>
          <w:sz w:val="14"/>
          <w:szCs w:val="14"/>
          <w:color w:val="auto"/>
        </w:rPr>
      </w:pPr>
    </w:p>
    <w:p>
      <w:pPr>
        <w:ind w:left="660" w:right="22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right="2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3.17% and thus, the loan is included in fixed rate debt.</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interest rate of 5.27% represents the weighted average interest rate for ten unsecured fixed rate notes payable. These notes mature between January 31, 2013 and June 27, 2027.</w:t>
      </w:r>
    </w:p>
    <w:p>
      <w:pPr>
        <w:spacing w:after="0" w:line="66" w:lineRule="exact"/>
        <w:rPr>
          <w:rFonts w:ascii="Arial" w:cs="Arial" w:eastAsia="Arial" w:hAnsi="Arial"/>
          <w:sz w:val="13"/>
          <w:szCs w:val="13"/>
          <w:color w:val="auto"/>
        </w:rPr>
      </w:pPr>
    </w:p>
    <w:p>
      <w:pPr>
        <w:ind w:left="660" w:right="220" w:hanging="652"/>
        <w:spacing w:after="0" w:line="303"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There were no borrowings under our revolving credit facility during the three months ended December 31, 2012. The maximum amount drawn under our revolving credit facility was $186.0 million during 2012, and the weighted average effective interest rate on borrowings under our revolving credit facility, before amortization of debt fees, was 1.42% for 2012.</w:t>
      </w:r>
    </w:p>
    <w:p>
      <w:pPr>
        <w:ind w:left="660" w:right="30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9.</w:t>
      </w:r>
    </w:p>
    <w:p>
      <w:pPr>
        <w:spacing w:after="0" w:line="55" w:lineRule="exact"/>
        <w:rPr>
          <w:rFonts w:ascii="Arial" w:cs="Arial" w:eastAsia="Arial" w:hAnsi="Arial"/>
          <w:sz w:val="14"/>
          <w:szCs w:val="14"/>
          <w:color w:val="auto"/>
        </w:rPr>
      </w:pPr>
    </w:p>
    <w:p>
      <w:pPr>
        <w:jc w:val="both"/>
        <w:ind w:left="660" w:right="2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December 31, 2012. In addition, the weighted average effective interest rate is calculated using the fixed rate on our term loan of 3.17% as the result of the interest rate swap agreements discussed in Note 4. The term loan is included in fixed rate debt.</w:t>
      </w:r>
    </w:p>
    <w:p>
      <w:pPr>
        <w:spacing w:after="0" w:line="23" w:lineRule="exact"/>
        <w:rPr>
          <w:rFonts w:ascii="Arial" w:cs="Arial" w:eastAsia="Arial" w:hAnsi="Arial"/>
          <w:sz w:val="14"/>
          <w:szCs w:val="14"/>
          <w:color w:val="auto"/>
        </w:rPr>
      </w:pPr>
    </w:p>
    <w:p>
      <w:pPr>
        <w:ind w:left="660" w:right="20" w:hanging="652"/>
        <w:spacing w:after="0" w:line="252"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Fixed charges for the year ended December 31, 2011 include $0.3 million of income from early extinguishment of debt due to the write-off of the unamortized debt premium net of a 3% prepayment premium and unamortized debt fees related to the payoff of our mortgage loan on Tower Shops prior to its contractual prepayment date. Adjusted EBITDA is reconciled to net income in the Glossary of Terms.</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806" w:right="29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12,532</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163,045</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175,577</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11,265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307,864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319,129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22.5%</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206,309</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194,013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197,144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40.9%</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378,023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3,191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278,191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70.8%</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3,010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153,010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78.9%</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313,618</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314,640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93.5%</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22,243</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124,211</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146,454</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73,274</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2,124,927</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2,198,201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6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July 7, 2011, we replaced our existing revolving credit facility with a new $400.0 million unsecured revolving credit facility that matures on July 6, 2015, subject to a one-year extension at our option. As of December 31, 2012, there was nothing drawn under this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December 31, 2012.</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Development and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2012</w:t>
      </w:r>
    </w:p>
    <w:p>
      <w:pPr>
        <w:spacing w:after="0" w:line="248" w:lineRule="exact"/>
        <w:rPr>
          <w:sz w:val="20"/>
          <w:szCs w:val="20"/>
          <w:color w:val="auto"/>
        </w:rPr>
      </w:pPr>
    </w:p>
    <w:p>
      <w:pPr>
        <w:ind w:left="40" w:right="112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1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Projected</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 to</w:t>
            </w: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6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Property</w:t>
            </w:r>
          </w:p>
        </w:tc>
        <w:tc>
          <w:tcPr>
            <w:tcW w:w="12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Location</w:t>
            </w:r>
          </w:p>
        </w:tc>
        <w:tc>
          <w:tcPr>
            <w:tcW w:w="346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Opportunity</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Redevelopment/Development</w:t>
            </w:r>
          </w:p>
        </w:tc>
        <w:tc>
          <w:tcPr>
            <w:tcW w:w="8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6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Cost (2)</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64"/>
        </w:trPr>
        <w:tc>
          <w:tcPr>
            <w:tcW w:w="28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Projects Stabilized in 2012 (4)</w:t>
            </w:r>
          </w:p>
        </w:tc>
        <w:tc>
          <w:tcPr>
            <w:tcW w:w="3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6B</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Jose, CA</w:t>
            </w: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108 unit residential building</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80"/>
        </w:trPr>
        <w:tc>
          <w:tcPr>
            <w:tcW w:w="16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6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00" w:type="dxa"/>
            <w:vAlign w:val="bottom"/>
          </w:tcPr>
          <w:p>
            <w:pPr>
              <w:ind w:left="40"/>
              <w:spacing w:after="0"/>
              <w:rPr>
                <w:sz w:val="20"/>
                <w:szCs w:val="20"/>
                <w:color w:val="auto"/>
              </w:rPr>
            </w:pPr>
            <w:r>
              <w:rPr>
                <w:rFonts w:ascii="Arial" w:cs="Arial" w:eastAsia="Arial" w:hAnsi="Arial"/>
                <w:sz w:val="14"/>
                <w:szCs w:val="14"/>
                <w:color w:val="auto"/>
              </w:rPr>
              <w:t>Bala Cynwyd</w:t>
            </w:r>
          </w:p>
        </w:tc>
        <w:tc>
          <w:tcPr>
            <w:tcW w:w="1260" w:type="dxa"/>
            <w:vAlign w:val="bottom"/>
          </w:tcPr>
          <w:p>
            <w:pPr>
              <w:ind w:left="100"/>
              <w:spacing w:after="0"/>
              <w:rPr>
                <w:sz w:val="20"/>
                <w:szCs w:val="20"/>
                <w:color w:val="auto"/>
              </w:rPr>
            </w:pPr>
            <w:r>
              <w:rPr>
                <w:rFonts w:ascii="Arial" w:cs="Arial" w:eastAsia="Arial" w:hAnsi="Arial"/>
                <w:sz w:val="14"/>
                <w:szCs w:val="14"/>
                <w:color w:val="auto"/>
              </w:rPr>
              <w:t>Bala Cynwyd, PA</w:t>
            </w:r>
          </w:p>
        </w:tc>
        <w:tc>
          <w:tcPr>
            <w:tcW w:w="3460" w:type="dxa"/>
            <w:vAlign w:val="bottom"/>
          </w:tcPr>
          <w:p>
            <w:pPr>
              <w:ind w:left="40"/>
              <w:spacing w:after="0"/>
              <w:rPr>
                <w:sz w:val="20"/>
                <w:szCs w:val="20"/>
                <w:color w:val="auto"/>
              </w:rPr>
            </w:pPr>
            <w:r>
              <w:rPr>
                <w:rFonts w:ascii="Arial" w:cs="Arial" w:eastAsia="Arial" w:hAnsi="Arial"/>
                <w:sz w:val="14"/>
                <w:szCs w:val="14"/>
                <w:color w:val="auto"/>
              </w:rPr>
              <w:t>Construction of two retail pad buildings</w:t>
            </w:r>
          </w:p>
        </w:tc>
        <w:tc>
          <w:tcPr>
            <w:tcW w:w="1860" w:type="dxa"/>
            <w:vAlign w:val="bottom"/>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Fresh Meadows</w:t>
            </w:r>
          </w:p>
        </w:tc>
        <w:tc>
          <w:tcPr>
            <w:tcW w:w="126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Queens, NY</w:t>
            </w:r>
          </w:p>
        </w:tc>
        <w:tc>
          <w:tcPr>
            <w:tcW w:w="34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Conversion of 2nd floor office space for new sporting</w:t>
            </w:r>
          </w:p>
        </w:tc>
        <w:tc>
          <w:tcPr>
            <w:tcW w:w="18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6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w:t>
            </w: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188"/>
        </w:trPr>
        <w:tc>
          <w:tcPr>
            <w:tcW w:w="1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 retailer</w:t>
            </w:r>
          </w:p>
        </w:tc>
        <w:tc>
          <w:tcPr>
            <w:tcW w:w="18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ind w:left="380"/>
              <w:spacing w:after="0"/>
              <w:rPr>
                <w:sz w:val="20"/>
                <w:szCs w:val="20"/>
                <w:color w:val="auto"/>
              </w:rPr>
            </w:pPr>
            <w:r>
              <w:rPr>
                <w:rFonts w:ascii="Arial" w:cs="Arial" w:eastAsia="Arial" w:hAnsi="Arial"/>
                <w:sz w:val="14"/>
                <w:szCs w:val="14"/>
                <w:b w:val="1"/>
                <w:bCs w:val="1"/>
                <w:color w:val="auto"/>
                <w:w w:val="94"/>
              </w:rPr>
              <w:t>Total: Projects Stabilized in 2012 (3) (4)</w:t>
            </w:r>
          </w:p>
        </w:tc>
        <w:tc>
          <w:tcPr>
            <w:tcW w:w="34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Active Redevelopment &amp; Development projects</w:t>
            </w:r>
          </w:p>
        </w:tc>
        <w:tc>
          <w:tcPr>
            <w:tcW w:w="1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32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Mall</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Jose, CA</w:t>
            </w: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Façade and interior mall renovation, addition of food court</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2014/2015</w:t>
            </w:r>
          </w:p>
        </w:tc>
        <w:tc>
          <w:tcPr>
            <w:tcW w:w="0" w:type="dxa"/>
            <w:vAlign w:val="bottom"/>
          </w:tcPr>
          <w:p>
            <w:pPr>
              <w:spacing w:after="0"/>
              <w:rPr>
                <w:sz w:val="1"/>
                <w:szCs w:val="1"/>
                <w:color w:val="auto"/>
              </w:rPr>
            </w:pPr>
          </w:p>
        </w:tc>
      </w:tr>
      <w:tr>
        <w:trPr>
          <w:trHeight w:val="194"/>
        </w:trPr>
        <w:tc>
          <w:tcPr>
            <w:tcW w:w="1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pad site</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Chelsea Commons</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Chelsea, MA</w:t>
            </w:r>
          </w:p>
        </w:tc>
        <w:tc>
          <w:tcPr>
            <w:tcW w:w="3460" w:type="dxa"/>
            <w:vAlign w:val="bottom"/>
          </w:tcPr>
          <w:p>
            <w:pPr>
              <w:ind w:left="40"/>
              <w:spacing w:after="0" w:line="157" w:lineRule="exact"/>
              <w:rPr>
                <w:sz w:val="20"/>
                <w:szCs w:val="20"/>
                <w:color w:val="auto"/>
              </w:rPr>
            </w:pPr>
            <w:r>
              <w:rPr>
                <w:rFonts w:ascii="Arial" w:cs="Arial" w:eastAsia="Arial" w:hAnsi="Arial"/>
                <w:sz w:val="14"/>
                <w:szCs w:val="14"/>
                <w:color w:val="auto"/>
                <w:w w:val="99"/>
              </w:rPr>
              <w:t>Ground up development of a 56 unit apartment building</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8%</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4"/>
                <w:szCs w:val="14"/>
                <w:color w:val="auto"/>
              </w:rPr>
              <w:t>with above grade parking</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Shops at Willow Lawn</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Richmond, VA</w:t>
            </w: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Demo interior mall, relocate mall tenants, construct new</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194"/>
        </w:trPr>
        <w:tc>
          <w:tcPr>
            <w:tcW w:w="1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exterior GLA, and gas station</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29th Place (Shoppers'</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w w:val="99"/>
              </w:rPr>
              <w:t>Charlottesville, VA</w:t>
            </w:r>
          </w:p>
        </w:tc>
        <w:tc>
          <w:tcPr>
            <w:tcW w:w="3460" w:type="dxa"/>
            <w:vAlign w:val="bottom"/>
          </w:tcPr>
          <w:p>
            <w:pPr>
              <w:ind w:left="40"/>
              <w:spacing w:after="0" w:line="157" w:lineRule="exact"/>
              <w:rPr>
                <w:sz w:val="20"/>
                <w:szCs w:val="20"/>
                <w:color w:val="auto"/>
              </w:rPr>
            </w:pPr>
            <w:r>
              <w:rPr>
                <w:rFonts w:ascii="Arial" w:cs="Arial" w:eastAsia="Arial" w:hAnsi="Arial"/>
                <w:sz w:val="14"/>
                <w:szCs w:val="14"/>
                <w:color w:val="auto"/>
              </w:rPr>
              <w:t>Renovate canopy and reconfigure anchor spaces to</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188"/>
        </w:trPr>
        <w:tc>
          <w:tcPr>
            <w:tcW w:w="1600" w:type="dxa"/>
            <w:vAlign w:val="bottom"/>
          </w:tcPr>
          <w:p>
            <w:pPr>
              <w:ind w:left="40"/>
              <w:spacing w:after="0"/>
              <w:rPr>
                <w:sz w:val="20"/>
                <w:szCs w:val="20"/>
                <w:color w:val="auto"/>
              </w:rPr>
            </w:pPr>
            <w:r>
              <w:rPr>
                <w:rFonts w:ascii="Arial" w:cs="Arial" w:eastAsia="Arial" w:hAnsi="Arial"/>
                <w:sz w:val="14"/>
                <w:szCs w:val="14"/>
                <w:color w:val="auto"/>
              </w:rPr>
              <w:t>World)</w:t>
            </w:r>
          </w:p>
        </w:tc>
        <w:tc>
          <w:tcPr>
            <w:tcW w:w="126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4"/>
                <w:szCs w:val="14"/>
                <w:color w:val="auto"/>
              </w:rPr>
              <w:t>accommodate new tenants</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Barracks Road</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9"/>
              </w:rPr>
              <w:t>Charlottesville, VA</w:t>
            </w: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11,800 square foot multi-tenant pad building</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80"/>
        </w:trPr>
        <w:tc>
          <w:tcPr>
            <w:tcW w:w="16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6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Pentagon Row</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Arlington, VA</w:t>
            </w:r>
          </w:p>
        </w:tc>
        <w:tc>
          <w:tcPr>
            <w:tcW w:w="3460" w:type="dxa"/>
            <w:vAlign w:val="bottom"/>
          </w:tcPr>
          <w:p>
            <w:pPr>
              <w:ind w:left="40"/>
              <w:spacing w:after="0" w:line="157" w:lineRule="exact"/>
              <w:rPr>
                <w:sz w:val="20"/>
                <w:szCs w:val="20"/>
                <w:color w:val="auto"/>
              </w:rPr>
            </w:pPr>
            <w:r>
              <w:rPr>
                <w:rFonts w:ascii="Arial" w:cs="Arial" w:eastAsia="Arial" w:hAnsi="Arial"/>
                <w:sz w:val="14"/>
                <w:szCs w:val="14"/>
                <w:color w:val="auto"/>
              </w:rPr>
              <w:t>Ice rink expansion and 1,500 square feet of new retail</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9%</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60" w:type="dxa"/>
            <w:vAlign w:val="bottom"/>
          </w:tcPr>
          <w:p>
            <w:pPr>
              <w:ind w:left="40"/>
              <w:spacing w:after="0"/>
              <w:rPr>
                <w:sz w:val="20"/>
                <w:szCs w:val="20"/>
                <w:color w:val="auto"/>
              </w:rPr>
            </w:pPr>
            <w:r>
              <w:rPr>
                <w:rFonts w:ascii="Arial" w:cs="Arial" w:eastAsia="Arial" w:hAnsi="Arial"/>
                <w:sz w:val="14"/>
                <w:szCs w:val="14"/>
                <w:color w:val="auto"/>
              </w:rPr>
              <w:t>space</w:t>
            </w: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Mixed Use Projects</w:t>
            </w:r>
          </w:p>
        </w:tc>
        <w:tc>
          <w:tcPr>
            <w:tcW w:w="1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&amp; Rose (Mid-Pike) -</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Rockville, MD</w:t>
            </w: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Ground up mixed use development on site of existing</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 - 9%</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$245 -</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2015/2016</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Phase I (5)</w:t>
            </w:r>
          </w:p>
        </w:tc>
        <w:tc>
          <w:tcPr>
            <w:tcW w:w="1260" w:type="dxa"/>
            <w:vAlign w:val="bottom"/>
            <w:shd w:val="clear" w:color="auto" w:fill="CCEEFF"/>
          </w:tcPr>
          <w:p>
            <w:pPr>
              <w:spacing w:after="0"/>
              <w:rPr>
                <w:sz w:val="12"/>
                <w:szCs w:val="12"/>
                <w:color w:val="auto"/>
              </w:rPr>
            </w:pPr>
          </w:p>
        </w:tc>
        <w:tc>
          <w:tcPr>
            <w:tcW w:w="34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Mid-Pike Shopping Center. Phase I of development</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$255</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involves demolition of roughly 25% of existing GLA, and</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construction of 493 residential units, 151,000 square feet</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retail, and 79,000 square feet of office space.</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Assembly Row - Phase I</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Somerville, MA</w:t>
            </w:r>
          </w:p>
        </w:tc>
        <w:tc>
          <w:tcPr>
            <w:tcW w:w="3460" w:type="dxa"/>
            <w:vAlign w:val="bottom"/>
          </w:tcPr>
          <w:p>
            <w:pPr>
              <w:ind w:left="40"/>
              <w:spacing w:after="0" w:line="157" w:lineRule="exact"/>
              <w:rPr>
                <w:sz w:val="20"/>
                <w:szCs w:val="20"/>
                <w:color w:val="auto"/>
              </w:rPr>
            </w:pPr>
            <w:r>
              <w:rPr>
                <w:rFonts w:ascii="Arial" w:cs="Arial" w:eastAsia="Arial" w:hAnsi="Arial"/>
                <w:sz w:val="14"/>
                <w:szCs w:val="14"/>
                <w:color w:val="auto"/>
                <w:w w:val="95"/>
              </w:rPr>
              <w:t>Ground up mixed use development. Initial phase consists</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D</w:t>
            </w:r>
          </w:p>
        </w:tc>
        <w:tc>
          <w:tcPr>
            <w:tcW w:w="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5% - 7%</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$190 -</w:t>
            </w:r>
          </w:p>
        </w:tc>
        <w:tc>
          <w:tcPr>
            <w:tcW w:w="6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$43</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49"/>
        </w:trPr>
        <w:tc>
          <w:tcPr>
            <w:tcW w:w="1600" w:type="dxa"/>
            <w:vAlign w:val="bottom"/>
          </w:tcPr>
          <w:p>
            <w:pPr>
              <w:ind w:left="40"/>
              <w:spacing w:after="0" w:line="149" w:lineRule="exact"/>
              <w:rPr>
                <w:sz w:val="20"/>
                <w:szCs w:val="20"/>
                <w:color w:val="auto"/>
              </w:rPr>
            </w:pPr>
            <w:r>
              <w:rPr>
                <w:rFonts w:ascii="Arial" w:cs="Arial" w:eastAsia="Arial" w:hAnsi="Arial"/>
                <w:sz w:val="14"/>
                <w:szCs w:val="14"/>
                <w:color w:val="auto"/>
              </w:rPr>
              <w:t>(5) (6)</w:t>
            </w:r>
          </w:p>
        </w:tc>
        <w:tc>
          <w:tcPr>
            <w:tcW w:w="1260" w:type="dxa"/>
            <w:vAlign w:val="bottom"/>
          </w:tcPr>
          <w:p>
            <w:pPr>
              <w:spacing w:after="0"/>
              <w:rPr>
                <w:sz w:val="12"/>
                <w:szCs w:val="12"/>
                <w:color w:val="auto"/>
              </w:rPr>
            </w:pPr>
          </w:p>
        </w:tc>
        <w:tc>
          <w:tcPr>
            <w:tcW w:w="3460" w:type="dxa"/>
            <w:vAlign w:val="bottom"/>
          </w:tcPr>
          <w:p>
            <w:pPr>
              <w:ind w:left="40"/>
              <w:spacing w:after="0" w:line="149" w:lineRule="exact"/>
              <w:rPr>
                <w:sz w:val="20"/>
                <w:szCs w:val="20"/>
                <w:color w:val="auto"/>
              </w:rPr>
            </w:pPr>
            <w:r>
              <w:rPr>
                <w:rFonts w:ascii="Arial" w:cs="Arial" w:eastAsia="Arial" w:hAnsi="Arial"/>
                <w:sz w:val="14"/>
                <w:szCs w:val="14"/>
                <w:color w:val="auto"/>
                <w:w w:val="98"/>
              </w:rPr>
              <w:t>of 450 residential units (by AvalonBay), in addition to an</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$200</w:t>
            </w: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60" w:type="dxa"/>
            <w:vAlign w:val="bottom"/>
          </w:tcPr>
          <w:p>
            <w:pPr>
              <w:ind w:left="40"/>
              <w:spacing w:after="0" w:line="149" w:lineRule="exact"/>
              <w:rPr>
                <w:sz w:val="20"/>
                <w:szCs w:val="20"/>
                <w:color w:val="auto"/>
              </w:rPr>
            </w:pPr>
            <w:r>
              <w:rPr>
                <w:rFonts w:ascii="Arial" w:cs="Arial" w:eastAsia="Arial" w:hAnsi="Arial"/>
                <w:sz w:val="14"/>
                <w:szCs w:val="14"/>
                <w:color w:val="auto"/>
                <w:w w:val="96"/>
              </w:rPr>
              <w:t>office component and approximately 326,000 square feet</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60" w:type="dxa"/>
            <w:vAlign w:val="bottom"/>
          </w:tcPr>
          <w:p>
            <w:pPr>
              <w:ind w:left="40"/>
              <w:spacing w:after="0" w:line="149" w:lineRule="exact"/>
              <w:rPr>
                <w:sz w:val="20"/>
                <w:szCs w:val="20"/>
                <w:color w:val="auto"/>
              </w:rPr>
            </w:pPr>
            <w:r>
              <w:rPr>
                <w:rFonts w:ascii="Arial" w:cs="Arial" w:eastAsia="Arial" w:hAnsi="Arial"/>
                <w:sz w:val="14"/>
                <w:szCs w:val="14"/>
                <w:color w:val="auto"/>
              </w:rPr>
              <w:t>of retail space (including restaurant pad site). A new</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60" w:type="dxa"/>
            <w:vAlign w:val="bottom"/>
          </w:tcPr>
          <w:p>
            <w:pPr>
              <w:ind w:left="40"/>
              <w:spacing w:after="0" w:line="149" w:lineRule="exact"/>
              <w:rPr>
                <w:sz w:val="20"/>
                <w:szCs w:val="20"/>
                <w:color w:val="auto"/>
              </w:rPr>
            </w:pPr>
            <w:r>
              <w:rPr>
                <w:rFonts w:ascii="Arial" w:cs="Arial" w:eastAsia="Arial" w:hAnsi="Arial"/>
                <w:sz w:val="14"/>
                <w:szCs w:val="14"/>
                <w:color w:val="auto"/>
              </w:rPr>
              <w:t>Orange Line T-Stop will also be constructed by</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4"/>
                <w:szCs w:val="14"/>
                <w:color w:val="auto"/>
                <w:w w:val="97"/>
              </w:rPr>
              <w:t>Massachusetts Bay Transit Authority, as part of Phase I.</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8B</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Jose, CA</w:t>
            </w: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Ground up development of a 5-story rental apartment</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 - 8%</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$70 - $75</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building, which will include 212 residential units and</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associated parking.</w:t>
            </w:r>
          </w:p>
        </w:tc>
        <w:tc>
          <w:tcPr>
            <w:tcW w:w="186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$559 -</w:t>
            </w: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320" w:type="dxa"/>
            <w:vAlign w:val="bottom"/>
            <w:gridSpan w:val="3"/>
          </w:tcPr>
          <w:p>
            <w:pPr>
              <w:ind w:left="380"/>
              <w:spacing w:after="0"/>
              <w:rPr>
                <w:sz w:val="20"/>
                <w:szCs w:val="20"/>
                <w:color w:val="auto"/>
              </w:rPr>
            </w:pPr>
            <w:r>
              <w:rPr>
                <w:rFonts w:ascii="Arial" w:cs="Arial" w:eastAsia="Arial" w:hAnsi="Arial"/>
                <w:sz w:val="14"/>
                <w:szCs w:val="14"/>
                <w:b w:val="1"/>
                <w:bCs w:val="1"/>
                <w:color w:val="auto"/>
              </w:rPr>
              <w:t>Total Active Redevelopment &amp; Development projects (4)</w:t>
            </w:r>
          </w:p>
        </w:tc>
        <w:tc>
          <w:tcPr>
            <w:tcW w:w="1860" w:type="dxa"/>
            <w:vAlign w:val="bottom"/>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 - 8%</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$584</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6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development projects reflects the deal specific cash, unleveraged Property Operating Income (POI) generated by the development and is calculated as POI divided by cost. Projected ROI for development and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125 residential units have been replaced by approximately 90,000 square feet of office space in Phase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2012</w:t>
      </w:r>
    </w:p>
    <w:p>
      <w:pPr>
        <w:spacing w:after="0" w:line="374" w:lineRule="exact"/>
        <w:rPr>
          <w:sz w:val="20"/>
          <w:szCs w:val="20"/>
          <w:color w:val="auto"/>
        </w:rPr>
      </w:pPr>
    </w:p>
    <w:p>
      <w:pPr>
        <w:ind w:lef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THE AVENUE @ White</w:t>
            </w:r>
          </w:p>
        </w:tc>
        <w:tc>
          <w:tcPr>
            <w:tcW w:w="19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23"/>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Marsh</w:t>
            </w:r>
          </w:p>
        </w:tc>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Baltimore, MD</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Flourtown</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Flourtown, PA</w:t>
            </w:r>
          </w:p>
        </w:tc>
      </w:tr>
      <w:tr>
        <w:trPr>
          <w:trHeight w:val="237"/>
        </w:trPr>
        <w:tc>
          <w:tcPr>
            <w:tcW w:w="2440" w:type="dxa"/>
            <w:vAlign w:val="bottom"/>
          </w:tcPr>
          <w:p>
            <w:pPr>
              <w:ind w:left="500"/>
              <w:spacing w:after="0"/>
              <w:rPr>
                <w:sz w:val="20"/>
                <w:szCs w:val="20"/>
                <w:color w:val="auto"/>
              </w:rPr>
            </w:pPr>
            <w:r>
              <w:rPr>
                <w:rFonts w:ascii="Arial" w:cs="Arial" w:eastAsia="Arial" w:hAnsi="Arial"/>
                <w:sz w:val="16"/>
                <w:szCs w:val="16"/>
                <w:b w:val="1"/>
                <w:bCs w:val="1"/>
                <w:color w:val="auto"/>
              </w:rPr>
              <w:t>Brick Plaza</w:t>
            </w:r>
          </w:p>
        </w:tc>
        <w:tc>
          <w:tcPr>
            <w:tcW w:w="1920" w:type="dxa"/>
            <w:vAlign w:val="bottom"/>
          </w:tcPr>
          <w:p>
            <w:pPr>
              <w:ind w:left="240"/>
              <w:spacing w:after="0"/>
              <w:rPr>
                <w:sz w:val="20"/>
                <w:szCs w:val="20"/>
                <w:color w:val="auto"/>
              </w:rPr>
            </w:pPr>
            <w:r>
              <w:rPr>
                <w:rFonts w:ascii="Arial" w:cs="Arial" w:eastAsia="Arial" w:hAnsi="Arial"/>
                <w:sz w:val="16"/>
                <w:szCs w:val="16"/>
                <w:color w:val="auto"/>
              </w:rPr>
              <w:t>Brick, NJ</w:t>
            </w:r>
          </w:p>
        </w:tc>
        <w:tc>
          <w:tcPr>
            <w:tcW w:w="212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4940" w:type="dxa"/>
            <w:vAlign w:val="bottom"/>
          </w:tcPr>
          <w:p>
            <w:pPr>
              <w:ind w:left="420"/>
              <w:spacing w:after="0"/>
              <w:rPr>
                <w:sz w:val="20"/>
                <w:szCs w:val="20"/>
                <w:color w:val="auto"/>
              </w:rPr>
            </w:pPr>
            <w:r>
              <w:rPr>
                <w:rFonts w:ascii="Arial" w:cs="Arial" w:eastAsia="Arial" w:hAnsi="Arial"/>
                <w:sz w:val="16"/>
                <w:szCs w:val="16"/>
                <w:color w:val="auto"/>
              </w:rPr>
              <w:t>Queens, NY</w:t>
            </w:r>
          </w:p>
        </w:tc>
      </w:tr>
      <w:tr>
        <w:trPr>
          <w:trHeight w:val="33"/>
        </w:trPr>
        <w:tc>
          <w:tcPr>
            <w:tcW w:w="2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Congressional Plaza</w:t>
            </w:r>
          </w:p>
        </w:tc>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Rockville, MD</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Melville Mall</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Huntington, NY</w:t>
            </w:r>
          </w:p>
        </w:tc>
      </w:tr>
      <w:tr>
        <w:trPr>
          <w:trHeight w:val="237"/>
        </w:trPr>
        <w:tc>
          <w:tcPr>
            <w:tcW w:w="2440" w:type="dxa"/>
            <w:vAlign w:val="bottom"/>
          </w:tcPr>
          <w:p>
            <w:pPr>
              <w:ind w:left="500"/>
              <w:spacing w:after="0"/>
              <w:rPr>
                <w:sz w:val="20"/>
                <w:szCs w:val="20"/>
                <w:color w:val="auto"/>
              </w:rPr>
            </w:pPr>
            <w:r>
              <w:rPr>
                <w:rFonts w:ascii="Arial" w:cs="Arial" w:eastAsia="Arial" w:hAnsi="Arial"/>
                <w:sz w:val="16"/>
                <w:szCs w:val="16"/>
                <w:b w:val="1"/>
                <w:bCs w:val="1"/>
                <w:color w:val="auto"/>
              </w:rPr>
              <w:t>Dedham Plaza</w:t>
            </w:r>
          </w:p>
        </w:tc>
        <w:tc>
          <w:tcPr>
            <w:tcW w:w="1920" w:type="dxa"/>
            <w:vAlign w:val="bottom"/>
          </w:tcPr>
          <w:p>
            <w:pPr>
              <w:ind w:left="240"/>
              <w:spacing w:after="0"/>
              <w:rPr>
                <w:sz w:val="20"/>
                <w:szCs w:val="20"/>
                <w:color w:val="auto"/>
              </w:rPr>
            </w:pPr>
            <w:r>
              <w:rPr>
                <w:rFonts w:ascii="Arial" w:cs="Arial" w:eastAsia="Arial" w:hAnsi="Arial"/>
                <w:sz w:val="16"/>
                <w:szCs w:val="16"/>
                <w:color w:val="auto"/>
              </w:rPr>
              <w:t>Dedham, MA</w:t>
            </w:r>
          </w:p>
        </w:tc>
        <w:tc>
          <w:tcPr>
            <w:tcW w:w="2120" w:type="dxa"/>
            <w:vAlign w:val="bottom"/>
          </w:tcPr>
          <w:p>
            <w:pPr>
              <w:ind w:left="620"/>
              <w:spacing w:after="0"/>
              <w:rPr>
                <w:sz w:val="20"/>
                <w:szCs w:val="20"/>
                <w:color w:val="auto"/>
              </w:rPr>
            </w:pPr>
            <w:r>
              <w:rPr>
                <w:rFonts w:ascii="Arial" w:cs="Arial" w:eastAsia="Arial" w:hAnsi="Arial"/>
                <w:sz w:val="16"/>
                <w:szCs w:val="16"/>
                <w:b w:val="1"/>
                <w:bCs w:val="1"/>
                <w:color w:val="auto"/>
              </w:rPr>
              <w:t>Mercer Mall</w:t>
            </w:r>
          </w:p>
        </w:tc>
        <w:tc>
          <w:tcPr>
            <w:tcW w:w="4940" w:type="dxa"/>
            <w:vAlign w:val="bottom"/>
          </w:tcPr>
          <w:p>
            <w:pPr>
              <w:ind w:left="420"/>
              <w:spacing w:after="0"/>
              <w:rPr>
                <w:sz w:val="20"/>
                <w:szCs w:val="20"/>
                <w:color w:val="auto"/>
              </w:rPr>
            </w:pPr>
            <w:r>
              <w:rPr>
                <w:rFonts w:ascii="Arial" w:cs="Arial" w:eastAsia="Arial" w:hAnsi="Arial"/>
                <w:sz w:val="16"/>
                <w:szCs w:val="16"/>
                <w:color w:val="auto"/>
              </w:rPr>
              <w:t>Lawrenceville, NJ</w:t>
            </w:r>
          </w:p>
        </w:tc>
      </w:tr>
      <w:tr>
        <w:trPr>
          <w:trHeight w:val="33"/>
        </w:trPr>
        <w:tc>
          <w:tcPr>
            <w:tcW w:w="2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Eastgate</w:t>
            </w:r>
          </w:p>
        </w:tc>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Chapel Hill, NC</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Pan Am</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Fairfax, VA</w:t>
            </w:r>
          </w:p>
        </w:tc>
      </w:tr>
      <w:tr>
        <w:trPr>
          <w:trHeight w:val="237"/>
        </w:trPr>
        <w:tc>
          <w:tcPr>
            <w:tcW w:w="2440" w:type="dxa"/>
            <w:vAlign w:val="bottom"/>
          </w:tcPr>
          <w:p>
            <w:pPr>
              <w:ind w:left="500"/>
              <w:spacing w:after="0"/>
              <w:rPr>
                <w:sz w:val="20"/>
                <w:szCs w:val="20"/>
                <w:color w:val="auto"/>
              </w:rPr>
            </w:pPr>
            <w:r>
              <w:rPr>
                <w:rFonts w:ascii="Arial" w:cs="Arial" w:eastAsia="Arial" w:hAnsi="Arial"/>
                <w:sz w:val="16"/>
                <w:szCs w:val="16"/>
                <w:b w:val="1"/>
                <w:bCs w:val="1"/>
                <w:color w:val="auto"/>
              </w:rPr>
              <w:t>Escondido</w:t>
            </w:r>
          </w:p>
        </w:tc>
        <w:tc>
          <w:tcPr>
            <w:tcW w:w="1920" w:type="dxa"/>
            <w:vAlign w:val="bottom"/>
          </w:tcPr>
          <w:p>
            <w:pPr>
              <w:ind w:left="240"/>
              <w:spacing w:after="0"/>
              <w:rPr>
                <w:sz w:val="20"/>
                <w:szCs w:val="20"/>
                <w:color w:val="auto"/>
              </w:rPr>
            </w:pPr>
            <w:r>
              <w:rPr>
                <w:rFonts w:ascii="Arial" w:cs="Arial" w:eastAsia="Arial" w:hAnsi="Arial"/>
                <w:sz w:val="16"/>
                <w:szCs w:val="16"/>
                <w:color w:val="auto"/>
              </w:rPr>
              <w:t>Escondido, CA</w:t>
            </w:r>
          </w:p>
        </w:tc>
        <w:tc>
          <w:tcPr>
            <w:tcW w:w="2120" w:type="dxa"/>
            <w:vAlign w:val="bottom"/>
          </w:tcPr>
          <w:p>
            <w:pPr>
              <w:ind w:left="620"/>
              <w:spacing w:after="0"/>
              <w:rPr>
                <w:sz w:val="20"/>
                <w:szCs w:val="20"/>
                <w:color w:val="auto"/>
              </w:rPr>
            </w:pPr>
            <w:r>
              <w:rPr>
                <w:rFonts w:ascii="Arial" w:cs="Arial" w:eastAsia="Arial" w:hAnsi="Arial"/>
                <w:sz w:val="16"/>
                <w:szCs w:val="16"/>
                <w:b w:val="1"/>
                <w:bCs w:val="1"/>
                <w:color w:val="auto"/>
              </w:rPr>
              <w:t>Troy</w:t>
            </w:r>
          </w:p>
        </w:tc>
        <w:tc>
          <w:tcPr>
            <w:tcW w:w="494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37"/>
        </w:trPr>
        <w:tc>
          <w:tcPr>
            <w:tcW w:w="244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Federal Plaza</w:t>
            </w:r>
          </w:p>
        </w:tc>
        <w:tc>
          <w:tcPr>
            <w:tcW w:w="1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Rockville, MD</w:t>
            </w:r>
          </w:p>
        </w:tc>
        <w:tc>
          <w:tcPr>
            <w:tcW w:w="212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Wildwood</w:t>
            </w:r>
          </w:p>
        </w:tc>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33"/>
        </w:trPr>
        <w:tc>
          <w:tcPr>
            <w:tcW w:w="24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90"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ind w:left="500"/>
              <w:spacing w:after="0"/>
              <w:rPr>
                <w:sz w:val="20"/>
                <w:szCs w:val="20"/>
                <w:color w:val="auto"/>
              </w:rPr>
            </w:pPr>
            <w:r>
              <w:rPr>
                <w:rFonts w:ascii="Arial" w:cs="Arial" w:eastAsia="Arial" w:hAnsi="Arial"/>
                <w:sz w:val="16"/>
                <w:szCs w:val="16"/>
                <w:b w:val="1"/>
                <w:bCs w:val="1"/>
                <w:color w:val="auto"/>
              </w:rPr>
              <w:t>Barracks Road</w:t>
            </w:r>
          </w:p>
        </w:tc>
        <w:tc>
          <w:tcPr>
            <w:tcW w:w="2200" w:type="dxa"/>
            <w:vAlign w:val="bottom"/>
          </w:tcPr>
          <w:p>
            <w:pPr>
              <w:ind w:left="420"/>
              <w:spacing w:after="0"/>
              <w:rPr>
                <w:sz w:val="20"/>
                <w:szCs w:val="20"/>
                <w:color w:val="auto"/>
              </w:rPr>
            </w:pPr>
            <w:r>
              <w:rPr>
                <w:rFonts w:ascii="Arial" w:cs="Arial" w:eastAsia="Arial" w:hAnsi="Arial"/>
                <w:sz w:val="16"/>
                <w:szCs w:val="16"/>
                <w:color w:val="auto"/>
              </w:rPr>
              <w:t>Charlottesville, VA</w:t>
            </w:r>
          </w:p>
        </w:tc>
        <w:tc>
          <w:tcPr>
            <w:tcW w:w="2340" w:type="dxa"/>
            <w:vAlign w:val="bottom"/>
          </w:tcPr>
          <w:p>
            <w:pPr>
              <w:ind w:left="520"/>
              <w:spacing w:after="0"/>
              <w:rPr>
                <w:sz w:val="20"/>
                <w:szCs w:val="20"/>
                <w:color w:val="auto"/>
              </w:rPr>
            </w:pPr>
            <w:r>
              <w:rPr>
                <w:rFonts w:ascii="Arial" w:cs="Arial" w:eastAsia="Arial" w:hAnsi="Arial"/>
                <w:sz w:val="16"/>
                <w:szCs w:val="16"/>
                <w:b w:val="1"/>
                <w:bCs w:val="1"/>
                <w:color w:val="auto"/>
                <w:w w:val="96"/>
              </w:rPr>
              <w:t>Plaza El Segundo (Land)</w:t>
            </w:r>
          </w:p>
        </w:tc>
        <w:tc>
          <w:tcPr>
            <w:tcW w:w="4620" w:type="dxa"/>
            <w:vAlign w:val="bottom"/>
          </w:tcPr>
          <w:p>
            <w:pPr>
              <w:ind w:left="100"/>
              <w:spacing w:after="0"/>
              <w:rPr>
                <w:sz w:val="20"/>
                <w:szCs w:val="20"/>
                <w:color w:val="auto"/>
              </w:rPr>
            </w:pPr>
            <w:r>
              <w:rPr>
                <w:rFonts w:ascii="Arial" w:cs="Arial" w:eastAsia="Arial" w:hAnsi="Arial"/>
                <w:sz w:val="16"/>
                <w:szCs w:val="16"/>
                <w:color w:val="auto"/>
              </w:rPr>
              <w:t>El Segundo, CA</w:t>
            </w:r>
          </w:p>
        </w:tc>
      </w:tr>
      <w:tr>
        <w:trPr>
          <w:trHeight w:val="33"/>
        </w:trPr>
        <w:tc>
          <w:tcPr>
            <w:tcW w:w="2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Fresh Meadows</w:t>
            </w:r>
          </w:p>
        </w:tc>
        <w:tc>
          <w:tcPr>
            <w:tcW w:w="2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Queens, NY</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w w:val="99"/>
              </w:rPr>
              <w:t>Third Street Promenade</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Santa Monica, CA</w:t>
            </w:r>
          </w:p>
        </w:tc>
      </w:tr>
      <w:tr>
        <w:trPr>
          <w:trHeight w:val="237"/>
        </w:trPr>
        <w:tc>
          <w:tcPr>
            <w:tcW w:w="2260" w:type="dxa"/>
            <w:vAlign w:val="bottom"/>
          </w:tcPr>
          <w:p>
            <w:pPr>
              <w:ind w:left="500"/>
              <w:spacing w:after="0"/>
              <w:rPr>
                <w:sz w:val="20"/>
                <w:szCs w:val="20"/>
                <w:color w:val="auto"/>
              </w:rPr>
            </w:pPr>
            <w:r>
              <w:rPr>
                <w:rFonts w:ascii="Arial" w:cs="Arial" w:eastAsia="Arial" w:hAnsi="Arial"/>
                <w:sz w:val="16"/>
                <w:szCs w:val="16"/>
                <w:b w:val="1"/>
                <w:bCs w:val="1"/>
                <w:color w:val="auto"/>
              </w:rPr>
              <w:t>Hollywood Blvd</w:t>
            </w:r>
          </w:p>
        </w:tc>
        <w:tc>
          <w:tcPr>
            <w:tcW w:w="2200" w:type="dxa"/>
            <w:vAlign w:val="bottom"/>
          </w:tcPr>
          <w:p>
            <w:pPr>
              <w:ind w:left="420"/>
              <w:spacing w:after="0"/>
              <w:rPr>
                <w:sz w:val="20"/>
                <w:szCs w:val="20"/>
                <w:color w:val="auto"/>
              </w:rPr>
            </w:pPr>
            <w:r>
              <w:rPr>
                <w:rFonts w:ascii="Arial" w:cs="Arial" w:eastAsia="Arial" w:hAnsi="Arial"/>
                <w:sz w:val="16"/>
                <w:szCs w:val="16"/>
                <w:color w:val="auto"/>
              </w:rPr>
              <w:t>Hollywood, CA</w:t>
            </w:r>
          </w:p>
        </w:tc>
        <w:tc>
          <w:tcPr>
            <w:tcW w:w="2340" w:type="dxa"/>
            <w:vAlign w:val="bottom"/>
          </w:tcPr>
          <w:p>
            <w:pPr>
              <w:ind w:left="520"/>
              <w:spacing w:after="0"/>
              <w:rPr>
                <w:sz w:val="20"/>
                <w:szCs w:val="20"/>
                <w:color w:val="auto"/>
              </w:rPr>
            </w:pPr>
            <w:r>
              <w:rPr>
                <w:rFonts w:ascii="Arial" w:cs="Arial" w:eastAsia="Arial" w:hAnsi="Arial"/>
                <w:sz w:val="16"/>
                <w:szCs w:val="16"/>
                <w:b w:val="1"/>
                <w:bCs w:val="1"/>
                <w:color w:val="auto"/>
              </w:rPr>
              <w:t>Tower Shops</w:t>
            </w:r>
          </w:p>
        </w:tc>
        <w:tc>
          <w:tcPr>
            <w:tcW w:w="4620" w:type="dxa"/>
            <w:vAlign w:val="bottom"/>
          </w:tcPr>
          <w:p>
            <w:pPr>
              <w:ind w:left="100"/>
              <w:spacing w:after="0"/>
              <w:rPr>
                <w:sz w:val="20"/>
                <w:szCs w:val="20"/>
                <w:color w:val="auto"/>
              </w:rPr>
            </w:pPr>
            <w:r>
              <w:rPr>
                <w:rFonts w:ascii="Arial" w:cs="Arial" w:eastAsia="Arial" w:hAnsi="Arial"/>
                <w:sz w:val="16"/>
                <w:szCs w:val="16"/>
                <w:color w:val="auto"/>
              </w:rPr>
              <w:t>Davie, FL</w:t>
            </w:r>
          </w:p>
        </w:tc>
      </w:tr>
      <w:tr>
        <w:trPr>
          <w:trHeight w:val="33"/>
        </w:trPr>
        <w:tc>
          <w:tcPr>
            <w:tcW w:w="2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Mercer Mall</w:t>
            </w:r>
          </w:p>
        </w:tc>
        <w:tc>
          <w:tcPr>
            <w:tcW w:w="2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Lawrenceville, NJ</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Bethesda, MD</w:t>
            </w:r>
          </w:p>
        </w:tc>
      </w:tr>
      <w:tr>
        <w:trPr>
          <w:trHeight w:val="237"/>
        </w:trPr>
        <w:tc>
          <w:tcPr>
            <w:tcW w:w="2260" w:type="dxa"/>
            <w:vAlign w:val="bottom"/>
          </w:tcPr>
          <w:p>
            <w:pPr>
              <w:ind w:left="500"/>
              <w:spacing w:after="0"/>
              <w:rPr>
                <w:sz w:val="20"/>
                <w:szCs w:val="20"/>
                <w:color w:val="auto"/>
              </w:rPr>
            </w:pPr>
            <w:r>
              <w:rPr>
                <w:rFonts w:ascii="Arial" w:cs="Arial" w:eastAsia="Arial" w:hAnsi="Arial"/>
                <w:sz w:val="16"/>
                <w:szCs w:val="16"/>
                <w:b w:val="1"/>
                <w:bCs w:val="1"/>
                <w:color w:val="auto"/>
              </w:rPr>
              <w:t>Montrose Crossing</w:t>
            </w:r>
          </w:p>
        </w:tc>
        <w:tc>
          <w:tcPr>
            <w:tcW w:w="2200" w:type="dxa"/>
            <w:vAlign w:val="bottom"/>
          </w:tcPr>
          <w:p>
            <w:pPr>
              <w:ind w:left="420"/>
              <w:spacing w:after="0"/>
              <w:rPr>
                <w:sz w:val="20"/>
                <w:szCs w:val="20"/>
                <w:color w:val="auto"/>
              </w:rPr>
            </w:pPr>
            <w:r>
              <w:rPr>
                <w:rFonts w:ascii="Arial" w:cs="Arial" w:eastAsia="Arial" w:hAnsi="Arial"/>
                <w:sz w:val="16"/>
                <w:szCs w:val="16"/>
                <w:color w:val="auto"/>
              </w:rPr>
              <w:t>Rockville, MD</w:t>
            </w:r>
          </w:p>
        </w:tc>
        <w:tc>
          <w:tcPr>
            <w:tcW w:w="234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3"/>
        </w:trPr>
        <w:tc>
          <w:tcPr>
            <w:tcW w:w="2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97"/>
        </w:trPr>
        <w:tc>
          <w:tcPr>
            <w:tcW w:w="226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46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Charlottesville, VA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Arlington, VA</w:t>
            </w:r>
          </w:p>
        </w:tc>
      </w:tr>
      <w:tr>
        <w:trPr>
          <w:trHeight w:val="237"/>
        </w:trPr>
        <w:tc>
          <w:tcPr>
            <w:tcW w:w="460" w:type="dxa"/>
            <w:vAlign w:val="bottom"/>
          </w:tcPr>
          <w:p>
            <w:pPr>
              <w:spacing w:after="0"/>
              <w:rPr>
                <w:sz w:val="20"/>
                <w:szCs w:val="20"/>
                <w:color w:val="auto"/>
              </w:rPr>
            </w:pPr>
          </w:p>
        </w:tc>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Del Mar Village</w:t>
            </w:r>
          </w:p>
        </w:tc>
        <w:tc>
          <w:tcPr>
            <w:tcW w:w="2080" w:type="dxa"/>
            <w:vAlign w:val="bottom"/>
          </w:tcPr>
          <w:p>
            <w:pPr>
              <w:ind w:left="300"/>
              <w:spacing w:after="0"/>
              <w:rPr>
                <w:sz w:val="20"/>
                <w:szCs w:val="20"/>
                <w:color w:val="auto"/>
              </w:rPr>
            </w:pPr>
            <w:r>
              <w:rPr>
                <w:rFonts w:ascii="Arial" w:cs="Arial" w:eastAsia="Arial" w:hAnsi="Arial"/>
                <w:sz w:val="16"/>
                <w:szCs w:val="16"/>
                <w:color w:val="auto"/>
              </w:rPr>
              <w:t>Boca Raton, FL</w:t>
            </w:r>
          </w:p>
        </w:tc>
        <w:tc>
          <w:tcPr>
            <w:tcW w:w="23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3"/>
        </w:trPr>
        <w:tc>
          <w:tcPr>
            <w:tcW w:w="4460" w:type="dxa"/>
            <w:vAlign w:val="bottom"/>
            <w:gridSpan w:val="3"/>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97"/>
        </w:trPr>
        <w:tc>
          <w:tcPr>
            <w:tcW w:w="4460" w:type="dxa"/>
            <w:vAlign w:val="bottom"/>
            <w:gridSpan w:val="3"/>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r>
      <w:tr>
        <w:trPr>
          <w:trHeight w:val="224"/>
        </w:trPr>
        <w:tc>
          <w:tcPr>
            <w:tcW w:w="4460" w:type="dxa"/>
            <w:vAlign w:val="bottom"/>
            <w:gridSpan w:val="3"/>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3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33"/>
        </w:trPr>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Assembly Row (1)</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Somerville, MA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Pike 7 Plaza</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Vienna, VA</w:t>
            </w:r>
          </w:p>
        </w:tc>
      </w:tr>
      <w:tr>
        <w:trPr>
          <w:trHeight w:val="216"/>
        </w:trPr>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466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Pr>
          <w:p>
            <w:pPr>
              <w:ind w:left="300"/>
              <w:spacing w:after="0"/>
              <w:rPr>
                <w:sz w:val="20"/>
                <w:szCs w:val="20"/>
                <w:color w:val="auto"/>
              </w:rPr>
            </w:pPr>
            <w:r>
              <w:rPr>
                <w:rFonts w:ascii="Arial" w:cs="Arial" w:eastAsia="Arial" w:hAnsi="Arial"/>
                <w:sz w:val="16"/>
                <w:szCs w:val="16"/>
                <w:color w:val="auto"/>
              </w:rPr>
              <w:t>Bala Cynwyd, PA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(2)</w:t>
            </w:r>
          </w:p>
        </w:tc>
        <w:tc>
          <w:tcPr>
            <w:tcW w:w="4660" w:type="dxa"/>
            <w:vAlign w:val="bottom"/>
          </w:tcPr>
          <w:p>
            <w:pPr>
              <w:ind w:left="140"/>
              <w:spacing w:after="0"/>
              <w:rPr>
                <w:sz w:val="20"/>
                <w:szCs w:val="20"/>
                <w:color w:val="auto"/>
              </w:rPr>
            </w:pPr>
            <w:r>
              <w:rPr>
                <w:rFonts w:ascii="Arial" w:cs="Arial" w:eastAsia="Arial" w:hAnsi="Arial"/>
                <w:sz w:val="16"/>
                <w:szCs w:val="16"/>
                <w:color w:val="auto"/>
              </w:rPr>
              <w:t>Rockville, MD</w:t>
            </w:r>
          </w:p>
        </w:tc>
      </w:tr>
      <w:tr>
        <w:trPr>
          <w:trHeight w:val="33"/>
        </w:trPr>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Forest Hills</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Forest Hills, NY</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Santana Row (3)</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San Jose, CA</w:t>
            </w:r>
          </w:p>
        </w:tc>
      </w:tr>
      <w:tr>
        <w:trPr>
          <w:trHeight w:val="324"/>
        </w:trPr>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40" w:type="dxa"/>
            <w:vAlign w:val="bottom"/>
            <w:gridSpan w:val="3"/>
          </w:tcPr>
          <w:p>
            <w:pPr>
              <w:spacing w:after="0"/>
              <w:rPr>
                <w:sz w:val="24"/>
                <w:szCs w:val="24"/>
                <w:color w:val="auto"/>
              </w:rPr>
            </w:pPr>
          </w:p>
        </w:tc>
      </w:tr>
      <w:tr>
        <w:trPr>
          <w:trHeight w:val="220"/>
        </w:trPr>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Assembly Row</w:t>
            </w:r>
          </w:p>
        </w:tc>
        <w:tc>
          <w:tcPr>
            <w:tcW w:w="90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w w:val="93"/>
              </w:rPr>
              <w:t>Remaining entitlements after Phase 1 include 1.9 million square feet of commercial-use buildings, 1,650 residential units, and a 200</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room hotel.</w:t>
            </w:r>
          </w:p>
        </w:tc>
        <w:tc>
          <w:tcPr>
            <w:tcW w:w="2300" w:type="dxa"/>
            <w:vAlign w:val="bottom"/>
            <w:tcBorders>
              <w:bottom w:val="single" w:sz="8" w:color="CCEEFF"/>
            </w:tcBorders>
            <w:shd w:val="clear" w:color="auto" w:fill="CCEEFF"/>
          </w:tcPr>
          <w:p>
            <w:pPr>
              <w:spacing w:after="0"/>
              <w:rPr>
                <w:sz w:val="19"/>
                <w:szCs w:val="19"/>
                <w:color w:val="auto"/>
              </w:rPr>
            </w:pPr>
          </w:p>
        </w:tc>
        <w:tc>
          <w:tcPr>
            <w:tcW w:w="4660" w:type="dxa"/>
            <w:vAlign w:val="bottom"/>
            <w:tcBorders>
              <w:bottom w:val="single" w:sz="8" w:color="CCEEFF"/>
            </w:tcBorders>
            <w:shd w:val="clear" w:color="auto" w:fill="CCEEFF"/>
          </w:tcPr>
          <w:p>
            <w:pPr>
              <w:spacing w:after="0"/>
              <w:rPr>
                <w:sz w:val="19"/>
                <w:szCs w:val="19"/>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920" w:type="dxa"/>
            <w:vAlign w:val="bottom"/>
          </w:tcPr>
          <w:p>
            <w:pPr>
              <w:ind w:left="40"/>
              <w:spacing w:after="0"/>
              <w:rPr>
                <w:sz w:val="20"/>
                <w:szCs w:val="20"/>
                <w:color w:val="auto"/>
              </w:rPr>
            </w:pPr>
            <w:r>
              <w:rPr>
                <w:rFonts w:ascii="Arial" w:cs="Arial" w:eastAsia="Arial" w:hAnsi="Arial"/>
                <w:sz w:val="16"/>
                <w:szCs w:val="16"/>
                <w:color w:val="auto"/>
              </w:rPr>
              <w:t>Pike &amp; Rose (Mid-Pike)</w:t>
            </w:r>
          </w:p>
        </w:tc>
        <w:tc>
          <w:tcPr>
            <w:tcW w:w="9040" w:type="dxa"/>
            <w:vAlign w:val="bottom"/>
            <w:gridSpan w:val="3"/>
          </w:tcPr>
          <w:p>
            <w:pPr>
              <w:ind w:left="300"/>
              <w:spacing w:after="0"/>
              <w:rPr>
                <w:sz w:val="20"/>
                <w:szCs w:val="20"/>
                <w:color w:val="auto"/>
              </w:rPr>
            </w:pPr>
            <w:r>
              <w:rPr>
                <w:rFonts w:ascii="Arial" w:cs="Arial" w:eastAsia="Arial" w:hAnsi="Arial"/>
                <w:sz w:val="16"/>
                <w:szCs w:val="16"/>
                <w:color w:val="auto"/>
                <w:w w:val="98"/>
              </w:rPr>
              <w:t>Remaining entitlements after Phase 1 include 1.5 million square feet of commercial-use buildings, and 1,090 residential units.</w:t>
            </w:r>
          </w:p>
        </w:tc>
      </w:tr>
      <w:tr>
        <w:trPr>
          <w:trHeight w:val="33"/>
        </w:trPr>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40" w:type="dxa"/>
            <w:vAlign w:val="bottom"/>
            <w:gridSpan w:val="3"/>
          </w:tcPr>
          <w:p>
            <w:pPr>
              <w:spacing w:after="0"/>
              <w:rPr>
                <w:sz w:val="2"/>
                <w:szCs w:val="2"/>
                <w:color w:val="auto"/>
              </w:rPr>
            </w:pPr>
          </w:p>
        </w:tc>
      </w:tr>
      <w:tr>
        <w:trPr>
          <w:trHeight w:val="220"/>
        </w:trPr>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Santana Row</w:t>
            </w:r>
          </w:p>
        </w:tc>
        <w:tc>
          <w:tcPr>
            <w:tcW w:w="90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w w:val="94"/>
              </w:rPr>
              <w:t>Current remaining entitlements for this property include 348 residential units and 200,000 square feet of commercial space for retail</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90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w w:val="94"/>
              </w:rPr>
              <w:t>and office. Final approval is pending for entitlements for an additional 105,000 square feet of commercial space for retail and office.</w:t>
            </w:r>
          </w:p>
        </w:tc>
      </w:tr>
      <w:tr>
        <w:trPr>
          <w:trHeight w:val="459"/>
        </w:trPr>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00" w:type="dxa"/>
            <w:vAlign w:val="bottom"/>
          </w:tcPr>
          <w:p>
            <w:pPr>
              <w:ind w:left="1160"/>
              <w:spacing w:after="0"/>
              <w:rPr>
                <w:sz w:val="20"/>
                <w:szCs w:val="20"/>
                <w:color w:val="auto"/>
              </w:rPr>
            </w:pPr>
            <w:r>
              <w:rPr>
                <w:rFonts w:ascii="Arial" w:cs="Arial" w:eastAsia="Arial" w:hAnsi="Arial"/>
                <w:sz w:val="18"/>
                <w:szCs w:val="18"/>
                <w:color w:val="auto"/>
              </w:rPr>
              <w:t>16</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2012 Significant Acquisition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Property</w:t>
            </w:r>
          </w:p>
        </w:tc>
        <w:tc>
          <w:tcPr>
            <w:tcW w:w="25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City/State</w:t>
            </w:r>
          </w:p>
        </w:tc>
        <w:tc>
          <w:tcPr>
            <w:tcW w:w="1340" w:type="dxa"/>
            <w:vAlign w:val="bottom"/>
            <w:vMerge w:val="restart"/>
          </w:tcPr>
          <w:p>
            <w:pPr>
              <w:jc w:val="center"/>
              <w:ind w:left="26"/>
              <w:spacing w:after="0"/>
              <w:rPr>
                <w:sz w:val="20"/>
                <w:szCs w:val="20"/>
                <w:color w:val="auto"/>
              </w:rPr>
            </w:pPr>
            <w:r>
              <w:rPr>
                <w:rFonts w:ascii="Arial" w:cs="Arial" w:eastAsia="Arial" w:hAnsi="Arial"/>
                <w:sz w:val="14"/>
                <w:szCs w:val="14"/>
                <w:b w:val="1"/>
                <w:bCs w:val="1"/>
                <w:color w:val="auto"/>
              </w:rPr>
              <w:t>GLA</w:t>
            </w:r>
          </w:p>
        </w:tc>
        <w:tc>
          <w:tcPr>
            <w:tcW w:w="300" w:type="dxa"/>
            <w:vAlign w:val="bottom"/>
          </w:tcPr>
          <w:p>
            <w:pPr>
              <w:spacing w:after="0"/>
              <w:rPr>
                <w:sz w:val="14"/>
                <w:szCs w:val="14"/>
                <w:color w:val="auto"/>
              </w:rPr>
            </w:pPr>
          </w:p>
        </w:tc>
        <w:tc>
          <w:tcPr>
            <w:tcW w:w="880" w:type="dxa"/>
            <w:vAlign w:val="bottom"/>
          </w:tcPr>
          <w:p>
            <w:pPr>
              <w:jc w:val="center"/>
              <w:ind w:right="205"/>
              <w:spacing w:after="0"/>
              <w:rPr>
                <w:sz w:val="20"/>
                <w:szCs w:val="20"/>
                <w:color w:val="auto"/>
              </w:rPr>
            </w:pPr>
            <w:r>
              <w:rPr>
                <w:rFonts w:ascii="Arial" w:cs="Arial" w:eastAsia="Arial" w:hAnsi="Arial"/>
                <w:sz w:val="14"/>
                <w:szCs w:val="14"/>
                <w:b w:val="1"/>
                <w:bCs w:val="1"/>
                <w:color w:val="auto"/>
                <w:w w:val="88"/>
              </w:rPr>
              <w:t>Purchase</w:t>
            </w:r>
          </w:p>
        </w:tc>
        <w:tc>
          <w:tcPr>
            <w:tcW w:w="26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5"/>
              </w:rPr>
              <w:t>price</w:t>
            </w:r>
          </w:p>
        </w:tc>
        <w:tc>
          <w:tcPr>
            <w:tcW w:w="2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340" w:type="dxa"/>
            <w:vAlign w:val="bottom"/>
          </w:tcPr>
          <w:p>
            <w:pPr>
              <w:jc w:val="center"/>
              <w:ind w:left="6"/>
              <w:spacing w:after="0" w:line="153" w:lineRule="exact"/>
              <w:rPr>
                <w:sz w:val="20"/>
                <w:szCs w:val="20"/>
                <w:color w:val="auto"/>
              </w:rPr>
            </w:pPr>
            <w:r>
              <w:rPr>
                <w:rFonts w:ascii="Arial" w:cs="Arial" w:eastAsia="Arial" w:hAnsi="Arial"/>
                <w:sz w:val="14"/>
                <w:szCs w:val="14"/>
                <w:b w:val="1"/>
                <w:bCs w:val="1"/>
                <w:color w:val="auto"/>
                <w:w w:val="92"/>
              </w:rPr>
              <w:t>(in square</w:t>
            </w:r>
          </w:p>
        </w:tc>
        <w:tc>
          <w:tcPr>
            <w:tcW w:w="11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40" w:type="dxa"/>
            <w:vAlign w:val="bottom"/>
          </w:tcPr>
          <w:p>
            <w:pPr>
              <w:jc w:val="center"/>
              <w:ind w:left="26"/>
              <w:spacing w:after="0"/>
              <w:rPr>
                <w:sz w:val="20"/>
                <w:szCs w:val="20"/>
                <w:color w:val="auto"/>
              </w:rPr>
            </w:pPr>
            <w:r>
              <w:rPr>
                <w:rFonts w:ascii="Arial" w:cs="Arial" w:eastAsia="Arial" w:hAnsi="Arial"/>
                <w:sz w:val="14"/>
                <w:szCs w:val="14"/>
                <w:b w:val="1"/>
                <w:bCs w:val="1"/>
                <w:color w:val="auto"/>
                <w:w w:val="94"/>
              </w:rPr>
              <w:t>feet)</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6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Home Depot / Michaels / Pak-N-</w:t>
            </w:r>
          </w:p>
        </w:tc>
        <w:tc>
          <w:tcPr>
            <w:tcW w:w="0" w:type="dxa"/>
            <w:vAlign w:val="bottom"/>
          </w:tcPr>
          <w:p>
            <w:pPr>
              <w:spacing w:after="0"/>
              <w:rPr>
                <w:sz w:val="1"/>
                <w:szCs w:val="1"/>
                <w:color w:val="auto"/>
              </w:rPr>
            </w:pPr>
          </w:p>
        </w:tc>
      </w:tr>
      <w:tr>
        <w:trPr>
          <w:trHeight w:val="206"/>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21, 2012</w:t>
            </w:r>
          </w:p>
        </w:tc>
        <w:tc>
          <w:tcPr>
            <w:tcW w:w="1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East Bay Bridge</w:t>
            </w:r>
          </w:p>
        </w:tc>
        <w:tc>
          <w:tcPr>
            <w:tcW w:w="2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Emeryville &amp; Oakland, CA</w:t>
            </w:r>
          </w:p>
        </w:tc>
        <w:tc>
          <w:tcPr>
            <w:tcW w:w="13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438,000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116.6</w:t>
            </w:r>
          </w:p>
        </w:tc>
        <w:tc>
          <w:tcPr>
            <w:tcW w:w="2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Save / Target</w:t>
            </w:r>
          </w:p>
        </w:tc>
        <w:tc>
          <w:tcPr>
            <w:tcW w:w="0" w:type="dxa"/>
            <w:vAlign w:val="bottom"/>
          </w:tcPr>
          <w:p>
            <w:pPr>
              <w:spacing w:after="0"/>
              <w:rPr>
                <w:sz w:val="1"/>
                <w:szCs w:val="1"/>
                <w:color w:val="auto"/>
              </w:rPr>
            </w:pPr>
          </w:p>
        </w:tc>
      </w:tr>
      <w:tr>
        <w:trPr>
          <w:trHeight w:val="33"/>
        </w:trPr>
        <w:tc>
          <w:tcPr>
            <w:tcW w:w="16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60" w:top="95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1"/>
                <w:szCs w:val="11"/>
                <w:color w:val="auto"/>
              </w:rPr>
            </w:pPr>
          </w:p>
        </w:tc>
        <w:tc>
          <w:tcPr>
            <w:tcW w:w="5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 PSF</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2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Year Acquired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78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90"/>
              </w:rPr>
              <w:t>Washington Metropolitan Area</w:t>
            </w:r>
          </w:p>
        </w:tc>
        <w:tc>
          <w:tcPr>
            <w:tcW w:w="1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Bethesda Row</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1540" w:type="dxa"/>
            <w:vAlign w:val="bottom"/>
            <w:tcBorders>
              <w:top w:val="single" w:sz="8" w:color="CCEEFF"/>
            </w:tcBorders>
            <w:gridSpan w:val="2"/>
          </w:tcPr>
          <w:p>
            <w:pPr>
              <w:jc w:val="right"/>
              <w:ind w:right="37"/>
              <w:spacing w:after="0" w:line="148" w:lineRule="exact"/>
              <w:rPr>
                <w:sz w:val="20"/>
                <w:szCs w:val="20"/>
                <w:color w:val="auto"/>
              </w:rPr>
            </w:pPr>
            <w:r>
              <w:rPr>
                <w:rFonts w:ascii="Arial" w:cs="Arial" w:eastAsia="Arial" w:hAnsi="Arial"/>
                <w:sz w:val="13"/>
                <w:szCs w:val="13"/>
                <w:color w:val="auto"/>
              </w:rPr>
              <w:t>1993- $ 217,282</w:t>
            </w:r>
          </w:p>
        </w:tc>
        <w:tc>
          <w:tcPr>
            <w:tcW w:w="1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CCEEFF"/>
            </w:tcBorders>
          </w:tcPr>
          <w:p>
            <w:pPr>
              <w:jc w:val="right"/>
              <w:ind w:right="38"/>
              <w:spacing w:after="0" w:line="148"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rPr>
              <w:t>531,000</w:t>
            </w:r>
          </w:p>
        </w:tc>
        <w:tc>
          <w:tcPr>
            <w:tcW w:w="5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$45.55</w:t>
            </w:r>
          </w:p>
        </w:tc>
        <w:tc>
          <w:tcPr>
            <w:tcW w:w="60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40,000</w:t>
            </w:r>
          </w:p>
        </w:tc>
        <w:tc>
          <w:tcPr>
            <w:tcW w:w="800" w:type="dxa"/>
            <w:vAlign w:val="bottom"/>
            <w:tcBorders>
              <w:top w:val="single" w:sz="8" w:color="CCEEFF"/>
            </w:tcBorders>
          </w:tcPr>
          <w:p>
            <w:pPr>
              <w:ind w:left="80"/>
              <w:spacing w:after="0" w:line="148" w:lineRule="exact"/>
              <w:rPr>
                <w:sz w:val="20"/>
                <w:szCs w:val="20"/>
                <w:color w:val="auto"/>
              </w:rPr>
            </w:pPr>
            <w:r>
              <w:rPr>
                <w:rFonts w:ascii="Arial" w:cs="Arial" w:eastAsia="Arial" w:hAnsi="Arial"/>
                <w:sz w:val="13"/>
                <w:szCs w:val="13"/>
                <w:color w:val="auto"/>
              </w:rPr>
              <w:t>Giant Food</w:t>
            </w:r>
          </w:p>
        </w:tc>
        <w:tc>
          <w:tcPr>
            <w:tcW w:w="232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Apple Computer / Barnes &amp; Noble /</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w w:val="89"/>
              </w:rPr>
              <w:t>2006/2008/2010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Equinox / Landmark Theater</w:t>
            </w:r>
          </w:p>
        </w:tc>
      </w:tr>
      <w:tr>
        <w:trPr>
          <w:trHeight w:val="156"/>
        </w:trPr>
        <w:tc>
          <w:tcPr>
            <w:tcW w:w="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Congressional Plaza</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73,346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34.31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Fresh Market</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Buy Buy Baby / Container Store / Last Call</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Studio by Neiman Marcus</w:t>
            </w: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Courthouse Center</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1997</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4,705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580" w:type="dxa"/>
            <w:vAlign w:val="bottom"/>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18.40</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48"/>
        </w:trPr>
        <w:tc>
          <w:tcPr>
            <w:tcW w:w="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Falls Plaza/Falls Plaza-</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1967/1972</w:t>
            </w: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12,650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31.54</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51,000</w:t>
            </w:r>
          </w:p>
        </w:tc>
        <w:tc>
          <w:tcPr>
            <w:tcW w:w="8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CVS / Staples</w:t>
            </w:r>
          </w:p>
        </w:tc>
      </w:tr>
      <w:tr>
        <w:trPr>
          <w:trHeight w:val="176"/>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380" w:type="dxa"/>
            <w:vAlign w:val="bottom"/>
            <w:gridSpan w:val="2"/>
          </w:tcPr>
          <w:p>
            <w:pPr>
              <w:spacing w:after="0" w:line="148" w:lineRule="exact"/>
              <w:rPr>
                <w:sz w:val="20"/>
                <w:szCs w:val="20"/>
                <w:color w:val="auto"/>
              </w:rPr>
            </w:pPr>
            <w:r>
              <w:rPr>
                <w:rFonts w:ascii="Arial" w:cs="Arial" w:eastAsia="Arial" w:hAnsi="Arial"/>
                <w:sz w:val="13"/>
                <w:szCs w:val="13"/>
                <w:color w:val="auto"/>
              </w:rPr>
              <w:t>Federal Plaza</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1989</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64,800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32.48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14,000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95"/>
              </w:rPr>
              <w:t>TJ Maxx / Micro Center / Ross Dress For</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Less</w:t>
            </w:r>
          </w:p>
        </w:tc>
      </w:tr>
      <w:tr>
        <w:trPr>
          <w:trHeight w:val="181"/>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Friendship Center</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35,458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28.92</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Gaithersburg Square</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25,531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78%</w:t>
            </w:r>
          </w:p>
        </w:tc>
        <w:tc>
          <w:tcPr>
            <w:tcW w:w="580" w:type="dxa"/>
            <w:vAlign w:val="bottom"/>
          </w:tcPr>
          <w:p>
            <w:pPr>
              <w:jc w:val="right"/>
              <w:spacing w:after="0"/>
              <w:rPr>
                <w:sz w:val="20"/>
                <w:szCs w:val="20"/>
                <w:color w:val="auto"/>
              </w:rPr>
            </w:pPr>
            <w:r>
              <w:rPr>
                <w:rFonts w:ascii="Arial" w:cs="Arial" w:eastAsia="Arial" w:hAnsi="Arial"/>
                <w:sz w:val="13"/>
                <w:szCs w:val="13"/>
                <w:color w:val="auto"/>
              </w:rPr>
              <w:t>78%</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25.44</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w w:val="89"/>
              </w:rPr>
              <w:t>Bed, Bath &amp; Beyond / Ross Dress For Less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Idylwood Plaza</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16,489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15,987</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42.34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Whole Foods</w:t>
            </w:r>
          </w:p>
        </w:tc>
        <w:tc>
          <w:tcPr>
            <w:tcW w:w="232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Laurel</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1986</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51,141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84%</w:t>
            </w:r>
          </w:p>
        </w:tc>
        <w:tc>
          <w:tcPr>
            <w:tcW w:w="580" w:type="dxa"/>
            <w:vAlign w:val="bottom"/>
          </w:tcPr>
          <w:p>
            <w:pPr>
              <w:jc w:val="right"/>
              <w:spacing w:after="0"/>
              <w:rPr>
                <w:sz w:val="20"/>
                <w:szCs w:val="20"/>
                <w:color w:val="auto"/>
              </w:rPr>
            </w:pPr>
            <w:r>
              <w:rPr>
                <w:rFonts w:ascii="Arial" w:cs="Arial" w:eastAsia="Arial" w:hAnsi="Arial"/>
                <w:sz w:val="13"/>
                <w:szCs w:val="13"/>
                <w:color w:val="auto"/>
              </w:rPr>
              <w:t>84%</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20.88</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Leesburg Plaza</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35,227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27,818</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Petsmart / Pier 1 Imports / Office Depot</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Loehmann's Plaza</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32,876</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35,972</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258,000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26.77</w:t>
            </w:r>
          </w:p>
        </w:tc>
        <w:tc>
          <w:tcPr>
            <w:tcW w:w="600" w:type="dxa"/>
            <w:vAlign w:val="bottom"/>
          </w:tcPr>
          <w:p>
            <w:pPr>
              <w:ind w:left="60"/>
              <w:spacing w:after="0"/>
              <w:rPr>
                <w:sz w:val="20"/>
                <w:szCs w:val="20"/>
                <w:color w:val="auto"/>
              </w:rPr>
            </w:pPr>
            <w:r>
              <w:rPr>
                <w:rFonts w:ascii="Arial" w:cs="Arial" w:eastAsia="Arial" w:hAnsi="Arial"/>
                <w:sz w:val="13"/>
                <w:szCs w:val="13"/>
                <w:color w:val="auto"/>
              </w:rPr>
              <w:t>58,000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tcPr>
          <w:p>
            <w:pPr>
              <w:ind w:left="6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Mid-Pike Plaza</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88,116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Toys R Us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1380" w:type="dxa"/>
            <w:vAlign w:val="bottom"/>
            <w:gridSpan w:val="2"/>
          </w:tcPr>
          <w:p>
            <w:pPr>
              <w:spacing w:after="0" w:line="148" w:lineRule="exact"/>
              <w:rPr>
                <w:sz w:val="20"/>
                <w:szCs w:val="20"/>
                <w:color w:val="auto"/>
              </w:rPr>
            </w:pPr>
            <w:r>
              <w:rPr>
                <w:rFonts w:ascii="Arial" w:cs="Arial" w:eastAsia="Arial" w:hAnsi="Arial"/>
                <w:sz w:val="13"/>
                <w:szCs w:val="13"/>
                <w:color w:val="auto"/>
              </w:rPr>
              <w:t>Montrose Crossing</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141,551</w:t>
            </w:r>
          </w:p>
        </w:tc>
        <w:tc>
          <w:tcPr>
            <w:tcW w:w="100" w:type="dxa"/>
            <w:vAlign w:val="bottom"/>
          </w:tcPr>
          <w:p>
            <w:pPr>
              <w:spacing w:after="0"/>
              <w:rPr>
                <w:sz w:val="12"/>
                <w:szCs w:val="12"/>
                <w:color w:val="auto"/>
              </w:rPr>
            </w:pP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78,755</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357,000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22.55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73,000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Marshalls / Sports Authority / Barnes &amp;</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Noble / A.C. Moore</w:t>
            </w:r>
          </w:p>
        </w:tc>
      </w:tr>
      <w:tr>
        <w:trPr>
          <w:trHeight w:val="156"/>
        </w:trPr>
        <w:tc>
          <w:tcPr>
            <w:tcW w:w="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Mount Vernon/South</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2003/2006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78,930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62,000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Shoppers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Bed, Bath &amp; Beyond / Michaels / Home</w:t>
            </w:r>
          </w:p>
        </w:tc>
      </w:tr>
      <w:tr>
        <w:trPr>
          <w:trHeight w:val="135"/>
        </w:trPr>
        <w:tc>
          <w:tcPr>
            <w:tcW w:w="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Valley/7770 Richmond</w:t>
            </w: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3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8"/>
              </w:rPr>
              <w:t>Depot / TJ Maxx / Gold's Gym / Staples</w:t>
            </w:r>
          </w:p>
        </w:tc>
      </w:tr>
      <w:tr>
        <w:trPr>
          <w:trHeight w:val="176"/>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Hwy</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32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Old Keene Mill</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1976</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6,471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34.20</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800" w:type="dxa"/>
            <w:vAlign w:val="bottom"/>
          </w:tcPr>
          <w:p>
            <w:pPr>
              <w:ind w:left="80"/>
              <w:spacing w:after="0"/>
              <w:rPr>
                <w:sz w:val="20"/>
                <w:szCs w:val="20"/>
                <w:color w:val="auto"/>
              </w:rPr>
            </w:pPr>
            <w:r>
              <w:rPr>
                <w:rFonts w:ascii="Arial" w:cs="Arial" w:eastAsia="Arial" w:hAnsi="Arial"/>
                <w:sz w:val="13"/>
                <w:szCs w:val="13"/>
                <w:color w:val="auto"/>
                <w:w w:val="91"/>
              </w:rPr>
              <w:t>Whole Foods</w:t>
            </w:r>
          </w:p>
        </w:tc>
        <w:tc>
          <w:tcPr>
            <w:tcW w:w="232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Pan Am</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28,639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Safeway</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Pentagon Row</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89,699</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51,640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296,000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35.98</w:t>
            </w:r>
          </w:p>
        </w:tc>
        <w:tc>
          <w:tcPr>
            <w:tcW w:w="600" w:type="dxa"/>
            <w:vAlign w:val="bottom"/>
          </w:tcPr>
          <w:p>
            <w:pPr>
              <w:ind w:left="60"/>
              <w:spacing w:after="0"/>
              <w:rPr>
                <w:sz w:val="20"/>
                <w:szCs w:val="20"/>
                <w:color w:val="auto"/>
              </w:rPr>
            </w:pPr>
            <w:r>
              <w:rPr>
                <w:rFonts w:ascii="Arial" w:cs="Arial" w:eastAsia="Arial" w:hAnsi="Arial"/>
                <w:sz w:val="13"/>
                <w:szCs w:val="13"/>
                <w:color w:val="auto"/>
              </w:rPr>
              <w:t>45,000</w:t>
            </w:r>
          </w:p>
        </w:tc>
        <w:tc>
          <w:tcPr>
            <w:tcW w:w="800" w:type="dxa"/>
            <w:vAlign w:val="bottom"/>
          </w:tcPr>
          <w:p>
            <w:pPr>
              <w:ind w:left="80"/>
              <w:spacing w:after="0"/>
              <w:rPr>
                <w:sz w:val="20"/>
                <w:szCs w:val="20"/>
                <w:color w:val="auto"/>
              </w:rPr>
            </w:pPr>
            <w:r>
              <w:rPr>
                <w:rFonts w:ascii="Arial" w:cs="Arial" w:eastAsia="Arial" w:hAnsi="Arial"/>
                <w:sz w:val="13"/>
                <w:szCs w:val="13"/>
                <w:color w:val="auto"/>
                <w:w w:val="92"/>
              </w:rPr>
              <w:t>Harris Teeter</w:t>
            </w:r>
          </w:p>
        </w:tc>
        <w:tc>
          <w:tcPr>
            <w:tcW w:w="2320" w:type="dxa"/>
            <w:vAlign w:val="bottom"/>
          </w:tcPr>
          <w:p>
            <w:pPr>
              <w:ind w:left="60"/>
              <w:spacing w:after="0"/>
              <w:rPr>
                <w:sz w:val="20"/>
                <w:szCs w:val="20"/>
                <w:color w:val="auto"/>
              </w:rPr>
            </w:pPr>
            <w:r>
              <w:rPr>
                <w:rFonts w:ascii="Arial" w:cs="Arial" w:eastAsia="Arial" w:hAnsi="Arial"/>
                <w:sz w:val="13"/>
                <w:szCs w:val="13"/>
                <w:color w:val="auto"/>
                <w:w w:val="94"/>
              </w:rPr>
              <w:t>L.A. Fitness / Bed, Bath &amp; Beyond / DSW</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Pike 7</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35,774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40.32</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Quince Orchard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26,687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79%</w:t>
            </w:r>
          </w:p>
        </w:tc>
        <w:tc>
          <w:tcPr>
            <w:tcW w:w="580" w:type="dxa"/>
            <w:vAlign w:val="bottom"/>
          </w:tcPr>
          <w:p>
            <w:pPr>
              <w:jc w:val="right"/>
              <w:spacing w:after="0"/>
              <w:rPr>
                <w:sz w:val="20"/>
                <w:szCs w:val="20"/>
                <w:color w:val="auto"/>
              </w:rPr>
            </w:pPr>
            <w:r>
              <w:rPr>
                <w:rFonts w:ascii="Arial" w:cs="Arial" w:eastAsia="Arial" w:hAnsi="Arial"/>
                <w:sz w:val="13"/>
                <w:szCs w:val="13"/>
                <w:color w:val="auto"/>
              </w:rPr>
              <w:t>79%</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19.16</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L.A. Fitness / Staples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48"/>
        </w:trPr>
        <w:tc>
          <w:tcPr>
            <w:tcW w:w="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Rockville Town Square</w:t>
            </w:r>
          </w:p>
        </w:tc>
        <w:tc>
          <w:tcPr>
            <w:tcW w:w="38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2006-2007</w:t>
            </w: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50,324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4,538</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32.10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25,000</w:t>
            </w:r>
          </w:p>
        </w:tc>
        <w:tc>
          <w:tcPr>
            <w:tcW w:w="8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Dawson's</w:t>
            </w:r>
          </w:p>
        </w:tc>
        <w:tc>
          <w:tcPr>
            <w:tcW w:w="23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CVS / Gold's Gym</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32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w w:val="96"/>
              </w:rPr>
              <w:t>Rollingwood Apartments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1971</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9,160</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22,890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Sam's Park &amp; Shop</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12,860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41.08</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Tower</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21,146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58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24.27</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Tyson's Station</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4,081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40.58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7"/>
              </w:rPr>
              <w:t>Trader Joe's</w:t>
            </w:r>
          </w:p>
        </w:tc>
        <w:tc>
          <w:tcPr>
            <w:tcW w:w="232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Village at Shirlington</w:t>
            </w:r>
          </w:p>
        </w:tc>
        <w:tc>
          <w:tcPr>
            <w:tcW w:w="38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1995</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59,044</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6,404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32.94</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800" w:type="dxa"/>
            <w:vAlign w:val="bottom"/>
          </w:tcPr>
          <w:p>
            <w:pPr>
              <w:ind w:left="80"/>
              <w:spacing w:after="0"/>
              <w:rPr>
                <w:sz w:val="20"/>
                <w:szCs w:val="20"/>
                <w:color w:val="auto"/>
              </w:rPr>
            </w:pPr>
            <w:r>
              <w:rPr>
                <w:rFonts w:ascii="Arial" w:cs="Arial" w:eastAsia="Arial" w:hAnsi="Arial"/>
                <w:sz w:val="13"/>
                <w:szCs w:val="13"/>
                <w:color w:val="auto"/>
                <w:w w:val="92"/>
              </w:rPr>
              <w:t>Harris Teeter</w:t>
            </w:r>
          </w:p>
        </w:tc>
        <w:tc>
          <w:tcPr>
            <w:tcW w:w="232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Wildwood</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18,532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23,719</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85.73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Total Washington Metropolitan Area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1,240,519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5,393,000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30.04</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20" w:type="dxa"/>
            <w:vAlign w:val="bottom"/>
          </w:tcPr>
          <w:p>
            <w:pPr>
              <w:spacing w:after="0"/>
              <w:rPr>
                <w:sz w:val="7"/>
                <w:szCs w:val="7"/>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1780" w:type="dxa"/>
            <w:vAlign w:val="bottom"/>
            <w:tcBorders>
              <w:bottom w:val="single" w:sz="8" w:color="auto"/>
            </w:tcBorders>
            <w:gridSpan w:val="4"/>
            <w:shd w:val="clear" w:color="auto" w:fill="CCEEFF"/>
          </w:tcPr>
          <w:p>
            <w:pPr>
              <w:ind w:left="80"/>
              <w:spacing w:after="0"/>
              <w:rPr>
                <w:sz w:val="20"/>
                <w:szCs w:val="20"/>
                <w:color w:val="auto"/>
              </w:rPr>
            </w:pPr>
            <w:r>
              <w:rPr>
                <w:rFonts w:ascii="Arial" w:cs="Arial" w:eastAsia="Arial" w:hAnsi="Arial"/>
                <w:sz w:val="13"/>
                <w:szCs w:val="13"/>
                <w:b w:val="1"/>
                <w:bCs w:val="1"/>
                <w:color w:val="auto"/>
                <w:w w:val="88"/>
              </w:rPr>
              <w:t>Philadelphia Metropolitan Area</w:t>
            </w:r>
          </w:p>
        </w:tc>
        <w:tc>
          <w:tcPr>
            <w:tcW w:w="13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shd w:val="clear" w:color="auto" w:fill="CCEEFF"/>
          </w:tcPr>
          <w:p>
            <w:pPr>
              <w:spacing w:after="0"/>
              <w:rPr>
                <w:sz w:val="12"/>
                <w:szCs w:val="12"/>
                <w:color w:val="auto"/>
              </w:rPr>
            </w:pPr>
          </w:p>
        </w:tc>
      </w:tr>
      <w:tr>
        <w:trPr>
          <w:trHeight w:val="102"/>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1380" w:type="dxa"/>
            <w:vAlign w:val="bottom"/>
            <w:gridSpan w:val="2"/>
          </w:tcPr>
          <w:p>
            <w:pPr>
              <w:spacing w:after="0" w:line="148" w:lineRule="exact"/>
              <w:rPr>
                <w:sz w:val="20"/>
                <w:szCs w:val="20"/>
                <w:color w:val="auto"/>
              </w:rPr>
            </w:pPr>
            <w:r>
              <w:rPr>
                <w:rFonts w:ascii="Arial" w:cs="Arial" w:eastAsia="Arial" w:hAnsi="Arial"/>
                <w:sz w:val="13"/>
                <w:szCs w:val="13"/>
                <w:color w:val="auto"/>
              </w:rPr>
              <w:t>Andorra</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25,124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15.12</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Markets</w:t>
            </w:r>
          </w:p>
        </w:tc>
        <w:tc>
          <w:tcPr>
            <w:tcW w:w="232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 Cynwyd</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39,378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2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Ellisburg Circle</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1992</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30,297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74%</w:t>
            </w:r>
          </w:p>
        </w:tc>
        <w:tc>
          <w:tcPr>
            <w:tcW w:w="580" w:type="dxa"/>
            <w:vAlign w:val="bottom"/>
          </w:tcPr>
          <w:p>
            <w:pPr>
              <w:jc w:val="right"/>
              <w:spacing w:after="0"/>
              <w:rPr>
                <w:sz w:val="20"/>
                <w:szCs w:val="20"/>
                <w:color w:val="auto"/>
              </w:rPr>
            </w:pPr>
            <w:r>
              <w:rPr>
                <w:rFonts w:ascii="Arial" w:cs="Arial" w:eastAsia="Arial" w:hAnsi="Arial"/>
                <w:sz w:val="13"/>
                <w:szCs w:val="13"/>
                <w:color w:val="auto"/>
              </w:rPr>
              <w:t>74%</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13.74</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Flourtown</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16,060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42,000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1380" w:type="dxa"/>
            <w:vAlign w:val="bottom"/>
            <w:gridSpan w:val="2"/>
          </w:tcPr>
          <w:p>
            <w:pPr>
              <w:spacing w:after="0" w:line="148" w:lineRule="exact"/>
              <w:rPr>
                <w:sz w:val="20"/>
                <w:szCs w:val="20"/>
                <w:color w:val="auto"/>
              </w:rPr>
            </w:pPr>
            <w:r>
              <w:rPr>
                <w:rFonts w:ascii="Arial" w:cs="Arial" w:eastAsia="Arial" w:hAnsi="Arial"/>
                <w:sz w:val="13"/>
                <w:szCs w:val="13"/>
                <w:color w:val="auto"/>
              </w:rPr>
              <w:t>Langhorne Square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20,430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14.96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2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Mkts.</w:t>
            </w:r>
          </w:p>
        </w:tc>
        <w:tc>
          <w:tcPr>
            <w:tcW w:w="232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Lawrence Park</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31,178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26,984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18.27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w:t>
            </w:r>
          </w:p>
        </w:tc>
      </w:tr>
      <w:tr>
        <w:trPr>
          <w:trHeight w:val="148"/>
        </w:trPr>
        <w:tc>
          <w:tcPr>
            <w:tcW w:w="20" w:type="dxa"/>
            <w:vAlign w:val="bottom"/>
          </w:tcPr>
          <w:p>
            <w:pPr>
              <w:spacing w:after="0"/>
              <w:rPr>
                <w:sz w:val="12"/>
                <w:szCs w:val="12"/>
                <w:color w:val="auto"/>
              </w:rPr>
            </w:pPr>
          </w:p>
        </w:tc>
        <w:tc>
          <w:tcPr>
            <w:tcW w:w="1380" w:type="dxa"/>
            <w:vAlign w:val="bottom"/>
            <w:gridSpan w:val="2"/>
          </w:tcPr>
          <w:p>
            <w:pPr>
              <w:spacing w:after="0" w:line="148" w:lineRule="exact"/>
              <w:rPr>
                <w:sz w:val="20"/>
                <w:szCs w:val="20"/>
                <w:color w:val="auto"/>
              </w:rPr>
            </w:pPr>
            <w:r>
              <w:rPr>
                <w:rFonts w:ascii="Arial" w:cs="Arial" w:eastAsia="Arial" w:hAnsi="Arial"/>
                <w:sz w:val="13"/>
                <w:szCs w:val="13"/>
                <w:color w:val="auto"/>
              </w:rPr>
              <w:t>Northeast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1983</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24,248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12.15</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95"/>
              </w:rPr>
              <w:t>Burlington Coat Factory / Home Gallery /</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Marshalls</w:t>
            </w:r>
          </w:p>
        </w:tc>
      </w:tr>
      <w:tr>
        <w:trPr>
          <w:trHeight w:val="156"/>
        </w:trPr>
        <w:tc>
          <w:tcPr>
            <w:tcW w:w="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Town Center of New</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14,598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176"/>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Britain</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Willow Grove</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1984</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28,993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18.08</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w w:val="92"/>
              </w:rPr>
              <w:t>HomeGoods / Marshalls / Barnes &amp; Noble</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Wynnewood</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36,846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27,500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Total Philadelphia Metropolitan Area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267,152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2,438,000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17.09</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2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California</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1380" w:type="dxa"/>
            <w:vAlign w:val="bottom"/>
            <w:gridSpan w:val="2"/>
          </w:tcPr>
          <w:p>
            <w:pPr>
              <w:spacing w:after="0" w:line="148" w:lineRule="exact"/>
              <w:rPr>
                <w:sz w:val="20"/>
                <w:szCs w:val="20"/>
                <w:color w:val="auto"/>
              </w:rPr>
            </w:pPr>
            <w:r>
              <w:rPr>
                <w:rFonts w:ascii="Arial" w:cs="Arial" w:eastAsia="Arial" w:hAnsi="Arial"/>
                <w:sz w:val="13"/>
                <w:szCs w:val="13"/>
                <w:color w:val="auto"/>
              </w:rPr>
              <w:t>Colorado Blvd</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88"/>
              </w:rPr>
              <w:t>Los Angeles-Long Beach,</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18,389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38.11</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CA</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81"/>
        </w:trPr>
        <w:tc>
          <w:tcPr>
            <w:tcW w:w="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Crow Canyon</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Ramon, CA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84,938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19,485</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Lucky</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Loehmann's Dress Shop / Rite Aid</w:t>
            </w:r>
          </w:p>
        </w:tc>
      </w:tr>
      <w:tr>
        <w:trPr>
          <w:trHeight w:val="43"/>
        </w:trPr>
        <w:tc>
          <w:tcPr>
            <w:tcW w:w="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380"/>
          </w:cols>
          <w:pgMar w:left="260" w:top="747" w:right="259" w:bottom="59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60" w:top="747" w:right="259" w:bottom="595"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Average</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6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3"/>
                <w:szCs w:val="13"/>
                <w:color w:val="auto"/>
              </w:rPr>
              <w:t>East Bay Bridge</w:t>
            </w:r>
          </w:p>
        </w:tc>
        <w:tc>
          <w:tcPr>
            <w:tcW w:w="44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w w:val="98"/>
              </w:rPr>
              <w:t>San Francisco-Oakland-</w:t>
            </w: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167,179</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62,946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15.37</w:t>
            </w:r>
          </w:p>
        </w:tc>
        <w:tc>
          <w:tcPr>
            <w:tcW w:w="580" w:type="dxa"/>
            <w:vAlign w:val="bottom"/>
          </w:tcPr>
          <w:p>
            <w:pPr>
              <w:ind w:left="40"/>
              <w:spacing w:after="0"/>
              <w:rPr>
                <w:sz w:val="20"/>
                <w:szCs w:val="20"/>
                <w:color w:val="auto"/>
              </w:rPr>
            </w:pPr>
            <w:r>
              <w:rPr>
                <w:rFonts w:ascii="Arial" w:cs="Arial" w:eastAsia="Arial" w:hAnsi="Arial"/>
                <w:sz w:val="13"/>
                <w:szCs w:val="13"/>
                <w:color w:val="auto"/>
              </w:rPr>
              <w:t>59,000</w:t>
            </w:r>
          </w:p>
        </w:tc>
        <w:tc>
          <w:tcPr>
            <w:tcW w:w="820" w:type="dxa"/>
            <w:vAlign w:val="bottom"/>
          </w:tcPr>
          <w:p>
            <w:pPr>
              <w:ind w:left="80"/>
              <w:spacing w:after="0"/>
              <w:rPr>
                <w:sz w:val="20"/>
                <w:szCs w:val="20"/>
                <w:color w:val="auto"/>
              </w:rPr>
            </w:pPr>
            <w:r>
              <w:rPr>
                <w:rFonts w:ascii="Arial" w:cs="Arial" w:eastAsia="Arial" w:hAnsi="Arial"/>
                <w:sz w:val="13"/>
                <w:szCs w:val="13"/>
                <w:color w:val="auto"/>
              </w:rPr>
              <w:t>Pak-N-Save</w:t>
            </w:r>
          </w:p>
        </w:tc>
        <w:tc>
          <w:tcPr>
            <w:tcW w:w="2460" w:type="dxa"/>
            <w:vAlign w:val="bottom"/>
          </w:tcPr>
          <w:p>
            <w:pPr>
              <w:ind w:left="60"/>
              <w:spacing w:after="0"/>
              <w:rPr>
                <w:sz w:val="20"/>
                <w:szCs w:val="20"/>
                <w:color w:val="auto"/>
              </w:rPr>
            </w:pPr>
            <w:r>
              <w:rPr>
                <w:rFonts w:ascii="Arial" w:cs="Arial" w:eastAsia="Arial" w:hAnsi="Arial"/>
                <w:sz w:val="13"/>
                <w:szCs w:val="13"/>
                <w:color w:val="auto"/>
              </w:rPr>
              <w:t>Home Depot / Michaels / Target</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Escondido</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45,476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21.99</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TJ Maxx / Toys R Us / Dick’s Sporting Goods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 Ross Dress For Less</w:t>
            </w:r>
          </w:p>
        </w:tc>
      </w:tr>
      <w:tr>
        <w:trPr>
          <w:trHeight w:val="173"/>
        </w:trPr>
        <w:tc>
          <w:tcPr>
            <w:tcW w:w="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3"/>
                <w:szCs w:val="13"/>
                <w:color w:val="auto"/>
              </w:rPr>
              <w:t>Fifth Ave</w:t>
            </w:r>
          </w:p>
        </w:tc>
        <w:tc>
          <w:tcPr>
            <w:tcW w:w="44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6,056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47.66</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Urban Outfitters</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48"/>
        </w:trPr>
        <w:tc>
          <w:tcPr>
            <w:tcW w:w="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Hermosa Ave</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5,586</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35.73</w:t>
            </w: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400" w:type="dxa"/>
            <w:vAlign w:val="bottom"/>
            <w:gridSpan w:val="4"/>
          </w:tcPr>
          <w:p>
            <w:pPr>
              <w:spacing w:after="0" w:line="148" w:lineRule="exact"/>
              <w:rPr>
                <w:sz w:val="20"/>
                <w:szCs w:val="20"/>
                <w:color w:val="auto"/>
              </w:rPr>
            </w:pPr>
            <w:r>
              <w:rPr>
                <w:rFonts w:ascii="Arial" w:cs="Arial" w:eastAsia="Arial" w:hAnsi="Arial"/>
                <w:sz w:val="13"/>
                <w:szCs w:val="13"/>
                <w:color w:val="auto"/>
              </w:rPr>
              <w:t>Hollywood Blvd</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87"/>
              </w:rPr>
              <w:t>(6)</w:t>
            </w: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1999</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40,098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30.69</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15,000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2"/>
              </w:rPr>
              <w:t>Fresh &amp; Easy</w:t>
            </w:r>
          </w:p>
        </w:tc>
        <w:tc>
          <w:tcPr>
            <w:tcW w:w="2460" w:type="dxa"/>
            <w:vAlign w:val="bottom"/>
          </w:tcPr>
          <w:p>
            <w:pPr>
              <w:ind w:left="60"/>
              <w:spacing w:after="0" w:line="148" w:lineRule="exact"/>
              <w:rPr>
                <w:sz w:val="20"/>
                <w:szCs w:val="20"/>
                <w:color w:val="auto"/>
              </w:rPr>
            </w:pPr>
            <w:r>
              <w:rPr>
                <w:rFonts w:ascii="Arial" w:cs="Arial" w:eastAsia="Arial" w:hAnsi="Arial"/>
                <w:sz w:val="13"/>
                <w:szCs w:val="13"/>
                <w:color w:val="auto"/>
              </w:rPr>
              <w:t>DSW / L.A. Fitness</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Kings Court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w:t>
            </w: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11,671</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29.30</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Lunardi's</w:t>
            </w: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Super Market</w:t>
            </w:r>
          </w:p>
        </w:tc>
        <w:tc>
          <w:tcPr>
            <w:tcW w:w="246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3"/>
                <w:szCs w:val="13"/>
                <w:color w:val="auto"/>
              </w:rPr>
              <w:t>Old Town Center</w:t>
            </w:r>
          </w:p>
        </w:tc>
        <w:tc>
          <w:tcPr>
            <w:tcW w:w="44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36,393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580" w:type="dxa"/>
            <w:vAlign w:val="bottom"/>
          </w:tcPr>
          <w:p>
            <w:pPr>
              <w:jc w:val="right"/>
              <w:spacing w:after="0"/>
              <w:rPr>
                <w:sz w:val="20"/>
                <w:szCs w:val="20"/>
                <w:color w:val="auto"/>
              </w:rPr>
            </w:pPr>
            <w:r>
              <w:rPr>
                <w:rFonts w:ascii="Arial" w:cs="Arial" w:eastAsia="Arial" w:hAnsi="Arial"/>
                <w:sz w:val="13"/>
                <w:szCs w:val="13"/>
                <w:color w:val="auto"/>
              </w:rPr>
              <w:t>86%</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34.56</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Anthropologie / Banana Republic / Gap</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48"/>
        </w:trPr>
        <w:tc>
          <w:tcPr>
            <w:tcW w:w="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Plaza El Segundo</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4"/>
              </w:rPr>
              <w:t>(6)(8)</w:t>
            </w: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213,619</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37.06</w:t>
            </w:r>
          </w:p>
        </w:tc>
        <w:tc>
          <w:tcPr>
            <w:tcW w:w="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66,000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Anthropologie / Best Buy / Container Store /</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4"/>
              </w:rPr>
              <w:t>Dick's Sporting Goods / H&amp;M / HomeGoods</w:t>
            </w:r>
          </w:p>
        </w:tc>
      </w:tr>
      <w:tr>
        <w:trPr>
          <w:trHeight w:val="148"/>
        </w:trPr>
        <w:tc>
          <w:tcPr>
            <w:tcW w:w="20" w:type="dxa"/>
            <w:vAlign w:val="bottom"/>
          </w:tcPr>
          <w:p>
            <w:pPr>
              <w:spacing w:after="0"/>
              <w:rPr>
                <w:sz w:val="12"/>
                <w:szCs w:val="12"/>
                <w:color w:val="auto"/>
              </w:rPr>
            </w:pPr>
          </w:p>
        </w:tc>
        <w:tc>
          <w:tcPr>
            <w:tcW w:w="1400" w:type="dxa"/>
            <w:vAlign w:val="bottom"/>
            <w:gridSpan w:val="4"/>
          </w:tcPr>
          <w:p>
            <w:pPr>
              <w:spacing w:after="0" w:line="148" w:lineRule="exact"/>
              <w:rPr>
                <w:sz w:val="20"/>
                <w:szCs w:val="20"/>
                <w:color w:val="auto"/>
              </w:rPr>
            </w:pPr>
            <w:r>
              <w:rPr>
                <w:rFonts w:ascii="Arial" w:cs="Arial" w:eastAsia="Arial" w:hAnsi="Arial"/>
                <w:sz w:val="13"/>
                <w:szCs w:val="13"/>
                <w:color w:val="auto"/>
              </w:rPr>
              <w:t>Santana Row</w:t>
            </w:r>
          </w:p>
        </w:tc>
        <w:tc>
          <w:tcPr>
            <w:tcW w:w="44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619,880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47.34</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60" w:type="dxa"/>
            <w:vAlign w:val="bottom"/>
          </w:tcPr>
          <w:p>
            <w:pPr>
              <w:ind w:left="60"/>
              <w:spacing w:after="0" w:line="148" w:lineRule="exact"/>
              <w:rPr>
                <w:sz w:val="20"/>
                <w:szCs w:val="20"/>
                <w:color w:val="auto"/>
              </w:rPr>
            </w:pPr>
            <w:r>
              <w:rPr>
                <w:rFonts w:ascii="Arial" w:cs="Arial" w:eastAsia="Arial" w:hAnsi="Arial"/>
                <w:sz w:val="13"/>
                <w:szCs w:val="13"/>
                <w:color w:val="auto"/>
                <w:w w:val="93"/>
              </w:rPr>
              <w:t>Crate &amp; Barrel / Container Store / Best Buy /</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CineArts Theatre / Hotel Valencia / H&amp;M</w:t>
            </w:r>
          </w:p>
        </w:tc>
      </w:tr>
      <w:tr>
        <w:trPr>
          <w:trHeight w:val="156"/>
        </w:trPr>
        <w:tc>
          <w:tcPr>
            <w:tcW w:w="2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Third St Promenade</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Los Angeles-Long Beach,</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1996-2000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78,245</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64.92</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J. Crew / Banana Republic / Old Navy /</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Abercrombie &amp; Fitch</w:t>
            </w:r>
          </w:p>
        </w:tc>
      </w:tr>
      <w:tr>
        <w:trPr>
          <w:trHeight w:val="148"/>
        </w:trPr>
        <w:tc>
          <w:tcPr>
            <w:tcW w:w="20" w:type="dxa"/>
            <w:vAlign w:val="bottom"/>
          </w:tcPr>
          <w:p>
            <w:pPr>
              <w:spacing w:after="0"/>
              <w:rPr>
                <w:sz w:val="12"/>
                <w:szCs w:val="12"/>
                <w:color w:val="auto"/>
              </w:rPr>
            </w:pPr>
          </w:p>
        </w:tc>
        <w:tc>
          <w:tcPr>
            <w:tcW w:w="1400" w:type="dxa"/>
            <w:vAlign w:val="bottom"/>
            <w:gridSpan w:val="4"/>
          </w:tcPr>
          <w:p>
            <w:pPr>
              <w:spacing w:after="0" w:line="148" w:lineRule="exact"/>
              <w:rPr>
                <w:sz w:val="20"/>
                <w:szCs w:val="20"/>
                <w:color w:val="auto"/>
              </w:rPr>
            </w:pPr>
            <w:r>
              <w:rPr>
                <w:rFonts w:ascii="Arial" w:cs="Arial" w:eastAsia="Arial" w:hAnsi="Arial"/>
                <w:sz w:val="13"/>
                <w:szCs w:val="13"/>
                <w:color w:val="auto"/>
              </w:rPr>
              <w:t>Westgate</w:t>
            </w:r>
          </w:p>
        </w:tc>
        <w:tc>
          <w:tcPr>
            <w:tcW w:w="44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124,291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639,000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12.83</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38,000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2460" w:type="dxa"/>
            <w:vAlign w:val="bottom"/>
          </w:tcPr>
          <w:p>
            <w:pPr>
              <w:ind w:left="60"/>
              <w:spacing w:after="0" w:line="148" w:lineRule="exact"/>
              <w:rPr>
                <w:sz w:val="20"/>
                <w:szCs w:val="20"/>
                <w:color w:val="auto"/>
              </w:rPr>
            </w:pPr>
            <w:r>
              <w:rPr>
                <w:rFonts w:ascii="Arial" w:cs="Arial" w:eastAsia="Arial" w:hAnsi="Arial"/>
                <w:sz w:val="13"/>
                <w:szCs w:val="13"/>
                <w:color w:val="auto"/>
                <w:w w:val="90"/>
              </w:rPr>
              <w:t>Target / Burlington Coat Factory / Ross Dress</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For Less / Michaels / Nordstrom Rack</w:t>
            </w:r>
          </w:p>
        </w:tc>
      </w:tr>
      <w:tr>
        <w:trPr>
          <w:trHeight w:val="181"/>
        </w:trPr>
        <w:tc>
          <w:tcPr>
            <w:tcW w:w="2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150 Post Street</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Francisco,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37,729</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42.51</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Brooks Brothers / H&amp;M</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1,489,550</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3,378,000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30.56</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6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ind w:left="80"/>
              <w:spacing w:after="0"/>
              <w:rPr>
                <w:sz w:val="20"/>
                <w:szCs w:val="20"/>
                <w:color w:val="auto"/>
              </w:rPr>
            </w:pPr>
            <w:r>
              <w:rPr>
                <w:rFonts w:ascii="Arial" w:cs="Arial" w:eastAsia="Arial" w:hAnsi="Arial"/>
                <w:sz w:val="13"/>
                <w:szCs w:val="13"/>
                <w:b w:val="1"/>
                <w:bCs w:val="1"/>
                <w:color w:val="auto"/>
                <w:w w:val="91"/>
              </w:rPr>
              <w:t>New York / New Jersey</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460" w:type="dxa"/>
            <w:vAlign w:val="bottom"/>
            <w:tcBorders>
              <w:top w:val="single" w:sz="8" w:color="CCEEFF"/>
            </w:tcBorders>
            <w:shd w:val="clear" w:color="auto" w:fill="CCEEFF"/>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1400" w:type="dxa"/>
            <w:vAlign w:val="bottom"/>
            <w:gridSpan w:val="4"/>
          </w:tcPr>
          <w:p>
            <w:pPr>
              <w:spacing w:after="0" w:line="148" w:lineRule="exact"/>
              <w:rPr>
                <w:sz w:val="20"/>
                <w:szCs w:val="20"/>
                <w:color w:val="auto"/>
              </w:rPr>
            </w:pPr>
            <w:r>
              <w:rPr>
                <w:rFonts w:ascii="Arial" w:cs="Arial" w:eastAsia="Arial" w:hAnsi="Arial"/>
                <w:sz w:val="13"/>
                <w:szCs w:val="13"/>
                <w:color w:val="auto"/>
              </w:rPr>
              <w:t>Brick Plaza</w:t>
            </w:r>
          </w:p>
        </w:tc>
        <w:tc>
          <w:tcPr>
            <w:tcW w:w="44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Monmouth-Ocean, 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60,611</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28,033</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414,000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15.60</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66,000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A&amp;P</w:t>
            </w:r>
          </w:p>
        </w:tc>
        <w:tc>
          <w:tcPr>
            <w:tcW w:w="2460" w:type="dxa"/>
            <w:vAlign w:val="bottom"/>
          </w:tcPr>
          <w:p>
            <w:pPr>
              <w:ind w:left="60"/>
              <w:spacing w:after="0" w:line="148" w:lineRule="exact"/>
              <w:rPr>
                <w:sz w:val="20"/>
                <w:szCs w:val="20"/>
                <w:color w:val="auto"/>
              </w:rPr>
            </w:pPr>
            <w:r>
              <w:rPr>
                <w:rFonts w:ascii="Arial" w:cs="Arial" w:eastAsia="Arial" w:hAnsi="Arial"/>
                <w:sz w:val="13"/>
                <w:szCs w:val="13"/>
                <w:color w:val="auto"/>
              </w:rPr>
              <w:t>AMC Loews / Barnes &amp; Noble / Sports</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Authority</w:t>
            </w: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Forest Hills</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8,592</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21.63</w:t>
            </w:r>
          </w:p>
        </w:tc>
        <w:tc>
          <w:tcPr>
            <w:tcW w:w="5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Midway Theatre</w:t>
            </w:r>
          </w:p>
        </w:tc>
      </w:tr>
      <w:tr>
        <w:trPr>
          <w:trHeight w:val="173"/>
        </w:trPr>
        <w:tc>
          <w:tcPr>
            <w:tcW w:w="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3"/>
                <w:szCs w:val="13"/>
                <w:color w:val="auto"/>
              </w:rPr>
              <w:t>Fresh Meadows</w:t>
            </w:r>
          </w:p>
        </w:tc>
        <w:tc>
          <w:tcPr>
            <w:tcW w:w="44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77,515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27.90</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AMC Loews / Kohl's / Michaels / Modell's</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Hauppauge</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28,049</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14,352</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133,000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25.50</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61,000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148"/>
        </w:trPr>
        <w:tc>
          <w:tcPr>
            <w:tcW w:w="20" w:type="dxa"/>
            <w:vAlign w:val="bottom"/>
          </w:tcPr>
          <w:p>
            <w:pPr>
              <w:spacing w:after="0"/>
              <w:rPr>
                <w:sz w:val="12"/>
                <w:szCs w:val="12"/>
                <w:color w:val="auto"/>
              </w:rPr>
            </w:pPr>
          </w:p>
        </w:tc>
        <w:tc>
          <w:tcPr>
            <w:tcW w:w="1400" w:type="dxa"/>
            <w:vAlign w:val="bottom"/>
            <w:gridSpan w:val="4"/>
          </w:tcPr>
          <w:p>
            <w:pPr>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43,401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24.65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60" w:type="dxa"/>
            <w:vAlign w:val="bottom"/>
          </w:tcPr>
          <w:p>
            <w:pPr>
              <w:ind w:left="60"/>
              <w:spacing w:after="0" w:line="148" w:lineRule="exact"/>
              <w:rPr>
                <w:sz w:val="20"/>
                <w:szCs w:val="20"/>
                <w:color w:val="auto"/>
              </w:rPr>
            </w:pPr>
            <w:r>
              <w:rPr>
                <w:rFonts w:ascii="Arial" w:cs="Arial" w:eastAsia="Arial" w:hAnsi="Arial"/>
                <w:sz w:val="13"/>
                <w:szCs w:val="13"/>
                <w:color w:val="auto"/>
              </w:rPr>
              <w:t>Buy Buy Baby / Bed, Bath &amp; Beyond /</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Michaels / Nordstrom Rack</w:t>
            </w: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Huntington Square</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10,694</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26.10</w:t>
            </w:r>
          </w:p>
        </w:tc>
        <w:tc>
          <w:tcPr>
            <w:tcW w:w="5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Barnes &amp; Noble</w:t>
            </w:r>
          </w:p>
        </w:tc>
      </w:tr>
      <w:tr>
        <w:trPr>
          <w:trHeight w:val="173"/>
        </w:trPr>
        <w:tc>
          <w:tcPr>
            <w:tcW w:w="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3"/>
                <w:szCs w:val="13"/>
                <w:color w:val="auto"/>
              </w:rPr>
              <w:t>Melville Mall</w:t>
            </w:r>
          </w:p>
        </w:tc>
        <w:tc>
          <w:tcPr>
            <w:tcW w:w="440" w:type="dxa"/>
            <w:vAlign w:val="bottom"/>
          </w:tcPr>
          <w:p>
            <w:pPr>
              <w:jc w:val="center"/>
              <w:spacing w:after="0"/>
              <w:rPr>
                <w:sz w:val="20"/>
                <w:szCs w:val="20"/>
                <w:color w:val="auto"/>
              </w:rPr>
            </w:pPr>
            <w:r>
              <w:rPr>
                <w:rFonts w:ascii="Arial" w:cs="Arial" w:eastAsia="Arial" w:hAnsi="Arial"/>
                <w:sz w:val="13"/>
                <w:szCs w:val="13"/>
                <w:color w:val="auto"/>
                <w:w w:val="94"/>
              </w:rPr>
              <w:t>(10)</w:t>
            </w:r>
          </w:p>
        </w:tc>
        <w:tc>
          <w:tcPr>
            <w:tcW w:w="146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69,036</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21,536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18.74</w:t>
            </w:r>
          </w:p>
        </w:tc>
        <w:tc>
          <w:tcPr>
            <w:tcW w:w="580" w:type="dxa"/>
            <w:vAlign w:val="bottom"/>
          </w:tcPr>
          <w:p>
            <w:pPr>
              <w:ind w:left="40"/>
              <w:spacing w:after="0"/>
              <w:rPr>
                <w:sz w:val="20"/>
                <w:szCs w:val="20"/>
                <w:color w:val="auto"/>
              </w:rPr>
            </w:pPr>
            <w:r>
              <w:rPr>
                <w:rFonts w:ascii="Arial" w:cs="Arial" w:eastAsia="Arial" w:hAnsi="Arial"/>
                <w:sz w:val="13"/>
                <w:szCs w:val="13"/>
                <w:color w:val="auto"/>
              </w:rPr>
              <w:t>54,000</w:t>
            </w:r>
          </w:p>
        </w:tc>
        <w:tc>
          <w:tcPr>
            <w:tcW w:w="820" w:type="dxa"/>
            <w:vAlign w:val="bottom"/>
          </w:tcPr>
          <w:p>
            <w:pPr>
              <w:ind w:left="80"/>
              <w:spacing w:after="0"/>
              <w:rPr>
                <w:sz w:val="20"/>
                <w:szCs w:val="20"/>
                <w:color w:val="auto"/>
              </w:rPr>
            </w:pPr>
            <w:r>
              <w:rPr>
                <w:rFonts w:ascii="Arial" w:cs="Arial" w:eastAsia="Arial" w:hAnsi="Arial"/>
                <w:sz w:val="13"/>
                <w:szCs w:val="13"/>
                <w:color w:val="auto"/>
              </w:rPr>
              <w:t>Waldbaum's</w:t>
            </w:r>
          </w:p>
        </w:tc>
        <w:tc>
          <w:tcPr>
            <w:tcW w:w="2460" w:type="dxa"/>
            <w:vAlign w:val="bottom"/>
          </w:tcPr>
          <w:p>
            <w:pPr>
              <w:ind w:left="60"/>
              <w:spacing w:after="0"/>
              <w:rPr>
                <w:sz w:val="20"/>
                <w:szCs w:val="20"/>
                <w:color w:val="auto"/>
              </w:rPr>
            </w:pPr>
            <w:r>
              <w:rPr>
                <w:rFonts w:ascii="Arial" w:cs="Arial" w:eastAsia="Arial" w:hAnsi="Arial"/>
                <w:sz w:val="13"/>
                <w:szCs w:val="13"/>
                <w:color w:val="auto"/>
                <w:w w:val="98"/>
              </w:rPr>
              <w:t>Dick’s Sporting Goods / Kohl's / Marshalls</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48"/>
        </w:trPr>
        <w:tc>
          <w:tcPr>
            <w:tcW w:w="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Mercer Mall</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(5)</w:t>
            </w: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110,590</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55,844</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500,000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20.95</w:t>
            </w:r>
          </w:p>
        </w:tc>
        <w:tc>
          <w:tcPr>
            <w:tcW w:w="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75,000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2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Bed, Bath &amp; Beyond / DSW / TJ Maxx /</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Raymour &amp; Flanigan</w:t>
            </w:r>
          </w:p>
        </w:tc>
      </w:tr>
      <w:tr>
        <w:trPr>
          <w:trHeight w:val="173"/>
        </w:trPr>
        <w:tc>
          <w:tcPr>
            <w:tcW w:w="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3"/>
                <w:szCs w:val="13"/>
                <w:color w:val="auto"/>
              </w:rPr>
              <w:t>Troy</w:t>
            </w:r>
          </w:p>
        </w:tc>
        <w:tc>
          <w:tcPr>
            <w:tcW w:w="44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28,797</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20.32</w:t>
            </w:r>
          </w:p>
        </w:tc>
        <w:tc>
          <w:tcPr>
            <w:tcW w:w="580" w:type="dxa"/>
            <w:vAlign w:val="bottom"/>
          </w:tcPr>
          <w:p>
            <w:pPr>
              <w:ind w:left="40"/>
              <w:spacing w:after="0"/>
              <w:rPr>
                <w:sz w:val="20"/>
                <w:szCs w:val="20"/>
                <w:color w:val="auto"/>
              </w:rPr>
            </w:pPr>
            <w:r>
              <w:rPr>
                <w:rFonts w:ascii="Arial" w:cs="Arial" w:eastAsia="Arial" w:hAnsi="Arial"/>
                <w:sz w:val="13"/>
                <w:szCs w:val="13"/>
                <w:color w:val="auto"/>
              </w:rPr>
              <w:t>64,000</w:t>
            </w:r>
          </w:p>
        </w:tc>
        <w:tc>
          <w:tcPr>
            <w:tcW w:w="820" w:type="dxa"/>
            <w:vAlign w:val="bottom"/>
          </w:tcPr>
          <w:p>
            <w:pPr>
              <w:ind w:left="80"/>
              <w:spacing w:after="0"/>
              <w:rPr>
                <w:sz w:val="20"/>
                <w:szCs w:val="20"/>
                <w:color w:val="auto"/>
              </w:rPr>
            </w:pPr>
            <w:r>
              <w:rPr>
                <w:rFonts w:ascii="Arial" w:cs="Arial" w:eastAsia="Arial" w:hAnsi="Arial"/>
                <w:sz w:val="13"/>
                <w:szCs w:val="13"/>
                <w:color w:val="auto"/>
              </w:rPr>
              <w:t>Pathmark</w:t>
            </w:r>
          </w:p>
        </w:tc>
        <w:tc>
          <w:tcPr>
            <w:tcW w:w="2460" w:type="dxa"/>
            <w:vAlign w:val="bottom"/>
          </w:tcPr>
          <w:p>
            <w:pPr>
              <w:ind w:left="60"/>
              <w:spacing w:after="0"/>
              <w:rPr>
                <w:sz w:val="20"/>
                <w:szCs w:val="20"/>
                <w:color w:val="auto"/>
              </w:rPr>
            </w:pPr>
            <w:r>
              <w:rPr>
                <w:rFonts w:ascii="Arial" w:cs="Arial" w:eastAsia="Arial" w:hAnsi="Arial"/>
                <w:sz w:val="13"/>
                <w:szCs w:val="13"/>
                <w:color w:val="auto"/>
              </w:rPr>
              <w:t>L.A. Fitness</w:t>
            </w:r>
          </w:p>
        </w:tc>
      </w:tr>
      <w:tr>
        <w:trPr>
          <w:trHeight w:val="43"/>
        </w:trPr>
        <w:tc>
          <w:tcPr>
            <w:tcW w:w="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r>
      <w:tr>
        <w:trPr>
          <w:trHeight w:val="129"/>
        </w:trPr>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Total New York / New</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437,285</w:t>
            </w: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9"/>
              </w:rPr>
              <w:t>2,308,000</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21.90</w:t>
            </w: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Jersey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b w:val="1"/>
                <w:bCs w:val="1"/>
                <w:color w:val="auto"/>
              </w:rPr>
              <w:t>New England</w:t>
            </w: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Assembly Square</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2005-2011</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252,388</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334,000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17.38</w:t>
            </w: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3"/>
              </w:rPr>
              <w:t>AC Moore / Bed, Bath &amp; Beyond / Christmas</w:t>
            </w:r>
          </w:p>
        </w:tc>
      </w:tr>
      <w:tr>
        <w:trPr>
          <w:trHeight w:val="135"/>
        </w:trPr>
        <w:tc>
          <w:tcPr>
            <w:tcW w:w="20" w:type="dxa"/>
            <w:vAlign w:val="bottom"/>
            <w:shd w:val="clear" w:color="auto" w:fill="CCEEFF"/>
          </w:tcPr>
          <w:p>
            <w:pPr>
              <w:spacing w:after="0"/>
              <w:rPr>
                <w:sz w:val="11"/>
                <w:szCs w:val="11"/>
                <w:color w:val="auto"/>
              </w:rPr>
            </w:pPr>
          </w:p>
        </w:tc>
        <w:tc>
          <w:tcPr>
            <w:tcW w:w="14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Marketplace/Assembly</w:t>
            </w: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Tree Shops / Kmart / Staples / Sports</w:t>
            </w:r>
          </w:p>
        </w:tc>
      </w:tr>
      <w:tr>
        <w:trPr>
          <w:trHeight w:val="176"/>
        </w:trPr>
        <w:tc>
          <w:tcPr>
            <w:tcW w:w="2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Row</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Authority / TJ Maxx</w:t>
            </w:r>
          </w:p>
        </w:tc>
      </w:tr>
      <w:tr>
        <w:trPr>
          <w:trHeight w:val="148"/>
        </w:trPr>
        <w:tc>
          <w:tcPr>
            <w:tcW w:w="20" w:type="dxa"/>
            <w:vAlign w:val="bottom"/>
          </w:tcPr>
          <w:p>
            <w:pPr>
              <w:spacing w:after="0"/>
              <w:rPr>
                <w:sz w:val="12"/>
                <w:szCs w:val="12"/>
                <w:color w:val="auto"/>
              </w:rPr>
            </w:pPr>
          </w:p>
        </w:tc>
        <w:tc>
          <w:tcPr>
            <w:tcW w:w="1400" w:type="dxa"/>
            <w:vAlign w:val="bottom"/>
            <w:gridSpan w:val="4"/>
          </w:tcPr>
          <w:p>
            <w:pPr>
              <w:spacing w:after="0" w:line="148" w:lineRule="exact"/>
              <w:rPr>
                <w:sz w:val="20"/>
                <w:szCs w:val="20"/>
                <w:color w:val="auto"/>
              </w:rPr>
            </w:pPr>
            <w:r>
              <w:rPr>
                <w:rFonts w:ascii="Arial" w:cs="Arial" w:eastAsia="Arial" w:hAnsi="Arial"/>
                <w:sz w:val="13"/>
                <w:szCs w:val="13"/>
                <w:color w:val="auto"/>
              </w:rPr>
              <w:t>Chelsea Commons</w:t>
            </w:r>
          </w:p>
        </w:tc>
        <w:tc>
          <w:tcPr>
            <w:tcW w:w="44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2006-2008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34,774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7,454</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11.10</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16,000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246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Dedham Plaza</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34,102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15.14</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80,000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460" w:type="dxa"/>
            <w:vAlign w:val="bottom"/>
            <w:shd w:val="clear" w:color="auto" w:fill="CCEEFF"/>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400" w:type="dxa"/>
            <w:vAlign w:val="bottom"/>
            <w:gridSpan w:val="4"/>
          </w:tcPr>
          <w:p>
            <w:pPr>
              <w:spacing w:after="0" w:line="148" w:lineRule="exact"/>
              <w:rPr>
                <w:sz w:val="20"/>
                <w:szCs w:val="20"/>
                <w:color w:val="auto"/>
              </w:rPr>
            </w:pPr>
            <w:r>
              <w:rPr>
                <w:rFonts w:ascii="Arial" w:cs="Arial" w:eastAsia="Arial" w:hAnsi="Arial"/>
                <w:sz w:val="13"/>
                <w:szCs w:val="13"/>
                <w:color w:val="auto"/>
              </w:rPr>
              <w:t>Linden Square</w:t>
            </w:r>
          </w:p>
        </w:tc>
        <w:tc>
          <w:tcPr>
            <w:tcW w:w="44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146,446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43.79</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246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North Dartmouth</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15.71</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48,000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2460" w:type="dxa"/>
            <w:vAlign w:val="bottom"/>
            <w:shd w:val="clear" w:color="auto" w:fill="CCEEFF"/>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400" w:type="dxa"/>
            <w:vAlign w:val="bottom"/>
            <w:gridSpan w:val="4"/>
          </w:tcPr>
          <w:p>
            <w:pPr>
              <w:spacing w:after="0" w:line="148" w:lineRule="exact"/>
              <w:rPr>
                <w:sz w:val="20"/>
                <w:szCs w:val="20"/>
                <w:color w:val="auto"/>
              </w:rPr>
            </w:pPr>
            <w:r>
              <w:rPr>
                <w:rFonts w:ascii="Arial" w:cs="Arial" w:eastAsia="Arial" w:hAnsi="Arial"/>
                <w:sz w:val="13"/>
                <w:szCs w:val="13"/>
                <w:color w:val="auto"/>
              </w:rPr>
              <w:t>Queen Anne Plaza</w:t>
            </w:r>
          </w:p>
        </w:tc>
        <w:tc>
          <w:tcPr>
            <w:tcW w:w="44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16,839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16.09</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246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Saugus Plaza</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14,644</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11.41</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Super Stop &amp;</w:t>
            </w:r>
          </w:p>
        </w:tc>
        <w:tc>
          <w:tcPr>
            <w:tcW w:w="2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460" w:type="dxa"/>
            <w:vAlign w:val="bottom"/>
            <w:shd w:val="clear" w:color="auto" w:fill="CCEEFF"/>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508,561</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1,388,000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19.14</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6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ind w:left="80"/>
              <w:spacing w:after="0"/>
              <w:rPr>
                <w:sz w:val="20"/>
                <w:szCs w:val="20"/>
                <w:color w:val="auto"/>
              </w:rPr>
            </w:pPr>
            <w:r>
              <w:rPr>
                <w:rFonts w:ascii="Arial" w:cs="Arial" w:eastAsia="Arial" w:hAnsi="Arial"/>
                <w:sz w:val="13"/>
                <w:szCs w:val="13"/>
                <w:b w:val="1"/>
                <w:bCs w:val="1"/>
                <w:color w:val="auto"/>
              </w:rPr>
              <w:t>Baltimore</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460" w:type="dxa"/>
            <w:vAlign w:val="bottom"/>
            <w:tcBorders>
              <w:top w:val="single" w:sz="8" w:color="CCEEFF"/>
            </w:tcBorders>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3"/>
                <w:szCs w:val="13"/>
                <w:color w:val="auto"/>
              </w:rPr>
              <w:t>Governor Plaza</w:t>
            </w:r>
          </w:p>
        </w:tc>
        <w:tc>
          <w:tcPr>
            <w:tcW w:w="44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rPr>
                <w:sz w:val="20"/>
                <w:szCs w:val="20"/>
                <w:color w:val="auto"/>
              </w:rPr>
            </w:pPr>
            <w:r>
              <w:rPr>
                <w:rFonts w:ascii="Arial" w:cs="Arial" w:eastAsia="Arial" w:hAnsi="Arial"/>
                <w:sz w:val="13"/>
                <w:szCs w:val="13"/>
                <w:color w:val="auto"/>
              </w:rPr>
              <w:t>1985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26,608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17.47</w:t>
            </w:r>
          </w:p>
        </w:tc>
        <w:tc>
          <w:tcPr>
            <w:tcW w:w="580" w:type="dxa"/>
            <w:vAlign w:val="bottom"/>
          </w:tcPr>
          <w:p>
            <w:pPr>
              <w:ind w:left="40"/>
              <w:spacing w:after="0"/>
              <w:rPr>
                <w:sz w:val="20"/>
                <w:szCs w:val="20"/>
                <w:color w:val="auto"/>
              </w:rPr>
            </w:pPr>
            <w:r>
              <w:rPr>
                <w:rFonts w:ascii="Arial" w:cs="Arial" w:eastAsia="Arial" w:hAnsi="Arial"/>
                <w:sz w:val="13"/>
                <w:szCs w:val="13"/>
                <w:color w:val="auto"/>
              </w:rPr>
              <w:t>16,500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2460" w:type="dxa"/>
            <w:vAlign w:val="bottom"/>
          </w:tcPr>
          <w:p>
            <w:pPr>
              <w:ind w:left="60"/>
              <w:spacing w:after="0"/>
              <w:rPr>
                <w:sz w:val="20"/>
                <w:szCs w:val="20"/>
                <w:color w:val="auto"/>
              </w:rPr>
            </w:pPr>
            <w:r>
              <w:rPr>
                <w:rFonts w:ascii="Arial" w:cs="Arial" w:eastAsia="Arial" w:hAnsi="Arial"/>
                <w:sz w:val="13"/>
                <w:szCs w:val="13"/>
                <w:color w:val="auto"/>
              </w:rPr>
              <w:t>L.A. Fitness / Dick’s Sporting Goods</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48"/>
        </w:trPr>
        <w:tc>
          <w:tcPr>
            <w:tcW w:w="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Perring Plaza</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28,570</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12.87</w:t>
            </w:r>
          </w:p>
        </w:tc>
        <w:tc>
          <w:tcPr>
            <w:tcW w:w="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Shoppers</w:t>
            </w:r>
          </w:p>
        </w:tc>
        <w:tc>
          <w:tcPr>
            <w:tcW w:w="2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Home Depot / Burlington Coat Factory / Jo-</w:t>
            </w:r>
          </w:p>
        </w:tc>
      </w:tr>
      <w:tr>
        <w:trPr>
          <w:trHeight w:val="135"/>
        </w:trPr>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4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Ann Stores / Micro Center</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46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380"/>
          </w:cols>
          <w:pgMar w:left="260" w:top="747" w:right="25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60" w:top="747" w:right="25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8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8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THE AVENUE at White</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480" w:type="dxa"/>
            <w:vAlign w:val="bottom"/>
          </w:tcPr>
          <w:p>
            <w:pPr>
              <w:ind w:left="8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96,636</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55,336</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297,000</w:t>
            </w:r>
          </w:p>
        </w:tc>
        <w:tc>
          <w:tcPr>
            <w:tcW w:w="54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21.63</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Arial" w:cs="Arial" w:eastAsia="Arial" w:hAnsi="Arial"/>
                <w:sz w:val="13"/>
                <w:szCs w:val="13"/>
                <w:color w:val="auto"/>
                <w:w w:val="94"/>
              </w:rPr>
              <w:t>AMC Loews / Old Navy / Barnes &amp; Noble /</w:t>
            </w:r>
          </w:p>
        </w:tc>
      </w:tr>
      <w:tr>
        <w:trPr>
          <w:trHeight w:val="168"/>
        </w:trPr>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Marsh</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Arial" w:cs="Arial" w:eastAsia="Arial" w:hAnsi="Arial"/>
                <w:sz w:val="13"/>
                <w:szCs w:val="13"/>
                <w:color w:val="auto"/>
              </w:rPr>
              <w:t>AC Moore</w:t>
            </w:r>
          </w:p>
        </w:tc>
      </w:tr>
      <w:tr>
        <w:trPr>
          <w:trHeight w:val="156"/>
        </w:trPr>
        <w:tc>
          <w:tcPr>
            <w:tcW w:w="20" w:type="dxa"/>
            <w:vAlign w:val="bottom"/>
            <w:shd w:val="clear" w:color="auto" w:fill="CCEEFF"/>
          </w:tcPr>
          <w:p>
            <w:pPr>
              <w:spacing w:after="0"/>
              <w:rPr>
                <w:sz w:val="13"/>
                <w:szCs w:val="13"/>
                <w:color w:val="auto"/>
              </w:rPr>
            </w:pPr>
          </w:p>
        </w:tc>
        <w:tc>
          <w:tcPr>
            <w:tcW w:w="13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The Shoppes at</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 MD</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17,327</w:t>
            </w: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45.00</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Nottingham Square</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White Marsh Plaza</w:t>
            </w:r>
          </w:p>
        </w:tc>
        <w:tc>
          <w:tcPr>
            <w:tcW w:w="34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25,054</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8,970</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80,000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20.47</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80" w:type="dxa"/>
            <w:vAlign w:val="bottom"/>
          </w:tcPr>
          <w:p>
            <w:pPr>
              <w:spacing w:after="0"/>
              <w:rPr>
                <w:sz w:val="15"/>
                <w:szCs w:val="15"/>
                <w:color w:val="auto"/>
              </w:rPr>
            </w:pP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White Marsh Other</w:t>
            </w:r>
          </w:p>
        </w:tc>
        <w:tc>
          <w:tcPr>
            <w:tcW w:w="3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Baltimore, MD</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36,191</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70,000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29.98</w:t>
            </w:r>
          </w:p>
        </w:tc>
        <w:tc>
          <w:tcPr>
            <w:tcW w:w="6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b w:val="1"/>
                <w:bCs w:val="1"/>
                <w:color w:val="auto"/>
              </w:rPr>
              <w:t>Total Baltimore</w:t>
            </w:r>
          </w:p>
        </w:tc>
        <w:tc>
          <w:tcPr>
            <w:tcW w:w="66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230,386</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1,141,000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18.75</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ind w:left="80"/>
              <w:spacing w:after="0"/>
              <w:rPr>
                <w:sz w:val="20"/>
                <w:szCs w:val="20"/>
                <w:color w:val="auto"/>
              </w:rPr>
            </w:pPr>
            <w:r>
              <w:rPr>
                <w:rFonts w:ascii="Arial" w:cs="Arial" w:eastAsia="Arial" w:hAnsi="Arial"/>
                <w:sz w:val="13"/>
                <w:szCs w:val="13"/>
                <w:b w:val="1"/>
                <w:bCs w:val="1"/>
                <w:color w:val="auto"/>
              </w:rPr>
              <w:t>Chicago</w:t>
            </w: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380" w:type="dxa"/>
            <w:vAlign w:val="bottom"/>
            <w:tcBorders>
              <w:top w:val="single" w:sz="8" w:color="CCEEFF"/>
            </w:tcBorders>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Crossroads</w:t>
            </w:r>
          </w:p>
        </w:tc>
        <w:tc>
          <w:tcPr>
            <w:tcW w:w="34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rPr>
                <w:sz w:val="20"/>
                <w:szCs w:val="20"/>
                <w:color w:val="auto"/>
              </w:rPr>
            </w:pPr>
            <w:r>
              <w:rPr>
                <w:rFonts w:ascii="Arial" w:cs="Arial" w:eastAsia="Arial" w:hAnsi="Arial"/>
                <w:sz w:val="13"/>
                <w:szCs w:val="13"/>
                <w:color w:val="auto"/>
              </w:rPr>
              <w:t>1993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30,805</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20.76</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80" w:type="dxa"/>
            <w:vAlign w:val="bottom"/>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48"/>
        </w:trPr>
        <w:tc>
          <w:tcPr>
            <w:tcW w:w="2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Finley Square</w:t>
            </w: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Chicago, IL</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32,388</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314,000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10.50</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w:t>
            </w:r>
          </w:p>
        </w:tc>
      </w:tr>
      <w:tr>
        <w:trPr>
          <w:trHeight w:val="173"/>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Garden Market</w:t>
            </w:r>
          </w:p>
        </w:tc>
        <w:tc>
          <w:tcPr>
            <w:tcW w:w="34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12,538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140,000</w:t>
            </w:r>
          </w:p>
        </w:tc>
        <w:tc>
          <w:tcPr>
            <w:tcW w:w="54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right"/>
              <w:spacing w:after="0"/>
              <w:rPr>
                <w:sz w:val="20"/>
                <w:szCs w:val="20"/>
                <w:color w:val="auto"/>
              </w:rPr>
            </w:pPr>
            <w:r>
              <w:rPr>
                <w:rFonts w:ascii="Arial" w:cs="Arial" w:eastAsia="Arial" w:hAnsi="Arial"/>
                <w:sz w:val="13"/>
                <w:szCs w:val="13"/>
                <w:color w:val="auto"/>
              </w:rPr>
              <w:t>95%</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12.40</w:t>
            </w:r>
          </w:p>
        </w:tc>
        <w:tc>
          <w:tcPr>
            <w:tcW w:w="600" w:type="dxa"/>
            <w:vAlign w:val="bottom"/>
          </w:tcPr>
          <w:p>
            <w:pPr>
              <w:ind w:left="60"/>
              <w:spacing w:after="0"/>
              <w:rPr>
                <w:sz w:val="20"/>
                <w:szCs w:val="20"/>
                <w:color w:val="auto"/>
              </w:rPr>
            </w:pPr>
            <w:r>
              <w:rPr>
                <w:rFonts w:ascii="Arial" w:cs="Arial" w:eastAsia="Arial" w:hAnsi="Arial"/>
                <w:sz w:val="13"/>
                <w:szCs w:val="13"/>
                <w:color w:val="auto"/>
              </w:rPr>
              <w:t>63,000</w:t>
            </w:r>
          </w:p>
        </w:tc>
        <w:tc>
          <w:tcPr>
            <w:tcW w:w="800" w:type="dxa"/>
            <w:vAlign w:val="bottom"/>
          </w:tcPr>
          <w:p>
            <w:pPr>
              <w:ind w:left="80"/>
              <w:spacing w:after="0"/>
              <w:rPr>
                <w:sz w:val="20"/>
                <w:szCs w:val="20"/>
                <w:color w:val="auto"/>
              </w:rPr>
            </w:pPr>
            <w:r>
              <w:rPr>
                <w:rFonts w:ascii="Arial" w:cs="Arial" w:eastAsia="Arial" w:hAnsi="Arial"/>
                <w:sz w:val="13"/>
                <w:szCs w:val="13"/>
                <w:color w:val="auto"/>
              </w:rPr>
              <w:t>Dominick's</w:t>
            </w:r>
          </w:p>
        </w:tc>
        <w:tc>
          <w:tcPr>
            <w:tcW w:w="238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North Lake Commons</w:t>
            </w:r>
          </w:p>
        </w:tc>
        <w:tc>
          <w:tcPr>
            <w:tcW w:w="3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Chicago, IL</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15,853</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129,000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12.03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77,000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2380" w:type="dxa"/>
            <w:vAlign w:val="bottom"/>
            <w:tcBorders>
              <w:bottom w:val="single" w:sz="8" w:color="CCEEFF"/>
            </w:tcBorders>
            <w:shd w:val="clear" w:color="auto" w:fill="CCEEFF"/>
          </w:tcPr>
          <w:p>
            <w:pPr>
              <w:spacing w:after="0"/>
              <w:rPr>
                <w:sz w:val="18"/>
                <w:szCs w:val="18"/>
                <w:color w:val="auto"/>
              </w:rPr>
            </w:pPr>
          </w:p>
        </w:tc>
      </w:t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b w:val="1"/>
                <w:bCs w:val="1"/>
                <w:color w:val="auto"/>
              </w:rPr>
              <w:t>Total Chicago</w:t>
            </w:r>
          </w:p>
        </w:tc>
        <w:tc>
          <w:tcPr>
            <w:tcW w:w="66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91,584</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751,000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13.37</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ind w:left="80"/>
              <w:spacing w:after="0"/>
              <w:rPr>
                <w:sz w:val="20"/>
                <w:szCs w:val="20"/>
                <w:color w:val="auto"/>
              </w:rPr>
            </w:pPr>
            <w:r>
              <w:rPr>
                <w:rFonts w:ascii="Arial" w:cs="Arial" w:eastAsia="Arial" w:hAnsi="Arial"/>
                <w:sz w:val="13"/>
                <w:szCs w:val="13"/>
                <w:b w:val="1"/>
                <w:bCs w:val="1"/>
                <w:color w:val="auto"/>
              </w:rPr>
              <w:t>South Florida</w:t>
            </w: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380" w:type="dxa"/>
            <w:vAlign w:val="bottom"/>
            <w:tcBorders>
              <w:top w:val="single" w:sz="8" w:color="CCEEFF"/>
            </w:tcBorders>
            <w:shd w:val="clear" w:color="auto" w:fill="CCEEFF"/>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Courtyard Shops</w:t>
            </w:r>
          </w:p>
        </w:tc>
        <w:tc>
          <w:tcPr>
            <w:tcW w:w="34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Miami-Ft Lauderdale</w:t>
            </w:r>
          </w:p>
        </w:tc>
        <w:tc>
          <w:tcPr>
            <w:tcW w:w="66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40,201</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130,000</w:t>
            </w:r>
          </w:p>
        </w:tc>
        <w:tc>
          <w:tcPr>
            <w:tcW w:w="54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jc w:val="right"/>
              <w:spacing w:after="0"/>
              <w:rPr>
                <w:sz w:val="20"/>
                <w:szCs w:val="20"/>
                <w:color w:val="auto"/>
              </w:rPr>
            </w:pPr>
            <w:r>
              <w:rPr>
                <w:rFonts w:ascii="Arial" w:cs="Arial" w:eastAsia="Arial" w:hAnsi="Arial"/>
                <w:sz w:val="13"/>
                <w:szCs w:val="13"/>
                <w:color w:val="auto"/>
              </w:rPr>
              <w:t>86%</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20.26</w:t>
            </w:r>
          </w:p>
        </w:tc>
        <w:tc>
          <w:tcPr>
            <w:tcW w:w="600" w:type="dxa"/>
            <w:vAlign w:val="bottom"/>
          </w:tcPr>
          <w:p>
            <w:pPr>
              <w:ind w:left="60"/>
              <w:spacing w:after="0"/>
              <w:rPr>
                <w:sz w:val="20"/>
                <w:szCs w:val="20"/>
                <w:color w:val="auto"/>
              </w:rPr>
            </w:pPr>
            <w:r>
              <w:rPr>
                <w:rFonts w:ascii="Arial" w:cs="Arial" w:eastAsia="Arial" w:hAnsi="Arial"/>
                <w:sz w:val="13"/>
                <w:szCs w:val="13"/>
                <w:color w:val="auto"/>
              </w:rPr>
              <w:t>49,000</w:t>
            </w:r>
          </w:p>
        </w:tc>
        <w:tc>
          <w:tcPr>
            <w:tcW w:w="800" w:type="dxa"/>
            <w:vAlign w:val="bottom"/>
          </w:tcPr>
          <w:p>
            <w:pPr>
              <w:ind w:left="80"/>
              <w:spacing w:after="0"/>
              <w:rPr>
                <w:sz w:val="20"/>
                <w:szCs w:val="20"/>
                <w:color w:val="auto"/>
              </w:rPr>
            </w:pPr>
            <w:r>
              <w:rPr>
                <w:rFonts w:ascii="Arial" w:cs="Arial" w:eastAsia="Arial" w:hAnsi="Arial"/>
                <w:sz w:val="13"/>
                <w:szCs w:val="13"/>
                <w:color w:val="auto"/>
              </w:rPr>
              <w:t>Publix</w:t>
            </w:r>
          </w:p>
        </w:tc>
        <w:tc>
          <w:tcPr>
            <w:tcW w:w="2380" w:type="dxa"/>
            <w:vAlign w:val="bottom"/>
          </w:tcPr>
          <w:p>
            <w:pPr>
              <w:spacing w:after="0"/>
              <w:rPr>
                <w:sz w:val="15"/>
                <w:szCs w:val="15"/>
                <w:color w:val="auto"/>
              </w:rPr>
            </w:pP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Del Mar Village</w:t>
            </w:r>
          </w:p>
        </w:tc>
        <w:tc>
          <w:tcPr>
            <w:tcW w:w="3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Miami-Ft Lauderdale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55,653</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179,000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15.55</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2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48"/>
        </w:trPr>
        <w:tc>
          <w:tcPr>
            <w:tcW w:w="20" w:type="dxa"/>
            <w:vAlign w:val="bottom"/>
          </w:tcPr>
          <w:p>
            <w:pPr>
              <w:spacing w:after="0"/>
              <w:rPr>
                <w:sz w:val="12"/>
                <w:szCs w:val="12"/>
                <w:color w:val="auto"/>
              </w:rPr>
            </w:pPr>
          </w:p>
        </w:tc>
        <w:tc>
          <w:tcPr>
            <w:tcW w:w="1380" w:type="dxa"/>
            <w:vAlign w:val="bottom"/>
            <w:gridSpan w:val="4"/>
          </w:tcPr>
          <w:p>
            <w:pPr>
              <w:spacing w:after="0" w:line="148" w:lineRule="exact"/>
              <w:rPr>
                <w:sz w:val="20"/>
                <w:szCs w:val="20"/>
                <w:color w:val="auto"/>
              </w:rPr>
            </w:pPr>
            <w:r>
              <w:rPr>
                <w:rFonts w:ascii="Arial" w:cs="Arial" w:eastAsia="Arial" w:hAnsi="Arial"/>
                <w:sz w:val="13"/>
                <w:szCs w:val="13"/>
                <w:color w:val="auto"/>
              </w:rPr>
              <w:t>Tower Shops</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rPr>
              <w:t>Miami-Ft Lauderdale</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75,933</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369,000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16.49</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80" w:type="dxa"/>
            <w:vAlign w:val="bottom"/>
          </w:tcPr>
          <w:p>
            <w:pPr>
              <w:ind w:left="60"/>
              <w:spacing w:after="0" w:line="148" w:lineRule="exact"/>
              <w:rPr>
                <w:sz w:val="20"/>
                <w:szCs w:val="20"/>
                <w:color w:val="auto"/>
              </w:rPr>
            </w:pPr>
            <w:r>
              <w:rPr>
                <w:rFonts w:ascii="Arial" w:cs="Arial" w:eastAsia="Arial" w:hAnsi="Arial"/>
                <w:sz w:val="13"/>
                <w:szCs w:val="13"/>
                <w:color w:val="auto"/>
                <w:w w:val="97"/>
              </w:rPr>
              <w:t>Best Buy / DSW / Old Navy / Ross Dress</w:t>
            </w:r>
          </w:p>
        </w:tc>
      </w:tr>
      <w:tr>
        <w:trPr>
          <w:trHeight w:val="170"/>
        </w:trPr>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For Less / TJ Maxx / Ulta</w:t>
            </w:r>
          </w:p>
        </w:tc>
      </w:tr>
      <w:tr>
        <w:trPr>
          <w:trHeight w:val="173"/>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171,787</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16.91</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38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80" w:type="dxa"/>
            <w:vAlign w:val="bottom"/>
            <w:gridSpan w:val="4"/>
          </w:tcPr>
          <w:p>
            <w:pPr>
              <w:ind w:left="80"/>
              <w:spacing w:after="0"/>
              <w:rPr>
                <w:sz w:val="20"/>
                <w:szCs w:val="20"/>
                <w:color w:val="auto"/>
              </w:rPr>
            </w:pPr>
            <w:r>
              <w:rPr>
                <w:rFonts w:ascii="Arial" w:cs="Arial" w:eastAsia="Arial" w:hAnsi="Arial"/>
                <w:sz w:val="13"/>
                <w:szCs w:val="13"/>
                <w:b w:val="1"/>
                <w:bCs w:val="1"/>
                <w:color w:val="auto"/>
              </w:rPr>
              <w:t>Other</w:t>
            </w: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48"/>
        </w:trPr>
        <w:tc>
          <w:tcPr>
            <w:tcW w:w="2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Barracks Road</w:t>
            </w: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Charlottesville, VA</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55,768</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38,070</w:t>
            </w: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487,000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22.36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31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Harris Teeter / Anthropologie / Bed, Bath &amp; Beyond /</w:t>
            </w: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3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Barnes &amp; Noble / Old Navy / Michaels / Ulta</w:t>
            </w:r>
          </w:p>
        </w:tc>
      </w:tr>
      <w:tr>
        <w:trPr>
          <w:trHeight w:val="173"/>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Bristol Plaza</w:t>
            </w:r>
          </w:p>
        </w:tc>
        <w:tc>
          <w:tcPr>
            <w:tcW w:w="34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Hartford, CT</w:t>
            </w:r>
          </w:p>
        </w:tc>
        <w:tc>
          <w:tcPr>
            <w:tcW w:w="66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28,289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266,000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12.35</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00" w:type="dxa"/>
            <w:vAlign w:val="bottom"/>
          </w:tcPr>
          <w:p>
            <w:pPr>
              <w:ind w:left="80"/>
              <w:spacing w:after="0"/>
              <w:rPr>
                <w:sz w:val="20"/>
                <w:szCs w:val="20"/>
                <w:color w:val="auto"/>
              </w:rPr>
            </w:pPr>
            <w:r>
              <w:rPr>
                <w:rFonts w:ascii="Arial" w:cs="Arial" w:eastAsia="Arial" w:hAnsi="Arial"/>
                <w:sz w:val="13"/>
                <w:szCs w:val="13"/>
                <w:color w:val="auto"/>
                <w:w w:val="95"/>
              </w:rPr>
              <w:t>Stop &amp; Shop</w:t>
            </w:r>
          </w:p>
        </w:tc>
        <w:tc>
          <w:tcPr>
            <w:tcW w:w="238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48"/>
        </w:trPr>
        <w:tc>
          <w:tcPr>
            <w:tcW w:w="2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Eastgate</w:t>
            </w: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8"/>
              </w:rPr>
              <w:t>Raleigh-Durham-Chapel</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26,737</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22.59</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2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Hill, NC</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Gratiot Plaza</w:t>
            </w:r>
          </w:p>
        </w:tc>
        <w:tc>
          <w:tcPr>
            <w:tcW w:w="34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Detroit, MI</w:t>
            </w:r>
          </w:p>
        </w:tc>
        <w:tc>
          <w:tcPr>
            <w:tcW w:w="66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19,022</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11.80</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238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48"/>
        </w:trPr>
        <w:tc>
          <w:tcPr>
            <w:tcW w:w="2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Greenwich Avenue</w:t>
            </w: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New Haven-Bridgeport-</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61.00</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Saks Fifth Avenue</w:t>
            </w: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Stamford-Waterbury</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Houston St</w:t>
            </w:r>
          </w:p>
        </w:tc>
        <w:tc>
          <w:tcPr>
            <w:tcW w:w="34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3"/>
                <w:szCs w:val="13"/>
                <w:color w:val="auto"/>
              </w:rPr>
              <w:t>San Antonio, TX</w:t>
            </w:r>
          </w:p>
        </w:tc>
        <w:tc>
          <w:tcPr>
            <w:tcW w:w="660" w:type="dxa"/>
            <w:vAlign w:val="bottom"/>
          </w:tcPr>
          <w:p>
            <w:pPr>
              <w:jc w:val="right"/>
              <w:spacing w:after="0"/>
              <w:rPr>
                <w:sz w:val="20"/>
                <w:szCs w:val="20"/>
                <w:color w:val="auto"/>
              </w:rPr>
            </w:pPr>
            <w:r>
              <w:rPr>
                <w:rFonts w:ascii="Arial" w:cs="Arial" w:eastAsia="Arial" w:hAnsi="Arial"/>
                <w:sz w:val="13"/>
                <w:szCs w:val="13"/>
                <w:color w:val="auto"/>
              </w:rPr>
              <w:t>1998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65,796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183,000</w:t>
            </w:r>
          </w:p>
        </w:tc>
        <w:tc>
          <w:tcPr>
            <w:tcW w:w="54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jc w:val="right"/>
              <w:spacing w:after="0"/>
              <w:rPr>
                <w:sz w:val="20"/>
                <w:szCs w:val="20"/>
                <w:color w:val="auto"/>
              </w:rPr>
            </w:pPr>
            <w:r>
              <w:rPr>
                <w:rFonts w:ascii="Arial" w:cs="Arial" w:eastAsia="Arial" w:hAnsi="Arial"/>
                <w:sz w:val="13"/>
                <w:szCs w:val="13"/>
                <w:color w:val="auto"/>
              </w:rPr>
              <w:t>90%</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23.56</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80" w:type="dxa"/>
            <w:vAlign w:val="bottom"/>
          </w:tcPr>
          <w:p>
            <w:pPr>
              <w:ind w:left="60"/>
              <w:spacing w:after="0"/>
              <w:rPr>
                <w:sz w:val="20"/>
                <w:szCs w:val="20"/>
                <w:color w:val="auto"/>
              </w:rPr>
            </w:pPr>
            <w:r>
              <w:rPr>
                <w:rFonts w:ascii="Arial" w:cs="Arial" w:eastAsia="Arial" w:hAnsi="Arial"/>
                <w:sz w:val="13"/>
                <w:szCs w:val="13"/>
                <w:color w:val="auto"/>
              </w:rPr>
              <w:t>Hotel Valencia / Walgreens</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Lancaster</w:t>
            </w:r>
          </w:p>
        </w:tc>
        <w:tc>
          <w:tcPr>
            <w:tcW w:w="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Lancaster, PA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13,327</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16.77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148"/>
        </w:trPr>
        <w:tc>
          <w:tcPr>
            <w:tcW w:w="20" w:type="dxa"/>
            <w:vAlign w:val="bottom"/>
          </w:tcPr>
          <w:p>
            <w:pPr>
              <w:spacing w:after="0"/>
              <w:rPr>
                <w:sz w:val="12"/>
                <w:szCs w:val="12"/>
                <w:color w:val="auto"/>
              </w:rPr>
            </w:pPr>
          </w:p>
        </w:tc>
        <w:tc>
          <w:tcPr>
            <w:tcW w:w="1380" w:type="dxa"/>
            <w:vAlign w:val="bottom"/>
            <w:gridSpan w:val="4"/>
          </w:tcPr>
          <w:p>
            <w:pPr>
              <w:spacing w:after="0" w:line="148" w:lineRule="exact"/>
              <w:rPr>
                <w:sz w:val="20"/>
                <w:szCs w:val="20"/>
                <w:color w:val="auto"/>
              </w:rPr>
            </w:pPr>
            <w:r>
              <w:rPr>
                <w:rFonts w:ascii="Arial" w:cs="Arial" w:eastAsia="Arial" w:hAnsi="Arial"/>
                <w:sz w:val="13"/>
                <w:szCs w:val="13"/>
                <w:color w:val="auto"/>
              </w:rPr>
              <w:t>29th Place (Shoppers'</w:t>
            </w:r>
          </w:p>
        </w:tc>
        <w:tc>
          <w:tcPr>
            <w:tcW w:w="340" w:type="dxa"/>
            <w:vAlign w:val="bottom"/>
          </w:tcPr>
          <w:p>
            <w:pPr>
              <w:spacing w:after="0"/>
              <w:rPr>
                <w:sz w:val="12"/>
                <w:szCs w:val="12"/>
                <w:color w:val="auto"/>
              </w:rPr>
            </w:pPr>
          </w:p>
        </w:tc>
        <w:tc>
          <w:tcPr>
            <w:tcW w:w="1480" w:type="dxa"/>
            <w:vAlign w:val="bottom"/>
          </w:tcPr>
          <w:p>
            <w:pPr>
              <w:ind w:left="80"/>
              <w:spacing w:after="0" w:line="148" w:lineRule="exact"/>
              <w:rPr>
                <w:sz w:val="20"/>
                <w:szCs w:val="20"/>
                <w:color w:val="auto"/>
              </w:rPr>
            </w:pPr>
            <w:r>
              <w:rPr>
                <w:rFonts w:ascii="Arial" w:cs="Arial" w:eastAsia="Arial" w:hAnsi="Arial"/>
                <w:sz w:val="13"/>
                <w:szCs w:val="13"/>
                <w:color w:val="auto"/>
              </w:rPr>
              <w:t>Charlottesville, VA</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36,769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5,286</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169,000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16.14</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80" w:type="dxa"/>
            <w:vAlign w:val="bottom"/>
          </w:tcPr>
          <w:p>
            <w:pPr>
              <w:ind w:left="60"/>
              <w:spacing w:after="0" w:line="148" w:lineRule="exact"/>
              <w:rPr>
                <w:sz w:val="20"/>
                <w:szCs w:val="20"/>
                <w:color w:val="auto"/>
              </w:rPr>
            </w:pPr>
            <w:r>
              <w:rPr>
                <w:rFonts w:ascii="Arial" w:cs="Arial" w:eastAsia="Arial" w:hAnsi="Arial"/>
                <w:sz w:val="13"/>
                <w:szCs w:val="13"/>
                <w:color w:val="auto"/>
              </w:rPr>
              <w:t>DSW / Staples / Stein Mart</w:t>
            </w:r>
          </w:p>
        </w:tc>
      </w:tr>
      <w:tr>
        <w:trPr>
          <w:trHeight w:val="168"/>
        </w:trPr>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3"/>
                <w:szCs w:val="13"/>
                <w:color w:val="auto"/>
              </w:rPr>
              <w:t>World)</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Shops at Willow Lawn</w:t>
            </w:r>
          </w:p>
        </w:tc>
        <w:tc>
          <w:tcPr>
            <w:tcW w:w="3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1"/>
              </w:rPr>
              <w:t>Richmond-Petersburg, VA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80,739</w:t>
            </w:r>
          </w:p>
        </w:tc>
        <w:tc>
          <w:tcPr>
            <w:tcW w:w="6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441,000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16.32</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95"/>
              </w:rPr>
              <w:t>Old Navy / Staples / Ross Dress For Less</w:t>
            </w:r>
          </w:p>
        </w:tc>
      </w:t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b w:val="1"/>
                <w:bCs w:val="1"/>
                <w:color w:val="auto"/>
              </w:rPr>
              <w:t>Total Other</w:t>
            </w:r>
          </w:p>
        </w:tc>
        <w:tc>
          <w:tcPr>
            <w:tcW w:w="66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340,416</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2,079,000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18.69</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135"/>
        </w:trPr>
        <w:tc>
          <w:tcPr>
            <w:tcW w:w="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gridSpan w:val="2"/>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2380" w:type="dxa"/>
            <w:vAlign w:val="bottom"/>
            <w:tcBorders>
              <w:bottom w:val="single" w:sz="8" w:color="auto"/>
            </w:tcBorders>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3"/>
                <w:szCs w:val="13"/>
                <w:b w:val="1"/>
                <w:bCs w:val="1"/>
                <w:color w:val="auto"/>
              </w:rPr>
              <w:t>Grand Total (11)</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$ 4,777,240</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$ 819,426</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19,554,000</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112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95% $ 23.83</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400" w:hanging="1371"/>
        <w:spacing w:after="0"/>
        <w:tabs>
          <w:tab w:leader="none" w:pos="14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or premium on certain mortgage payables.</w:t>
      </w:r>
    </w:p>
    <w:p>
      <w:pPr>
        <w:spacing w:after="0" w:line="51" w:lineRule="exact"/>
        <w:rPr>
          <w:rFonts w:ascii="Arial" w:cs="Arial" w:eastAsia="Arial" w:hAnsi="Arial"/>
          <w:sz w:val="12"/>
          <w:szCs w:val="12"/>
          <w:color w:val="auto"/>
        </w:rPr>
      </w:pPr>
    </w:p>
    <w:p>
      <w:pPr>
        <w:ind w:left="1400" w:hanging="1371"/>
        <w:spacing w:after="0"/>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400" w:hanging="1371"/>
        <w:spacing w:after="0"/>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purposes of this schedule, "occupied" refers to spaces where the lease term and obligation to pay rent have commenced.</w:t>
      </w:r>
    </w:p>
    <w:p>
      <w:pPr>
        <w:spacing w:after="0" w:line="39" w:lineRule="exact"/>
        <w:rPr>
          <w:rFonts w:ascii="Arial" w:cs="Arial" w:eastAsia="Arial" w:hAnsi="Arial"/>
          <w:sz w:val="13"/>
          <w:szCs w:val="13"/>
          <w:color w:val="auto"/>
        </w:rPr>
      </w:pPr>
    </w:p>
    <w:p>
      <w:pPr>
        <w:ind w:left="1400" w:hanging="1371"/>
        <w:spacing w:after="0"/>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(cash basis) minimum rent for all occupied spaces divided by the aggregate GLA of all occupied spaces.</w:t>
      </w:r>
    </w:p>
    <w:p>
      <w:pPr>
        <w:spacing w:after="0" w:line="39" w:lineRule="exact"/>
        <w:rPr>
          <w:rFonts w:ascii="Arial" w:cs="Arial" w:eastAsia="Arial" w:hAnsi="Arial"/>
          <w:sz w:val="13"/>
          <w:szCs w:val="13"/>
          <w:color w:val="auto"/>
        </w:rPr>
      </w:pPr>
    </w:p>
    <w:p>
      <w:pPr>
        <w:ind w:left="1400" w:hanging="1371"/>
        <w:spacing w:after="0"/>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Portion of property subject to capital lease obligation.</w:t>
      </w:r>
    </w:p>
    <w:p>
      <w:pPr>
        <w:spacing w:after="0" w:line="39" w:lineRule="exact"/>
        <w:rPr>
          <w:rFonts w:ascii="Arial" w:cs="Arial" w:eastAsia="Arial" w:hAnsi="Arial"/>
          <w:sz w:val="13"/>
          <w:szCs w:val="13"/>
          <w:color w:val="auto"/>
        </w:rPr>
      </w:pPr>
    </w:p>
    <w:p>
      <w:pPr>
        <w:ind w:left="1400" w:hanging="1371"/>
        <w:spacing w:after="0"/>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400" w:right="500" w:hanging="1371"/>
        <w:spacing w:after="0" w:line="237" w:lineRule="auto"/>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400" w:hanging="1371"/>
        <w:spacing w:after="0"/>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a 100% owned, 8.1 acre land parcel to be used for future development.</w:t>
      </w:r>
    </w:p>
    <w:p>
      <w:pPr>
        <w:spacing w:after="0" w:line="39" w:lineRule="exact"/>
        <w:rPr>
          <w:rFonts w:ascii="Arial" w:cs="Arial" w:eastAsia="Arial" w:hAnsi="Arial"/>
          <w:sz w:val="13"/>
          <w:szCs w:val="13"/>
          <w:color w:val="auto"/>
        </w:rPr>
      </w:pPr>
    </w:p>
    <w:p>
      <w:pPr>
        <w:ind w:left="1400" w:hanging="1371"/>
        <w:spacing w:after="0"/>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spacing w:after="0" w:line="39" w:lineRule="exact"/>
        <w:rPr>
          <w:rFonts w:ascii="Arial" w:cs="Arial" w:eastAsia="Arial" w:hAnsi="Arial"/>
          <w:sz w:val="13"/>
          <w:szCs w:val="13"/>
          <w:color w:val="auto"/>
        </w:rPr>
      </w:pPr>
    </w:p>
    <w:p>
      <w:pPr>
        <w:ind w:left="1400" w:right="200" w:hanging="1371"/>
        <w:spacing w:after="0" w:line="237" w:lineRule="auto"/>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28" w:lineRule="exact"/>
        <w:rPr>
          <w:rFonts w:ascii="Arial" w:cs="Arial" w:eastAsia="Arial" w:hAnsi="Arial"/>
          <w:sz w:val="13"/>
          <w:szCs w:val="13"/>
          <w:color w:val="auto"/>
        </w:rPr>
      </w:pPr>
    </w:p>
    <w:p>
      <w:pPr>
        <w:ind w:left="1400" w:hanging="1371"/>
        <w:spacing w:after="0"/>
        <w:tabs>
          <w:tab w:leader="none" w:pos="1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amounts related to a $2.5 million non-core industrial building acquired in December 2012 as part of the acquisition of East Bay Bridge.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747" w:right="25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2012</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100" w:type="dxa"/>
            <w:vAlign w:val="bottom"/>
          </w:tcPr>
          <w:p>
            <w:pPr>
              <w:spacing w:after="0"/>
              <w:rPr>
                <w:sz w:val="10"/>
                <w:szCs w:val="10"/>
                <w:color w:val="auto"/>
              </w:rPr>
            </w:pPr>
          </w:p>
        </w:tc>
        <w:tc>
          <w:tcPr>
            <w:tcW w:w="8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3"/>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478,913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32.17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99"/>
              </w:rPr>
              <w:t>1,657,748</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7,982,782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16.67</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504,082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28.43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25.63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w w:val="99"/>
              </w:rPr>
              <w:t>1,411,774</w:t>
            </w:r>
          </w:p>
        </w:tc>
        <w:tc>
          <w:tcPr>
            <w:tcW w:w="860" w:type="dxa"/>
            <w:vAlign w:val="bottom"/>
            <w:gridSpan w:val="4"/>
          </w:tcPr>
          <w:p>
            <w:pPr>
              <w:jc w:val="right"/>
              <w:ind w:right="40"/>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8,591,532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17.04</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355,527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36.08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99"/>
              </w:rPr>
              <w:t>1,222,494</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5,296,003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14.90</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2012</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461,088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31.66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27.15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9"/>
              </w:rPr>
              <w:t>2,081,753</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17 %</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12,603,460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27.33</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1,799,610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99"/>
              </w:rPr>
              <w:t>6,373,769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34,473,777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19.16</w:t>
            </w:r>
          </w:p>
        </w:tc>
      </w:tr>
      <w:tr>
        <w:trPr>
          <w:trHeight w:val="20"/>
        </w:trPr>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183"/>
        </w:trPr>
        <w:tc>
          <w:tcPr>
            <w:tcW w:w="20" w:type="dxa"/>
            <w:vAlign w:val="bottom"/>
            <w:shd w:val="clear" w:color="auto" w:fill="CCEEFF"/>
          </w:tcPr>
          <w:p>
            <w:pPr>
              <w:spacing w:after="0"/>
              <w:rPr>
                <w:sz w:val="15"/>
                <w:szCs w:val="15"/>
                <w:color w:val="auto"/>
              </w:rPr>
            </w:pPr>
          </w:p>
        </w:tc>
        <w:tc>
          <w:tcPr>
            <w:tcW w:w="292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100" w:type="dxa"/>
            <w:vAlign w:val="bottom"/>
          </w:tcPr>
          <w:p>
            <w:pPr>
              <w:spacing w:after="0"/>
              <w:rPr>
                <w:sz w:val="10"/>
                <w:szCs w:val="10"/>
                <w:color w:val="auto"/>
              </w:rPr>
            </w:pPr>
          </w:p>
        </w:tc>
        <w:tc>
          <w:tcPr>
            <w:tcW w:w="8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3"/>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191,780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36.20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99"/>
              </w:rPr>
              <w:t>1,232,998</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22 %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7,537,155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39.30</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271,280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27.41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21.91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w w:val="99"/>
              </w:rPr>
              <w:t>1,493,101</w:t>
            </w:r>
          </w:p>
        </w:tc>
        <w:tc>
          <w:tcPr>
            <w:tcW w:w="860" w:type="dxa"/>
            <w:vAlign w:val="bottom"/>
            <w:gridSpan w:val="4"/>
          </w:tcPr>
          <w:p>
            <w:pPr>
              <w:jc w:val="right"/>
              <w:ind w:right="40"/>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8,428,716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31.07</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194,503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33.08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825,333</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15 %</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5,076,993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26.10</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2012</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47%</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224,338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34.23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26.10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9"/>
              </w:rPr>
              <w:t>1,824,154</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31 %</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10,880,880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48.50</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881,901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99"/>
              </w:rPr>
              <w:t>5,375,586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31,923,744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36.20</w:t>
            </w:r>
          </w:p>
        </w:tc>
      </w:tr>
      <w:tr>
        <w:trPr>
          <w:trHeight w:val="20"/>
        </w:trPr>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183"/>
        </w:trPr>
        <w:tc>
          <w:tcPr>
            <w:tcW w:w="20" w:type="dxa"/>
            <w:vAlign w:val="bottom"/>
            <w:shd w:val="clear" w:color="auto" w:fill="CCEEFF"/>
          </w:tcPr>
          <w:p>
            <w:pPr>
              <w:spacing w:after="0"/>
              <w:rPr>
                <w:sz w:val="15"/>
                <w:szCs w:val="15"/>
                <w:color w:val="auto"/>
              </w:rPr>
            </w:pPr>
          </w:p>
        </w:tc>
        <w:tc>
          <w:tcPr>
            <w:tcW w:w="292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w w:val="95"/>
              </w:rPr>
              <w:t>Renewal Lease Summary - Comparable (2) (7)</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100" w:type="dxa"/>
            <w:vAlign w:val="bottom"/>
          </w:tcPr>
          <w:p>
            <w:pPr>
              <w:spacing w:after="0"/>
              <w:rPr>
                <w:sz w:val="10"/>
                <w:szCs w:val="10"/>
                <w:color w:val="auto"/>
              </w:rPr>
            </w:pPr>
          </w:p>
        </w:tc>
        <w:tc>
          <w:tcPr>
            <w:tcW w:w="8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3"/>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287,133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424,750</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445,627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1.55</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232,802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29.61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29.96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(81,327)</w:t>
            </w:r>
          </w:p>
        </w:tc>
        <w:tc>
          <w:tcPr>
            <w:tcW w:w="860" w:type="dxa"/>
            <w:vAlign w:val="bottom"/>
            <w:gridSpan w:val="4"/>
          </w:tcPr>
          <w:p>
            <w:pPr>
              <w:jc w:val="right"/>
              <w:ind w:right="4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162,816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0.70</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161,024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39.69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397,161</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219,010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1.36</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2012</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236,750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29.23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257,599</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1,722,580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7.28</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917,709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998,183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2,550,033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2.78</w:t>
            </w:r>
          </w:p>
        </w:tc>
      </w:tr>
      <w:tr>
        <w:trPr>
          <w:trHeight w:val="20"/>
        </w:trPr>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2"/>
            <w:shd w:val="clear" w:color="auto" w:fill="CCEEFF"/>
          </w:tcPr>
          <w:p>
            <w:pPr>
              <w:spacing w:after="0"/>
              <w:rPr>
                <w:sz w:val="20"/>
                <w:szCs w:val="20"/>
                <w:color w:val="auto"/>
              </w:rPr>
            </w:pPr>
            <w:r>
              <w:rPr>
                <w:rFonts w:ascii="Arial" w:cs="Arial" w:eastAsia="Arial" w:hAnsi="Arial"/>
                <w:sz w:val="14"/>
                <w:szCs w:val="14"/>
                <w:b w:val="1"/>
                <w:bCs w:val="1"/>
                <w:color w:val="auto"/>
                <w:w w:val="97"/>
              </w:rPr>
              <w:t>Total Lease Summary - Comparable and Non-comparable (including deals signed for development projects) (2) (8)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Signed</w:t>
            </w:r>
          </w:p>
        </w:tc>
        <w:tc>
          <w:tcPr>
            <w:tcW w:w="140" w:type="dxa"/>
            <w:vAlign w:val="bottom"/>
          </w:tcPr>
          <w:p>
            <w:pPr>
              <w:spacing w:after="0"/>
              <w:rPr>
                <w:sz w:val="12"/>
                <w:szCs w:val="12"/>
                <w:color w:val="auto"/>
              </w:rPr>
            </w:pPr>
          </w:p>
        </w:tc>
        <w:tc>
          <w:tcPr>
            <w:tcW w:w="1720" w:type="dxa"/>
            <w:vAlign w:val="bottom"/>
            <w:gridSpan w:val="6"/>
          </w:tcPr>
          <w:p>
            <w:pPr>
              <w:ind w:left="4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485,215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32.07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8,384,132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17.28</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4"/>
                <w:szCs w:val="14"/>
                <w:color w:val="auto"/>
              </w:rPr>
              <w:t>531,573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28.89</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11,667,533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21.95</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368,795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36.47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6,058,163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16.43</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2012</w:t>
            </w: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color w:val="auto"/>
              </w:rPr>
              <w:t>579,118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32.36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31,040,121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53.60</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1,964,701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57,149,949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29.09</w:t>
            </w:r>
          </w:p>
        </w:tc>
      </w:tr>
      <w:tr>
        <w:trPr>
          <w:trHeight w:val="20"/>
        </w:trPr>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2"/>
            <w:shd w:val="clear" w:color="auto" w:fill="CCEEFF"/>
          </w:tcPr>
          <w:p>
            <w:pPr>
              <w:spacing w:after="0"/>
              <w:rPr>
                <w:sz w:val="20"/>
                <w:szCs w:val="20"/>
                <w:color w:val="auto"/>
              </w:rPr>
            </w:pPr>
            <w:r>
              <w:rPr>
                <w:rFonts w:ascii="Arial" w:cs="Arial" w:eastAsia="Arial" w:hAnsi="Arial"/>
                <w:sz w:val="14"/>
                <w:szCs w:val="14"/>
                <w:b w:val="1"/>
                <w:bCs w:val="1"/>
                <w:color w:val="auto"/>
                <w:w w:val="99"/>
              </w:rPr>
              <w:t>Total Lease Summary - Comparable and Non-comparable (excluding deals signed for development projects) (2)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Signed</w:t>
            </w:r>
          </w:p>
        </w:tc>
        <w:tc>
          <w:tcPr>
            <w:tcW w:w="140" w:type="dxa"/>
            <w:vAlign w:val="bottom"/>
          </w:tcPr>
          <w:p>
            <w:pPr>
              <w:spacing w:after="0"/>
              <w:rPr>
                <w:sz w:val="12"/>
                <w:szCs w:val="12"/>
                <w:color w:val="auto"/>
              </w:rPr>
            </w:pPr>
          </w:p>
        </w:tc>
        <w:tc>
          <w:tcPr>
            <w:tcW w:w="1720" w:type="dxa"/>
            <w:vAlign w:val="bottom"/>
            <w:gridSpan w:val="6"/>
          </w:tcPr>
          <w:p>
            <w:pPr>
              <w:ind w:left="4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482,092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32.05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8,079,952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16.76</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4"/>
                <w:szCs w:val="14"/>
                <w:color w:val="auto"/>
              </w:rPr>
              <w:t>517,194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9,127,719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17.65</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363,375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36.34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5,516,163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15.18</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2012</w:t>
            </w: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color w:val="auto"/>
              </w:rPr>
              <w:t>472,501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32.01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13,008,316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27.53</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Total - 12 months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1,835,162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31.91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35,732,150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19.47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Leases on this report represent retail activity only; office and residential leases are not included.</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Contractual rent represents contractual minimum rent under the new lease for the first 12 months of the term.</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Prior rent represents minimum rent and percentage rent, if any, paid by the prior tenant in the final 12 months of the term.</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Weighted average is determined on the basis of square footage.</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pacing w:after="0" w:line="41" w:lineRule="exact"/>
        <w:rPr>
          <w:rFonts w:ascii="Arial" w:cs="Arial" w:eastAsia="Arial" w:hAnsi="Arial"/>
          <w:sz w:val="14"/>
          <w:szCs w:val="14"/>
          <w:color w:val="auto"/>
        </w:rPr>
      </w:pPr>
    </w:p>
    <w:p>
      <w:pPr>
        <w:ind w:left="20" w:right="80" w:firstLine="10"/>
        <w:spacing w:after="0" w:line="253" w:lineRule="auto"/>
        <w:tabs>
          <w:tab w:leader="none" w:pos="2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economic terms of leases signed for development projects are also included in the overall project return and cost summary shown on the "Summary of Development and Redevelopment Opportunities."</w:t>
      </w:r>
    </w:p>
    <w:p>
      <w:pPr>
        <w:sectPr>
          <w:pgSz w:w="11900" w:h="16838" w:orient="portrait"/>
          <w:cols w:equalWidth="0" w:num="1">
            <w:col w:w="11220"/>
          </w:cols>
          <w:pgMar w:left="340" w:top="963" w:right="339" w:bottom="649"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340" w:top="963" w:right="339" w:bottom="649"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1,188,000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1,497,000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15.11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870,000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35.70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2,368,000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878,000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1,103,000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33.50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1,982,000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1,348,000</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12.87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669,000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37.19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2,017,000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501,000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17.90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353,000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854,000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786,000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39.52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1,200,000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39.60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10,994,000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16.60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7,510,000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34.42</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18,505,000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719,000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166,000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12.16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539,000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37.55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705,000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31.57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37.96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16.27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547,000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631,000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362,000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14.49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499,000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37.76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861,000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27.98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19.41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383,000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32.05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526,000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196,000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447,000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32.64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643,000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34.85</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11,395,000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10,994,000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16.60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7,510,000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34.42</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18,505,000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December 31, 2012.</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occupied square footage as of December 31, 2012.</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6" w:name="page27"/>
    <w:bookmarkEnd w:id="26"/>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2012</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(4)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2012</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2011</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19,554,000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18,640,000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19,259,000</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17,995,000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93.4%</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1,058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1,007</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95.2%</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1,011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929</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91.9%</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2012</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2011</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(5) (sf)</w:t>
            </w:r>
          </w:p>
        </w:tc>
        <w:tc>
          <w:tcPr>
            <w:tcW w:w="2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16,476,000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15,661,000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95.0%</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16,475,000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15,519,000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270"/>
        </w:trPr>
        <w:tc>
          <w:tcPr>
            <w:tcW w:w="34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(4) (units)</w:t>
            </w:r>
          </w:p>
        </w:tc>
        <w:tc>
          <w:tcPr>
            <w:tcW w:w="2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860</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95.2%</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903</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856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33"/>
        </w:trPr>
        <w:tc>
          <w:tcPr>
            <w:tcW w:w="34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December 31, 2012 leased percentage was 98.9% for anchor tenants and 90.6% for small shop tenants.</w:t>
      </w:r>
    </w:p>
    <w:p>
      <w:pPr>
        <w:spacing w:after="0" w:line="72" w:lineRule="exact"/>
        <w:rPr>
          <w:rFonts w:ascii="Arial" w:cs="Arial" w:eastAsia="Arial" w:hAnsi="Arial"/>
          <w:sz w:val="16"/>
          <w:szCs w:val="16"/>
          <w:color w:val="auto"/>
        </w:rPr>
      </w:pPr>
    </w:p>
    <w:p>
      <w:pPr>
        <w:ind w:left="700" w:right="160" w:hanging="665"/>
        <w:spacing w:after="0" w:line="293"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Overall portfolio statistics at December 31, 2012 include Rollingwood Apartments, the Crest at Congressional Plaza Apartments, Santana Row and Bethesda Row. Same center statistics exclude 155 residential units at Santana Row.</w:t>
      </w:r>
    </w:p>
    <w:p>
      <w:pPr>
        <w:spacing w:after="0" w:line="9" w:lineRule="exact"/>
        <w:rPr>
          <w:rFonts w:ascii="Arial" w:cs="Arial" w:eastAsia="Arial" w:hAnsi="Arial"/>
          <w:sz w:val="16"/>
          <w:szCs w:val="16"/>
          <w:color w:val="auto"/>
        </w:rPr>
      </w:pPr>
    </w:p>
    <w:p>
      <w:pPr>
        <w:ind w:left="700" w:hanging="665"/>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12,142,000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2.75%</w:t>
            </w:r>
          </w:p>
        </w:tc>
        <w:tc>
          <w:tcPr>
            <w:tcW w:w="980" w:type="dxa"/>
            <w:vAlign w:val="bottom"/>
          </w:tcPr>
          <w:p>
            <w:pPr>
              <w:jc w:val="right"/>
              <w:spacing w:after="0"/>
              <w:rPr>
                <w:sz w:val="20"/>
                <w:szCs w:val="20"/>
                <w:color w:val="auto"/>
              </w:rPr>
            </w:pPr>
            <w:r>
              <w:rPr>
                <w:rFonts w:ascii="Arial" w:cs="Arial" w:eastAsia="Arial" w:hAnsi="Arial"/>
                <w:sz w:val="16"/>
                <w:szCs w:val="16"/>
                <w:color w:val="auto"/>
              </w:rPr>
              <w:t>728,000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9,031,000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2.05%</w:t>
            </w:r>
          </w:p>
        </w:tc>
        <w:tc>
          <w:tcPr>
            <w:tcW w:w="980" w:type="dxa"/>
            <w:vAlign w:val="bottom"/>
          </w:tcPr>
          <w:p>
            <w:pPr>
              <w:jc w:val="right"/>
              <w:spacing w:after="0"/>
              <w:rPr>
                <w:sz w:val="20"/>
                <w:szCs w:val="20"/>
                <w:color w:val="auto"/>
              </w:rPr>
            </w:pPr>
            <w:r>
              <w:rPr>
                <w:rFonts w:ascii="Arial" w:cs="Arial" w:eastAsia="Arial" w:hAnsi="Arial"/>
                <w:sz w:val="16"/>
                <w:szCs w:val="16"/>
                <w:color w:val="auto"/>
              </w:rPr>
              <w:t>463,000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6,656,000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1.51%</w:t>
            </w:r>
          </w:p>
        </w:tc>
        <w:tc>
          <w:tcPr>
            <w:tcW w:w="980" w:type="dxa"/>
            <w:vAlign w:val="bottom"/>
          </w:tcPr>
          <w:p>
            <w:pPr>
              <w:jc w:val="right"/>
              <w:spacing w:after="0"/>
              <w:rPr>
                <w:sz w:val="20"/>
                <w:szCs w:val="20"/>
                <w:color w:val="auto"/>
              </w:rPr>
            </w:pPr>
            <w:r>
              <w:rPr>
                <w:rFonts w:ascii="Arial" w:cs="Arial" w:eastAsia="Arial" w:hAnsi="Arial"/>
                <w:sz w:val="16"/>
                <w:szCs w:val="16"/>
                <w:color w:val="auto"/>
              </w:rPr>
              <w:t>205,000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5,135,000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1.16%</w:t>
            </w:r>
          </w:p>
        </w:tc>
        <w:tc>
          <w:tcPr>
            <w:tcW w:w="980" w:type="dxa"/>
            <w:vAlign w:val="bottom"/>
          </w:tcPr>
          <w:p>
            <w:pPr>
              <w:jc w:val="right"/>
              <w:spacing w:after="0"/>
              <w:rPr>
                <w:sz w:val="20"/>
                <w:szCs w:val="20"/>
                <w:color w:val="auto"/>
              </w:rPr>
            </w:pPr>
            <w:r>
              <w:rPr>
                <w:rFonts w:ascii="Arial" w:cs="Arial" w:eastAsia="Arial" w:hAnsi="Arial"/>
                <w:sz w:val="16"/>
                <w:szCs w:val="16"/>
                <w:color w:val="auto"/>
              </w:rPr>
              <w:t>174,000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4,857,000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1.10%</w:t>
            </w:r>
          </w:p>
        </w:tc>
        <w:tc>
          <w:tcPr>
            <w:tcW w:w="980" w:type="dxa"/>
            <w:vAlign w:val="bottom"/>
          </w:tcPr>
          <w:p>
            <w:pPr>
              <w:jc w:val="right"/>
              <w:spacing w:after="0"/>
              <w:rPr>
                <w:sz w:val="20"/>
                <w:szCs w:val="20"/>
                <w:color w:val="auto"/>
              </w:rPr>
            </w:pPr>
            <w:r>
              <w:rPr>
                <w:rFonts w:ascii="Arial" w:cs="Arial" w:eastAsia="Arial" w:hAnsi="Arial"/>
                <w:sz w:val="16"/>
                <w:szCs w:val="16"/>
                <w:color w:val="auto"/>
              </w:rPr>
              <w:t>239,000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4,328,000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0.98%</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3,591,000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0.81%</w:t>
            </w:r>
          </w:p>
        </w:tc>
        <w:tc>
          <w:tcPr>
            <w:tcW w:w="980" w:type="dxa"/>
            <w:vAlign w:val="bottom"/>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OPNET Technologies,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0.78%</w:t>
            </w:r>
          </w:p>
        </w:tc>
        <w:tc>
          <w:tcPr>
            <w:tcW w:w="980" w:type="dxa"/>
            <w:vAlign w:val="bottom"/>
          </w:tcPr>
          <w:p>
            <w:pPr>
              <w:jc w:val="right"/>
              <w:spacing w:after="0"/>
              <w:rPr>
                <w:sz w:val="20"/>
                <w:szCs w:val="20"/>
                <w:color w:val="auto"/>
              </w:rPr>
            </w:pPr>
            <w:r>
              <w:rPr>
                <w:rFonts w:ascii="Arial" w:cs="Arial" w:eastAsia="Arial" w:hAnsi="Arial"/>
                <w:sz w:val="16"/>
                <w:szCs w:val="16"/>
                <w:color w:val="auto"/>
              </w:rPr>
              <w:t>119,000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Supervalu Inc. (Acme/Sav-A-Lot/Star Mkt/Shoppers Food)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3,379,000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0.77%</w:t>
            </w:r>
          </w:p>
        </w:tc>
        <w:tc>
          <w:tcPr>
            <w:tcW w:w="980" w:type="dxa"/>
            <w:vAlign w:val="bottom"/>
          </w:tcPr>
          <w:p>
            <w:pPr>
              <w:jc w:val="right"/>
              <w:spacing w:after="0"/>
              <w:rPr>
                <w:sz w:val="20"/>
                <w:szCs w:val="20"/>
                <w:color w:val="auto"/>
              </w:rPr>
            </w:pPr>
            <w:r>
              <w:rPr>
                <w:rFonts w:ascii="Arial" w:cs="Arial" w:eastAsia="Arial" w:hAnsi="Arial"/>
                <w:sz w:val="16"/>
                <w:szCs w:val="16"/>
                <w:color w:val="auto"/>
              </w:rPr>
              <w:t>338,000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3,138,000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Sports Authority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179,000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3,033,000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Pr>
          <w:p>
            <w:pPr>
              <w:jc w:val="right"/>
              <w:spacing w:after="0"/>
              <w:rPr>
                <w:sz w:val="20"/>
                <w:szCs w:val="20"/>
                <w:color w:val="auto"/>
              </w:rPr>
            </w:pPr>
            <w:r>
              <w:rPr>
                <w:rFonts w:ascii="Arial" w:cs="Arial" w:eastAsia="Arial" w:hAnsi="Arial"/>
                <w:sz w:val="16"/>
                <w:szCs w:val="16"/>
                <w:color w:val="auto"/>
              </w:rPr>
              <w:t>127,000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131,945,000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29.93%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6,822,000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34.89%</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441,051,000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19,554,000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2,489</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540" w:hanging="482"/>
        <w:spacing w:after="0" w:line="293"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December 31, 2012.</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2013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84"/>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5"/>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4,888</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18,984</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19,225</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19,051</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19,289</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3,389</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2,204</w:t>
            </w: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5,508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5,179</w:t>
            </w: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10,772</w:t>
            </w:r>
          </w:p>
        </w:tc>
      </w:tr>
      <w:tr>
        <w:trPr>
          <w:trHeight w:val="237"/>
        </w:trPr>
        <w:tc>
          <w:tcPr>
            <w:tcW w:w="40" w:type="dxa"/>
            <w:vAlign w:val="bottom"/>
          </w:tcPr>
          <w:p>
            <w:pPr>
              <w:spacing w:after="0"/>
              <w:rPr>
                <w:sz w:val="20"/>
                <w:szCs w:val="20"/>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8,309</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8,517</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r>
      <w:tr>
        <w:trPr>
          <w:trHeight w:val="25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4,933</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5,129</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3"/>
          </w:tcPr>
          <w:p>
            <w:pPr>
              <w:jc w:val="center"/>
              <w:ind w:left="71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5"/>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209,056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207,987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174,509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178,693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6,116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182,780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187,844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57,155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5,391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61,926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120,854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125,077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182,780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187,844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014"/>
              <w:spacing w:after="0"/>
              <w:rPr>
                <w:sz w:val="20"/>
                <w:szCs w:val="20"/>
                <w:color w:val="auto"/>
              </w:rPr>
            </w:pPr>
            <w:r>
              <w:rPr>
                <w:rFonts w:ascii="Arial" w:cs="Arial" w:eastAsia="Arial" w:hAnsi="Arial"/>
                <w:sz w:val="18"/>
                <w:szCs w:val="18"/>
                <w:color w:val="auto"/>
                <w:w w:val="79"/>
              </w:rPr>
              <w:t>26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5"/>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December 31, 2012</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12,270</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57,155</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2013</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233</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1660" w:type="dxa"/>
            <w:vAlign w:val="bottom"/>
          </w:tcPr>
          <w:p>
            <w:pPr>
              <w:jc w:val="right"/>
              <w:ind w:right="13"/>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22,395</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22,537</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39.4%</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2015</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1660" w:type="dxa"/>
            <w:vAlign w:val="bottom"/>
          </w:tcPr>
          <w:p>
            <w:pPr>
              <w:jc w:val="right"/>
              <w:ind w:right="13"/>
              <w:spacing w:after="0"/>
              <w:rPr>
                <w:sz w:val="20"/>
                <w:szCs w:val="20"/>
                <w:color w:val="auto"/>
              </w:rPr>
            </w:pPr>
            <w:r>
              <w:rPr>
                <w:rFonts w:ascii="Arial" w:cs="Arial" w:eastAsia="Arial" w:hAnsi="Arial"/>
                <w:sz w:val="18"/>
                <w:szCs w:val="18"/>
                <w:color w:val="auto"/>
              </w:rPr>
              <w:t>2016</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57,155</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660" w:right="40" w:hanging="652"/>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1" w:name="page32"/>
    <w:bookmarkEnd w:id="31"/>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2012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and/or</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Real</w:t>
            </w:r>
          </w:p>
        </w:tc>
        <w:tc>
          <w:tcPr>
            <w:tcW w:w="12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2"/>
              </w:rPr>
              <w:t>Capital</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Avg</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ind w:left="320"/>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5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Estate at</w:t>
            </w:r>
          </w:p>
        </w:tc>
        <w:tc>
          <w:tcPr>
            <w:tcW w:w="12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Lease</w:t>
            </w:r>
          </w:p>
        </w:tc>
        <w:tc>
          <w:tcPr>
            <w:tcW w:w="52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6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Property Name</w:t>
            </w:r>
          </w:p>
        </w:tc>
        <w:tc>
          <w:tcPr>
            <w:tcW w:w="198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MSA Description</w:t>
            </w: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Acquired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Cost</w:t>
            </w: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3"/>
              </w:rPr>
              <w:t>Obligation</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(1)</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(2)</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color w:val="auto"/>
              </w:rPr>
              <w:t>(in</w:t>
            </w:r>
          </w:p>
        </w:tc>
        <w:tc>
          <w:tcPr>
            <w:tcW w:w="680" w:type="dxa"/>
            <w:vAlign w:val="bottom"/>
            <w:gridSpan w:val="2"/>
          </w:tcPr>
          <w:p>
            <w:pPr>
              <w:ind w:left="60"/>
              <w:spacing w:after="0"/>
              <w:rPr>
                <w:sz w:val="20"/>
                <w:szCs w:val="20"/>
                <w:color w:val="auto"/>
              </w:rPr>
            </w:pPr>
            <w:r>
              <w:rPr>
                <w:rFonts w:ascii="Arial" w:cs="Arial" w:eastAsia="Arial" w:hAnsi="Arial"/>
                <w:sz w:val="11"/>
                <w:szCs w:val="11"/>
                <w:color w:val="auto"/>
              </w:rPr>
              <w:t>(in</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color w:val="auto"/>
              </w:rPr>
              <w:t>thousands)</w:t>
            </w:r>
          </w:p>
        </w:tc>
        <w:tc>
          <w:tcPr>
            <w:tcW w:w="680" w:type="dxa"/>
            <w:vAlign w:val="bottom"/>
            <w:gridSpan w:val="2"/>
          </w:tcPr>
          <w:p>
            <w:pPr>
              <w:ind w:left="40"/>
              <w:spacing w:after="0"/>
              <w:rPr>
                <w:sz w:val="20"/>
                <w:szCs w:val="20"/>
                <w:color w:val="auto"/>
              </w:rPr>
            </w:pPr>
            <w:r>
              <w:rPr>
                <w:rFonts w:ascii="Arial" w:cs="Arial" w:eastAsia="Arial" w:hAnsi="Arial"/>
                <w:sz w:val="11"/>
                <w:szCs w:val="11"/>
                <w:color w:val="auto"/>
              </w:rPr>
              <w:t>thousands)</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89"/>
              </w:rPr>
              <w:t>Washington Metropolitan Area</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62"/>
        </w:trPr>
        <w:tc>
          <w:tcPr>
            <w:tcW w:w="20" w:type="dxa"/>
            <w:vAlign w:val="bottom"/>
          </w:tcPr>
          <w:p>
            <w:pPr>
              <w:spacing w:after="0"/>
              <w:rPr>
                <w:sz w:val="22"/>
                <w:szCs w:val="22"/>
                <w:color w:val="auto"/>
              </w:rPr>
            </w:pPr>
          </w:p>
        </w:tc>
        <w:tc>
          <w:tcPr>
            <w:tcW w:w="1300" w:type="dxa"/>
            <w:vAlign w:val="bottom"/>
            <w:gridSpan w:val="4"/>
          </w:tcPr>
          <w:p>
            <w:pPr>
              <w:spacing w:after="0"/>
              <w:rPr>
                <w:sz w:val="20"/>
                <w:szCs w:val="20"/>
                <w:color w:val="auto"/>
              </w:rPr>
            </w:pPr>
            <w:r>
              <w:rPr>
                <w:rFonts w:ascii="Arial" w:cs="Arial" w:eastAsia="Arial" w:hAnsi="Arial"/>
                <w:sz w:val="13"/>
                <w:szCs w:val="13"/>
                <w:color w:val="auto"/>
              </w:rPr>
              <w:t>Barcroft Plaza</w:t>
            </w:r>
          </w:p>
        </w:tc>
        <w:tc>
          <w:tcPr>
            <w:tcW w:w="1980" w:type="dxa"/>
            <w:vAlign w:val="bottom"/>
            <w:gridSpan w:val="2"/>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tcPr>
          <w:p>
            <w:pPr>
              <w:ind w:left="120"/>
              <w:spacing w:after="0"/>
              <w:rPr>
                <w:sz w:val="20"/>
                <w:szCs w:val="20"/>
                <w:color w:val="auto"/>
              </w:rPr>
            </w:pPr>
            <w:r>
              <w:rPr>
                <w:rFonts w:ascii="Arial" w:cs="Arial" w:eastAsia="Arial" w:hAnsi="Arial"/>
                <w:sz w:val="13"/>
                <w:szCs w:val="13"/>
                <w:color w:val="auto"/>
                <w:w w:val="99"/>
              </w:rPr>
              <w:t>2006-2007</w:t>
            </w: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34,537</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20,785</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jc w:val="right"/>
              <w:spacing w:after="0"/>
              <w:rPr>
                <w:sz w:val="20"/>
                <w:szCs w:val="20"/>
                <w:color w:val="auto"/>
              </w:rPr>
            </w:pPr>
            <w:r>
              <w:rPr>
                <w:rFonts w:ascii="Arial" w:cs="Arial" w:eastAsia="Arial" w:hAnsi="Arial"/>
                <w:sz w:val="13"/>
                <w:szCs w:val="13"/>
                <w:color w:val="auto"/>
              </w:rPr>
              <w:t>89%</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87"/>
              </w:rPr>
              <w:t>$ 22.95</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6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Free State Shopping</w:t>
            </w: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8"/>
              </w:rPr>
              <w:t>TJ Maxx / Ross Dress For Less / Office</w:t>
            </w:r>
          </w:p>
        </w:tc>
      </w:tr>
      <w:tr>
        <w:trPr>
          <w:trHeight w:val="176"/>
        </w:trPr>
        <w:tc>
          <w:tcPr>
            <w:tcW w:w="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Center</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66,583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Plaza del Mercado</w:t>
            </w:r>
          </w:p>
        </w:tc>
        <w:tc>
          <w:tcPr>
            <w:tcW w:w="1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21,632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12,270</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26.32</w:t>
            </w:r>
          </w:p>
        </w:tc>
        <w:tc>
          <w:tcPr>
            <w:tcW w:w="6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134"/>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280"/>
              <w:spacing w:after="0" w:line="134" w:lineRule="exact"/>
              <w:rPr>
                <w:sz w:val="20"/>
                <w:szCs w:val="20"/>
                <w:color w:val="auto"/>
              </w:rPr>
            </w:pPr>
            <w:r>
              <w:rPr>
                <w:rFonts w:ascii="Arial" w:cs="Arial" w:eastAsia="Arial" w:hAnsi="Arial"/>
                <w:sz w:val="13"/>
                <w:szCs w:val="13"/>
                <w:color w:val="auto"/>
                <w:w w:val="95"/>
              </w:rPr>
              <w:t>Total Washington Metropolitan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Area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122,752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New York / New</w:t>
            </w: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Jersey</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6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Greenlawn Plaza</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Nassau-Suffolk, NY</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20,660</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13,600</w:t>
            </w: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9"/>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16.75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9"/>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2"/>
          </w:tcPr>
          <w:p>
            <w:pPr>
              <w:ind w:left="280"/>
              <w:spacing w:after="0"/>
              <w:rPr>
                <w:sz w:val="20"/>
                <w:szCs w:val="20"/>
                <w:color w:val="auto"/>
              </w:rPr>
            </w:pPr>
            <w:r>
              <w:rPr>
                <w:rFonts w:ascii="Arial" w:cs="Arial" w:eastAsia="Arial" w:hAnsi="Arial"/>
                <w:sz w:val="13"/>
                <w:szCs w:val="13"/>
                <w:color w:val="auto"/>
              </w:rPr>
              <w:t>Total New York / New Jersey</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20,660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16.75</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58"/>
        </w:trPr>
        <w:tc>
          <w:tcPr>
            <w:tcW w:w="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New England</w:t>
            </w: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w w:val="93"/>
              </w:rPr>
              <w:t>Atlantic Plaza</w:t>
            </w:r>
          </w:p>
        </w:tc>
        <w:tc>
          <w:tcPr>
            <w:tcW w:w="540" w:type="dxa"/>
            <w:vAlign w:val="bottom"/>
            <w:tcBorders>
              <w:top w:val="single" w:sz="8" w:color="CCEEFF"/>
            </w:tcBorders>
            <w:gridSpan w:val="2"/>
          </w:tcPr>
          <w:p>
            <w:pPr>
              <w:spacing w:after="0"/>
              <w:rPr>
                <w:sz w:val="12"/>
                <w:szCs w:val="12"/>
                <w:color w:val="auto"/>
              </w:rPr>
            </w:pPr>
          </w:p>
        </w:tc>
        <w:tc>
          <w:tcPr>
            <w:tcW w:w="1980" w:type="dxa"/>
            <w:vAlign w:val="bottom"/>
            <w:tcBorders>
              <w:top w:val="single" w:sz="8" w:color="CCEEFF"/>
            </w:tcBorders>
            <w:gridSpan w:val="2"/>
          </w:tcPr>
          <w:p>
            <w:pPr>
              <w:ind w:left="280"/>
              <w:spacing w:after="0" w:line="148" w:lineRule="exact"/>
              <w:rPr>
                <w:sz w:val="20"/>
                <w:szCs w:val="20"/>
                <w:color w:val="auto"/>
              </w:rPr>
            </w:pPr>
            <w:r>
              <w:rPr>
                <w:rFonts w:ascii="Arial" w:cs="Arial" w:eastAsia="Arial" w:hAnsi="Arial"/>
                <w:sz w:val="13"/>
                <w:szCs w:val="13"/>
                <w:color w:val="auto"/>
                <w:w w:val="99"/>
              </w:rPr>
              <w:t>Boston-Worcester-Lawrence-</w:t>
            </w:r>
          </w:p>
        </w:tc>
        <w:tc>
          <w:tcPr>
            <w:tcW w:w="760" w:type="dxa"/>
            <w:vAlign w:val="bottom"/>
            <w:tcBorders>
              <w:top w:val="single" w:sz="8" w:color="CCEEFF"/>
            </w:tcBorders>
          </w:tcPr>
          <w:p>
            <w:pPr>
              <w:ind w:left="120"/>
              <w:spacing w:after="0" w:line="148" w:lineRule="exact"/>
              <w:rPr>
                <w:sz w:val="20"/>
                <w:szCs w:val="20"/>
                <w:color w:val="auto"/>
              </w:rPr>
            </w:pPr>
            <w:r>
              <w:rPr>
                <w:rFonts w:ascii="Arial" w:cs="Arial" w:eastAsia="Arial" w:hAnsi="Arial"/>
                <w:sz w:val="13"/>
                <w:szCs w:val="13"/>
                <w:color w:val="auto"/>
              </w:rPr>
              <w:t>2004</w:t>
            </w: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rPr>
              <w:t>19,418</w:t>
            </w: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10,500</w:t>
            </w:r>
          </w:p>
        </w:tc>
        <w:tc>
          <w:tcPr>
            <w:tcW w:w="52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w w:val="89"/>
              </w:rPr>
              <w:t>123,000</w:t>
            </w:r>
          </w:p>
        </w:tc>
        <w:tc>
          <w:tcPr>
            <w:tcW w:w="52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73%</w:t>
            </w:r>
          </w:p>
        </w:tc>
        <w:tc>
          <w:tcPr>
            <w:tcW w:w="6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73%</w:t>
            </w:r>
          </w:p>
        </w:tc>
        <w:tc>
          <w:tcPr>
            <w:tcW w:w="52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16.83</w:t>
            </w:r>
          </w:p>
        </w:tc>
        <w:tc>
          <w:tcPr>
            <w:tcW w:w="60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60" w:type="dxa"/>
            <w:vAlign w:val="bottom"/>
            <w:tcBorders>
              <w:top w:val="single" w:sz="8" w:color="CCEEFF"/>
            </w:tcBorders>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60" w:type="dxa"/>
            <w:vAlign w:val="bottom"/>
            <w:tcBorders>
              <w:top w:val="single" w:sz="8" w:color="CCEEFF"/>
            </w:tcBorders>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2"/>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Campus Plaza</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9"/>
              </w:rPr>
              <w:t>Boston-Worcester-Lawrence-</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22,649</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300" w:type="dxa"/>
            <w:vAlign w:val="bottom"/>
            <w:gridSpan w:val="4"/>
          </w:tcPr>
          <w:p>
            <w:pPr>
              <w:spacing w:after="0" w:line="148" w:lineRule="exact"/>
              <w:rPr>
                <w:sz w:val="20"/>
                <w:szCs w:val="20"/>
                <w:color w:val="auto"/>
              </w:rPr>
            </w:pPr>
            <w:r>
              <w:rPr>
                <w:rFonts w:ascii="Arial" w:cs="Arial" w:eastAsia="Arial" w:hAnsi="Arial"/>
                <w:sz w:val="13"/>
                <w:szCs w:val="13"/>
                <w:color w:val="auto"/>
              </w:rPr>
              <w:t>Pleasant Shops</w:t>
            </w:r>
          </w:p>
        </w:tc>
        <w:tc>
          <w:tcPr>
            <w:tcW w:w="1980" w:type="dxa"/>
            <w:vAlign w:val="bottom"/>
            <w:gridSpan w:val="2"/>
          </w:tcPr>
          <w:p>
            <w:pPr>
              <w:ind w:left="280"/>
              <w:spacing w:after="0" w:line="148" w:lineRule="exact"/>
              <w:rPr>
                <w:sz w:val="20"/>
                <w:szCs w:val="20"/>
                <w:color w:val="auto"/>
              </w:rPr>
            </w:pPr>
            <w:r>
              <w:rPr>
                <w:rFonts w:ascii="Arial" w:cs="Arial" w:eastAsia="Arial" w:hAnsi="Arial"/>
                <w:sz w:val="13"/>
                <w:szCs w:val="13"/>
                <w:color w:val="auto"/>
                <w:w w:val="99"/>
              </w:rPr>
              <w:t>Boston-Worcester-Lawrence-</w:t>
            </w:r>
          </w:p>
        </w:tc>
        <w:tc>
          <w:tcPr>
            <w:tcW w:w="760" w:type="dxa"/>
            <w:vAlign w:val="bottom"/>
          </w:tcPr>
          <w:p>
            <w:pPr>
              <w:ind w:left="120"/>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23,577</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w w:val="89"/>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13.84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w w:val="99"/>
              </w:rPr>
              <w:t>Whole Foods</w:t>
            </w:r>
          </w:p>
        </w:tc>
        <w:tc>
          <w:tcPr>
            <w:tcW w:w="2360" w:type="dxa"/>
            <w:vAlign w:val="bottom"/>
          </w:tcPr>
          <w:p>
            <w:pPr>
              <w:ind w:left="12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r>
      <w:tr>
        <w:trPr>
          <w:trHeight w:val="250"/>
        </w:trPr>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Total New England</w:t>
            </w: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65,644</w:t>
            </w: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9"/>
              </w:rPr>
              <w:t>369,000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14.62</w:t>
            </w:r>
          </w:p>
        </w:tc>
        <w:tc>
          <w:tcPr>
            <w:tcW w:w="6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spacing w:after="0"/>
              <w:rPr>
                <w:sz w:val="21"/>
                <w:szCs w:val="2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Grand Totals</w:t>
            </w: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209,056</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57,155</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9"/>
              </w:rPr>
              <w:t>950,000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w:t>
            </w:r>
          </w:p>
        </w:tc>
        <w:tc>
          <w:tcPr>
            <w:tcW w:w="11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86% $ 17.12</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121" w:lineRule="exact"/>
        <w:rPr>
          <w:sz w:val="20"/>
          <w:szCs w:val="20"/>
          <w:color w:val="auto"/>
        </w:rPr>
      </w:pPr>
    </w:p>
    <w:p>
      <w:pPr>
        <w:ind w:left="200" w:hanging="171"/>
        <w:spacing w:after="0"/>
        <w:tabs>
          <w:tab w:leader="none" w:pos="2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purposes of this schedule, "occupied" refers to spaces where the lease term and obligation to pay rent have commenced.</w:t>
      </w:r>
    </w:p>
    <w:p>
      <w:pPr>
        <w:spacing w:after="0" w:line="39" w:lineRule="exact"/>
        <w:rPr>
          <w:rFonts w:ascii="Arial" w:cs="Arial" w:eastAsia="Arial" w:hAnsi="Arial"/>
          <w:sz w:val="13"/>
          <w:szCs w:val="13"/>
          <w:color w:val="auto"/>
        </w:rPr>
      </w:pPr>
    </w:p>
    <w:p>
      <w:pPr>
        <w:ind w:left="20" w:right="3740" w:firstLine="9"/>
        <w:spacing w:after="0" w:line="237" w:lineRule="auto"/>
        <w:tabs>
          <w:tab w:leader="none" w:pos="198" w:val="left"/>
        </w:tabs>
        <w:numPr>
          <w:ilvl w:val="0"/>
          <w:numId w:val="18"/>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(cash basis) minimum rent for all occupied spaces divided by the aggregate GLA of all occupied spaces.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60" w:top="958"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and year ended December 31, 2012 and 2011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38,858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156,232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149,612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35,337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142,039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126,568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27,592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113,336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101,678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89,982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410,918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374,131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101,678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89,707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399,058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357,030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real estate related depreciation and amortization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 except for a non-core industrial building acquired in December 2012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acquisition of East Bay Bridge.</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2019-12-05T10:21:45Z</dcterms:created>
  <dcterms:modified xsi:type="dcterms:W3CDTF">2019-12-05T10:21:45Z</dcterms:modified>
</cp:coreProperties>
</file>